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Berger Alexander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780 THIRD AVENUE,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3"/>
        <w:spacing w:after="0"/>
        <w:rPr>
          <w:sz w:val="20"/>
          <w:szCs w:val="20"/>
          <w:color w:val="auto"/>
        </w:rPr>
      </w:pPr>
      <w:r>
        <w:rPr>
          <w:rFonts w:ascii="Arial" w:cs="Arial" w:eastAsia="Arial" w:hAnsi="Arial"/>
          <w:sz w:val="18"/>
          <w:szCs w:val="18"/>
          <w:color w:val="0000FF"/>
        </w:rPr>
        <w:t>COO &amp; Secretary</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w w:val="90"/>
              </w:rPr>
              <w:t>Common Stock, $0.01 par value per</w:t>
            </w: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03/31/2014</w:t>
            </w: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60" w:type="dxa"/>
            <w:vAlign w:val="bottom"/>
            <w:vMerge w:val="restart"/>
          </w:tcPr>
          <w:p>
            <w:pPr>
              <w:ind w:left="180"/>
              <w:spacing w:after="0"/>
              <w:rPr>
                <w:sz w:val="20"/>
                <w:szCs w:val="20"/>
                <w:color w:val="auto"/>
              </w:rPr>
            </w:pPr>
            <w:r>
              <w:rPr>
                <w:rFonts w:ascii="Arial" w:cs="Arial" w:eastAsia="Arial" w:hAnsi="Arial"/>
                <w:sz w:val="18"/>
                <w:szCs w:val="18"/>
                <w:color w:val="0000FF"/>
              </w:rPr>
              <w:t>28,386</w:t>
            </w:r>
          </w:p>
        </w:tc>
        <w:tc>
          <w:tcPr>
            <w:tcW w:w="500" w:type="dxa"/>
            <w:vAlign w:val="bottom"/>
            <w:vMerge w:val="restart"/>
          </w:tcPr>
          <w:p>
            <w:pPr>
              <w:ind w:left="140"/>
              <w:spacing w:after="0"/>
              <w:rPr>
                <w:sz w:val="20"/>
                <w:szCs w:val="20"/>
                <w:color w:val="auto"/>
              </w:rPr>
            </w:pPr>
            <w:r>
              <w:rPr>
                <w:rFonts w:ascii="Arial" w:cs="Arial" w:eastAsia="Arial" w:hAnsi="Arial"/>
                <w:sz w:val="18"/>
                <w:szCs w:val="18"/>
                <w:color w:val="0000FF"/>
              </w:rPr>
              <w:t>D</w:t>
            </w:r>
          </w:p>
        </w:tc>
        <w:tc>
          <w:tcPr>
            <w:tcW w:w="820" w:type="dxa"/>
            <w:vAlign w:val="bottom"/>
            <w:gridSpan w:val="2"/>
            <w:vMerge w:val="restart"/>
          </w:tcPr>
          <w:p>
            <w:pPr>
              <w:ind w:left="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3.4855</w:t>
            </w:r>
            <w:r>
              <w:rPr>
                <w:rFonts w:ascii="Arial" w:cs="Arial" w:eastAsia="Arial" w:hAnsi="Arial"/>
                <w:sz w:val="22"/>
                <w:szCs w:val="22"/>
                <w:color w:val="008000"/>
                <w:w w:val="91"/>
                <w:vertAlign w:val="superscript"/>
              </w:rPr>
              <w:t>(1)</w:t>
            </w:r>
          </w:p>
        </w:tc>
        <w:tc>
          <w:tcPr>
            <w:tcW w:w="12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677,155</w:t>
            </w:r>
            <w:r>
              <w:rPr>
                <w:rFonts w:ascii="Arial" w:cs="Arial" w:eastAsia="Arial" w:hAnsi="Arial"/>
                <w:sz w:val="22"/>
                <w:szCs w:val="22"/>
                <w:color w:val="008000"/>
                <w:vertAlign w:val="superscript"/>
              </w:rPr>
              <w:t>(2)</w:t>
            </w:r>
          </w:p>
        </w:tc>
        <w:tc>
          <w:tcPr>
            <w:tcW w:w="300" w:type="dxa"/>
            <w:vAlign w:val="bottom"/>
          </w:tcPr>
          <w:p>
            <w:pPr>
              <w:spacing w:after="0"/>
              <w:rPr>
                <w:sz w:val="22"/>
                <w:szCs w:val="22"/>
                <w:color w:val="auto"/>
              </w:rPr>
            </w:pPr>
          </w:p>
        </w:tc>
        <w:tc>
          <w:tcPr>
            <w:tcW w:w="640" w:type="dxa"/>
            <w:vAlign w:val="bottom"/>
            <w:vMerge w:val="restart"/>
          </w:tcPr>
          <w:p>
            <w:pPr>
              <w:ind w:left="4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w w:val="90"/>
              </w:rPr>
              <w:t>Common Stock, $0.01 par value per</w:t>
            </w: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ARB-A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8"/>
                <w:szCs w:val="18"/>
                <w:color w:val="0000FF"/>
              </w:rPr>
              <w:t>1,155,856</w:t>
            </w:r>
          </w:p>
        </w:tc>
        <w:tc>
          <w:tcPr>
            <w:tcW w:w="300" w:type="dxa"/>
            <w:vAlign w:val="bottom"/>
          </w:tcPr>
          <w:p>
            <w:pPr>
              <w:spacing w:after="0"/>
              <w:rPr>
                <w:sz w:val="9"/>
                <w:szCs w:val="9"/>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362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9"/>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transactions reported in this line item were effected to cover tax liabilities pursuant to a Rule 10b5-1 trading plan adopted by the reporting person on November 22, 2013.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which, 523,959 shares of common stock are represented by unvested restricted stock units.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spacing w:after="0" w:line="239" w:lineRule="auto"/>
        <w:rPr>
          <w:sz w:val="20"/>
          <w:szCs w:val="20"/>
          <w:color w:val="auto"/>
        </w:rPr>
      </w:pPr>
      <w:r>
        <w:rPr>
          <w:rFonts w:ascii="Arial" w:cs="Arial" w:eastAsia="Arial" w:hAnsi="Arial"/>
          <w:sz w:val="14"/>
          <w:szCs w:val="14"/>
          <w:color w:val="008000"/>
        </w:rPr>
        <w:t>As of the reporting date, the reporting person holds (either directly or indirectly) 1,875,000 vested and unvested options and 523,959 vested and unvested restricted stock units. In addition, the reporting person owns (either directly or indirectly) 1,309,052 shares of common stock and 545,621 warrants. The total number of securities listed is 4,253,632.</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8"/>
              </w:rPr>
              <w:t>/s/ Alexander R. Berger</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04/02/2014</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4700"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2019-12-17T07:38:51Z</dcterms:created>
  <dcterms:modified xsi:type="dcterms:W3CDTF">2019-12-17T07:38:51Z</dcterms:modified>
</cp:coreProperties>
</file>