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542290</wp:posOffset>
            </wp:positionV>
            <wp:extent cx="565785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17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605155</wp:posOffset>
            </wp:positionV>
            <wp:extent cx="56578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6" w:lineRule="exact"/>
        <w:rPr>
          <w:sz w:val="24"/>
          <w:szCs w:val="24"/>
          <w:color w:val="auto"/>
        </w:rPr>
      </w:pPr>
    </w:p>
    <w:p>
      <w:pPr>
        <w:ind w:left="640" w:hanging="596"/>
        <w:spacing w:after="0"/>
        <w:tabs>
          <w:tab w:leader="none" w:pos="64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w:t>
      </w:r>
    </w:p>
    <w:p>
      <w:pPr>
        <w:spacing w:after="0" w:line="25" w:lineRule="exact"/>
        <w:rPr>
          <w:rFonts w:ascii="MS PGothic" w:cs="MS PGothic" w:eastAsia="MS PGothic" w:hAnsi="MS PGothic"/>
          <w:sz w:val="17"/>
          <w:szCs w:val="17"/>
          <w:color w:val="auto"/>
          <w:highlight w:val="black"/>
        </w:rPr>
      </w:pPr>
    </w:p>
    <w:p>
      <w:pPr>
        <w:ind w:left="4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1934</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116" w:lineRule="exact"/>
        <w:rPr>
          <w:sz w:val="24"/>
          <w:szCs w:val="24"/>
          <w:color w:val="auto"/>
        </w:rPr>
      </w:pPr>
    </w:p>
    <w:p>
      <w:pPr>
        <w:ind w:left="640" w:hanging="596"/>
        <w:spacing w:after="0"/>
        <w:tabs>
          <w:tab w:leader="none" w:pos="6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w:t>
      </w:r>
    </w:p>
    <w:p>
      <w:pPr>
        <w:spacing w:after="0" w:line="25" w:lineRule="exact"/>
        <w:rPr>
          <w:rFonts w:ascii="MS PGothic" w:cs="MS PGothic" w:eastAsia="MS PGothic" w:hAnsi="MS PGothic"/>
          <w:sz w:val="17"/>
          <w:szCs w:val="17"/>
          <w:color w:val="auto"/>
          <w:highlight w:val="black"/>
        </w:rPr>
      </w:pPr>
    </w:p>
    <w:p>
      <w:pPr>
        <w:ind w:left="4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1934</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transition period from ___ to ___</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001-34785</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XWELL,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06" w:lineRule="exact"/>
        <w:rPr>
          <w:sz w:val="24"/>
          <w:szCs w:val="24"/>
          <w:color w:val="auto"/>
        </w:rPr>
      </w:pPr>
    </w:p>
    <w:tbl>
      <w:tblPr>
        <w:tblLayout w:type="fixed"/>
        <w:tblInd w:w="580" w:type="dxa"/>
        <w:tblCellMar>
          <w:top w:w="0" w:type="dxa"/>
          <w:left w:w="0" w:type="dxa"/>
          <w:bottom w:w="0" w:type="dxa"/>
          <w:right w:w="0" w:type="dxa"/>
        </w:tblCellMar>
      </w:tblPr>
      <w:tr>
        <w:trPr>
          <w:trHeight w:val="203"/>
        </w:trPr>
        <w:tc>
          <w:tcPr>
            <w:tcW w:w="4440" w:type="dxa"/>
            <w:vAlign w:val="bottom"/>
          </w:tcPr>
          <w:p>
            <w:pPr>
              <w:jc w:val="center"/>
              <w:ind w:right="1057"/>
              <w:spacing w:after="0"/>
              <w:rPr>
                <w:sz w:val="20"/>
                <w:szCs w:val="20"/>
                <w:color w:val="auto"/>
              </w:rPr>
            </w:pPr>
            <w:r>
              <w:rPr>
                <w:rFonts w:ascii="Times New Roman" w:cs="Times New Roman" w:eastAsia="Times New Roman" w:hAnsi="Times New Roman"/>
                <w:sz w:val="17"/>
                <w:szCs w:val="17"/>
                <w:b w:val="1"/>
                <w:bCs w:val="1"/>
                <w:color w:val="auto"/>
                <w:w w:val="95"/>
              </w:rPr>
              <w:t>Delaware</w:t>
            </w:r>
          </w:p>
        </w:tc>
        <w:tc>
          <w:tcPr>
            <w:tcW w:w="2380" w:type="dxa"/>
            <w:vAlign w:val="bottom"/>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20-4988129</w:t>
            </w:r>
          </w:p>
        </w:tc>
      </w:tr>
      <w:tr>
        <w:trPr>
          <w:trHeight w:val="199"/>
        </w:trPr>
        <w:tc>
          <w:tcPr>
            <w:tcW w:w="4440" w:type="dxa"/>
            <w:vAlign w:val="bottom"/>
          </w:tcPr>
          <w:p>
            <w:pPr>
              <w:jc w:val="center"/>
              <w:ind w:right="1037"/>
              <w:spacing w:after="0"/>
              <w:rPr>
                <w:sz w:val="20"/>
                <w:szCs w:val="20"/>
                <w:color w:val="auto"/>
              </w:rPr>
            </w:pPr>
            <w:r>
              <w:rPr>
                <w:rFonts w:ascii="Times New Roman" w:cs="Times New Roman" w:eastAsia="Times New Roman" w:hAnsi="Times New Roman"/>
                <w:sz w:val="17"/>
                <w:szCs w:val="17"/>
                <w:color w:val="auto"/>
                <w:w w:val="97"/>
              </w:rPr>
              <w:t>(State or other jurisdiction of</w:t>
            </w:r>
          </w:p>
        </w:tc>
        <w:tc>
          <w:tcPr>
            <w:tcW w:w="2380" w:type="dxa"/>
            <w:vAlign w:val="bottom"/>
          </w:tcPr>
          <w:p>
            <w:pPr>
              <w:jc w:val="center"/>
              <w:ind w:left="1037"/>
              <w:spacing w:after="0"/>
              <w:rPr>
                <w:sz w:val="20"/>
                <w:szCs w:val="20"/>
                <w:color w:val="auto"/>
              </w:rPr>
            </w:pPr>
            <w:r>
              <w:rPr>
                <w:rFonts w:ascii="Times New Roman" w:cs="Times New Roman" w:eastAsia="Times New Roman" w:hAnsi="Times New Roman"/>
                <w:sz w:val="17"/>
                <w:szCs w:val="17"/>
                <w:color w:val="auto"/>
                <w:w w:val="98"/>
              </w:rPr>
              <w:t>(I.R.S. Employer</w:t>
            </w:r>
          </w:p>
        </w:tc>
      </w:tr>
      <w:tr>
        <w:trPr>
          <w:trHeight w:val="216"/>
        </w:trPr>
        <w:tc>
          <w:tcPr>
            <w:tcW w:w="4440" w:type="dxa"/>
            <w:vAlign w:val="bottom"/>
          </w:tcPr>
          <w:p>
            <w:pPr>
              <w:jc w:val="center"/>
              <w:ind w:right="1037"/>
              <w:spacing w:after="0"/>
              <w:rPr>
                <w:sz w:val="20"/>
                <w:szCs w:val="20"/>
                <w:color w:val="auto"/>
              </w:rPr>
            </w:pPr>
            <w:r>
              <w:rPr>
                <w:rFonts w:ascii="Times New Roman" w:cs="Times New Roman" w:eastAsia="Times New Roman" w:hAnsi="Times New Roman"/>
                <w:sz w:val="17"/>
                <w:szCs w:val="17"/>
                <w:color w:val="auto"/>
                <w:w w:val="97"/>
              </w:rPr>
              <w:t>incorporation or organization)</w:t>
            </w:r>
          </w:p>
        </w:tc>
        <w:tc>
          <w:tcPr>
            <w:tcW w:w="2380" w:type="dxa"/>
            <w:vAlign w:val="bottom"/>
          </w:tcPr>
          <w:p>
            <w:pPr>
              <w:jc w:val="center"/>
              <w:ind w:left="1057"/>
              <w:spacing w:after="0"/>
              <w:rPr>
                <w:sz w:val="20"/>
                <w:szCs w:val="20"/>
                <w:color w:val="auto"/>
              </w:rPr>
            </w:pPr>
            <w:r>
              <w:rPr>
                <w:rFonts w:ascii="Times New Roman" w:cs="Times New Roman" w:eastAsia="Times New Roman" w:hAnsi="Times New Roman"/>
                <w:sz w:val="17"/>
                <w:szCs w:val="17"/>
                <w:color w:val="auto"/>
                <w:w w:val="97"/>
              </w:rPr>
              <w:t>Identification No.)</w:t>
            </w:r>
          </w:p>
        </w:tc>
      </w:tr>
      <w:tr>
        <w:trPr>
          <w:trHeight w:val="294"/>
        </w:trPr>
        <w:tc>
          <w:tcPr>
            <w:tcW w:w="4440" w:type="dxa"/>
            <w:vAlign w:val="bottom"/>
          </w:tcPr>
          <w:p>
            <w:pPr>
              <w:jc w:val="center"/>
              <w:ind w:right="1037"/>
              <w:spacing w:after="0"/>
              <w:rPr>
                <w:sz w:val="20"/>
                <w:szCs w:val="20"/>
                <w:color w:val="auto"/>
              </w:rPr>
            </w:pPr>
            <w:r>
              <w:rPr>
                <w:rFonts w:ascii="Times New Roman" w:cs="Times New Roman" w:eastAsia="Times New Roman" w:hAnsi="Times New Roman"/>
                <w:sz w:val="17"/>
                <w:szCs w:val="17"/>
                <w:b w:val="1"/>
                <w:bCs w:val="1"/>
                <w:color w:val="auto"/>
                <w:w w:val="95"/>
              </w:rPr>
              <w:t>254 West 31</w:t>
            </w:r>
            <w:r>
              <w:rPr>
                <w:rFonts w:ascii="Times New Roman" w:cs="Times New Roman" w:eastAsia="Times New Roman" w:hAnsi="Times New Roman"/>
                <w:sz w:val="24"/>
                <w:szCs w:val="24"/>
                <w:b w:val="1"/>
                <w:bCs w:val="1"/>
                <w:color w:val="auto"/>
                <w:w w:val="95"/>
                <w:vertAlign w:val="superscript"/>
              </w:rPr>
              <w:t>st</w:t>
            </w:r>
            <w:r>
              <w:rPr>
                <w:rFonts w:ascii="Times New Roman" w:cs="Times New Roman" w:eastAsia="Times New Roman" w:hAnsi="Times New Roman"/>
                <w:sz w:val="17"/>
                <w:szCs w:val="17"/>
                <w:b w:val="1"/>
                <w:bCs w:val="1"/>
                <w:color w:val="auto"/>
                <w:w w:val="95"/>
              </w:rPr>
              <w:t xml:space="preserve"> Street, 11th Floor, New York, NY</w:t>
            </w:r>
          </w:p>
        </w:tc>
        <w:tc>
          <w:tcPr>
            <w:tcW w:w="238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10001</w:t>
            </w:r>
          </w:p>
        </w:tc>
      </w:tr>
      <w:tr>
        <w:trPr>
          <w:trHeight w:val="216"/>
        </w:trPr>
        <w:tc>
          <w:tcPr>
            <w:tcW w:w="4440" w:type="dxa"/>
            <w:vAlign w:val="bottom"/>
          </w:tcPr>
          <w:p>
            <w:pPr>
              <w:jc w:val="center"/>
              <w:ind w:right="1057"/>
              <w:spacing w:after="0"/>
              <w:rPr>
                <w:sz w:val="20"/>
                <w:szCs w:val="20"/>
                <w:color w:val="auto"/>
              </w:rPr>
            </w:pPr>
            <w:r>
              <w:rPr>
                <w:rFonts w:ascii="Times New Roman" w:cs="Times New Roman" w:eastAsia="Times New Roman" w:hAnsi="Times New Roman"/>
                <w:sz w:val="17"/>
                <w:szCs w:val="17"/>
                <w:color w:val="auto"/>
                <w:w w:val="97"/>
              </w:rPr>
              <w:t>(Address of principal executive offices)</w:t>
            </w:r>
          </w:p>
        </w:tc>
        <w:tc>
          <w:tcPr>
            <w:tcW w:w="2380" w:type="dxa"/>
            <w:vAlign w:val="bottom"/>
          </w:tcPr>
          <w:p>
            <w:pPr>
              <w:jc w:val="center"/>
              <w:ind w:left="1037"/>
              <w:spacing w:after="0"/>
              <w:rPr>
                <w:sz w:val="20"/>
                <w:szCs w:val="20"/>
                <w:color w:val="auto"/>
              </w:rPr>
            </w:pPr>
            <w:r>
              <w:rPr>
                <w:rFonts w:ascii="Times New Roman" w:cs="Times New Roman" w:eastAsia="Times New Roman" w:hAnsi="Times New Roman"/>
                <w:sz w:val="17"/>
                <w:szCs w:val="17"/>
                <w:color w:val="auto"/>
                <w:w w:val="98"/>
              </w:rPr>
              <w:t>(Zip Code)</w:t>
            </w:r>
          </w:p>
        </w:tc>
      </w:tr>
    </w:tbl>
    <w:p>
      <w:pPr>
        <w:spacing w:after="0" w:line="91" w:lineRule="exact"/>
        <w:rPr>
          <w:sz w:val="24"/>
          <w:szCs w:val="24"/>
          <w:color w:val="auto"/>
        </w:rPr>
      </w:pPr>
    </w:p>
    <w:p>
      <w:pPr>
        <w:jc w:val="center"/>
        <w:ind w:left="40" w:right="59"/>
        <w:spacing w:after="0" w:line="387" w:lineRule="auto"/>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(212) 750-9595</w:t>
      </w:r>
      <w:r>
        <w:rPr>
          <w:rFonts w:ascii="Times New Roman" w:cs="Times New Roman" w:eastAsia="Times New Roman" w:hAnsi="Times New Roman"/>
          <w:sz w:val="17"/>
          <w:szCs w:val="17"/>
          <w:color w:val="auto"/>
        </w:rPr>
        <w:t xml:space="preserve"> (Former name, former address and former fiscal year, if changed since last report) </w:t>
      </w:r>
      <w:r>
        <w:rPr>
          <w:rFonts w:ascii="Times New Roman" w:cs="Times New Roman" w:eastAsia="Times New Roman" w:hAnsi="Times New Roman"/>
          <w:sz w:val="17"/>
          <w:szCs w:val="17"/>
          <w:b w:val="1"/>
          <w:bCs w:val="1"/>
          <w:color w:val="auto"/>
        </w:rPr>
        <w:t>Securities registered pursuant to Section 12(b) of the Act:</w:t>
      </w:r>
    </w:p>
    <w:tbl>
      <w:tblPr>
        <w:tblLayout w:type="fixed"/>
        <w:tblInd w:w="40" w:type="dxa"/>
        <w:tblCellMar>
          <w:top w:w="0" w:type="dxa"/>
          <w:left w:w="0" w:type="dxa"/>
          <w:bottom w:w="0" w:type="dxa"/>
          <w:right w:w="0" w:type="dxa"/>
        </w:tblCellMar>
      </w:tblPr>
      <w:tr>
        <w:trPr>
          <w:trHeight w:val="226"/>
        </w:trPr>
        <w:tc>
          <w:tcPr>
            <w:tcW w:w="3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Title of each class</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84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6"/>
              </w:rPr>
              <w:t>Trading Symbol(s)</w:t>
            </w: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  Name of each exchange on which registered</w:t>
            </w:r>
          </w:p>
        </w:tc>
      </w:tr>
      <w:tr>
        <w:trPr>
          <w:trHeight w:val="214"/>
        </w:trPr>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Common Stock, par value $0.01 per share</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7"/>
                <w:szCs w:val="17"/>
                <w:color w:val="auto"/>
                <w:w w:val="97"/>
              </w:rPr>
              <w:t>XWEL</w:t>
            </w:r>
          </w:p>
        </w:tc>
        <w:tc>
          <w:tcPr>
            <w:tcW w:w="160" w:type="dxa"/>
            <w:vAlign w:val="bottom"/>
          </w:tcPr>
          <w:p>
            <w:pPr>
              <w:spacing w:after="0"/>
              <w:rPr>
                <w:sz w:val="18"/>
                <w:szCs w:val="18"/>
                <w:color w:val="auto"/>
              </w:rPr>
            </w:pPr>
          </w:p>
        </w:tc>
        <w:tc>
          <w:tcPr>
            <w:tcW w:w="34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66" w:lineRule="exact"/>
        <w:rPr>
          <w:sz w:val="24"/>
          <w:szCs w:val="24"/>
          <w:color w:val="auto"/>
        </w:rPr>
      </w:pPr>
    </w:p>
    <w:p>
      <w:pPr>
        <w:jc w:val="both"/>
        <w:ind w:left="40" w:right="59"/>
        <w:spacing w:after="0" w:line="22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1" w:lineRule="exact"/>
        <w:rPr>
          <w:sz w:val="24"/>
          <w:szCs w:val="24"/>
          <w:color w:val="auto"/>
        </w:rPr>
      </w:pPr>
    </w:p>
    <w:p>
      <w:pPr>
        <w:ind w:left="40"/>
        <w:spacing w:after="0" w:line="196" w:lineRule="exact"/>
        <w:tabs>
          <w:tab w:leader="none" w:pos="5760" w:val="left"/>
        </w:tabs>
        <w:rPr>
          <w:sz w:val="20"/>
          <w:szCs w:val="20"/>
          <w:color w:val="auto"/>
        </w:rPr>
      </w:pPr>
      <w:r>
        <w:rPr>
          <w:rFonts w:ascii="Times New Roman" w:cs="Times New Roman" w:eastAsia="Times New Roman" w:hAnsi="Times New Roman"/>
          <w:sz w:val="17"/>
          <w:szCs w:val="17"/>
          <w:color w:val="auto"/>
        </w:rPr>
        <w:t xml:space="preserve">and (2) has been subject to such filing requirements for the past 90 days.  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left="40" w:right="59"/>
        <w:spacing w:after="0" w:line="18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45" w:lineRule="exact"/>
        <w:rPr>
          <w:sz w:val="24"/>
          <w:szCs w:val="24"/>
          <w:color w:val="auto"/>
        </w:rPr>
      </w:pPr>
    </w:p>
    <w:p>
      <w:pPr>
        <w:jc w:val="both"/>
        <w:ind w:left="40" w:right="59"/>
        <w:spacing w:after="0" w:line="22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Accelerated filer</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199"/>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0"/>
        </w:trPr>
        <w:tc>
          <w:tcPr>
            <w:tcW w:w="1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2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Emerging growth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2" w:lineRule="exact"/>
        <w:rPr>
          <w:sz w:val="24"/>
          <w:szCs w:val="24"/>
          <w:color w:val="auto"/>
        </w:rPr>
      </w:pPr>
    </w:p>
    <w:p>
      <w:pPr>
        <w:ind w:left="40" w:right="59"/>
        <w:spacing w:after="0" w:line="20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40" w:right="239"/>
        <w:spacing w:after="0" w:line="26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May 14, 2026, 8,444,266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474980</wp:posOffset>
            </wp:positionV>
            <wp:extent cx="5657850" cy="23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349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64135</wp:posOffset>
            </wp:positionV>
            <wp:extent cx="56578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76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103505</wp:posOffset>
            </wp:positionV>
            <wp:extent cx="5657850"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1750"/>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XWELL, Inc.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7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42"/>
        </w:trPr>
        <w:tc>
          <w:tcPr>
            <w:tcW w:w="2660" w:type="dxa"/>
            <w:vAlign w:val="bottom"/>
            <w:tcBorders>
              <w:bottom w:val="single" w:sz="8" w:color="0000EE"/>
            </w:tcBorders>
            <w:gridSpan w:val="9"/>
          </w:tcPr>
          <w:p>
            <w:pPr>
              <w:spacing w:after="0" w:line="122" w:lineRule="exact"/>
              <w:rPr>
                <w:sz w:val="20"/>
                <w:szCs w:val="20"/>
                <w:color w:val="auto"/>
              </w:rPr>
            </w:pPr>
            <w:r>
              <w:rPr>
                <w:rFonts w:ascii="Times New Roman" w:cs="Times New Roman" w:eastAsia="Times New Roman" w:hAnsi="Times New Roman"/>
                <w:sz w:val="13"/>
                <w:szCs w:val="13"/>
                <w:color w:val="0000EE"/>
              </w:rPr>
              <w:t>PART I. FINANCIAL INFORMATION</w:t>
            </w:r>
          </w:p>
        </w:tc>
        <w:tc>
          <w:tcPr>
            <w:tcW w:w="5740" w:type="dxa"/>
            <w:vAlign w:val="bottom"/>
            <w:gridSpan w:val="6"/>
          </w:tcPr>
          <w:p>
            <w:pPr>
              <w:spacing w:after="0"/>
              <w:rPr>
                <w:sz w:val="12"/>
                <w:szCs w:val="12"/>
                <w:color w:val="auto"/>
              </w:rPr>
            </w:pPr>
          </w:p>
        </w:tc>
        <w:tc>
          <w:tcPr>
            <w:tcW w:w="3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r>
      <w:tr>
        <w:trPr>
          <w:trHeight w:val="192"/>
        </w:trPr>
        <w:tc>
          <w:tcPr>
            <w:tcW w:w="48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7"/>
                <w:szCs w:val="17"/>
                <w:color w:val="0000EE"/>
                <w:w w:val="95"/>
              </w:rPr>
              <w:t>Item 1.</w:t>
            </w:r>
          </w:p>
        </w:tc>
        <w:tc>
          <w:tcPr>
            <w:tcW w:w="200" w:type="dxa"/>
            <w:vAlign w:val="bottom"/>
            <w:gridSpan w:val="2"/>
          </w:tcPr>
          <w:p>
            <w:pPr>
              <w:spacing w:after="0"/>
              <w:rPr>
                <w:sz w:val="16"/>
                <w:szCs w:val="16"/>
                <w:color w:val="auto"/>
              </w:rPr>
            </w:pPr>
          </w:p>
        </w:tc>
        <w:tc>
          <w:tcPr>
            <w:tcW w:w="3920" w:type="dxa"/>
            <w:vAlign w:val="bottom"/>
            <w:tcBorders>
              <w:bottom w:val="single" w:sz="8" w:color="0000EE"/>
            </w:tcBorders>
            <w:gridSpan w:val="8"/>
          </w:tcPr>
          <w:p>
            <w:pPr>
              <w:spacing w:after="0" w:line="192" w:lineRule="exact"/>
              <w:rPr>
                <w:sz w:val="20"/>
                <w:szCs w:val="20"/>
                <w:color w:val="auto"/>
              </w:rPr>
            </w:pPr>
            <w:r>
              <w:rPr>
                <w:rFonts w:ascii="Times New Roman" w:cs="Times New Roman" w:eastAsia="Times New Roman" w:hAnsi="Times New Roman"/>
                <w:sz w:val="17"/>
                <w:szCs w:val="17"/>
                <w:color w:val="0000EE"/>
                <w:w w:val="96"/>
              </w:rPr>
              <w:t>Condensed Consolidated Financial Statements (Unaudited)</w:t>
            </w:r>
          </w:p>
        </w:tc>
        <w:tc>
          <w:tcPr>
            <w:tcW w:w="3800" w:type="dxa"/>
            <w:vAlign w:val="bottom"/>
            <w:gridSpan w:val="4"/>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3</w:t>
            </w:r>
          </w:p>
        </w:tc>
      </w:tr>
      <w:tr>
        <w:trPr>
          <w:trHeight w:val="179"/>
        </w:trPr>
        <w:tc>
          <w:tcPr>
            <w:tcW w:w="4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0000EE"/>
                <w:w w:val="95"/>
              </w:rPr>
              <w:t>Item 2.</w:t>
            </w:r>
          </w:p>
        </w:tc>
        <w:tc>
          <w:tcPr>
            <w:tcW w:w="200" w:type="dxa"/>
            <w:vAlign w:val="bottom"/>
            <w:gridSpan w:val="2"/>
          </w:tcPr>
          <w:p>
            <w:pPr>
              <w:spacing w:after="0"/>
              <w:rPr>
                <w:sz w:val="15"/>
                <w:szCs w:val="15"/>
                <w:color w:val="auto"/>
              </w:rPr>
            </w:pPr>
          </w:p>
        </w:tc>
        <w:tc>
          <w:tcPr>
            <w:tcW w:w="7720" w:type="dxa"/>
            <w:vAlign w:val="bottom"/>
            <w:gridSpan w:val="12"/>
          </w:tcPr>
          <w:p>
            <w:pPr>
              <w:spacing w:after="0" w:line="179"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36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24</w:t>
            </w:r>
          </w:p>
        </w:tc>
      </w:tr>
      <w:tr>
        <w:trPr>
          <w:trHeight w:val="179"/>
        </w:trPr>
        <w:tc>
          <w:tcPr>
            <w:tcW w:w="480" w:type="dxa"/>
            <w:vAlign w:val="bottom"/>
            <w:tcBorders>
              <w:top w:val="single" w:sz="8" w:color="0000EE"/>
              <w:bottom w:val="single" w:sz="8" w:color="0000EE"/>
            </w:tcBorders>
          </w:tcPr>
          <w:p>
            <w:pPr>
              <w:spacing w:after="0" w:line="179" w:lineRule="exact"/>
              <w:rPr>
                <w:sz w:val="20"/>
                <w:szCs w:val="20"/>
                <w:color w:val="auto"/>
              </w:rPr>
            </w:pPr>
            <w:r>
              <w:rPr>
                <w:rFonts w:ascii="Times New Roman" w:cs="Times New Roman" w:eastAsia="Times New Roman" w:hAnsi="Times New Roman"/>
                <w:sz w:val="17"/>
                <w:szCs w:val="17"/>
                <w:color w:val="0000EE"/>
                <w:w w:val="95"/>
              </w:rPr>
              <w:t>Item 3.</w:t>
            </w:r>
          </w:p>
        </w:tc>
        <w:tc>
          <w:tcPr>
            <w:tcW w:w="200" w:type="dxa"/>
            <w:vAlign w:val="bottom"/>
            <w:gridSpan w:val="2"/>
          </w:tcPr>
          <w:p>
            <w:pPr>
              <w:spacing w:after="0"/>
              <w:rPr>
                <w:sz w:val="15"/>
                <w:szCs w:val="15"/>
                <w:color w:val="auto"/>
              </w:rPr>
            </w:pPr>
          </w:p>
        </w:tc>
        <w:tc>
          <w:tcPr>
            <w:tcW w:w="4020" w:type="dxa"/>
            <w:vAlign w:val="bottom"/>
            <w:tcBorders>
              <w:top w:val="single" w:sz="8" w:color="0000EE"/>
              <w:bottom w:val="single" w:sz="8" w:color="0000EE"/>
            </w:tcBorders>
            <w:gridSpan w:val="10"/>
          </w:tcPr>
          <w:p>
            <w:pPr>
              <w:spacing w:after="0" w:line="179" w:lineRule="exact"/>
              <w:rPr>
                <w:sz w:val="20"/>
                <w:szCs w:val="20"/>
                <w:color w:val="auto"/>
              </w:rPr>
            </w:pPr>
            <w:r>
              <w:rPr>
                <w:rFonts w:ascii="Times New Roman" w:cs="Times New Roman" w:eastAsia="Times New Roman" w:hAnsi="Times New Roman"/>
                <w:sz w:val="17"/>
                <w:szCs w:val="17"/>
                <w:color w:val="0000EE"/>
                <w:w w:val="97"/>
              </w:rPr>
              <w:t>Quantitative and Qualitative Disclosures About Market Risk</w:t>
            </w:r>
          </w:p>
        </w:tc>
        <w:tc>
          <w:tcPr>
            <w:tcW w:w="1920" w:type="dxa"/>
            <w:vAlign w:val="bottom"/>
            <w:tcBorders>
              <w:top w:val="single" w:sz="8" w:color="0000EE"/>
            </w:tcBorders>
          </w:tcPr>
          <w:p>
            <w:pPr>
              <w:spacing w:after="0"/>
              <w:rPr>
                <w:sz w:val="15"/>
                <w:szCs w:val="15"/>
                <w:color w:val="auto"/>
              </w:rPr>
            </w:pPr>
          </w:p>
        </w:tc>
        <w:tc>
          <w:tcPr>
            <w:tcW w:w="1780" w:type="dxa"/>
            <w:vAlign w:val="bottom"/>
          </w:tcPr>
          <w:p>
            <w:pPr>
              <w:spacing w:after="0"/>
              <w:rPr>
                <w:sz w:val="15"/>
                <w:szCs w:val="15"/>
                <w:color w:val="auto"/>
              </w:rPr>
            </w:pPr>
          </w:p>
        </w:tc>
        <w:tc>
          <w:tcPr>
            <w:tcW w:w="36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31</w:t>
            </w:r>
          </w:p>
        </w:tc>
      </w:tr>
      <w:tr>
        <w:trPr>
          <w:trHeight w:val="179"/>
        </w:trPr>
        <w:tc>
          <w:tcPr>
            <w:tcW w:w="4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0000EE"/>
                <w:w w:val="95"/>
              </w:rPr>
              <w:t>Item 4.</w:t>
            </w:r>
          </w:p>
        </w:tc>
        <w:tc>
          <w:tcPr>
            <w:tcW w:w="200" w:type="dxa"/>
            <w:vAlign w:val="bottom"/>
            <w:gridSpan w:val="2"/>
          </w:tcPr>
          <w:p>
            <w:pPr>
              <w:spacing w:after="0"/>
              <w:rPr>
                <w:sz w:val="15"/>
                <w:szCs w:val="15"/>
                <w:color w:val="auto"/>
              </w:rPr>
            </w:pPr>
          </w:p>
        </w:tc>
        <w:tc>
          <w:tcPr>
            <w:tcW w:w="7720" w:type="dxa"/>
            <w:vAlign w:val="bottom"/>
            <w:gridSpan w:val="12"/>
          </w:tcPr>
          <w:p>
            <w:pPr>
              <w:spacing w:after="0" w:line="179" w:lineRule="exact"/>
              <w:rPr>
                <w:sz w:val="20"/>
                <w:szCs w:val="20"/>
                <w:color w:val="auto"/>
              </w:rPr>
            </w:pPr>
            <w:r>
              <w:rPr>
                <w:rFonts w:ascii="Times New Roman" w:cs="Times New Roman" w:eastAsia="Times New Roman" w:hAnsi="Times New Roman"/>
                <w:sz w:val="17"/>
                <w:szCs w:val="17"/>
                <w:color w:val="0000EE"/>
              </w:rPr>
              <w:t>Controls and Procedures</w:t>
            </w:r>
          </w:p>
        </w:tc>
        <w:tc>
          <w:tcPr>
            <w:tcW w:w="36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31</w:t>
            </w: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8"/>
        </w:trPr>
        <w:tc>
          <w:tcPr>
            <w:tcW w:w="2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w w:val="95"/>
              </w:rPr>
              <w:t>PART II. OTHER INFORMATION</w:t>
            </w:r>
          </w:p>
        </w:tc>
        <w:tc>
          <w:tcPr>
            <w:tcW w:w="602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378"/>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0000EE"/>
                <w:w w:val="95"/>
              </w:rPr>
              <w:t>Item 1.</w:t>
            </w:r>
          </w:p>
        </w:tc>
        <w:tc>
          <w:tcPr>
            <w:tcW w:w="200" w:type="dxa"/>
            <w:vAlign w:val="bottom"/>
            <w:gridSpan w:val="2"/>
          </w:tcPr>
          <w:p>
            <w:pPr>
              <w:spacing w:after="0"/>
              <w:rPr>
                <w:sz w:val="24"/>
                <w:szCs w:val="24"/>
                <w:color w:val="auto"/>
              </w:rPr>
            </w:pPr>
          </w:p>
        </w:tc>
        <w:tc>
          <w:tcPr>
            <w:tcW w:w="772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9"/>
        </w:trPr>
        <w:tc>
          <w:tcPr>
            <w:tcW w:w="60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0000EE"/>
                <w:w w:val="95"/>
              </w:rPr>
              <w:t>Item 1A.</w:t>
            </w:r>
          </w:p>
        </w:tc>
        <w:tc>
          <w:tcPr>
            <w:tcW w:w="80" w:type="dxa"/>
            <w:vAlign w:val="bottom"/>
          </w:tcPr>
          <w:p>
            <w:pPr>
              <w:spacing w:after="0"/>
              <w:rPr>
                <w:sz w:val="15"/>
                <w:szCs w:val="15"/>
                <w:color w:val="auto"/>
              </w:rPr>
            </w:pPr>
          </w:p>
        </w:tc>
        <w:tc>
          <w:tcPr>
            <w:tcW w:w="7720" w:type="dxa"/>
            <w:vAlign w:val="bottom"/>
            <w:gridSpan w:val="12"/>
          </w:tcPr>
          <w:p>
            <w:pPr>
              <w:spacing w:after="0" w:line="179" w:lineRule="exact"/>
              <w:rPr>
                <w:sz w:val="20"/>
                <w:szCs w:val="20"/>
                <w:color w:val="auto"/>
              </w:rPr>
            </w:pPr>
            <w:r>
              <w:rPr>
                <w:rFonts w:ascii="Times New Roman" w:cs="Times New Roman" w:eastAsia="Times New Roman" w:hAnsi="Times New Roman"/>
                <w:sz w:val="17"/>
                <w:szCs w:val="17"/>
                <w:color w:val="0000EE"/>
              </w:rPr>
              <w:t>Risk Factors</w:t>
            </w:r>
          </w:p>
        </w:tc>
        <w:tc>
          <w:tcPr>
            <w:tcW w:w="36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9"/>
        </w:trPr>
        <w:tc>
          <w:tcPr>
            <w:tcW w:w="4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0000EE"/>
                <w:w w:val="95"/>
              </w:rPr>
              <w:t>Item 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12"/>
          </w:tcPr>
          <w:p>
            <w:pPr>
              <w:spacing w:after="0" w:line="179" w:lineRule="exact"/>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36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33</w:t>
            </w:r>
          </w:p>
        </w:tc>
      </w:tr>
      <w:tr>
        <w:trPr>
          <w:trHeight w:val="179"/>
        </w:trPr>
        <w:tc>
          <w:tcPr>
            <w:tcW w:w="480" w:type="dxa"/>
            <w:vAlign w:val="bottom"/>
            <w:tcBorders>
              <w:top w:val="single" w:sz="8" w:color="0000EE"/>
              <w:bottom w:val="single" w:sz="8" w:color="0000EE"/>
            </w:tcBorders>
          </w:tcPr>
          <w:p>
            <w:pPr>
              <w:spacing w:after="0" w:line="179" w:lineRule="exact"/>
              <w:rPr>
                <w:sz w:val="20"/>
                <w:szCs w:val="20"/>
                <w:color w:val="auto"/>
              </w:rPr>
            </w:pPr>
            <w:r>
              <w:rPr>
                <w:rFonts w:ascii="Times New Roman" w:cs="Times New Roman" w:eastAsia="Times New Roman" w:hAnsi="Times New Roman"/>
                <w:sz w:val="17"/>
                <w:szCs w:val="17"/>
                <w:color w:val="0000EE"/>
                <w:w w:val="95"/>
              </w:rPr>
              <w:t>Item 3.</w:t>
            </w:r>
          </w:p>
        </w:tc>
        <w:tc>
          <w:tcPr>
            <w:tcW w:w="200" w:type="dxa"/>
            <w:vAlign w:val="bottom"/>
            <w:gridSpan w:val="2"/>
          </w:tcPr>
          <w:p>
            <w:pPr>
              <w:spacing w:after="0"/>
              <w:rPr>
                <w:sz w:val="15"/>
                <w:szCs w:val="15"/>
                <w:color w:val="auto"/>
              </w:rPr>
            </w:pPr>
          </w:p>
        </w:tc>
        <w:tc>
          <w:tcPr>
            <w:tcW w:w="2140" w:type="dxa"/>
            <w:vAlign w:val="bottom"/>
            <w:tcBorders>
              <w:top w:val="single" w:sz="8" w:color="0000EE"/>
              <w:bottom w:val="single" w:sz="8" w:color="0000EE"/>
            </w:tcBorders>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96"/>
              </w:rPr>
              <w:t>Defaults Upon Senior Securities</w:t>
            </w:r>
          </w:p>
        </w:tc>
        <w:tc>
          <w:tcPr>
            <w:tcW w:w="1860" w:type="dxa"/>
            <w:vAlign w:val="bottom"/>
            <w:tcBorders>
              <w:top w:val="single" w:sz="8" w:color="0000EE"/>
            </w:tcBorders>
            <w:gridSpan w:val="2"/>
          </w:tcPr>
          <w:p>
            <w:pPr>
              <w:spacing w:after="0"/>
              <w:rPr>
                <w:sz w:val="15"/>
                <w:szCs w:val="15"/>
                <w:color w:val="auto"/>
              </w:rPr>
            </w:pPr>
          </w:p>
        </w:tc>
        <w:tc>
          <w:tcPr>
            <w:tcW w:w="3720" w:type="dxa"/>
            <w:vAlign w:val="bottom"/>
            <w:gridSpan w:val="3"/>
          </w:tcPr>
          <w:p>
            <w:pPr>
              <w:spacing w:after="0"/>
              <w:rPr>
                <w:sz w:val="15"/>
                <w:szCs w:val="15"/>
                <w:color w:val="auto"/>
              </w:rPr>
            </w:pPr>
          </w:p>
        </w:tc>
        <w:tc>
          <w:tcPr>
            <w:tcW w:w="36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33</w:t>
            </w:r>
          </w:p>
        </w:tc>
      </w:tr>
      <w:tr>
        <w:trPr>
          <w:trHeight w:val="179"/>
        </w:trPr>
        <w:tc>
          <w:tcPr>
            <w:tcW w:w="480" w:type="dxa"/>
            <w:vAlign w:val="bottom"/>
          </w:tcPr>
          <w:p>
            <w:pPr>
              <w:spacing w:after="0" w:line="179" w:lineRule="exact"/>
              <w:rPr>
                <w:sz w:val="20"/>
                <w:szCs w:val="20"/>
                <w:color w:val="auto"/>
              </w:rPr>
            </w:pPr>
            <w:r>
              <w:rPr>
                <w:rFonts w:ascii="Times New Roman" w:cs="Times New Roman" w:eastAsia="Times New Roman" w:hAnsi="Times New Roman"/>
                <w:sz w:val="17"/>
                <w:szCs w:val="17"/>
                <w:color w:val="0000EE"/>
                <w:w w:val="95"/>
              </w:rPr>
              <w:t>Item 4.</w:t>
            </w:r>
          </w:p>
        </w:tc>
        <w:tc>
          <w:tcPr>
            <w:tcW w:w="200" w:type="dxa"/>
            <w:vAlign w:val="bottom"/>
            <w:gridSpan w:val="2"/>
          </w:tcPr>
          <w:p>
            <w:pPr>
              <w:spacing w:after="0"/>
              <w:rPr>
                <w:sz w:val="15"/>
                <w:szCs w:val="15"/>
                <w:color w:val="auto"/>
              </w:rPr>
            </w:pPr>
          </w:p>
        </w:tc>
        <w:tc>
          <w:tcPr>
            <w:tcW w:w="7720" w:type="dxa"/>
            <w:vAlign w:val="bottom"/>
            <w:gridSpan w:val="12"/>
          </w:tcPr>
          <w:p>
            <w:pPr>
              <w:spacing w:after="0" w:line="179" w:lineRule="exact"/>
              <w:rPr>
                <w:sz w:val="20"/>
                <w:szCs w:val="20"/>
                <w:color w:val="auto"/>
              </w:rPr>
            </w:pPr>
            <w:r>
              <w:rPr>
                <w:rFonts w:ascii="Times New Roman" w:cs="Times New Roman" w:eastAsia="Times New Roman" w:hAnsi="Times New Roman"/>
                <w:sz w:val="17"/>
                <w:szCs w:val="17"/>
                <w:color w:val="0000EE"/>
              </w:rPr>
              <w:t>Mine Safety Disclosures</w:t>
            </w:r>
          </w:p>
        </w:tc>
        <w:tc>
          <w:tcPr>
            <w:tcW w:w="36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33</w:t>
            </w:r>
          </w:p>
        </w:tc>
      </w:tr>
      <w:tr>
        <w:trPr>
          <w:trHeight w:val="179"/>
        </w:trPr>
        <w:tc>
          <w:tcPr>
            <w:tcW w:w="480" w:type="dxa"/>
            <w:vAlign w:val="bottom"/>
            <w:tcBorders>
              <w:top w:val="single" w:sz="8" w:color="0000EE"/>
            </w:tcBorders>
          </w:tcPr>
          <w:p>
            <w:pPr>
              <w:spacing w:after="0" w:line="179" w:lineRule="exact"/>
              <w:rPr>
                <w:sz w:val="20"/>
                <w:szCs w:val="20"/>
                <w:color w:val="auto"/>
              </w:rPr>
            </w:pPr>
            <w:r>
              <w:rPr>
                <w:rFonts w:ascii="Times New Roman" w:cs="Times New Roman" w:eastAsia="Times New Roman" w:hAnsi="Times New Roman"/>
                <w:sz w:val="17"/>
                <w:szCs w:val="17"/>
                <w:color w:val="0000EE"/>
                <w:w w:val="95"/>
              </w:rPr>
              <w:t>Item 5.</w:t>
            </w:r>
          </w:p>
        </w:tc>
        <w:tc>
          <w:tcPr>
            <w:tcW w:w="200" w:type="dxa"/>
            <w:vAlign w:val="bottom"/>
            <w:gridSpan w:val="2"/>
          </w:tcPr>
          <w:p>
            <w:pPr>
              <w:spacing w:after="0"/>
              <w:rPr>
                <w:sz w:val="15"/>
                <w:szCs w:val="15"/>
                <w:color w:val="auto"/>
              </w:rPr>
            </w:pPr>
          </w:p>
        </w:tc>
        <w:tc>
          <w:tcPr>
            <w:tcW w:w="1620" w:type="dxa"/>
            <w:vAlign w:val="bottom"/>
            <w:tcBorders>
              <w:top w:val="single" w:sz="8" w:color="0000EE"/>
            </w:tcBorders>
            <w:gridSpan w:val="4"/>
          </w:tcPr>
          <w:p>
            <w:pPr>
              <w:spacing w:after="0" w:line="179" w:lineRule="exact"/>
              <w:rPr>
                <w:sz w:val="20"/>
                <w:szCs w:val="20"/>
                <w:color w:val="auto"/>
              </w:rPr>
            </w:pPr>
            <w:r>
              <w:rPr>
                <w:rFonts w:ascii="Times New Roman" w:cs="Times New Roman" w:eastAsia="Times New Roman" w:hAnsi="Times New Roman"/>
                <w:sz w:val="17"/>
                <w:szCs w:val="17"/>
                <w:color w:val="0000EE"/>
              </w:rPr>
              <w:t>Other Information</w:t>
            </w:r>
          </w:p>
        </w:tc>
        <w:tc>
          <w:tcPr>
            <w:tcW w:w="6100" w:type="dxa"/>
            <w:vAlign w:val="bottom"/>
            <w:gridSpan w:val="8"/>
          </w:tcPr>
          <w:p>
            <w:pPr>
              <w:spacing w:after="0"/>
              <w:rPr>
                <w:sz w:val="15"/>
                <w:szCs w:val="15"/>
                <w:color w:val="auto"/>
              </w:rPr>
            </w:pPr>
          </w:p>
        </w:tc>
        <w:tc>
          <w:tcPr>
            <w:tcW w:w="36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33</w:t>
            </w:r>
          </w:p>
        </w:tc>
      </w:tr>
      <w:tr>
        <w:trPr>
          <w:trHeight w:val="179"/>
        </w:trPr>
        <w:tc>
          <w:tcPr>
            <w:tcW w:w="480" w:type="dxa"/>
            <w:vAlign w:val="bottom"/>
            <w:tcBorders>
              <w:top w:val="single" w:sz="8" w:color="0000EE"/>
            </w:tcBorders>
          </w:tcPr>
          <w:p>
            <w:pPr>
              <w:spacing w:after="0" w:line="179" w:lineRule="exact"/>
              <w:rPr>
                <w:sz w:val="20"/>
                <w:szCs w:val="20"/>
                <w:color w:val="auto"/>
              </w:rPr>
            </w:pPr>
            <w:r>
              <w:rPr>
                <w:rFonts w:ascii="Times New Roman" w:cs="Times New Roman" w:eastAsia="Times New Roman" w:hAnsi="Times New Roman"/>
                <w:sz w:val="17"/>
                <w:szCs w:val="17"/>
                <w:color w:val="0000EE"/>
                <w:w w:val="95"/>
              </w:rPr>
              <w:t>Item 6.</w:t>
            </w:r>
          </w:p>
        </w:tc>
        <w:tc>
          <w:tcPr>
            <w:tcW w:w="200" w:type="dxa"/>
            <w:vAlign w:val="bottom"/>
            <w:gridSpan w:val="2"/>
          </w:tcPr>
          <w:p>
            <w:pPr>
              <w:spacing w:after="0"/>
              <w:rPr>
                <w:sz w:val="15"/>
                <w:szCs w:val="15"/>
                <w:color w:val="auto"/>
              </w:rPr>
            </w:pPr>
          </w:p>
        </w:tc>
        <w:tc>
          <w:tcPr>
            <w:tcW w:w="1220" w:type="dxa"/>
            <w:vAlign w:val="bottom"/>
            <w:tcBorders>
              <w:top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rPr>
              <w:t>Exhibits</w:t>
            </w:r>
          </w:p>
        </w:tc>
        <w:tc>
          <w:tcPr>
            <w:tcW w:w="6500" w:type="dxa"/>
            <w:vAlign w:val="bottom"/>
            <w:gridSpan w:val="9"/>
          </w:tcPr>
          <w:p>
            <w:pPr>
              <w:spacing w:after="0"/>
              <w:rPr>
                <w:sz w:val="15"/>
                <w:szCs w:val="15"/>
                <w:color w:val="auto"/>
              </w:rPr>
            </w:pPr>
          </w:p>
        </w:tc>
        <w:tc>
          <w:tcPr>
            <w:tcW w:w="36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34</w:t>
            </w: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 (Unaudited)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XWELL,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260" w:type="dxa"/>
            <w:vAlign w:val="bottom"/>
          </w:tcPr>
          <w:p>
            <w:pPr>
              <w:spacing w:after="0"/>
              <w:rPr>
                <w:sz w:val="12"/>
                <w:szCs w:val="12"/>
                <w:color w:val="auto"/>
              </w:rPr>
            </w:pPr>
          </w:p>
        </w:tc>
        <w:tc>
          <w:tcPr>
            <w:tcW w:w="32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2"/>
        </w:trPr>
        <w:tc>
          <w:tcPr>
            <w:tcW w:w="62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2"/>
                <w:szCs w:val="12"/>
                <w:b w:val="1"/>
                <w:bCs w:val="1"/>
                <w:color w:val="auto"/>
              </w:rPr>
              <w:t>2026</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9"/>
        </w:trPr>
        <w:tc>
          <w:tcPr>
            <w:tcW w:w="6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Cash and cash equivalents</w:t>
            </w:r>
          </w:p>
        </w:tc>
        <w:tc>
          <w:tcPr>
            <w:tcW w:w="320" w:type="dxa"/>
            <w:vAlign w:val="bottom"/>
            <w:gridSpan w:val="2"/>
          </w:tcPr>
          <w:p>
            <w:pPr>
              <w:jc w:val="right"/>
              <w:ind w:right="38"/>
              <w:spacing w:after="0" w:line="137"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16,800</w:t>
            </w:r>
          </w:p>
        </w:tc>
        <w:tc>
          <w:tcPr>
            <w:tcW w:w="320" w:type="dxa"/>
            <w:vAlign w:val="bottom"/>
            <w:gridSpan w:val="2"/>
          </w:tcPr>
          <w:p>
            <w:pPr>
              <w:jc w:val="right"/>
              <w:ind w:right="23"/>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2,617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Marketable Securities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7</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Accounts receivable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1,317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1,560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Inventory</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453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509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Borders>
              <w:bottom w:val="single" w:sz="8" w:color="CCEEFF"/>
            </w:tcBorders>
          </w:tcPr>
          <w:p>
            <w:pPr>
              <w:spacing w:after="0" w:line="137" w:lineRule="exact"/>
              <w:rPr>
                <w:sz w:val="20"/>
                <w:szCs w:val="20"/>
                <w:color w:val="auto"/>
              </w:rPr>
            </w:pPr>
            <w:r>
              <w:rPr>
                <w:rFonts w:ascii="Times New Roman" w:cs="Times New Roman" w:eastAsia="Times New Roman" w:hAnsi="Times New Roman"/>
                <w:sz w:val="12"/>
                <w:szCs w:val="12"/>
                <w:color w:val="auto"/>
              </w:rPr>
              <w:t>Other current assets</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1,170</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1,217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19,747</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5,910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Restricted cash</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252</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Property and equipment, net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1,773</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1,665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Intangible assets, net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61</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Operating lease right of use assets, net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954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1,039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Security deposits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2,104</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2,127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Borders>
              <w:bottom w:val="single" w:sz="8" w:color="CCEEFF"/>
            </w:tcBorders>
          </w:tcPr>
          <w:p>
            <w:pPr>
              <w:spacing w:after="0" w:line="137" w:lineRule="exact"/>
              <w:rPr>
                <w:sz w:val="20"/>
                <w:szCs w:val="20"/>
                <w:color w:val="auto"/>
              </w:rPr>
            </w:pPr>
            <w:r>
              <w:rPr>
                <w:rFonts w:ascii="Times New Roman" w:cs="Times New Roman" w:eastAsia="Times New Roman" w:hAnsi="Times New Roman"/>
                <w:sz w:val="12"/>
                <w:szCs w:val="12"/>
                <w:color w:val="auto"/>
              </w:rPr>
              <w:t>Other assets</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101</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124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3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24,992</w:t>
            </w:r>
          </w:p>
        </w:tc>
        <w:tc>
          <w:tcPr>
            <w:tcW w:w="1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11,217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14"/>
        </w:trPr>
        <w:tc>
          <w:tcPr>
            <w:tcW w:w="6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Accounts payable</w:t>
            </w:r>
          </w:p>
        </w:tc>
        <w:tc>
          <w:tcPr>
            <w:tcW w:w="320" w:type="dxa"/>
            <w:vAlign w:val="bottom"/>
            <w:gridSpan w:val="2"/>
          </w:tcPr>
          <w:p>
            <w:pPr>
              <w:jc w:val="right"/>
              <w:ind w:right="38"/>
              <w:spacing w:after="0" w:line="137"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3,535</w:t>
            </w:r>
          </w:p>
        </w:tc>
        <w:tc>
          <w:tcPr>
            <w:tcW w:w="320" w:type="dxa"/>
            <w:vAlign w:val="bottom"/>
            <w:gridSpan w:val="2"/>
          </w:tcPr>
          <w:p>
            <w:pPr>
              <w:jc w:val="right"/>
              <w:ind w:right="23"/>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2,836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2,275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2,940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Accrued Series G Convertible Preferred payable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1,789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1,862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Deferred revenue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790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1,126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senior secured note, net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62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8,389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12,892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Long-term liabilities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liability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260" w:type="dxa"/>
            <w:vAlign w:val="bottom"/>
            <w:tcBorders>
              <w:bottom w:val="single" w:sz="8" w:color="CCEEFF"/>
            </w:tcBorders>
          </w:tcPr>
          <w:p>
            <w:pPr>
              <w:spacing w:after="0" w:line="137" w:lineRule="exact"/>
              <w:rPr>
                <w:sz w:val="20"/>
                <w:szCs w:val="20"/>
                <w:color w:val="auto"/>
              </w:rPr>
            </w:pPr>
            <w:r>
              <w:rPr>
                <w:rFonts w:ascii="Times New Roman" w:cs="Times New Roman" w:eastAsia="Times New Roman" w:hAnsi="Times New Roman"/>
                <w:sz w:val="12"/>
                <w:szCs w:val="12"/>
                <w:color w:val="auto"/>
              </w:rPr>
              <w:t>Operating lease liabilities</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6,525</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7,035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14,914</w:t>
            </w: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23,797</w:t>
            </w: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9"/>
        </w:trPr>
        <w:tc>
          <w:tcPr>
            <w:tcW w:w="62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Commitments and contingencies (see Note 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Temporary equity</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1"/>
                <w:szCs w:val="11"/>
                <w:color w:val="auto"/>
              </w:rPr>
            </w:pP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4"/>
        </w:trPr>
        <w:tc>
          <w:tcPr>
            <w:tcW w:w="62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Series G Convertible Preferred Stock, $0.01 par value per share and $1,000 stated value per share, 4,000 shares authorized;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0 and 196 shares issued and outstanding as of March 31, 2026 and December 31, 2025, respectively; Liquidation preference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of $0 as of March 31, 2026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Equity (Deficit)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2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Series H Convertible Preferred Stock, $0.01 par value per share and $1,000 stated value per share, 35,000 shares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authorized; 31,333 and 0 shares issued and outstanding as of March 31, 2026 and December 31, 2025, respectively;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0"/>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Liquidation preference of $31,333 as of March 31, 2026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2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Common Stock, $0.01 par value per share, 150,000,000 shares authorized; 7,926,766 and 6,071,324 shares issued and</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as of March 31, 2026 and December 31, 2025, respectively</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2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Additional paid-in capital</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502,869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468,915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Accumulated deficit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(500,899)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(489,697)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Borders>
              <w:bottom w:val="single" w:sz="8" w:color="CCEEFF"/>
            </w:tcBorders>
          </w:tcPr>
          <w:p>
            <w:pPr>
              <w:spacing w:after="0" w:line="137"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(1,660)</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(1,541)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equity (deficit) attributable to XWELL, Inc.</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389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(22,262)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60" w:type="dxa"/>
            <w:vAlign w:val="bottom"/>
            <w:tcBorders>
              <w:bottom w:val="single" w:sz="8" w:color="CCEEFF"/>
            </w:tcBorders>
          </w:tcPr>
          <w:p>
            <w:pPr>
              <w:spacing w:after="0" w:line="137" w:lineRule="exact"/>
              <w:rPr>
                <w:sz w:val="20"/>
                <w:szCs w:val="20"/>
                <w:color w:val="auto"/>
              </w:rPr>
            </w:pPr>
            <w:r>
              <w:rPr>
                <w:rFonts w:ascii="Times New Roman" w:cs="Times New Roman" w:eastAsia="Times New Roman" w:hAnsi="Times New Roman"/>
                <w:sz w:val="12"/>
                <w:szCs w:val="12"/>
                <w:color w:val="auto"/>
              </w:rPr>
              <w:t>Noncontrolling interests</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9,689</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9,458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Total equity (deficit)</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10,078</w:t>
            </w: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(12,804)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 temporary equity and equity</w:t>
            </w:r>
          </w:p>
        </w:tc>
        <w:tc>
          <w:tcPr>
            <w:tcW w:w="140" w:type="dxa"/>
            <w:vAlign w:val="bottom"/>
          </w:tcPr>
          <w:p>
            <w:pPr>
              <w:spacing w:after="0"/>
              <w:rPr>
                <w:sz w:val="11"/>
                <w:szCs w:val="11"/>
                <w:color w:val="auto"/>
              </w:rPr>
            </w:pPr>
          </w:p>
        </w:tc>
        <w:tc>
          <w:tcPr>
            <w:tcW w:w="180" w:type="dxa"/>
            <w:vAlign w:val="bottom"/>
            <w:tcBorders>
              <w:bottom w:val="single" w:sz="8" w:color="auto"/>
            </w:tcBorders>
          </w:tcPr>
          <w:p>
            <w:pPr>
              <w:jc w:val="right"/>
              <w:ind w:right="3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24,992</w:t>
            </w:r>
          </w:p>
        </w:tc>
        <w:tc>
          <w:tcPr>
            <w:tcW w:w="180" w:type="dxa"/>
            <w:vAlign w:val="bottom"/>
          </w:tcPr>
          <w:p>
            <w:pPr>
              <w:spacing w:after="0"/>
              <w:rPr>
                <w:sz w:val="11"/>
                <w:szCs w:val="11"/>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11,217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form an integral part of these unaudited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XWELL, Inc. and Subsidiaries</w:t>
      </w:r>
    </w:p>
    <w:p>
      <w:pPr>
        <w:spacing w:after="0" w:line="24" w:lineRule="exact"/>
        <w:rPr>
          <w:sz w:val="20"/>
          <w:szCs w:val="20"/>
          <w:color w:val="auto"/>
        </w:rPr>
      </w:pPr>
    </w:p>
    <w:p>
      <w:pPr>
        <w:ind w:left="4080" w:right="539" w:hanging="2949"/>
        <w:spacing w:after="0" w:line="244" w:lineRule="auto"/>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 (Unaudited)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tcPr>
          <w:p>
            <w:pPr>
              <w:jc w:val="right"/>
              <w:ind w:right="605"/>
              <w:spacing w:after="0"/>
              <w:rPr>
                <w:sz w:val="20"/>
                <w:szCs w:val="20"/>
                <w:color w:val="auto"/>
              </w:rPr>
            </w:pPr>
            <w:r>
              <w:rPr>
                <w:rFonts w:ascii="Times New Roman" w:cs="Times New Roman" w:eastAsia="Times New Roman" w:hAnsi="Times New Roman"/>
                <w:sz w:val="15"/>
                <w:szCs w:val="15"/>
                <w:b w:val="1"/>
                <w:bCs w:val="1"/>
                <w:color w:val="auto"/>
              </w:rPr>
              <w:t>2026</w:t>
            </w:r>
          </w:p>
        </w:tc>
        <w:tc>
          <w:tcPr>
            <w:tcW w:w="38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4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 net</w:t>
            </w: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Services</w:t>
            </w:r>
          </w:p>
        </w:tc>
        <w:tc>
          <w:tcPr>
            <w:tcW w:w="13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6,064</w:t>
            </w:r>
          </w:p>
        </w:tc>
        <w:tc>
          <w:tcPr>
            <w:tcW w:w="38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Products</w:t>
            </w:r>
          </w:p>
        </w:tc>
        <w:tc>
          <w:tcPr>
            <w:tcW w:w="1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revenue, net</w:t>
            </w:r>
          </w:p>
        </w:tc>
        <w:tc>
          <w:tcPr>
            <w:tcW w:w="1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6,638</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Cost of sales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gridSpan w:val="2"/>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Labor</w:t>
            </w: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Occupancy</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Products and other operating costs</w:t>
            </w:r>
          </w:p>
        </w:tc>
        <w:tc>
          <w:tcPr>
            <w:tcW w:w="1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cost of sales</w:t>
            </w:r>
          </w:p>
        </w:tc>
        <w:tc>
          <w:tcPr>
            <w:tcW w:w="1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2,353</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7,595</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1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7,767</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(5,414)</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Change in fair value of derivative liabilities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Change in fair value of warrant liability</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Loss on issuance of Series G Preferred Stock</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Foreign exchange gain (loss)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Loss on investments, realized and unrealized</w:t>
            </w: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Other non-operating expense, net</w:t>
            </w:r>
          </w:p>
        </w:tc>
        <w:tc>
          <w:tcPr>
            <w:tcW w:w="1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before income taxes</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Income tax expense</w:t>
            </w:r>
          </w:p>
        </w:tc>
        <w:tc>
          <w:tcPr>
            <w:tcW w:w="1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1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 attributable to XWELL, Inc.</w:t>
            </w:r>
          </w:p>
        </w:tc>
        <w:tc>
          <w:tcPr>
            <w:tcW w:w="1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(11,202)</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(11,012)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(4,588)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comprehensive income (loss) from operations</w:t>
            </w:r>
          </w:p>
        </w:tc>
        <w:tc>
          <w:tcPr>
            <w:tcW w:w="1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Comprehensive loss</w:t>
            </w:r>
          </w:p>
        </w:tc>
        <w:tc>
          <w:tcPr>
            <w:tcW w:w="11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(11,090)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Loss per share</w:t>
            </w:r>
          </w:p>
        </w:tc>
        <w:tc>
          <w:tcPr>
            <w:tcW w:w="1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Preferred stock dividends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Preferred stock accretion</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Deemed contribution on Repurchase of Series G Preferred Stock</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 attributable to XWELL, Inc. common stockholders</w:t>
            </w:r>
          </w:p>
        </w:tc>
        <w:tc>
          <w:tcPr>
            <w:tcW w:w="134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(11,178)</w:t>
            </w:r>
          </w:p>
        </w:tc>
        <w:tc>
          <w:tcPr>
            <w:tcW w:w="38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Basic and diluted loss per share</w:t>
            </w:r>
          </w:p>
        </w:tc>
        <w:tc>
          <w:tcPr>
            <w:tcW w:w="13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8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(1.51)</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Weighted-average number of shares outstanding</w:t>
            </w:r>
          </w:p>
        </w:tc>
        <w:tc>
          <w:tcPr>
            <w:tcW w:w="1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jc w:val="right"/>
              <w:ind w:right="45"/>
              <w:spacing w:after="0" w:line="164"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Basic</w:t>
            </w:r>
          </w:p>
        </w:tc>
        <w:tc>
          <w:tcPr>
            <w:tcW w:w="1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7,396,148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5,261,024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Borders>
              <w:bottom w:val="single" w:sz="8" w:color="CCEEFF"/>
            </w:tcBorders>
            <w:shd w:val="clear" w:color="auto" w:fill="CCEEFF"/>
          </w:tcPr>
          <w:p>
            <w:pPr>
              <w:ind w:left="80"/>
              <w:spacing w:after="0" w:line="164" w:lineRule="exact"/>
              <w:rPr>
                <w:sz w:val="20"/>
                <w:szCs w:val="20"/>
                <w:color w:val="auto"/>
              </w:rPr>
            </w:pPr>
            <w:r>
              <w:rPr>
                <w:rFonts w:ascii="Times New Roman" w:cs="Times New Roman" w:eastAsia="Times New Roman" w:hAnsi="Times New Roman"/>
                <w:sz w:val="15"/>
                <w:szCs w:val="15"/>
                <w:color w:val="auto"/>
              </w:rPr>
              <w:t>Diluted</w:t>
            </w:r>
          </w:p>
        </w:tc>
        <w:tc>
          <w:tcPr>
            <w:tcW w:w="1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7,396,148</w:t>
            </w: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5,261,024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form an integral part of these unaudited condensed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XWELL,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TEMPORARY EQUITY AND STOCKHOLDERS’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(DEFICIT)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right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8"/>
              </w:rPr>
              <w:t>Series G Convertible</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Series H Convertible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7"/>
                <w:szCs w:val="17"/>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40" w:type="dxa"/>
            <w:vAlign w:val="bottom"/>
            <w:tcBorders>
              <w:right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paid-</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1"/>
              </w:rPr>
              <w:t>comprehensive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720" w:type="dxa"/>
            <w:vAlign w:val="bottom"/>
            <w:tcBorders>
              <w:right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deficit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interests</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0" w:type="dxa"/>
            <w:vAlign w:val="bottom"/>
          </w:tcPr>
          <w:p>
            <w:pPr>
              <w:spacing w:after="0"/>
              <w:rPr>
                <w:sz w:val="1"/>
                <w:szCs w:val="1"/>
                <w:color w:val="auto"/>
              </w:rPr>
            </w:pPr>
          </w:p>
        </w:tc>
      </w:tr>
      <w:tr>
        <w:trPr>
          <w:trHeight w:val="20"/>
        </w:trPr>
        <w:tc>
          <w:tcPr>
            <w:tcW w:w="1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January 1, 2026</w:t>
            </w: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24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40" w:type="dxa"/>
            <w:vAlign w:val="bottom"/>
            <w:tcBorders>
              <w:right w:val="single" w:sz="8" w:color="auto"/>
            </w:tcBorders>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6,071,324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$ 468,915</w:t>
            </w:r>
          </w:p>
        </w:tc>
        <w:tc>
          <w:tcPr>
            <w:tcW w:w="7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(489,697)</w:t>
            </w:r>
          </w:p>
        </w:tc>
        <w:tc>
          <w:tcPr>
            <w:tcW w:w="26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20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(22,262)</w:t>
            </w:r>
          </w:p>
        </w:tc>
        <w:tc>
          <w:tcPr>
            <w:tcW w:w="640" w:type="dxa"/>
            <w:vAlign w:val="bottom"/>
            <w:tcBorders>
              <w:left w:val="single" w:sz="8" w:color="CCEEFF"/>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$ 9,458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(12,804)</w:t>
            </w:r>
          </w:p>
        </w:tc>
        <w:tc>
          <w:tcPr>
            <w:tcW w:w="0" w:type="dxa"/>
            <w:vAlign w:val="bottom"/>
          </w:tcPr>
          <w:p>
            <w:pPr>
              <w:spacing w:after="0"/>
              <w:rPr>
                <w:sz w:val="1"/>
                <w:szCs w:val="1"/>
                <w:color w:val="auto"/>
              </w:rPr>
            </w:pPr>
          </w:p>
        </w:tc>
      </w:tr>
      <w:tr>
        <w:trPr>
          <w:trHeight w:val="117"/>
        </w:trPr>
        <w:tc>
          <w:tcPr>
            <w:tcW w:w="14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4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stock for Series G</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4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preferred stock</w:t>
            </w:r>
          </w:p>
        </w:tc>
        <w:tc>
          <w:tcPr>
            <w:tcW w:w="8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1,855,442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Pr>
          <w:p>
            <w:pPr>
              <w:spacing w:after="0"/>
              <w:rPr>
                <w:sz w:val="11"/>
                <w:szCs w:val="11"/>
                <w:color w:val="auto"/>
              </w:rPr>
            </w:pPr>
          </w:p>
        </w:tc>
        <w:tc>
          <w:tcPr>
            <w:tcW w:w="5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0" w:type="dxa"/>
            <w:vAlign w:val="bottom"/>
          </w:tcPr>
          <w:p>
            <w:pPr>
              <w:spacing w:after="0"/>
              <w:rPr>
                <w:sz w:val="1"/>
                <w:szCs w:val="1"/>
                <w:color w:val="auto"/>
              </w:rPr>
            </w:pPr>
          </w:p>
        </w:tc>
      </w:tr>
      <w:tr>
        <w:trPr>
          <w:trHeight w:val="1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installment redemption</w:t>
            </w: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right w:val="single" w:sz="8" w:color="auto"/>
            </w:tcBorders>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Stock-based</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120" w:type="dxa"/>
            <w:vAlign w:val="bottom"/>
            <w:tcBorders>
              <w:left w:val="single" w:sz="8" w:color="CCEEFF"/>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100" w:type="dxa"/>
            <w:vAlign w:val="bottom"/>
            <w:tcBorders>
              <w:left w:val="single" w:sz="8" w:color="CCEEFF"/>
            </w:tcBorders>
            <w:shd w:val="clear" w:color="auto" w:fill="CCEEFF"/>
          </w:tcPr>
          <w:p>
            <w:pPr>
              <w:spacing w:after="0"/>
              <w:rPr>
                <w:sz w:val="10"/>
                <w:szCs w:val="10"/>
                <w:color w:val="auto"/>
              </w:rPr>
            </w:pPr>
          </w:p>
        </w:tc>
        <w:tc>
          <w:tcPr>
            <w:tcW w:w="54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0" w:type="dxa"/>
            <w:vAlign w:val="bottom"/>
          </w:tcPr>
          <w:p>
            <w:pPr>
              <w:spacing w:after="0"/>
              <w:rPr>
                <w:sz w:val="1"/>
                <w:szCs w:val="1"/>
                <w:color w:val="auto"/>
              </w:rPr>
            </w:pPr>
          </w:p>
        </w:tc>
      </w:tr>
      <w:tr>
        <w:trPr>
          <w:trHeight w:val="157"/>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right w:val="single" w:sz="8" w:color="auto"/>
            </w:tcBorders>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Series H</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4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Preferred Stock in private</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4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placement, net of</w:t>
            </w:r>
          </w:p>
        </w:tc>
        <w:tc>
          <w:tcPr>
            <w:tcW w:w="8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31,333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28,269</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28,269</w:t>
            </w:r>
          </w:p>
        </w:tc>
        <w:tc>
          <w:tcPr>
            <w:tcW w:w="100" w:type="dxa"/>
            <w:vAlign w:val="bottom"/>
          </w:tcPr>
          <w:p>
            <w:pPr>
              <w:spacing w:after="0"/>
              <w:rPr>
                <w:sz w:val="11"/>
                <w:szCs w:val="11"/>
                <w:color w:val="auto"/>
              </w:rPr>
            </w:pPr>
          </w:p>
        </w:tc>
        <w:tc>
          <w:tcPr>
            <w:tcW w:w="5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28,269</w:t>
            </w:r>
          </w:p>
        </w:tc>
        <w:tc>
          <w:tcPr>
            <w:tcW w:w="0" w:type="dxa"/>
            <w:vAlign w:val="bottom"/>
          </w:tcPr>
          <w:p>
            <w:pPr>
              <w:spacing w:after="0"/>
              <w:rPr>
                <w:sz w:val="1"/>
                <w:szCs w:val="1"/>
                <w:color w:val="auto"/>
              </w:rPr>
            </w:pPr>
          </w:p>
        </w:tc>
      </w:tr>
      <w:tr>
        <w:trPr>
          <w:trHeight w:val="1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transaction costs</w:t>
            </w: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right w:val="single" w:sz="8" w:color="auto"/>
            </w:tcBorders>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Series G Preferred Stock</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left w:val="single" w:sz="8" w:color="CCEEFF"/>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left w:val="single" w:sz="8" w:color="CCEEFF"/>
            </w:tcBorders>
            <w:shd w:val="clear" w:color="auto" w:fill="CCEEFF"/>
          </w:tcPr>
          <w:p>
            <w:pPr>
              <w:spacing w:after="0"/>
              <w:rPr>
                <w:sz w:val="10"/>
                <w:szCs w:val="10"/>
                <w:color w:val="auto"/>
              </w:rPr>
            </w:pPr>
          </w:p>
        </w:tc>
        <w:tc>
          <w:tcPr>
            <w:tcW w:w="54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57"/>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w:t>
            </w:r>
          </w:p>
        </w:tc>
        <w:tc>
          <w:tcPr>
            <w:tcW w:w="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right w:val="single" w:sz="8" w:color="auto"/>
            </w:tcBorders>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Extinguishment of Series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4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G Preferred Stock and</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(224)</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4,356</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4,356</w:t>
            </w:r>
          </w:p>
        </w:tc>
        <w:tc>
          <w:tcPr>
            <w:tcW w:w="100" w:type="dxa"/>
            <w:vAlign w:val="bottom"/>
          </w:tcPr>
          <w:p>
            <w:pPr>
              <w:spacing w:after="0"/>
              <w:rPr>
                <w:sz w:val="11"/>
                <w:szCs w:val="11"/>
                <w:color w:val="auto"/>
              </w:rPr>
            </w:pPr>
          </w:p>
        </w:tc>
        <w:tc>
          <w:tcPr>
            <w:tcW w:w="5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4,356</w:t>
            </w:r>
          </w:p>
        </w:tc>
        <w:tc>
          <w:tcPr>
            <w:tcW w:w="0" w:type="dxa"/>
            <w:vAlign w:val="bottom"/>
          </w:tcPr>
          <w:p>
            <w:pPr>
              <w:spacing w:after="0"/>
              <w:rPr>
                <w:sz w:val="1"/>
                <w:szCs w:val="1"/>
                <w:color w:val="auto"/>
              </w:rPr>
            </w:pPr>
          </w:p>
        </w:tc>
      </w:tr>
      <w:tr>
        <w:trPr>
          <w:trHeight w:val="1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right w:val="single" w:sz="8" w:color="auto"/>
            </w:tcBorders>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640" w:type="dxa"/>
            <w:vAlign w:val="bottom"/>
            <w:tcBorders>
              <w:left w:val="single" w:sz="8" w:color="CCEEFF"/>
            </w:tcBorders>
            <w:gridSpan w:val="2"/>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7"/>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translation</w:t>
            </w:r>
          </w:p>
        </w:tc>
        <w:tc>
          <w:tcPr>
            <w:tcW w:w="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right w:val="single" w:sz="8" w:color="auto"/>
            </w:tcBorders>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40" w:type="dxa"/>
            <w:vAlign w:val="bottom"/>
            <w:tcBorders>
              <w:left w:val="single" w:sz="8" w:color="CCEEFF"/>
            </w:tcBorders>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0"/>
                <w:szCs w:val="10"/>
                <w:color w:val="auto"/>
              </w:rPr>
            </w:pPr>
          </w:p>
        </w:tc>
        <w:tc>
          <w:tcPr>
            <w:tcW w:w="5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income, net</w:t>
            </w: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right w:val="single" w:sz="8" w:color="auto"/>
            </w:tcBorders>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for the period</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w:t>
            </w:r>
          </w:p>
        </w:tc>
        <w:tc>
          <w:tcPr>
            <w:tcW w:w="1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w:t>
            </w:r>
          </w:p>
        </w:tc>
        <w:tc>
          <w:tcPr>
            <w:tcW w:w="640" w:type="dxa"/>
            <w:vAlign w:val="bottom"/>
            <w:tcBorders>
              <w:left w:val="single" w:sz="8" w:color="CCEEFF"/>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31,333</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7,926,766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$ 502,869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(500,899)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6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$ 9,689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10,078</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328930</wp:posOffset>
            </wp:positionV>
            <wp:extent cx="600519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5195" cy="23495"/>
                    </a:xfrm>
                    <a:prstGeom prst="rect">
                      <a:avLst/>
                    </a:prstGeom>
                    <a:noFill/>
                  </pic:spPr>
                </pic:pic>
              </a:graphicData>
            </a:graphic>
          </wp:anchor>
        </w:drawing>
      </w:r>
    </w:p>
    <w:p>
      <w:pPr>
        <w:sectPr>
          <w:pgSz w:w="11900" w:h="16838" w:orient="portrait"/>
          <w:cols w:equalWidth="0" w:num="1">
            <w:col w:w="9440"/>
          </w:cols>
          <w:pgMar w:left="1220" w:top="484" w:right="1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XWELL,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TEMPORARY EQUITY AND STOCKHOLDERS’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(DEFICIT)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Series G Convertible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220" w:type="dxa"/>
            <w:vAlign w:val="bottom"/>
          </w:tcPr>
          <w:p>
            <w:pPr>
              <w:spacing w:after="0"/>
              <w:rPr>
                <w:sz w:val="11"/>
                <w:szCs w:val="11"/>
                <w:color w:val="auto"/>
              </w:rPr>
            </w:pPr>
          </w:p>
        </w:tc>
        <w:tc>
          <w:tcPr>
            <w:tcW w:w="132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paid-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7"/>
              </w:rPr>
              <w:t>controlling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1660" w:type="dxa"/>
            <w:vAlign w:val="bottom"/>
          </w:tcPr>
          <w:p>
            <w:pPr>
              <w:spacing w:after="0"/>
              <w:rPr>
                <w:sz w:val="10"/>
                <w:szCs w:val="10"/>
                <w:color w:val="auto"/>
              </w:rPr>
            </w:pPr>
          </w:p>
        </w:tc>
        <w:tc>
          <w:tcPr>
            <w:tcW w:w="5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0"/>
                <w:szCs w:val="10"/>
                <w:b w:val="1"/>
                <w:bCs w:val="1"/>
                <w:color w:val="auto"/>
              </w:rPr>
              <w:t>Shares</w:t>
            </w:r>
          </w:p>
        </w:tc>
        <w:tc>
          <w:tcPr>
            <w:tcW w:w="62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 Amount</w:t>
            </w:r>
          </w:p>
        </w:tc>
        <w:tc>
          <w:tcPr>
            <w:tcW w:w="22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76"/>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gridSpan w:val="2"/>
          </w:tcPr>
          <w:p>
            <w:pPr>
              <w:jc w:val="right"/>
              <w:ind w:right="14"/>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55"/>
              <w:spacing w:after="0" w:line="117"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in capital</w:t>
            </w:r>
          </w:p>
        </w:tc>
        <w:tc>
          <w:tcPr>
            <w:tcW w:w="180" w:type="dxa"/>
            <w:vAlign w:val="bottom"/>
            <w:gridSpan w:val="2"/>
          </w:tcPr>
          <w:p>
            <w:pPr>
              <w:jc w:val="right"/>
              <w:ind w:right="25"/>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tcPr>
          <w:p>
            <w:pPr>
              <w:jc w:val="right"/>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loss</w:t>
            </w:r>
          </w:p>
        </w:tc>
        <w:tc>
          <w:tcPr>
            <w:tcW w:w="1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equity</w:t>
            </w:r>
          </w:p>
        </w:tc>
        <w:tc>
          <w:tcPr>
            <w:tcW w:w="1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center"/>
              <w:ind w:right="17"/>
              <w:spacing w:after="0" w:line="117" w:lineRule="exact"/>
              <w:rPr>
                <w:sz w:val="20"/>
                <w:szCs w:val="20"/>
                <w:color w:val="auto"/>
              </w:rPr>
            </w:pPr>
            <w:r>
              <w:rPr>
                <w:rFonts w:ascii="Times New Roman" w:cs="Times New Roman" w:eastAsia="Times New Roman" w:hAnsi="Times New Roman"/>
                <w:sz w:val="11"/>
                <w:szCs w:val="11"/>
                <w:b w:val="1"/>
                <w:bCs w:val="1"/>
                <w:color w:val="auto"/>
                <w:w w:val="95"/>
              </w:rPr>
              <w:t>interests</w:t>
            </w:r>
          </w:p>
        </w:tc>
        <w:tc>
          <w:tcPr>
            <w:tcW w:w="1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jc w:val="right"/>
              <w:ind w:right="56"/>
              <w:spacing w:after="0" w:line="117" w:lineRule="exact"/>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129"/>
        </w:trPr>
        <w:tc>
          <w:tcPr>
            <w:tcW w:w="16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January 1, 2025</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4"/>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5,261,024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473,824</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(472,706)</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(788)</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8,530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7,742</w:t>
            </w:r>
          </w:p>
        </w:tc>
        <w:tc>
          <w:tcPr>
            <w:tcW w:w="0" w:type="dxa"/>
            <w:vAlign w:val="bottom"/>
          </w:tcPr>
          <w:p>
            <w:pPr>
              <w:spacing w:after="0"/>
              <w:rPr>
                <w:sz w:val="1"/>
                <w:szCs w:val="1"/>
                <w:color w:val="auto"/>
              </w:rPr>
            </w:pPr>
          </w:p>
        </w:tc>
      </w:tr>
      <w:tr>
        <w:trPr>
          <w:trHeight w:val="137"/>
        </w:trPr>
        <w:tc>
          <w:tcPr>
            <w:tcW w:w="16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6"/>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80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80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77"/>
              <w:spacing w:after="0" w:line="137"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Series G Preferred</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6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Stock in private placement,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20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of transaction costs</w:t>
            </w: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Series G Preferred Stock</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(499)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(499)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0" w:type="dxa"/>
            <w:vAlign w:val="bottom"/>
          </w:tcPr>
          <w:p>
            <w:pPr>
              <w:spacing w:after="0"/>
              <w:rPr>
                <w:sz w:val="1"/>
                <w:szCs w:val="1"/>
                <w:color w:val="auto"/>
              </w:rPr>
            </w:pPr>
          </w:p>
        </w:tc>
      </w:tr>
      <w:tr>
        <w:trPr>
          <w:trHeight w:val="157"/>
        </w:trPr>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accretion</w:t>
            </w: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Series G Preferred Stock</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w:t>
            </w:r>
          </w:p>
        </w:tc>
        <w:tc>
          <w:tcPr>
            <w:tcW w:w="10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6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199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199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7"/>
              <w:spacing w:after="0" w:line="137"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37"/>
        </w:trPr>
        <w:tc>
          <w:tcPr>
            <w:tcW w:w="16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Net loss for the period</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6"/>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(4,719)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(4,719)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7"/>
              <w:spacing w:after="0" w:line="137" w:lineRule="exact"/>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(4,588)</w:t>
            </w:r>
          </w:p>
        </w:tc>
        <w:tc>
          <w:tcPr>
            <w:tcW w:w="0" w:type="dxa"/>
            <w:vAlign w:val="bottom"/>
          </w:tcPr>
          <w:p>
            <w:pPr>
              <w:spacing w:after="0"/>
              <w:rPr>
                <w:sz w:val="1"/>
                <w:szCs w:val="1"/>
                <w:color w:val="auto"/>
              </w:rPr>
            </w:pPr>
          </w:p>
        </w:tc>
      </w:tr>
      <w:tr>
        <w:trPr>
          <w:trHeight w:val="137"/>
        </w:trPr>
        <w:tc>
          <w:tcPr>
            <w:tcW w:w="1660" w:type="dxa"/>
            <w:vAlign w:val="bottom"/>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5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4,000</w:t>
            </w:r>
          </w:p>
        </w:tc>
        <w:tc>
          <w:tcPr>
            <w:tcW w:w="280" w:type="dxa"/>
            <w:vAlign w:val="bottom"/>
            <w:gridSpan w:val="2"/>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567</w:t>
            </w:r>
          </w:p>
        </w:tc>
        <w:tc>
          <w:tcPr>
            <w:tcW w:w="22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w w:val="99"/>
              </w:rPr>
              <w:t>5,261,024</w:t>
            </w:r>
          </w:p>
        </w:tc>
        <w:tc>
          <w:tcPr>
            <w:tcW w:w="22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1"/>
                <w:szCs w:val="11"/>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473,337</w:t>
            </w:r>
          </w:p>
        </w:tc>
        <w:tc>
          <w:tcPr>
            <w:tcW w:w="40" w:type="dxa"/>
            <w:vAlign w:val="bottom"/>
          </w:tcPr>
          <w:p>
            <w:pPr>
              <w:spacing w:after="0"/>
              <w:rPr>
                <w:sz w:val="11"/>
                <w:szCs w:val="11"/>
                <w:color w:val="auto"/>
              </w:rPr>
            </w:pP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(477,425)</w:t>
            </w:r>
          </w:p>
        </w:tc>
        <w:tc>
          <w:tcPr>
            <w:tcW w:w="1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(1,760)</w:t>
            </w: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(5,795)</w:t>
            </w:r>
          </w:p>
        </w:tc>
        <w:tc>
          <w:tcPr>
            <w:tcW w:w="1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77"/>
              <w:spacing w:after="0" w:line="137" w:lineRule="exact"/>
              <w:rPr>
                <w:sz w:val="20"/>
                <w:szCs w:val="20"/>
                <w:color w:val="auto"/>
              </w:rPr>
            </w:pPr>
            <w:r>
              <w:rPr>
                <w:rFonts w:ascii="Times New Roman" w:cs="Times New Roman" w:eastAsia="Times New Roman" w:hAnsi="Times New Roman"/>
                <w:sz w:val="13"/>
                <w:szCs w:val="13"/>
                <w:color w:val="auto"/>
              </w:rPr>
              <w:t>8,654</w:t>
            </w: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2,859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-1334770</wp:posOffset>
            </wp:positionV>
            <wp:extent cx="7620" cy="1319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 cy="131953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form an integral part of these unaudited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328930</wp:posOffset>
            </wp:positionV>
            <wp:extent cx="6005195"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5195" cy="23495"/>
                    </a:xfrm>
                    <a:prstGeom prst="rect">
                      <a:avLst/>
                    </a:prstGeom>
                    <a:noFill/>
                  </pic:spPr>
                </pic:pic>
              </a:graphicData>
            </a:graphic>
          </wp:anchor>
        </w:drawing>
      </w:r>
    </w:p>
    <w:p>
      <w:pPr>
        <w:sectPr>
          <w:pgSz w:w="11900" w:h="16838" w:orient="portrait"/>
          <w:cols w:equalWidth="0" w:num="1">
            <w:col w:w="9440"/>
          </w:cols>
          <w:pgMar w:left="1220" w:top="484" w:right="1239"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XWELL,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5460" w:type="dxa"/>
            <w:vAlign w:val="bottom"/>
            <w:vMerge w:val="restart"/>
          </w:tcPr>
          <w:p>
            <w:pPr>
              <w:ind w:left="536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460" w:type="dxa"/>
            <w:vAlign w:val="bottom"/>
            <w:tcBorders>
              <w:bottom w:val="single" w:sz="8" w:color="CCEEFF"/>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97"/>
              <w:spacing w:after="0" w:line="129" w:lineRule="exact"/>
              <w:rPr>
                <w:sz w:val="20"/>
                <w:szCs w:val="20"/>
                <w:color w:val="auto"/>
              </w:rPr>
            </w:pPr>
            <w:r>
              <w:rPr>
                <w:rFonts w:ascii="Times New Roman" w:cs="Times New Roman" w:eastAsia="Times New Roman" w:hAnsi="Times New Roman"/>
                <w:sz w:val="12"/>
                <w:szCs w:val="12"/>
                <w:b w:val="1"/>
                <w:bCs w:val="1"/>
                <w:color w:val="auto"/>
              </w:rPr>
              <w:t>2026</w:t>
            </w:r>
          </w:p>
        </w:tc>
        <w:tc>
          <w:tcPr>
            <w:tcW w:w="3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7"/>
              <w:spacing w:after="0" w:line="129" w:lineRule="exact"/>
              <w:rPr>
                <w:sz w:val="20"/>
                <w:szCs w:val="20"/>
                <w:color w:val="auto"/>
              </w:rPr>
            </w:pPr>
            <w:r>
              <w:rPr>
                <w:rFonts w:ascii="Times New Roman" w:cs="Times New Roman" w:eastAsia="Times New Roman" w:hAnsi="Times New Roman"/>
                <w:sz w:val="12"/>
                <w:szCs w:val="12"/>
                <w:b w:val="1"/>
                <w:bCs w:val="1"/>
                <w:color w:val="auto"/>
                <w:w w:val="99"/>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9"/>
        </w:trPr>
        <w:tc>
          <w:tcPr>
            <w:tcW w:w="5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Net loss</w:t>
            </w:r>
          </w:p>
        </w:tc>
        <w:tc>
          <w:tcPr>
            <w:tcW w:w="400" w:type="dxa"/>
            <w:vAlign w:val="bottom"/>
            <w:gridSpan w:val="2"/>
          </w:tcPr>
          <w:p>
            <w:pPr>
              <w:jc w:val="right"/>
              <w:ind w:right="243"/>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(11,012)</w:t>
            </w:r>
          </w:p>
        </w:tc>
        <w:tc>
          <w:tcPr>
            <w:tcW w:w="940" w:type="dxa"/>
            <w:vAlign w:val="bottom"/>
            <w:gridSpan w:val="2"/>
          </w:tcPr>
          <w:p>
            <w:pPr>
              <w:jc w:val="right"/>
              <w:ind w:right="534"/>
              <w:spacing w:after="0" w:line="137"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(4,588)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Items included in net loss not affecting operating cash flows:</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172</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Unrealized gain on marketable securities</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Foreign currency remeasurement (gain) loss</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(77)</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Gain on lease termination</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Amortization of operating lease right of use asset</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85</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Provision for credit losses</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(6)</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Stock-based compensation</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886</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Non-cash interest expense</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53</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Gain on equity investment</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23</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5,584</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Change in fair value of warrant liability</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(2,590)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Loss on issuance of Series G Preferred Stock</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3,443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Changes in assets and liabilities:</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(Increase) decrease in inventory</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55</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Decrease in accounts receivable</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251</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(Decrease) in deferred revenue</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(336)</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(Increase) decrease in other assets, current and non-current</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14</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(669)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(Decrease) in other liabilities, current and non-current</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(1,166)</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(1,255)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Increase in accounts payable</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872</w:t>
            </w:r>
          </w:p>
        </w:tc>
        <w:tc>
          <w:tcPr>
            <w:tcW w:w="34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599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(4,602)</w:t>
            </w:r>
          </w:p>
        </w:tc>
        <w:tc>
          <w:tcPr>
            <w:tcW w:w="3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(4,178)</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9"/>
        </w:trPr>
        <w:tc>
          <w:tcPr>
            <w:tcW w:w="5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Acquisition of property and equipment</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(390)</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Investment in marketable securities</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6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rPr>
              <w:t>Net cash provided by (used in) investing activities</w:t>
            </w:r>
          </w:p>
        </w:tc>
        <w:tc>
          <w:tcPr>
            <w:tcW w:w="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(390)</w:t>
            </w:r>
          </w:p>
        </w:tc>
        <w:tc>
          <w:tcPr>
            <w:tcW w:w="3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Payment for Repurchase of preferred stock, convertible notes and warrants</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(9,000)</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Proceeds from registered offering, net of offering costs</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28,269</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3,745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Redemption of preferred stock</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(76)</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19,193</w:t>
            </w:r>
          </w:p>
        </w:tc>
        <w:tc>
          <w:tcPr>
            <w:tcW w:w="34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3,745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(24)</w:t>
            </w:r>
          </w:p>
        </w:tc>
        <w:tc>
          <w:tcPr>
            <w:tcW w:w="3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Increase (decrease) in cash, cash equivalents and restricted cash</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14,177</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Borders>
              <w:bottom w:val="single" w:sz="8" w:color="CCEEFF"/>
            </w:tcBorders>
          </w:tcPr>
          <w:p>
            <w:pPr>
              <w:spacing w:after="0" w:line="137" w:lineRule="exact"/>
              <w:rPr>
                <w:sz w:val="20"/>
                <w:szCs w:val="20"/>
                <w:color w:val="auto"/>
              </w:rPr>
            </w:pPr>
            <w:r>
              <w:rPr>
                <w:rFonts w:ascii="Times New Roman" w:cs="Times New Roman" w:eastAsia="Times New Roman" w:hAnsi="Times New Roman"/>
                <w:sz w:val="12"/>
                <w:szCs w:val="12"/>
                <w:color w:val="auto"/>
              </w:rPr>
              <w:t>Cash, cash equivalents, and restricted cash at beginning of the year</w:t>
            </w:r>
          </w:p>
        </w:tc>
        <w:tc>
          <w:tcPr>
            <w:tcW w:w="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2,875</w:t>
            </w:r>
          </w:p>
        </w:tc>
        <w:tc>
          <w:tcPr>
            <w:tcW w:w="3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5,301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cash equivalents, and restricted cash at end of the period</w:t>
            </w:r>
          </w:p>
        </w:tc>
        <w:tc>
          <w:tcPr>
            <w:tcW w:w="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17,052</w:t>
            </w:r>
          </w:p>
        </w:tc>
        <w:tc>
          <w:tcPr>
            <w:tcW w:w="3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4,401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paid for</w:t>
            </w: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Income taxes</w:t>
            </w:r>
          </w:p>
        </w:tc>
        <w:tc>
          <w:tcPr>
            <w:tcW w:w="400" w:type="dxa"/>
            <w:vAlign w:val="bottom"/>
            <w:gridSpan w:val="2"/>
            <w:shd w:val="clear" w:color="auto" w:fill="CCEEFF"/>
          </w:tcPr>
          <w:p>
            <w:pPr>
              <w:jc w:val="right"/>
              <w:ind w:right="243"/>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jc w:val="right"/>
              <w:ind w:right="534"/>
              <w:spacing w:after="0" w:line="137"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Non-cash investing and financing transactions</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Capital expenditures included in Accounts payable, accrued expenses and other current liabilities</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(151)</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Accrual of Series G convertible preferred stock dividends</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82</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Accretion of Series G convertible preferred stock to redemption value</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Initial fair value of warrant liability</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5,873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Initial fair value of derivative liability</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1,315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Noncash conversion of Series G convertible preferred stock</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543</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Deemed dividend on Repurchase of Series G Preferred Stock</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106</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Fair value of Placement Agent warrants</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7,152</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Contribution on Repurchase of related party debt, net of warrant repurchase cost</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4,250</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form an integral part of these unaudited condensed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XWELL,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for share and per share data)</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1. Business Overview and Going Concern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0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XWELL (“XWELL” or the “Company”) is a global wellness organization dedicated to delivering restorative and health-focused services to travelers through its three reportable operating segments: XpresSpa®, XpresTest®, and Naples Wax Center®. XpresSpa operates spa service locations in major airports, offering massage, skincare, and travel products. XpresTest transitioned from providing COVID-19 testing to supporting public health efforts through bio-surveillance programs at international airports. Naples Wax Center provides upscale hair removal and skincare services through its branded locations.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Liquidity Analysis</w:t>
      </w:r>
    </w:p>
    <w:p>
      <w:pPr>
        <w:spacing w:after="0" w:line="20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assuming that the Company will continue as a going concern. While the Company has suffered recurring losses and negative cash flows from operations, management evaluated whether substantial doubt existed about the Company’s ability to continue as a going concern within one year after the date these unaudited condensed consolidated financial statements are issued.</w:t>
      </w:r>
    </w:p>
    <w:p>
      <w:pPr>
        <w:spacing w:after="0" w:line="17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The Company has significantly reduced operating and overhead expenses, while it continues to focus on returning to overall profitability. Management is implementing various strategic initiatives to reduce operating expenses, improve working capital and enhance cash flow. These include cost reduction efforts, capital spending controls, and financing options such as the February 2026 Private placement (referenced below).</w:t>
      </w:r>
    </w:p>
    <w:p>
      <w:pPr>
        <w:spacing w:after="0" w:line="174"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The Company’s increase in liquidity during the period was primarily attributable to proceeds from a private placement of Series H Convertible Preferred Stock with accompanying warrants completed in February 2026 (the “February 2026 Private Placement”), which generated net proceeds of $28,269. During the three months ended March 31, 2026, the Company used approximately $9,000 of these proceeds to repurchase outstanding Series G Preferred Stock, certain convertible notes, and related warrants as part of a strategic effort to simplify its capital structure and reduce future financing obligations. The remaining proceeds were used to support general corporate purposes and working capital needs.</w:t>
      </w:r>
    </w:p>
    <w:p>
      <w:pPr>
        <w:spacing w:after="0" w:line="17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continues to focus on managing operating expenses, optimizing working capital, and improving cash flows from operations. Based on its current cash position and expected operating cash flows, the Company believes it has sufficient liquidity to fund its operations and meet its obligations for at least the next twelve months.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2. Accounting and Reporting Policies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07"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unaudited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2025, as amended. The condensed consolidated balance sheet as of December 31, 2025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months ended March 31, 2026, are not necessarily indicative of the results that may be expected for the entire fiscal year or for any other interim period. All significant intercompany balances and transactions have been eliminated in consolidation.</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07"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as of the date of the unaudited condensed consolidated financial statements and the reported amounts of revenues and expenses for the periods presented. Actual results may differ from such estimates. Significant items subject to such estimates and assumptions include the Company’s long-lived assets, the valuation of stock-based compensation, fair value of warrants, derivative liability, deferred tax assets and liabilities, income tax uncertainties, and other contingencies.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3. Cash, Cash Equivalents, and Restricted Cash</w:t>
      </w:r>
    </w:p>
    <w:p>
      <w:pPr>
        <w:spacing w:after="0" w:line="20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A reconciliation of the Company’s cash and cash equivalents in the unaudited condensed consolidated balance sheets to cash, cash equivalents and restricted cash in the unaudited condensed consolidated statements of cash flows as of March 31, 2026, and December 31, 2025 is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9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2026   ​​​ December 31, 2025</w:t>
            </w:r>
          </w:p>
        </w:tc>
      </w:tr>
      <w:tr>
        <w:trPr>
          <w:trHeight w:val="192"/>
        </w:trPr>
        <w:tc>
          <w:tcPr>
            <w:tcW w:w="49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Cash denominated in United States dollars</w:t>
            </w: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15,402</w:t>
            </w: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4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1,100</w:t>
            </w:r>
          </w:p>
        </w:tc>
      </w:tr>
      <w:tr>
        <w:trPr>
          <w:trHeight w:val="199"/>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Cash denominated in currency other than United States dollars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1,451</w:t>
            </w:r>
          </w:p>
        </w:tc>
      </w:tr>
      <w:tr>
        <w:trPr>
          <w:trHeight w:val="19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199"/>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Credit and debit card receivables</w:t>
            </w: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192"/>
        </w:trPr>
        <w:tc>
          <w:tcPr>
            <w:tcW w:w="4980" w:type="dxa"/>
            <w:vAlign w:val="bottom"/>
            <w:tcBorders>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17,052</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2,868</w:t>
            </w:r>
          </w:p>
        </w:tc>
      </w:tr>
      <w:tr>
        <w:trPr>
          <w:trHeight w:val="20"/>
        </w:trPr>
        <w:tc>
          <w:tcPr>
            <w:tcW w:w="4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The Company places its cash and temporary cash investments with credit quality institutions. At times, such cash denominated in United States dollars may be in excess of the Federal Deposit Insurance Corporation (“FDIC”) insurance limit.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4. Other current assets</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98"/>
        </w:trPr>
        <w:tc>
          <w:tcPr>
            <w:tcW w:w="72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As of March 31, 2026, and December 31, 2025, other current assets consisted of the following:</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0"/>
        </w:trPr>
        <w:tc>
          <w:tcPr>
            <w:tcW w:w="3820" w:type="dxa"/>
            <w:vAlign w:val="bottom"/>
          </w:tcPr>
          <w:p>
            <w:pPr>
              <w:spacing w:after="0"/>
              <w:rPr>
                <w:sz w:val="24"/>
                <w:szCs w:val="24"/>
                <w:color w:val="auto"/>
              </w:rPr>
            </w:pPr>
          </w:p>
        </w:tc>
        <w:tc>
          <w:tcPr>
            <w:tcW w:w="206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December 31, 2025</w:t>
            </w:r>
          </w:p>
        </w:tc>
      </w:tr>
      <w:tr>
        <w:trPr>
          <w:trHeight w:val="192"/>
        </w:trPr>
        <w:tc>
          <w:tcPr>
            <w:tcW w:w="382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Prepaid expenses</w:t>
            </w:r>
          </w:p>
        </w:tc>
        <w:tc>
          <w:tcPr>
            <w:tcW w:w="19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1,170</w:t>
            </w:r>
          </w:p>
        </w:tc>
        <w:tc>
          <w:tcPr>
            <w:tcW w:w="1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4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1,217</w:t>
            </w: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Total other current assets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760" w:type="dxa"/>
            <w:vAlign w:val="bottom"/>
            <w:gridSpan w:val="2"/>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20"/>
        </w:trPr>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Prepaid expenses are predominantly comprised of financed and prepaid insurance policies and IT hosting services, which have terms of one year or less.</w:t>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5. Property and Equipment, net</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Property and equipment are comprised of the following:</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00" w:type="dxa"/>
            <w:vAlign w:val="bottom"/>
          </w:tcPr>
          <w:p>
            <w:pPr>
              <w:spacing w:after="0"/>
              <w:rPr>
                <w:sz w:val="17"/>
                <w:szCs w:val="17"/>
                <w:color w:val="auto"/>
              </w:rPr>
            </w:pPr>
          </w:p>
        </w:tc>
        <w:tc>
          <w:tcPr>
            <w:tcW w:w="19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00" w:type="dxa"/>
            <w:vAlign w:val="bottom"/>
          </w:tcPr>
          <w:p>
            <w:pPr>
              <w:ind w:left="336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300" w:type="dxa"/>
            <w:vAlign w:val="bottom"/>
          </w:tcPr>
          <w:p>
            <w:pPr>
              <w:jc w:val="right"/>
              <w:ind w:right="517"/>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Pr>
          <w:p>
            <w:pPr>
              <w:spacing w:after="0"/>
              <w:rPr>
                <w:sz w:val="19"/>
                <w:szCs w:val="19"/>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Useful Life</w:t>
            </w:r>
          </w:p>
        </w:tc>
        <w:tc>
          <w:tcPr>
            <w:tcW w:w="0" w:type="dxa"/>
            <w:vAlign w:val="bottom"/>
          </w:tcPr>
          <w:p>
            <w:pPr>
              <w:spacing w:after="0"/>
              <w:rPr>
                <w:sz w:val="1"/>
                <w:szCs w:val="1"/>
                <w:color w:val="auto"/>
              </w:rPr>
            </w:pPr>
          </w:p>
        </w:tc>
      </w:tr>
      <w:tr>
        <w:trPr>
          <w:trHeight w:val="192"/>
        </w:trPr>
        <w:tc>
          <w:tcPr>
            <w:tcW w:w="35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Leasehold improvements</w:t>
            </w:r>
          </w:p>
        </w:tc>
        <w:tc>
          <w:tcPr>
            <w:tcW w:w="240" w:type="dxa"/>
            <w:vAlign w:val="bottom"/>
            <w:tcBorders>
              <w:top w:val="single" w:sz="8" w:color="auto"/>
            </w:tcBorders>
            <w:shd w:val="clear" w:color="auto" w:fill="CCEEFF"/>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4,164</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6,094</w:t>
            </w: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auto"/>
                <w:w w:val="96"/>
              </w:rPr>
              <w:t>Average 5-8 years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3-4 years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equipment</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Maximum 5 years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5,378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7,590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(3,605)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(5,925)</w:t>
            </w: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Total property and equipment, net</w:t>
            </w:r>
          </w:p>
        </w:tc>
        <w:tc>
          <w:tcPr>
            <w:tcW w:w="240" w:type="dxa"/>
            <w:vAlign w:val="bottom"/>
            <w:tcBorders>
              <w:top w:val="single" w:sz="8" w:color="auto"/>
              <w:bottom w:val="single" w:sz="8" w:color="auto"/>
            </w:tcBorders>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1,773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1,665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Depreciation expense was $132 and $90 for the three months ended March 31, 2026 and 2025, respectively.</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6. Fair Value Measurements</w:t>
      </w:r>
    </w:p>
    <w:p>
      <w:pPr>
        <w:spacing w:after="0" w:line="20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Level 1: </w:t>
      </w:r>
      <w:r>
        <w:rPr>
          <w:rFonts w:ascii="Times New Roman" w:cs="Times New Roman" w:eastAsia="Times New Roman" w:hAnsi="Times New Roman"/>
          <w:sz w:val="17"/>
          <w:szCs w:val="17"/>
          <w:color w:val="auto"/>
        </w:rPr>
        <w:t>Inputs are quoted prices (unadjusted) for identical assets or liabilities in active markets.</w:t>
      </w:r>
    </w:p>
    <w:p>
      <w:pPr>
        <w:spacing w:after="0" w:line="203" w:lineRule="exact"/>
        <w:rPr>
          <w:sz w:val="20"/>
          <w:szCs w:val="20"/>
          <w:color w:val="auto"/>
        </w:rPr>
      </w:pPr>
    </w:p>
    <w:p>
      <w:pPr>
        <w:jc w:val="both"/>
        <w:ind w:left="40" w:right="59"/>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Level 2: </w:t>
      </w:r>
      <w:r>
        <w:rPr>
          <w:rFonts w:ascii="Times New Roman" w:cs="Times New Roman" w:eastAsia="Times New Roman" w:hAnsi="Times New Roman"/>
          <w:sz w:val="17"/>
          <w:szCs w:val="17"/>
          <w:color w:val="auto"/>
        </w:rPr>
        <w:t>Pricing inputs are other than quoted prices in active markets included in Level 1, which are either directly or indirectly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observable as of the reported date.</w:t>
      </w:r>
    </w:p>
    <w:p>
      <w:pPr>
        <w:spacing w:after="0" w:line="151"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Level 3: </w:t>
      </w:r>
      <w:r>
        <w:rPr>
          <w:rFonts w:ascii="Times New Roman" w:cs="Times New Roman" w:eastAsia="Times New Roman" w:hAnsi="Times New Roman"/>
          <w:sz w:val="17"/>
          <w:szCs w:val="17"/>
          <w:color w:val="auto"/>
        </w:rPr>
        <w:t>Unobservable inputs, that are supported by little or no market activity and are developed based on the best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available in the circumstances. For example, inputs derived through extrapolation or interpolation that cannot be corroborated by observable market data.</w:t>
      </w:r>
    </w:p>
    <w:p>
      <w:pPr>
        <w:spacing w:after="0" w:line="16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following table presents the placement in the fair value hierarchy of the Company’s assets and liabilities measured at fair value on a recurring and nonrecurring basis as of March 31, 2026 and December 31, 2025.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condensed consolidated statements of operations and comprehensive loss.</w:t>
      </w:r>
    </w:p>
    <w:p>
      <w:pPr>
        <w:spacing w:after="0" w:line="174"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Fair value measurements discussed herein are based upon certain market assumptions and pertinent information available to management as of and during the three months ended March 31, 2026. The carrying amounts of cash equivalents, accounts receivable, and accounts payable approximated their fair values as of March 31, 2026 due to their short-term nature. The fair value of the bifurcated embedded derivative related to the convertible preferred stock and Note was estimated using a Monte Carlo simulation model, which uses as inputs the fair value of our common stock and estimates for the equity volatility of our common stock, the time to maturity of the convertible preferred stock, the risk-free interest rate for a period that approximates the time to maturity, dividend rate, a penalty dividend rate, and our probability of default.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320" w:type="dxa"/>
            <w:vAlign w:val="bottom"/>
          </w:tcPr>
          <w:p>
            <w:pPr>
              <w:spacing w:after="0"/>
              <w:rPr>
                <w:sz w:val="19"/>
                <w:szCs w:val="19"/>
                <w:color w:val="auto"/>
              </w:rPr>
            </w:pPr>
          </w:p>
        </w:tc>
        <w:tc>
          <w:tcPr>
            <w:tcW w:w="66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7"/>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Fair value measurement at reporting date using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Quoted prices in</w:t>
            </w:r>
          </w:p>
        </w:tc>
        <w:tc>
          <w:tcPr>
            <w:tcW w:w="28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spacing w:after="0"/>
              <w:rPr>
                <w:sz w:val="14"/>
                <w:szCs w:val="14"/>
                <w:color w:val="auto"/>
              </w:rPr>
            </w:pPr>
          </w:p>
        </w:tc>
        <w:tc>
          <w:tcPr>
            <w:tcW w:w="30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active markets</w:t>
            </w:r>
          </w:p>
        </w:tc>
        <w:tc>
          <w:tcPr>
            <w:tcW w:w="18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Significant other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for identical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observable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6"/>
              </w:rPr>
              <w:t>unobservable</w:t>
            </w:r>
          </w:p>
        </w:tc>
        <w:tc>
          <w:tcPr>
            <w:tcW w:w="0" w:type="dxa"/>
            <w:vAlign w:val="bottom"/>
          </w:tcPr>
          <w:p>
            <w:pPr>
              <w:spacing w:after="0"/>
              <w:rPr>
                <w:sz w:val="1"/>
                <w:szCs w:val="1"/>
                <w:color w:val="auto"/>
              </w:rPr>
            </w:pPr>
          </w:p>
        </w:tc>
      </w:tr>
      <w:tr>
        <w:trPr>
          <w:trHeight w:val="220"/>
        </w:trPr>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assets (Level 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inputs (Level 2)</w:t>
            </w:r>
          </w:p>
        </w:tc>
        <w:tc>
          <w:tcPr>
            <w:tcW w:w="180" w:type="dxa"/>
            <w:vAlign w:val="bottom"/>
          </w:tcPr>
          <w:p>
            <w:pPr>
              <w:spacing w:after="0"/>
              <w:rPr>
                <w:sz w:val="19"/>
                <w:szCs w:val="19"/>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inputs (Level 3)</w:t>
            </w:r>
          </w:p>
        </w:tc>
        <w:tc>
          <w:tcPr>
            <w:tcW w:w="0" w:type="dxa"/>
            <w:vAlign w:val="bottom"/>
          </w:tcPr>
          <w:p>
            <w:pPr>
              <w:spacing w:after="0"/>
              <w:rPr>
                <w:sz w:val="1"/>
                <w:szCs w:val="1"/>
                <w:color w:val="auto"/>
              </w:rPr>
            </w:pPr>
          </w:p>
        </w:tc>
      </w:tr>
      <w:tr>
        <w:trPr>
          <w:trHeight w:val="192"/>
        </w:trPr>
        <w:tc>
          <w:tcPr>
            <w:tcW w:w="332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As of March 31, 2026:</w:t>
            </w: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Recurring fair value measurements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and debt securities: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Route1, Inc.</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Marketable securities</w:t>
            </w:r>
          </w:p>
        </w:tc>
        <w:tc>
          <w:tcPr>
            <w:tcW w:w="5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Total equity and debt securities</w:t>
            </w:r>
          </w:p>
        </w:tc>
        <w:tc>
          <w:tcPr>
            <w:tcW w:w="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97</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7</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90</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Total recurring fair value measurements</w:t>
            </w: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97</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7</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90</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76"/>
        </w:trPr>
        <w:tc>
          <w:tcPr>
            <w:tcW w:w="3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Recurring fair value measurements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and debt securities: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Route1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Marketable securities</w:t>
            </w:r>
          </w:p>
        </w:tc>
        <w:tc>
          <w:tcPr>
            <w:tcW w:w="5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Total equity and debt securities</w:t>
            </w:r>
          </w:p>
        </w:tc>
        <w:tc>
          <w:tcPr>
            <w:tcW w:w="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119</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7</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112</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Derivatives:</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Derivative liability</w:t>
            </w:r>
          </w:p>
        </w:tc>
        <w:tc>
          <w:tcPr>
            <w:tcW w:w="5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3,870</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Total derivatives</w:t>
            </w:r>
          </w:p>
        </w:tc>
        <w:tc>
          <w:tcPr>
            <w:tcW w:w="5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3,870</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3,870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20" w:type="dxa"/>
            <w:vAlign w:val="bottom"/>
            <w:tcBorders>
              <w:bottom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Total recurring fair value measurements</w:t>
            </w:r>
          </w:p>
        </w:tc>
        <w:tc>
          <w:tcPr>
            <w:tcW w:w="5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3,989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7</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112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3,870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Nonrecurring fair value measurements</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Convertible senior secured note</w:t>
            </w:r>
          </w:p>
        </w:tc>
        <w:tc>
          <w:tcPr>
            <w:tcW w:w="5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6,689</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Total nonrecurring fair value measurements</w:t>
            </w: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9,393</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9,393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right="459"/>
        <w:spacing w:after="0" w:line="269" w:lineRule="auto"/>
        <w:rPr>
          <w:sz w:val="20"/>
          <w:szCs w:val="20"/>
          <w:color w:val="auto"/>
        </w:rPr>
      </w:pPr>
      <w:r>
        <w:rPr>
          <w:rFonts w:ascii="Times New Roman" w:cs="Times New Roman" w:eastAsia="Times New Roman" w:hAnsi="Times New Roman"/>
          <w:sz w:val="17"/>
          <w:szCs w:val="17"/>
          <w:color w:val="auto"/>
        </w:rPr>
        <w:t>The following table sets forth a summary of the change in the fair value of the bifurcated embedded derivative liabilities that are measured at fair value on a recurring basis: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on January 1, 2026</w:t>
            </w: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3,870</w:t>
            </w:r>
          </w:p>
        </w:tc>
      </w:tr>
      <w:tr>
        <w:trPr>
          <w:trHeight w:val="183"/>
        </w:trPr>
        <w:tc>
          <w:tcPr>
            <w:tcW w:w="7040" w:type="dxa"/>
            <w:vAlign w:val="bottom"/>
          </w:tcPr>
          <w:p>
            <w:pPr>
              <w:ind w:left="100"/>
              <w:spacing w:after="0" w:line="183" w:lineRule="exact"/>
              <w:rPr>
                <w:sz w:val="20"/>
                <w:szCs w:val="20"/>
                <w:color w:val="auto"/>
              </w:rPr>
            </w:pPr>
            <w:r>
              <w:rPr>
                <w:rFonts w:ascii="Times New Roman" w:cs="Times New Roman" w:eastAsia="Times New Roman" w:hAnsi="Times New Roman"/>
                <w:sz w:val="17"/>
                <w:szCs w:val="17"/>
                <w:color w:val="auto"/>
              </w:rPr>
              <w:t>Change in fair value of bifurcated embedded derivative</w:t>
            </w:r>
          </w:p>
        </w:tc>
        <w:tc>
          <w:tcPr>
            <w:tcW w:w="72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5,584</w:t>
            </w:r>
          </w:p>
        </w:tc>
      </w:tr>
      <w:tr>
        <w:trPr>
          <w:trHeight w:val="216"/>
        </w:trPr>
        <w:tc>
          <w:tcPr>
            <w:tcW w:w="7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Extinguishment of convertible preferred stock with bifurcated embedded derivative</w:t>
            </w: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(9,454)</w:t>
            </w:r>
          </w:p>
        </w:tc>
      </w:tr>
      <w:tr>
        <w:trPr>
          <w:trHeight w:val="199"/>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on March 31, 2026</w:t>
            </w:r>
          </w:p>
        </w:tc>
        <w:tc>
          <w:tcPr>
            <w:tcW w:w="72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7. Accrued expenses and other current liabilities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As of March 31, 2026, and December 31, 2025, accrued expenses and other current liabilities consisted of the following:</w:t>
      </w: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3940" w:type="dxa"/>
            <w:vAlign w:val="bottom"/>
          </w:tcPr>
          <w:p>
            <w:pPr>
              <w:spacing w:after="0"/>
              <w:rPr>
                <w:sz w:val="17"/>
                <w:szCs w:val="17"/>
                <w:color w:val="auto"/>
              </w:rPr>
            </w:pPr>
          </w:p>
        </w:tc>
        <w:tc>
          <w:tcPr>
            <w:tcW w:w="126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420" w:type="dxa"/>
            <w:vAlign w:val="bottom"/>
          </w:tcPr>
          <w:p>
            <w:pPr>
              <w:spacing w:after="0"/>
              <w:rPr>
                <w:sz w:val="17"/>
                <w:szCs w:val="17"/>
                <w:color w:val="auto"/>
              </w:rPr>
            </w:pPr>
          </w:p>
        </w:tc>
        <w:tc>
          <w:tcPr>
            <w:tcW w:w="46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w:t>
            </w:r>
          </w:p>
        </w:tc>
        <w:tc>
          <w:tcPr>
            <w:tcW w:w="164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82"/>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compensation</w:t>
            </w:r>
          </w:p>
        </w:tc>
        <w:tc>
          <w:tcPr>
            <w:tcW w:w="10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w:t>
            </w: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w:t>
            </w:r>
          </w:p>
        </w:tc>
      </w:tr>
      <w:tr>
        <w:trPr>
          <w:trHeight w:val="187"/>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Tax-related liabilities</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w:t>
            </w:r>
          </w:p>
        </w:tc>
      </w:tr>
      <w:tr>
        <w:trPr>
          <w:trHeight w:val="18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area maintenance accruals</w:t>
            </w: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7"/>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AP Accruals</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8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Gift certificates</w:t>
            </w: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r>
      <w:tr>
        <w:trPr>
          <w:trHeight w:val="187"/>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miscellaneous accruals</w:t>
            </w:r>
          </w:p>
        </w:tc>
        <w:tc>
          <w:tcPr>
            <w:tcW w:w="1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1,058</w:t>
            </w:r>
          </w:p>
        </w:tc>
      </w:tr>
      <w:tr>
        <w:trPr>
          <w:trHeight w:val="179"/>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accrued expenses and other current liabilities</w:t>
            </w:r>
          </w:p>
        </w:tc>
        <w:tc>
          <w:tcPr>
            <w:tcW w:w="10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2,275</w:t>
            </w:r>
          </w:p>
        </w:tc>
        <w:tc>
          <w:tcPr>
            <w:tcW w:w="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2,940</w:t>
            </w:r>
          </w:p>
        </w:tc>
      </w:tr>
      <w:tr>
        <w:trPr>
          <w:trHeight w:val="20"/>
        </w:trPr>
        <w:tc>
          <w:tcPr>
            <w:tcW w:w="3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8. Commitments and Contingencies</w:t>
      </w:r>
    </w:p>
    <w:p>
      <w:pPr>
        <w:spacing w:after="0" w:line="20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spacing w:after="0" w:line="174"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 expenses legal fees in the period in which they are incurred.</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November 2025 Employment Litigation</w:t>
      </w:r>
    </w:p>
    <w:p>
      <w:pPr>
        <w:spacing w:after="0" w:line="205"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In November 2025, a former employee initiated an employment-related legal proceeding against the Company, as previously disclosed in the Company’s Annual Report on Form 10-K for the year ended December 31, 2025. During the three months ended March 31, 2026, the Company entered into a confidential settlement agreement to resolve the matter. The matter was settled for a de minimis amount, and the case has been dismissed with prejudice.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XpresSpa Holdings, LLC (“XpresSpa”) v. Cordial Endeavor Concessions of Atlanta, LLC (“Cordial”), et al., Arbitration Case No.</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2126399.</w:t>
      </w:r>
    </w:p>
    <w:p>
      <w:pPr>
        <w:spacing w:after="0" w:line="186"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Company’s subsidiary, XpressSpa Holdings, LLC, is party to an arbitration proceeding (the “Arbitration”) which was requested by the City of Atlanta relating to agreements by and between Cordial and XpresSpa for the operation of the XpresSpa locations in Hartsfield - 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spacing w:after="0" w:line="214"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This dispute arises out of alleged breaches of contract between the parties as well as other alleged improper conduct relating to the agreements. The arbitration hearing was completed in March 2026, and the parties are currently awaiting the arbitrator’s final decision.</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Other Arrangements</w:t>
      </w:r>
    </w:p>
    <w:p>
      <w:pPr>
        <w:spacing w:after="0" w:line="20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On May 16, 2025, the Company entered into a sales and marketing agreement with a vendor that obligates the Company to make payments totaling $662 over the next three years. Payments are due quarterly, with the first installment beginning in July 2025.</w:t>
      </w:r>
    </w:p>
    <w:p>
      <w:pPr>
        <w:spacing w:after="0" w:line="15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In the event that an action is brought against the Company or one of its subsidiaries, the Company will investigate the allegation and vigorously defend itself.</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9. Stockholders’ Equity and Warrants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February 2026 Private Placement</w:t>
      </w:r>
    </w:p>
    <w:p>
      <w:pPr>
        <w:spacing w:after="0" w:line="205"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7"/>
          <w:szCs w:val="17"/>
          <w:color w:val="auto"/>
        </w:rPr>
        <w:t>On February 24, 2026, the Company entered into the February 2026 Purchase Agreement with the a certain accredited investor (the “February 2026 Purchaser”) for the issuance and sale in a private placement of an aggregate of (i) 31,333 shares of the Company’s newly-designated Series H Convertible Preferred Stock, par value of $0.01 per share and a stated value of $1,000 per share (the “Series H Preferred Stock”), initially convertible into up to 66,665,957 shares of common stock (the “Series H Conversion Shares”), at an initial conversion price of $0.47 per share, subject to adjustment for certain customary adjustments, and (ii) the warrants (the “Series H Warrants”) to purchase up to 66,665,957 shares of common stock, at an initial exercise price of $0.345 per share, subject to adjustment for certain customary adjustments, for aggregate gross proceeds of approximately $31,300. The Series H Warrants expire three years from the date of issuance. The February 2026 Private Placement closed in two tranches, with 30,832 shares of Series H Preferred Stock and 65,600,000 Series H Warrants issued on February 27, 2026 (the “First Closing”), and 501 shares of Series H Preferred Stock and 1,065,957 Series H Warrants issued on March 3, 2026 (the “Second Closing”, and collectively with the First Closing, the “Closing”).</w:t>
      </w:r>
    </w:p>
    <w:p>
      <w:pPr>
        <w:spacing w:after="0" w:line="185"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color w:val="auto"/>
        </w:rPr>
        <w:t>In connection with the February 2026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February 2026 Private Placement and agreed to (i) pay to the Placement Agent (a) a cash fee equal to 8% of the gross proceeds of the February 2026 Private Placement and (b) reimbursements and payments of certain expenses, including non-accountable expense allowance equal to 1% of the gross proceeds raised in the February 2026 Private Placement and reasonable out-of-pocket expenses, not to exceed $250, and (ii) issue to the Placement Agent warrants (the “Placement Agent Warrants”) to purchase up to an aggregate number of shares of Common Stock equal to 8% of the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aggregate number of shares of common stock underlying the securities issued in the February 2026 Private Placement, with terms identical to the Series H Warrants, except that the Series H Placement Agent Warrants have a term of five (5) years from the date of issuance. The Placement Agency Agreement contains customary representations, warranties and agreements of the parties, and customary indemnification obligations of the Company.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Series H Preferred Stock</w:t>
      </w:r>
    </w:p>
    <w:p>
      <w:pPr>
        <w:spacing w:after="0" w:line="205"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6"/>
          <w:szCs w:val="16"/>
          <w:color w:val="auto"/>
        </w:rPr>
        <w:t>The terms of the Series H Preferred Stock are set forth in the Series H Certificate of Designations. The shares of Series H Preferred Stock are convertible into the Series H Conversion Shares at the election of the holders of the Series H Preferred Stock (the “Holders”) at any time at an initial conversion price of $0.47 per share (the “Series H Conversion Price”). The Series H Conversion Price is subject to customary adjustments for stock dividends, stock splits, reclassifications, stock combinations and the like.</w:t>
      </w:r>
    </w:p>
    <w:p>
      <w:pPr>
        <w:spacing w:after="0" w:line="15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A Holder of the Series H Preferred Stock may not convert any portion of the Series H Preferred Stock to the extent that the Holder, together with its affiliates, would beneficially own more than 4.99% of the Company’s outstanding shares of Common Stock immediately after conversion, except that upon at least 61 days’ prior notice from the Holder to the Company, the Holder may increase the beneficial ownership limitation to up to 9.99% of the number of shares of Common Stock outstanding immediately after giving effect to the conversion.</w:t>
      </w:r>
    </w:p>
    <w:p>
      <w:pPr>
        <w:spacing w:after="0" w:line="176"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Pursuant to the Series H Certificate of Designations, so long as any shares of the Series H Preferred Stock are outstanding, the Company may not, directly or indirectly, redeem, or declare or pay any cash dividend or distribution on, any securities of the Company without the prior express written consent of the Required Holders (as defined in the Series H Certificate of Designations). In the event that dividends are consented to by the Required Holders, the Holders of the Series H Preferred Stock shall be entitled to receive dividends on shares of the Series H Preferred Stock equal (on an as-if-converted-to-Common-Stock basis) to and in the same form as dividends actually paid on shares of the Common Stock when, as and if such dividends are paid on shares of the Common Stock. No other dividends may be paid on shares of the Series H Preferred Stock.</w:t>
      </w:r>
    </w:p>
    <w:p>
      <w:pPr>
        <w:spacing w:after="0" w:line="179"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7"/>
          <w:szCs w:val="17"/>
          <w:color w:val="auto"/>
        </w:rPr>
        <w:t>Except as otherwise provided in the Series H Certificate of Designations or as otherwise required by law, the Series H Preferred Stock will have no voting rights except as provided by law. However, as long as any shares of Series H Preferred Stock are outstanding, the Company may not, without the affirmative vote at a meeting duly called for such purpose, or the written consent without a meeting, of the Required Holders, voting together as a single class, (a) amend or repeal any provision of, or add any provision to, its charter documents, including, without limitation, its Certificate of Incorporation or bylaws, the Series H Certificate of Designation, or file any certificate of designations or articles of amendment of any series of shares of preferred stock, in each case, only if such action would adversely alter or change in any respect the preferences, rights, privileges or powers, or restrictions provided for the benefit, of the Series H Preferred Stock, regardless of whether any such action shall be by means of amendment to the Certificate of Incorporation or by merger, consolidation or otherwise; (b) increase or decrease (other than by conversion) the authorized number of shares of the Series H Preferred Stock; (c) create or authorize (by reclassification or otherwise) any new class or series of shares that has a preference over the Series H Preferred Stock with respect to dividends or the distribution of assets on the liquidation, dissolution or winding up of the Company; (d) pay dividends or make any other distribution on any shares of any capital stock of the Company junior in rank to the Series H Preferred Stock; or (e) whether or not prohibited by the terms of the Series H Preferred Stock, circumvent a right of the Series H Preferred Stock.</w:t>
      </w:r>
    </w:p>
    <w:p>
      <w:pPr>
        <w:spacing w:after="0" w:line="18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The Series H Preferred Shares are not mandatorily redeemable and do not embody an unconditional obligation to settle in a variable number of equity shares. As such, the Series H Preferred Stock are classified as permanent equity on the unaudited condensed consolidated balance sheets. The holder’s contingent redemption right in the event of certain deemed liquidation events does not preclude permanent equity classification. The Series H Preferred Shares were determined to be more akin to an equity-like host than a debt-like host for purposes of assessing embedded derivative features for potential bifurcation. The embedded conversion feature is considered to be clearly and closely related to the associated convertible preferred stock host instrument and therefore was not bifurcated from the equity host.</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Series H Warrants</w:t>
      </w:r>
    </w:p>
    <w:p>
      <w:pPr>
        <w:spacing w:after="0" w:line="20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The exercise price of the Series H Warrants is subject to customary adjustments for stock dividends, stock splits, reclassifications and the like. A holder of the Series H Warrants may not exercise any portion of such holder’s Warrants to the extent that the holder, together with its affiliates, would beneficially own more than 4.99%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w:t>
      </w:r>
    </w:p>
    <w:p>
      <w:pPr>
        <w:spacing w:after="0" w:line="17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 Company assessed the Series H Warrants under ASC 480 and ASC 815 and determined that they met the requirements to be classified in stockholders’ equity upon issuance.</w:t>
      </w:r>
    </w:p>
    <w:p>
      <w:pPr>
        <w:spacing w:after="0" w:line="159"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7"/>
          <w:szCs w:val="17"/>
          <w:color w:val="auto"/>
        </w:rPr>
        <w:t>Pursuant to the Placement Agency Agreement, the Company issued to the Placement Agent the Series H Placement Agent Warrants to purchase 5,333,277 shares of Common Stock with the same terms as the Series H Warrants except that the Series H Placement Agent Warrants have a term of five (5) years from the date of issuance. The Series H Placement Agent Warrants are within the scope of ASC 718 pursuant to ASC 718-10-20 and were determined to qualify for equity classification upon issuance. The total aggregate fair value of the Series H Placement Agent Warrants between the First Closing and the Second Closing of approximately $7,152 was included as a component of total transaction costs for the February 2026 Private Placement and was accordingly recorded in equity. The issuance date fair value of the Series H Placement Agent Warrants issued in the First Closing of $7,048 was determined using the Black Scholes Model using the following weighted average assumptions: the fair value of the Company’s common stock per share of $1.49; remaining term of 5 years; equity volatility of 101%; and a risk-free interest rate of 3.5%. The issuance date fair value of the Series H Placement Agent Warrants issued in the Second Closing of $104 was determined using the Black Scholes Model using the following weighted average assumptions: the fair value of the Company’s common stock per share of $1.37; remaining term of 5 years; equity volatility of 100%; and a risk-free interest rate of 3.6%.</w:t>
      </w:r>
    </w:p>
    <w:p>
      <w:pPr>
        <w:spacing w:after="0" w:line="18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Transaction costs totaling $10,216 were incurred related to the February 2026 Private Placement consisting of cash expenses for placement agent fees, legal fees, and accounting costs related to the financing, as well as the fair value of Series H Placement Agent Warrants. Net proceeds from the February 2026 Private Placement totaled $28,269. As the Series H Preferred Stock and Series H Warrants were classified in permanent equity, all transaction costs were recorded as an offset to additional paid-in capital.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February 2026 Omnibus Agreement</w:t>
      </w:r>
    </w:p>
    <w:p>
      <w:pPr>
        <w:spacing w:after="0" w:line="205"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On February 24, 2026, the Company entered into the Omnibus Agreement, by and between the Company and January 2025 Investors, pursuant to which, the Company agreed to (i) repurchase from the January 2025 Investors $3,468 of aggregate principal amount of the Notes, representing the entire outstanding principal amounts of the Notes and any accrued and unpaid interest thereon, (ii) redeem 196 shares of Series G Preferred Stock held by the January 2025 Investors with an aggregate Stated Value of $196 and $27 of accrued and unpaid dividends thereon, representing all outstanding shares of Series G Preferred Stock, and (iii) redeem all Amended and Restated Warrants held by the January 2025 Investors, representing all outstanding Series A Warrants and Series B Warrants, for an aggregate cash purchase price of $9,000 (collectively, the “Repurchase”). The Repurchase closed on March 2, 2026.</w:t>
      </w:r>
    </w:p>
    <w:p>
      <w:pPr>
        <w:spacing w:after="0" w:line="16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On March 4, 2026, the Company filed a Certificate of Elimination (the “Certificate of Elimination”) with respect to its Series G Preferred Stock, with the Delaware Secretary of State. The Certificate of Elimination (i) eliminates the previous designation of 4,000 shares of Series G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allocated the total cash purchase price related to the Repurchase among the Series G Preferred Stock, the Notes, and the Amended and Restated Warrants using the relative fair value method on March 2, 2026 as summarized in the table below and accounted for each instrument in accordance with the relevant accounting guidance:</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99"/>
        </w:trPr>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Percentage of</w:t>
            </w:r>
          </w:p>
        </w:tc>
        <w:tc>
          <w:tcPr>
            <w:tcW w:w="236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Allocated consideration based</w:t>
            </w:r>
          </w:p>
        </w:tc>
      </w:tr>
      <w:tr>
        <w:trPr>
          <w:trHeight w:val="224"/>
        </w:trPr>
        <w:tc>
          <w:tcPr>
            <w:tcW w:w="2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Instrument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total fair value</w:t>
            </w:r>
          </w:p>
        </w:tc>
        <w:tc>
          <w:tcPr>
            <w:tcW w:w="2360" w:type="dxa"/>
            <w:vAlign w:val="bottom"/>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on relative fair value</w:t>
            </w:r>
          </w:p>
        </w:tc>
      </w:tr>
      <w:tr>
        <w:trPr>
          <w:trHeight w:val="199"/>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G Preferred</w:t>
            </w:r>
          </w:p>
        </w:tc>
        <w:tc>
          <w:tcPr>
            <w:tcW w:w="1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199"/>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Notes</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12,906</w:t>
            </w:r>
          </w:p>
        </w:tc>
        <w:tc>
          <w:tcPr>
            <w:tcW w:w="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50.92%</w:t>
            </w:r>
          </w:p>
        </w:tc>
        <w:tc>
          <w:tcPr>
            <w:tcW w:w="8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4,582</w:t>
            </w:r>
          </w:p>
        </w:tc>
      </w:tr>
      <w:tr>
        <w:trPr>
          <w:trHeight w:val="183"/>
        </w:trPr>
        <w:tc>
          <w:tcPr>
            <w:tcW w:w="20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Amended and Restated</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w:t>
            </w: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12,044</w:t>
            </w:r>
          </w:p>
        </w:tc>
        <w:tc>
          <w:tcPr>
            <w:tcW w:w="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w:t>
            </w:r>
          </w:p>
        </w:tc>
        <w:tc>
          <w:tcPr>
            <w:tcW w:w="8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4,277</w:t>
            </w:r>
          </w:p>
        </w:tc>
      </w:tr>
      <w:tr>
        <w:trPr>
          <w:trHeight w:val="192"/>
        </w:trPr>
        <w:tc>
          <w:tcPr>
            <w:tcW w:w="2040" w:type="dxa"/>
            <w:vAlign w:val="bottom"/>
          </w:tcPr>
          <w:p>
            <w:pPr>
              <w:ind w:left="100"/>
              <w:spacing w:after="0" w:line="192" w:lineRule="exact"/>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bottom w:val="single" w:sz="8" w:color="auto"/>
            </w:tcBorders>
          </w:tcPr>
          <w:p>
            <w:pPr>
              <w:ind w:left="80"/>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25,348</w:t>
            </w: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100.00%</w:t>
            </w: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9,000</w:t>
            </w:r>
          </w:p>
        </w:tc>
      </w:tr>
    </w:tbl>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Accounting Treatment – Redemption of Series G Preferred Stock</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summarizes the calculation of the net carrying value of the Series G Preferred Shares before the Repurchase:</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9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Stated value of outstanding Preferred Shares</w:t>
            </w:r>
          </w:p>
        </w:tc>
        <w:tc>
          <w:tcPr>
            <w:tcW w:w="19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199"/>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Premium</w:t>
            </w: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19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bifurcated derivative liability</w:t>
            </w: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19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Accrued Series G Convertible Preferred payable</w:t>
            </w:r>
          </w:p>
        </w:tc>
        <w:tc>
          <w:tcPr>
            <w:tcW w:w="1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92"/>
        </w:trPr>
        <w:tc>
          <w:tcPr>
            <w:tcW w:w="46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247</w:t>
            </w:r>
          </w:p>
        </w:tc>
      </w:tr>
      <w:tr>
        <w:trPr>
          <w:trHeight w:val="20"/>
        </w:trPr>
        <w:tc>
          <w:tcPr>
            <w:tcW w:w="4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During the three months ended March 31, 2026 prior to the Repurchase the Company incurred $82 in dividends, and paid $76 of dividends in cash related to the Series G Preferred Stock. Additionally, the Company issued 1,855,442 shares of its common stock in conversion of Series G Preferred Shares for a total value of $543.</w:t>
      </w:r>
    </w:p>
    <w:p>
      <w:pPr>
        <w:spacing w:after="0" w:line="17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The Company estimated the $398 fair value of the remaining Series G Preferred Stock and the $22 fair value of the bifurcated embedded derivative related to the Series G Preferred Stock prior to the Repurchase on March 2, 2026 using a Monte Carlo simulation model, with the following inputs: the fair value of the Company’s common stock of $1.70 on the valuation date, estimated equity volatility of 148%, the time to maturity of 0.87 years, a discounted market interest rate 6.3%, a risk-free rate of 3.51%, dividend rate of 8.0%, a penalty dividend rate of 15.0%, and probability of default of 3.9%. Prior to the Repurchase, the Company recognized a gain of $40 related to the change in the fair value of the derivative during the three months ended March 31, 2026, which is recorded in other income (expense) on the unaudited condensed consolidated statement of operations.</w:t>
      </w:r>
    </w:p>
    <w:p>
      <w:pPr>
        <w:spacing w:after="0" w:line="17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Company treated the extinguishment of the Series G Convertible Preferred Stock as a redemption in accordance with ASC Topic 260, Earnings Per Share. Accordingly, the Company thus recognized a total of $106 representing the difference between the allocated consideration of $141 and the carrying amount of the Series G Preferred Shares of $247 as a deemed contribution, which is added to net loss attributable to common stockholders in the unaudited consolidated statement of operations and comprehensive loss for the three months ended March 31, 2026 and recognized as additional paid-in capital.</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Accounting Treatment – Extinguishment of the Notes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summarizes the calculation of the net carrying value of the Notes before the Repurchase: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90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principal</w:t>
            </w:r>
          </w:p>
        </w:tc>
        <w:tc>
          <w:tcPr>
            <w:tcW w:w="33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Unamortized premium</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 payable</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Fair value of bifurcated derivative liability</w:t>
            </w:r>
          </w:p>
        </w:tc>
        <w:tc>
          <w:tcPr>
            <w:tcW w:w="3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3160" w:type="dxa"/>
            <w:vAlign w:val="bottom"/>
            <w:tcBorders>
              <w:bottom w:val="single" w:sz="8" w:color="CCEEFF"/>
            </w:tcBorders>
            <w:shd w:val="clear" w:color="auto" w:fill="CCEEFF"/>
          </w:tcPr>
          <w:p>
            <w:pPr>
              <w:spacing w:after="0"/>
              <w:rPr>
                <w:sz w:val="16"/>
                <w:szCs w:val="16"/>
                <w:color w:val="auto"/>
              </w:rPr>
            </w:pPr>
          </w:p>
        </w:tc>
        <w:tc>
          <w:tcPr>
            <w:tcW w:w="3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13,109</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20" w:type="dxa"/>
            <w:vAlign w:val="bottom"/>
            <w:vMerge w:val="restart"/>
          </w:tcPr>
          <w:p>
            <w:pPr>
              <w:jc w:val="right"/>
              <w:ind w:right="2557"/>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9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right="279"/>
        <w:spacing w:after="0" w:line="256" w:lineRule="auto"/>
        <w:rPr>
          <w:sz w:val="20"/>
          <w:szCs w:val="20"/>
          <w:color w:val="auto"/>
        </w:rPr>
      </w:pPr>
      <w:r>
        <w:rPr>
          <w:rFonts w:ascii="Times New Roman" w:cs="Times New Roman" w:eastAsia="Times New Roman" w:hAnsi="Times New Roman"/>
          <w:sz w:val="17"/>
          <w:szCs w:val="17"/>
          <w:color w:val="auto"/>
        </w:rPr>
        <w:t>The Company recognized interest expense totaling approximately $53 during the three months ended March 31, 2026 prior to the Repurchase, reflecting an effective interest rate of 8.80% and which was comprised of approximately $46 interest at the stated rate, and approximately $7 representing the amortization of the premium recognized at issuance.</w:t>
      </w:r>
    </w:p>
    <w:p>
      <w:pPr>
        <w:spacing w:after="0" w:line="17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The Company estimated the $12,906 fair value of the Notes and the $9,431 fair value of the bifurcated embedded derivative related to the Notes prior to the Repurchase on March 2, 2026 using a Monte Carlo simulation model, with the following inputs: the fair value of the Company’s common stock of $1.70 on the valuation date, estimated equity volatility of 108%, the time to maturity of 3.03 years, a discounted market interest rate of 6.5%, a risk-free rate of 3.43%, and probability of default of 15.6%. Prior to the Repurchase, the Company recognized a loss of $5,624 related to the change in the fair value of the derivative during the three months ended March 31, 2026, which is recorded in other income (expense) on the unaudited condensed consolidated statement of operations.</w:t>
      </w:r>
    </w:p>
    <w:p>
      <w:pPr>
        <w:spacing w:after="0" w:line="17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The Company accounted for the repurchase of the Notes as a debt extinguishment in accordance with ASC Topic 470, Debt. Accordingly, the $8,527 difference between the allocated consideration of $4,583 and the carrying amount of the Notes of $13,109 was recognized as a capital contribution recognized in additional paid-in capital as the Notes were held by certain of the Company’s investors.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Accounting Treatment – Repurchase of the Amended and Restated Warrants</w:t>
      </w:r>
    </w:p>
    <w:p>
      <w:pPr>
        <w:spacing w:after="0" w:line="20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estimated the $12,044 fair value of the Amended and Restated Warrants prior to the Repurchase on March 2, 2026 using the Black Scholes Model using the following weighted average assumptions: the fair value of the Company’s common stock per share of $1.70; remaining term of 3.87 years; equity volatility of 103%; and a risk-free interest rate of 3.49%.</w:t>
      </w:r>
    </w:p>
    <w:p>
      <w:pPr>
        <w:spacing w:after="0" w:line="171"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accounted for the repurchase of the Amended and Restated Warrants in accordance with the guidance in ASC Topic 815, Derivatives and Hedging, related to the repurchase of freestanding equity-classified instruments. Accordingly, the allocated consideration of $4,277 was recorded as reduction of additional paid-in capital.</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represents the activity related to the Company’s warrants during the three months ended March 31, 2026:</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2700" w:type="dxa"/>
            <w:vAlign w:val="bottom"/>
            <w:gridSpan w:val="3"/>
          </w:tcPr>
          <w:p>
            <w:pPr>
              <w:jc w:val="right"/>
              <w:ind w:right="1300"/>
              <w:spacing w:after="0"/>
              <w:rPr>
                <w:sz w:val="20"/>
                <w:szCs w:val="20"/>
                <w:color w:val="auto"/>
              </w:rPr>
            </w:pPr>
            <w:r>
              <w:rPr>
                <w:rFonts w:ascii="Times New Roman" w:cs="Times New Roman" w:eastAsia="Times New Roman" w:hAnsi="Times New Roman"/>
                <w:sz w:val="17"/>
                <w:szCs w:val="17"/>
                <w:b w:val="1"/>
                <w:bCs w:val="1"/>
                <w:color w:val="auto"/>
              </w:rPr>
              <w:t>​​​</w:t>
            </w:r>
          </w:p>
        </w:tc>
        <w:tc>
          <w:tcPr>
            <w:tcW w:w="176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 Weighted average  ​​​</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Remaining</w:t>
            </w:r>
          </w:p>
        </w:tc>
      </w:tr>
      <w:tr>
        <w:trPr>
          <w:trHeight w:val="220"/>
        </w:trPr>
        <w:tc>
          <w:tcPr>
            <w:tcW w:w="2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No. of Warrants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contractual term (years)</w:t>
            </w:r>
          </w:p>
        </w:tc>
      </w:tr>
      <w:tr>
        <w:trPr>
          <w:trHeight w:val="192"/>
        </w:trPr>
        <w:tc>
          <w:tcPr>
            <w:tcW w:w="26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December 31, 2025</w:t>
            </w:r>
          </w:p>
        </w:tc>
        <w:tc>
          <w:tcPr>
            <w:tcW w:w="13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9,045,000</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center"/>
              <w:ind w:left="17"/>
              <w:spacing w:after="0" w:line="192" w:lineRule="exact"/>
              <w:rPr>
                <w:sz w:val="20"/>
                <w:szCs w:val="20"/>
                <w:color w:val="auto"/>
              </w:rPr>
            </w:pPr>
            <w:r>
              <w:rPr>
                <w:rFonts w:ascii="Times New Roman" w:cs="Times New Roman" w:eastAsia="Times New Roman" w:hAnsi="Times New Roman"/>
                <w:sz w:val="17"/>
                <w:szCs w:val="17"/>
                <w:color w:val="auto"/>
                <w:w w:val="93"/>
              </w:rPr>
              <w:t>4.18</w:t>
            </w:r>
          </w:p>
        </w:tc>
      </w:tr>
      <w:tr>
        <w:trPr>
          <w:trHeight w:val="199"/>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71,999,234</w:t>
            </w:r>
          </w:p>
        </w:tc>
        <w:tc>
          <w:tcPr>
            <w:tcW w:w="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w w:val="93"/>
              </w:rPr>
              <w:t>—</w:t>
            </w:r>
          </w:p>
        </w:tc>
      </w:tr>
      <w:tr>
        <w:trPr>
          <w:trHeight w:val="19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Repurchased</w:t>
            </w:r>
          </w:p>
        </w:tc>
        <w:tc>
          <w:tcPr>
            <w:tcW w:w="2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(9,045,000)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3"/>
              </w:rPr>
              <w:t>—</w:t>
            </w:r>
          </w:p>
        </w:tc>
      </w:tr>
      <w:tr>
        <w:trPr>
          <w:trHeight w:val="199"/>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March 31, 2026</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71,999,234</w:t>
            </w:r>
          </w:p>
        </w:tc>
        <w:tc>
          <w:tcPr>
            <w:tcW w:w="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w w:val="93"/>
              </w:rPr>
              <w:t>3.06</w:t>
            </w:r>
          </w:p>
        </w:tc>
      </w:tr>
      <w:tr>
        <w:trPr>
          <w:trHeight w:val="20"/>
        </w:trPr>
        <w:tc>
          <w:tcPr>
            <w:tcW w:w="2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All outstanding warrants were exercisable as of March 31, 2026 with an intrinsic value of $57,959.</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20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Total stock-based compensation for the three months ended March 31, 2026 and 2025 was $886 and $83, respectively. All stock-based compensation for the three months ended March 31, 2026 and 2025 is presented on the unaudited condensed consolidated statements of operations and comprehensive loss within general and administrative expense.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tables summarize information about stock options and RSU activity for the three months ended March 31, 2026:</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RSUs</w:t>
            </w:r>
          </w:p>
        </w:tc>
        <w:tc>
          <w:tcPr>
            <w:tcW w:w="720" w:type="dxa"/>
            <w:vAlign w:val="bottom"/>
            <w:tcBorders>
              <w:bottom w:val="single" w:sz="8" w:color="auto"/>
            </w:tcBorders>
          </w:tcPr>
          <w:p>
            <w:pPr>
              <w:spacing w:after="0"/>
              <w:rPr>
                <w:sz w:val="19"/>
                <w:szCs w:val="19"/>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500" w:type="dxa"/>
            <w:vAlign w:val="bottom"/>
            <w:gridSpan w:val="3"/>
          </w:tcPr>
          <w:p>
            <w:pPr>
              <w:jc w:val="right"/>
              <w:ind w:right="900"/>
              <w:spacing w:after="0" w:line="172" w:lineRule="exact"/>
              <w:rPr>
                <w:sz w:val="20"/>
                <w:szCs w:val="20"/>
                <w:color w:val="auto"/>
              </w:rPr>
            </w:pPr>
            <w:r>
              <w:rPr>
                <w:rFonts w:ascii="Arial" w:cs="Arial" w:eastAsia="Arial" w:hAnsi="Arial"/>
                <w:sz w:val="17"/>
                <w:szCs w:val="17"/>
                <w:b w:val="1"/>
                <w:bCs w:val="1"/>
                <w:color w:val="auto"/>
              </w:rPr>
              <w:t>​​​</w:t>
            </w:r>
          </w:p>
        </w:tc>
        <w:tc>
          <w:tcPr>
            <w:tcW w:w="96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7"/>
                <w:szCs w:val="17"/>
                <w:b w:val="1"/>
                <w:bCs w:val="1"/>
                <w:color w:val="auto"/>
              </w:rPr>
              <w:t>​​​ Weighted</w:t>
            </w: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5"/>
          </w:tcPr>
          <w:p>
            <w:pPr>
              <w:ind w:left="40"/>
              <w:spacing w:after="0" w:line="172" w:lineRule="exact"/>
              <w:rPr>
                <w:sz w:val="20"/>
                <w:szCs w:val="20"/>
                <w:color w:val="auto"/>
              </w:rPr>
            </w:pPr>
            <w:r>
              <w:rPr>
                <w:rFonts w:ascii="Times New Roman" w:cs="Times New Roman" w:eastAsia="Times New Roman" w:hAnsi="Times New Roman"/>
                <w:sz w:val="17"/>
                <w:szCs w:val="17"/>
                <w:b w:val="1"/>
                <w:bCs w:val="1"/>
                <w:color w:val="auto"/>
              </w:rPr>
              <w:t>​​​ Weighted  ​​​</w:t>
            </w:r>
          </w:p>
        </w:tc>
        <w:tc>
          <w:tcPr>
            <w:tcW w:w="1060" w:type="dxa"/>
            <w:vAlign w:val="bottom"/>
          </w:tcPr>
          <w:p>
            <w:pPr>
              <w:ind w:left="200"/>
              <w:spacing w:after="0" w:line="172"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No. of</w:t>
            </w:r>
          </w:p>
        </w:tc>
        <w:tc>
          <w:tcPr>
            <w:tcW w:w="120" w:type="dxa"/>
            <w:vAlign w:val="bottom"/>
          </w:tcPr>
          <w:p>
            <w:pPr>
              <w:spacing w:after="0"/>
              <w:rPr>
                <w:sz w:val="17"/>
                <w:szCs w:val="17"/>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grant date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No.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0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RSUs</w:t>
            </w:r>
          </w:p>
        </w:tc>
        <w:tc>
          <w:tcPr>
            <w:tcW w:w="120" w:type="dxa"/>
            <w:vAlign w:val="bottom"/>
          </w:tcPr>
          <w:p>
            <w:pPr>
              <w:spacing w:after="0"/>
              <w:rPr>
                <w:sz w:val="19"/>
                <w:szCs w:val="19"/>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price</w:t>
            </w: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term</w:t>
            </w:r>
          </w:p>
        </w:tc>
        <w:tc>
          <w:tcPr>
            <w:tcW w:w="0" w:type="dxa"/>
            <w:vAlign w:val="bottom"/>
          </w:tcPr>
          <w:p>
            <w:pPr>
              <w:spacing w:after="0"/>
              <w:rPr>
                <w:sz w:val="1"/>
                <w:szCs w:val="1"/>
                <w:color w:val="auto"/>
              </w:rPr>
            </w:pPr>
          </w:p>
        </w:tc>
      </w:tr>
      <w:tr>
        <w:trPr>
          <w:trHeight w:val="192"/>
        </w:trPr>
        <w:tc>
          <w:tcPr>
            <w:tcW w:w="29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Outstanding as of December 31, 2025</w:t>
            </w:r>
          </w:p>
        </w:tc>
        <w:tc>
          <w:tcPr>
            <w:tcW w:w="5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55,000</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1.30</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921,267</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4.24</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ind w:left="180"/>
              <w:spacing w:after="0" w:line="192" w:lineRule="exact"/>
              <w:rPr>
                <w:sz w:val="20"/>
                <w:szCs w:val="20"/>
                <w:color w:val="auto"/>
              </w:rPr>
            </w:pPr>
            <w:r>
              <w:rPr>
                <w:rFonts w:ascii="Times New Roman" w:cs="Times New Roman" w:eastAsia="Times New Roman" w:hAnsi="Times New Roman"/>
                <w:sz w:val="17"/>
                <w:szCs w:val="17"/>
                <w:color w:val="auto"/>
              </w:rPr>
              <w:t>8.63 years</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Exercised/Vested</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(517,500)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5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w:t>
            </w:r>
          </w:p>
        </w:tc>
        <w:tc>
          <w:tcPr>
            <w:tcW w:w="5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(16,253)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980" w:type="dxa"/>
            <w:vAlign w:val="bottom"/>
            <w:tcBorders>
              <w:bottom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Outstanding as of March 31, 2026</w:t>
            </w:r>
          </w:p>
        </w:tc>
        <w:tc>
          <w:tcPr>
            <w:tcW w:w="5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37,500</w:t>
            </w: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gridSpan w:val="2"/>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1.43</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905,014</w:t>
            </w: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gridSpan w:val="2"/>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4.24</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ind w:left="180"/>
              <w:spacing w:after="0" w:line="192" w:lineRule="exact"/>
              <w:rPr>
                <w:sz w:val="20"/>
                <w:szCs w:val="20"/>
                <w:color w:val="auto"/>
              </w:rPr>
            </w:pPr>
            <w:r>
              <w:rPr>
                <w:rFonts w:ascii="Times New Roman" w:cs="Times New Roman" w:eastAsia="Times New Roman" w:hAnsi="Times New Roman"/>
                <w:sz w:val="17"/>
                <w:szCs w:val="17"/>
                <w:color w:val="auto"/>
              </w:rPr>
              <w:t>8.49 years</w:t>
            </w:r>
          </w:p>
        </w:tc>
        <w:tc>
          <w:tcPr>
            <w:tcW w:w="0" w:type="dxa"/>
            <w:vAlign w:val="bottom"/>
          </w:tcPr>
          <w:p>
            <w:pPr>
              <w:spacing w:after="0"/>
              <w:rPr>
                <w:sz w:val="1"/>
                <w:szCs w:val="1"/>
                <w:color w:val="auto"/>
              </w:rPr>
            </w:pPr>
          </w:p>
        </w:tc>
      </w:tr>
      <w:tr>
        <w:trPr>
          <w:trHeight w:val="176"/>
        </w:trPr>
        <w:tc>
          <w:tcPr>
            <w:tcW w:w="2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Exercisable as of March 31, 2026</w:t>
            </w:r>
          </w:p>
        </w:tc>
        <w:tc>
          <w:tcPr>
            <w:tcW w:w="5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763,588</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4.83</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8.37 years</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Unrecognized stock-based payment cost related to non-vested stock options as of March 31, 2026 was $80, vesting over the next .17 years.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Unrecognized stock-based payment cost related to non-vested RSUs as of March 31, 2026 was $43.</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11. Revenue</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0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 following table provides information about disaggregated revenue from contracts with customers by the nature of products and services provided:</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37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4"/>
          </w:tcPr>
          <w:p>
            <w:pPr>
              <w:jc w:val="right"/>
              <w:ind w:right="65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2300" w:type="dxa"/>
            <w:vAlign w:val="bottom"/>
            <w:vMerge w:val="restart"/>
          </w:tcPr>
          <w:p>
            <w:pPr>
              <w:ind w:left="218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97"/>
              <w:spacing w:after="0" w:line="192" w:lineRule="exact"/>
              <w:rPr>
                <w:sz w:val="20"/>
                <w:szCs w:val="20"/>
                <w:color w:val="auto"/>
              </w:rPr>
            </w:pPr>
            <w:r>
              <w:rPr>
                <w:rFonts w:ascii="Times New Roman" w:cs="Times New Roman" w:eastAsia="Times New Roman" w:hAnsi="Times New Roman"/>
                <w:sz w:val="17"/>
                <w:szCs w:val="17"/>
                <w:b w:val="1"/>
                <w:bCs w:val="1"/>
                <w:color w:val="auto"/>
              </w:rPr>
              <w:t>2026</w:t>
            </w:r>
          </w:p>
        </w:tc>
        <w:tc>
          <w:tcPr>
            <w:tcW w:w="640" w:type="dxa"/>
            <w:vAlign w:val="bottom"/>
            <w:gridSpan w:val="2"/>
          </w:tcPr>
          <w:p>
            <w:pPr>
              <w:jc w:val="right"/>
              <w:ind w:right="33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477"/>
              <w:spacing w:after="0" w:line="192" w:lineRule="exact"/>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2"/>
        </w:trPr>
        <w:tc>
          <w:tcPr>
            <w:tcW w:w="37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Revenue, point in time</w:t>
            </w:r>
          </w:p>
        </w:tc>
        <w:tc>
          <w:tcPr>
            <w:tcW w:w="2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4,721</w:t>
            </w:r>
          </w:p>
        </w:tc>
        <w:tc>
          <w:tcPr>
            <w:tcW w:w="2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5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4,846</w:t>
            </w:r>
          </w:p>
        </w:tc>
        <w:tc>
          <w:tcPr>
            <w:tcW w:w="0" w:type="dxa"/>
            <w:vAlign w:val="bottom"/>
          </w:tcPr>
          <w:p>
            <w:pPr>
              <w:spacing w:after="0"/>
              <w:rPr>
                <w:sz w:val="1"/>
                <w:szCs w:val="1"/>
                <w:color w:val="auto"/>
              </w:rPr>
            </w:pPr>
          </w:p>
        </w:tc>
      </w:tr>
      <w:tr>
        <w:trPr>
          <w:trHeight w:val="199"/>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Revenue, over time</w:t>
            </w: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Total Revenue</w:t>
            </w:r>
          </w:p>
        </w:tc>
        <w:tc>
          <w:tcPr>
            <w:tcW w:w="23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6,638</w:t>
            </w: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5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7,023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As of March 31, 2026, the unrecognized committed amount of the Ginkgo/Bioworks contract is $362.</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Contract Costs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 has no contract costs related to the periods presented.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20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Contract liabilities are classified as deferred revenue in the unaudited condensed consolidated balance sheets. The activity in deferred revenue as of March 31, 2026 and December 31, 2025, was as follows: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760" w:type="dxa"/>
            <w:vAlign w:val="bottom"/>
          </w:tcPr>
          <w:p>
            <w:pPr>
              <w:spacing w:after="0"/>
              <w:rPr>
                <w:sz w:val="19"/>
                <w:szCs w:val="19"/>
                <w:color w:val="auto"/>
              </w:rPr>
            </w:pPr>
          </w:p>
        </w:tc>
        <w:tc>
          <w:tcPr>
            <w:tcW w:w="158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 December 31, 2025</w:t>
            </w:r>
          </w:p>
        </w:tc>
      </w:tr>
      <w:tr>
        <w:trPr>
          <w:trHeight w:val="192"/>
        </w:trPr>
        <w:tc>
          <w:tcPr>
            <w:tcW w:w="576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Beginning of the period contract liability</w:t>
            </w:r>
          </w:p>
        </w:tc>
        <w:tc>
          <w:tcPr>
            <w:tcW w:w="3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3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1,126</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1,143</w:t>
            </w:r>
          </w:p>
        </w:tc>
      </w:tr>
      <w:tr>
        <w:trPr>
          <w:trHeight w:val="199"/>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Revenue recognized from the contract liabilities included in the beginning balance</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w:t>
            </w:r>
          </w:p>
        </w:tc>
      </w:tr>
      <w:tr>
        <w:trPr>
          <w:trHeight w:val="19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Increases due cash received net of amounts recognized revenue during the period</w:t>
            </w:r>
          </w:p>
        </w:tc>
        <w:tc>
          <w:tcPr>
            <w:tcW w:w="3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r>
      <w:tr>
        <w:trPr>
          <w:trHeight w:val="192"/>
        </w:trPr>
        <w:tc>
          <w:tcPr>
            <w:tcW w:w="576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End of period contract liability</w:t>
            </w:r>
          </w:p>
        </w:tc>
        <w:tc>
          <w:tcPr>
            <w:tcW w:w="360" w:type="dxa"/>
            <w:vAlign w:val="bottom"/>
          </w:tcPr>
          <w:p>
            <w:pPr>
              <w:spacing w:after="0"/>
              <w:rPr>
                <w:sz w:val="16"/>
                <w:szCs w:val="16"/>
                <w:color w:val="auto"/>
              </w:rPr>
            </w:pPr>
          </w:p>
        </w:tc>
        <w:tc>
          <w:tcPr>
            <w:tcW w:w="400" w:type="dxa"/>
            <w:vAlign w:val="bottom"/>
          </w:tcPr>
          <w:p>
            <w:pPr>
              <w:jc w:val="right"/>
              <w:ind w:right="23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790</w:t>
            </w:r>
          </w:p>
        </w:tc>
        <w:tc>
          <w:tcPr>
            <w:tcW w:w="6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540" w:type="dxa"/>
            <w:vAlign w:val="bottom"/>
          </w:tcPr>
          <w:p>
            <w:pPr>
              <w:jc w:val="right"/>
              <w:ind w:right="4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1,126</w:t>
            </w:r>
          </w:p>
        </w:tc>
      </w:tr>
      <w:tr>
        <w:trPr>
          <w:trHeight w:val="20"/>
        </w:trPr>
        <w:tc>
          <w:tcPr>
            <w:tcW w:w="5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Of the $1,126 outstanding as of December 31, 2025, $431 has been recognized as revenue for the three months ended March 31, 2026.</w:t>
      </w:r>
    </w:p>
    <w:p>
      <w:pPr>
        <w:spacing w:after="0" w:line="159"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Company applies the right-to-invoice practical expedient for its Priority Pass revenue stream and recognizes revenue in the amount it is entitled to invoice when that amount corresponds directly with the value of the performance to date. For the Company’s XpresTest business unit, there are no portions of unfulfilled performance obligations, because the Company’s efforts towards satisfying each of the performance obligations are expended evenly throughout the period of performance. Naples Wax Center offers prepaid wax packages that are either unlimited for one year or a set number of services. When the packages are purchased, the sales are recorded as deferred revenue, which was $790 and $837 as of March 31, 2026 and December 31, 2025, respectively. As services related to prepaid packages are used, revenue is recognized as income.</w:t>
      </w: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12. Segment Information</w:t>
      </w:r>
    </w:p>
    <w:p>
      <w:pPr>
        <w:spacing w:after="0" w:line="20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 CODM evaluates performance and allocates resources for all of its reportable segments based on segment revenues and operating income.</w:t>
      </w:r>
    </w:p>
    <w:p>
      <w:pPr>
        <w:spacing w:after="0" w:line="159"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color w:val="auto"/>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table below presents information about reported segments for the three and three months ended March 31, 2026 and 2025:</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Three months ended March 31, 2026</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71"/>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8"/>
              </w:rPr>
              <w:t>Corporate and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0"/>
        </w:trPr>
        <w:tc>
          <w:tcPr>
            <w:tcW w:w="240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XpresSpa</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XpresTest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​​​Naples Wax</w:t>
            </w:r>
          </w:p>
        </w:tc>
        <w:tc>
          <w:tcPr>
            <w:tcW w:w="4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4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2"/>
        </w:trPr>
        <w:tc>
          <w:tcPr>
            <w:tcW w:w="24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Revenue</w:t>
            </w:r>
          </w:p>
        </w:tc>
        <w:tc>
          <w:tcPr>
            <w:tcW w:w="8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4,197</w:t>
            </w: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1,917</w:t>
            </w:r>
          </w:p>
        </w:tc>
        <w:tc>
          <w:tcPr>
            <w:tcW w:w="1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524</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6,638</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Operating (loss)/income</w:t>
            </w:r>
          </w:p>
        </w:tc>
        <w:tc>
          <w:tcPr>
            <w:tcW w:w="11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42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500" w:type="dxa"/>
            <w:vAlign w:val="bottom"/>
            <w:gridSpan w:val="2"/>
          </w:tcPr>
          <w:p>
            <w:pPr>
              <w:jc w:val="right"/>
              <w:ind w:right="2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40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(5,937)</w:t>
            </w:r>
          </w:p>
        </w:tc>
        <w:tc>
          <w:tcPr>
            <w:tcW w:w="40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(5,414)</w:t>
            </w:r>
          </w:p>
        </w:tc>
      </w:tr>
      <w:tr>
        <w:trPr>
          <w:trHeight w:val="581"/>
        </w:trPr>
        <w:tc>
          <w:tcPr>
            <w:tcW w:w="2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Three months ended March 31, 2025</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1"/>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8"/>
              </w:rPr>
              <w:t>Corporate and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0"/>
        </w:trPr>
        <w:tc>
          <w:tcPr>
            <w:tcW w:w="240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XpresSpa</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XpresTest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​​​Naples Wax</w:t>
            </w:r>
          </w:p>
        </w:tc>
        <w:tc>
          <w:tcPr>
            <w:tcW w:w="4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4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2"/>
        </w:trPr>
        <w:tc>
          <w:tcPr>
            <w:tcW w:w="24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Revenue</w:t>
            </w:r>
          </w:p>
        </w:tc>
        <w:tc>
          <w:tcPr>
            <w:tcW w:w="8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4,294</w:t>
            </w: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2,177</w:t>
            </w:r>
          </w:p>
        </w:tc>
        <w:tc>
          <w:tcPr>
            <w:tcW w:w="1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552</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7,023</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Operating (loss)/income</w:t>
            </w:r>
          </w:p>
        </w:tc>
        <w:tc>
          <w:tcPr>
            <w:tcW w:w="11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42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500" w:type="dxa"/>
            <w:vAlign w:val="bottom"/>
            <w:gridSpan w:val="2"/>
          </w:tcPr>
          <w:p>
            <w:pPr>
              <w:jc w:val="right"/>
              <w:ind w:right="2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40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(4,154)</w:t>
            </w:r>
          </w:p>
        </w:tc>
        <w:tc>
          <w:tcPr>
            <w:tcW w:w="40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(3,158)</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reconciliation of total segment revenues to total unaudited condensed consolidated revenue and of total segment operating (loss)</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income to total consolidated (loss) income, for the three and three months ended March 31, 2026 and 2025,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Three months ended March 31, 2026</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71"/>
        </w:trPr>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7"/>
                <w:szCs w:val="17"/>
                <w:b w:val="1"/>
                <w:bCs w:val="1"/>
                <w:color w:val="auto"/>
              </w:rPr>
              <w:t>Corporate and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0"/>
        </w:trPr>
        <w:tc>
          <w:tcPr>
            <w:tcW w:w="30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XpresSpa</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XpresTest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​​​Naples Wax</w:t>
            </w:r>
          </w:p>
        </w:tc>
        <w:tc>
          <w:tcPr>
            <w:tcW w:w="4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00" w:type="dxa"/>
            <w:vAlign w:val="bottom"/>
            <w:gridSpan w:val="3"/>
          </w:tcPr>
          <w:p>
            <w:pPr>
              <w:jc w:val="right"/>
              <w:ind w:right="14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2"/>
        </w:trPr>
        <w:tc>
          <w:tcPr>
            <w:tcW w:w="30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Revenue from external customers</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4,197</w:t>
            </w: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1,917</w:t>
            </w:r>
          </w:p>
        </w:tc>
        <w:tc>
          <w:tcPr>
            <w:tcW w:w="1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524</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gridSpan w:val="2"/>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6,638</w:t>
            </w:r>
          </w:p>
        </w:tc>
      </w:tr>
      <w:tr>
        <w:trPr>
          <w:trHeight w:val="192"/>
        </w:trPr>
        <w:tc>
          <w:tcPr>
            <w:tcW w:w="300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Less: Significant Expenses (1):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 - Labor</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2,974</w:t>
            </w:r>
          </w:p>
        </w:tc>
      </w:tr>
      <w:tr>
        <w:trPr>
          <w:trHeight w:val="19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 - Products &amp; Services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19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Occupancy Cost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r>
      <w:tr>
        <w:trPr>
          <w:trHeight w:val="19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Other Cost of Revenue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19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19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Less: Other Segment Expenses (2):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segment operating expenses</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7,595</w:t>
            </w:r>
          </w:p>
        </w:tc>
      </w:tr>
      <w:tr>
        <w:trPr>
          <w:trHeight w:val="192"/>
        </w:trPr>
        <w:tc>
          <w:tcPr>
            <w:tcW w:w="300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Segment operating (loss) income</w:t>
            </w:r>
          </w:p>
        </w:tc>
        <w:tc>
          <w:tcPr>
            <w:tcW w:w="280" w:type="dxa"/>
            <w:vAlign w:val="bottom"/>
          </w:tcPr>
          <w:p>
            <w:pPr>
              <w:spacing w:after="0"/>
              <w:rPr>
                <w:sz w:val="16"/>
                <w:szCs w:val="16"/>
                <w:color w:val="auto"/>
              </w:rPr>
            </w:pPr>
          </w:p>
        </w:tc>
        <w:tc>
          <w:tcPr>
            <w:tcW w:w="240" w:type="dxa"/>
            <w:vAlign w:val="bottom"/>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(592)</w:t>
            </w:r>
          </w:p>
        </w:tc>
        <w:tc>
          <w:tcPr>
            <w:tcW w:w="160" w:type="dxa"/>
            <w:vAlign w:val="bottom"/>
          </w:tcPr>
          <w:p>
            <w:pPr>
              <w:spacing w:after="0"/>
              <w:rPr>
                <w:sz w:val="16"/>
                <w:szCs w:val="16"/>
                <w:color w:val="auto"/>
              </w:rPr>
            </w:pPr>
          </w:p>
        </w:tc>
        <w:tc>
          <w:tcPr>
            <w:tcW w:w="260" w:type="dxa"/>
            <w:vAlign w:val="bottom"/>
          </w:tcPr>
          <w:p>
            <w:pPr>
              <w:jc w:val="right"/>
              <w:ind w:right="9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1,067</w:t>
            </w:r>
          </w:p>
        </w:tc>
        <w:tc>
          <w:tcPr>
            <w:tcW w:w="180" w:type="dxa"/>
            <w:vAlign w:val="bottom"/>
          </w:tcPr>
          <w:p>
            <w:pPr>
              <w:spacing w:after="0"/>
              <w:rPr>
                <w:sz w:val="16"/>
                <w:szCs w:val="16"/>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48</w:t>
            </w:r>
          </w:p>
        </w:tc>
        <w:tc>
          <w:tcPr>
            <w:tcW w:w="180" w:type="dxa"/>
            <w:vAlign w:val="bottom"/>
          </w:tcPr>
          <w:p>
            <w:pPr>
              <w:spacing w:after="0"/>
              <w:rPr>
                <w:sz w:val="16"/>
                <w:szCs w:val="16"/>
                <w:color w:val="auto"/>
              </w:rPr>
            </w:pPr>
          </w:p>
        </w:tc>
        <w:tc>
          <w:tcPr>
            <w:tcW w:w="220" w:type="dxa"/>
            <w:vAlign w:val="bottom"/>
          </w:tcPr>
          <w:p>
            <w:pPr>
              <w:jc w:val="right"/>
              <w:ind w:right="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(5,937)</w:t>
            </w:r>
          </w:p>
        </w:tc>
        <w:tc>
          <w:tcPr>
            <w:tcW w:w="180" w:type="dxa"/>
            <w:vAlign w:val="bottom"/>
            <w:gridSpan w:val="2"/>
          </w:tcPr>
          <w:p>
            <w:pPr>
              <w:spacing w:after="0"/>
              <w:rPr>
                <w:sz w:val="16"/>
                <w:szCs w:val="16"/>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(5,414)</w:t>
            </w:r>
          </w:p>
        </w:tc>
      </w:tr>
      <w:tr>
        <w:trPr>
          <w:trHeight w:val="20"/>
        </w:trPr>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Three months ended March 31, 2025</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71"/>
        </w:trPr>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7"/>
                <w:szCs w:val="17"/>
                <w:b w:val="1"/>
                <w:bCs w:val="1"/>
                <w:color w:val="auto"/>
              </w:rPr>
              <w:t>Corporate and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0"/>
        </w:trPr>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XpresSpa</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XpresTest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​​​Naples Wax</w:t>
            </w:r>
          </w:p>
        </w:tc>
        <w:tc>
          <w:tcPr>
            <w:tcW w:w="4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00" w:type="dxa"/>
            <w:vAlign w:val="bottom"/>
            <w:gridSpan w:val="3"/>
          </w:tcPr>
          <w:p>
            <w:pPr>
              <w:jc w:val="right"/>
              <w:ind w:right="14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2"/>
        </w:trPr>
        <w:tc>
          <w:tcPr>
            <w:tcW w:w="3000" w:type="dxa"/>
            <w:vAlign w:val="bottom"/>
            <w:tcBorders>
              <w:top w:val="single" w:sz="8" w:color="CCEE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Revenue from external customers</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4,294</w:t>
            </w: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2,177</w:t>
            </w:r>
          </w:p>
        </w:tc>
        <w:tc>
          <w:tcPr>
            <w:tcW w:w="1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552</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gridSpan w:val="2"/>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7,023</w:t>
            </w:r>
          </w:p>
        </w:tc>
      </w:tr>
      <w:tr>
        <w:trPr>
          <w:trHeight w:val="192"/>
        </w:trPr>
        <w:tc>
          <w:tcPr>
            <w:tcW w:w="3000" w:type="dxa"/>
            <w:vAlign w:val="bottom"/>
            <w:gridSpan w:val="2"/>
          </w:tcPr>
          <w:p>
            <w:pPr>
              <w:spacing w:after="0" w:line="192" w:lineRule="exact"/>
              <w:rPr>
                <w:sz w:val="20"/>
                <w:szCs w:val="20"/>
                <w:color w:val="auto"/>
              </w:rPr>
            </w:pPr>
            <w:r>
              <w:rPr>
                <w:rFonts w:ascii="Times New Roman" w:cs="Times New Roman" w:eastAsia="Times New Roman" w:hAnsi="Times New Roman"/>
                <w:sz w:val="17"/>
                <w:szCs w:val="17"/>
                <w:color w:val="auto"/>
              </w:rPr>
              <w:t>Less: Significant Expenses (1):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 - Labor</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w:t>
            </w:r>
          </w:p>
        </w:tc>
      </w:tr>
      <w:tr>
        <w:trPr>
          <w:trHeight w:val="199"/>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Goods Sold - Products &amp; Services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199"/>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Occupancy Cost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r>
      <w:tr>
        <w:trPr>
          <w:trHeight w:val="199"/>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Cost of Revenue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199"/>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199"/>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Other Segment Expenses (2):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9"/>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segment operating expenses</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4,311</w:t>
            </w:r>
          </w:p>
        </w:tc>
      </w:tr>
      <w:tr>
        <w:trPr>
          <w:trHeight w:val="192"/>
        </w:trPr>
        <w:tc>
          <w:tcPr>
            <w:tcW w:w="3000" w:type="dxa"/>
            <w:vAlign w:val="bottom"/>
            <w:gridSpan w:val="2"/>
          </w:tcPr>
          <w:p>
            <w:pPr>
              <w:spacing w:after="0" w:line="192" w:lineRule="exact"/>
              <w:rPr>
                <w:sz w:val="20"/>
                <w:szCs w:val="20"/>
                <w:color w:val="auto"/>
              </w:rPr>
            </w:pPr>
            <w:r>
              <w:rPr>
                <w:rFonts w:ascii="Times New Roman" w:cs="Times New Roman" w:eastAsia="Times New Roman" w:hAnsi="Times New Roman"/>
                <w:sz w:val="17"/>
                <w:szCs w:val="17"/>
                <w:color w:val="auto"/>
              </w:rPr>
              <w:t>Segment operating (loss) income</w:t>
            </w:r>
          </w:p>
        </w:tc>
        <w:tc>
          <w:tcPr>
            <w:tcW w:w="280" w:type="dxa"/>
            <w:vAlign w:val="bottom"/>
          </w:tcPr>
          <w:p>
            <w:pPr>
              <w:spacing w:after="0"/>
              <w:rPr>
                <w:sz w:val="16"/>
                <w:szCs w:val="16"/>
                <w:color w:val="auto"/>
              </w:rPr>
            </w:pPr>
          </w:p>
        </w:tc>
        <w:tc>
          <w:tcPr>
            <w:tcW w:w="240" w:type="dxa"/>
            <w:vAlign w:val="bottom"/>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800</w:t>
            </w:r>
          </w:p>
        </w:tc>
        <w:tc>
          <w:tcPr>
            <w:tcW w:w="160" w:type="dxa"/>
            <w:vAlign w:val="bottom"/>
          </w:tcPr>
          <w:p>
            <w:pPr>
              <w:spacing w:after="0"/>
              <w:rPr>
                <w:sz w:val="16"/>
                <w:szCs w:val="16"/>
                <w:color w:val="auto"/>
              </w:rPr>
            </w:pPr>
          </w:p>
        </w:tc>
        <w:tc>
          <w:tcPr>
            <w:tcW w:w="260" w:type="dxa"/>
            <w:vAlign w:val="bottom"/>
          </w:tcPr>
          <w:p>
            <w:pPr>
              <w:jc w:val="right"/>
              <w:ind w:right="9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618</w:t>
            </w:r>
          </w:p>
        </w:tc>
        <w:tc>
          <w:tcPr>
            <w:tcW w:w="180" w:type="dxa"/>
            <w:vAlign w:val="bottom"/>
          </w:tcPr>
          <w:p>
            <w:pPr>
              <w:spacing w:after="0"/>
              <w:rPr>
                <w:sz w:val="16"/>
                <w:szCs w:val="16"/>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(422)</w:t>
            </w:r>
          </w:p>
        </w:tc>
        <w:tc>
          <w:tcPr>
            <w:tcW w:w="180" w:type="dxa"/>
            <w:vAlign w:val="bottom"/>
          </w:tcPr>
          <w:p>
            <w:pPr>
              <w:spacing w:after="0"/>
              <w:rPr>
                <w:sz w:val="16"/>
                <w:szCs w:val="16"/>
                <w:color w:val="auto"/>
              </w:rPr>
            </w:pPr>
          </w:p>
        </w:tc>
        <w:tc>
          <w:tcPr>
            <w:tcW w:w="220" w:type="dxa"/>
            <w:vAlign w:val="bottom"/>
          </w:tcPr>
          <w:p>
            <w:pPr>
              <w:jc w:val="right"/>
              <w:ind w:right="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(4,154)</w:t>
            </w:r>
          </w:p>
        </w:tc>
        <w:tc>
          <w:tcPr>
            <w:tcW w:w="180" w:type="dxa"/>
            <w:vAlign w:val="bottom"/>
            <w:gridSpan w:val="2"/>
          </w:tcPr>
          <w:p>
            <w:pPr>
              <w:spacing w:after="0"/>
              <w:rPr>
                <w:sz w:val="16"/>
                <w:szCs w:val="16"/>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(3,158)</w:t>
            </w:r>
          </w:p>
        </w:tc>
      </w:tr>
      <w:tr>
        <w:trPr>
          <w:trHeight w:val="20"/>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77"/>
        </w:trPr>
        <w:tc>
          <w:tcPr>
            <w:tcW w:w="22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r>
    </w:tbl>
    <w:p>
      <w:pPr>
        <w:spacing w:after="0" w:line="58" w:lineRule="exact"/>
        <w:rPr>
          <w:sz w:val="20"/>
          <w:szCs w:val="20"/>
          <w:color w:val="auto"/>
        </w:rPr>
      </w:pPr>
    </w:p>
    <w:p>
      <w:pPr>
        <w:ind w:left="340" w:right="79" w:hanging="296"/>
        <w:spacing w:after="0" w:line="254"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significant expense amounts align with the expenses that the CODM is regularly provided with to assess performance and allocate resources.</w:t>
      </w:r>
    </w:p>
    <w:p>
      <w:pPr>
        <w:spacing w:after="0" w:line="1"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segments, SGA consists of the following:</w:t>
      </w:r>
    </w:p>
    <w:p>
      <w:pPr>
        <w:spacing w:after="0" w:line="161"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Salaries &amp; Benefits, Rent &amp; Utilities, Office Supplies &amp; Shipping, Travel &amp; Entertainment, IT &amp; Telecom, Repairs &amp; Maintenance, Accounting, Legal, Franchise/Property Tax, Management/DBE Fees, Advertising &amp; Marketing, Insurance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Significant Items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10"/>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Three months ended March 31, 2026</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1"/>
        </w:trPr>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5"/>
          </w:tcPr>
          <w:p>
            <w:pPr>
              <w:jc w:val="center"/>
              <w:ind w:right="40"/>
              <w:spacing w:after="0" w:line="172" w:lineRule="exact"/>
              <w:rPr>
                <w:sz w:val="20"/>
                <w:szCs w:val="20"/>
                <w:color w:val="auto"/>
              </w:rPr>
            </w:pPr>
            <w:r>
              <w:rPr>
                <w:rFonts w:ascii="Times New Roman" w:cs="Times New Roman" w:eastAsia="Times New Roman" w:hAnsi="Times New Roman"/>
                <w:sz w:val="17"/>
                <w:szCs w:val="17"/>
                <w:b w:val="1"/>
                <w:bCs w:val="1"/>
                <w:color w:val="auto"/>
                <w:w w:val="96"/>
              </w:rPr>
              <w:t>Corporate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0"/>
        </w:trPr>
        <w:tc>
          <w:tcPr>
            <w:tcW w:w="2480" w:type="dxa"/>
            <w:vAlign w:val="bottom"/>
          </w:tcPr>
          <w:p>
            <w:pPr>
              <w:spacing w:after="0"/>
              <w:rPr>
                <w:sz w:val="19"/>
                <w:szCs w:val="19"/>
                <w:color w:val="auto"/>
              </w:rPr>
            </w:pPr>
          </w:p>
        </w:tc>
        <w:tc>
          <w:tcPr>
            <w:tcW w:w="1720" w:type="dxa"/>
            <w:vAlign w:val="bottom"/>
            <w:gridSpan w:val="5"/>
          </w:tcPr>
          <w:p>
            <w:pPr>
              <w:ind w:left="720"/>
              <w:spacing w:after="0"/>
              <w:rPr>
                <w:sz w:val="20"/>
                <w:szCs w:val="20"/>
                <w:color w:val="auto"/>
              </w:rPr>
            </w:pPr>
            <w:r>
              <w:rPr>
                <w:rFonts w:ascii="Times New Roman" w:cs="Times New Roman" w:eastAsia="Times New Roman" w:hAnsi="Times New Roman"/>
                <w:sz w:val="17"/>
                <w:szCs w:val="17"/>
                <w:b w:val="1"/>
                <w:bCs w:val="1"/>
                <w:color w:val="auto"/>
              </w:rPr>
              <w:t>​​​ XpresSpa</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 XpresTest</w:t>
            </w:r>
          </w:p>
        </w:tc>
        <w:tc>
          <w:tcPr>
            <w:tcW w:w="110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​​​Naples Wax</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8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480" w:type="dxa"/>
            <w:vAlign w:val="bottom"/>
            <w:gridSpan w:val="5"/>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2"/>
        </w:trPr>
        <w:tc>
          <w:tcPr>
            <w:tcW w:w="24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Stock based compensation</w:t>
            </w: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420"/>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3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center"/>
              <w:ind w:left="1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886</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3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886</w:t>
            </w:r>
          </w:p>
        </w:tc>
      </w:tr>
      <w:tr>
        <w:trPr>
          <w:trHeight w:val="597"/>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Three months ended March 31, 2025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1"/>
        </w:trPr>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5"/>
          </w:tcPr>
          <w:p>
            <w:pPr>
              <w:jc w:val="center"/>
              <w:ind w:right="40"/>
              <w:spacing w:after="0" w:line="172" w:lineRule="exact"/>
              <w:rPr>
                <w:sz w:val="20"/>
                <w:szCs w:val="20"/>
                <w:color w:val="auto"/>
              </w:rPr>
            </w:pPr>
            <w:r>
              <w:rPr>
                <w:rFonts w:ascii="Times New Roman" w:cs="Times New Roman" w:eastAsia="Times New Roman" w:hAnsi="Times New Roman"/>
                <w:sz w:val="17"/>
                <w:szCs w:val="17"/>
                <w:b w:val="1"/>
                <w:bCs w:val="1"/>
                <w:color w:val="auto"/>
                <w:w w:val="96"/>
              </w:rPr>
              <w:t>Corporate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0"/>
        </w:trPr>
        <w:tc>
          <w:tcPr>
            <w:tcW w:w="2480" w:type="dxa"/>
            <w:vAlign w:val="bottom"/>
          </w:tcPr>
          <w:p>
            <w:pPr>
              <w:spacing w:after="0"/>
              <w:rPr>
                <w:sz w:val="19"/>
                <w:szCs w:val="19"/>
                <w:color w:val="auto"/>
              </w:rPr>
            </w:pPr>
          </w:p>
        </w:tc>
        <w:tc>
          <w:tcPr>
            <w:tcW w:w="1720" w:type="dxa"/>
            <w:vAlign w:val="bottom"/>
            <w:gridSpan w:val="5"/>
          </w:tcPr>
          <w:p>
            <w:pPr>
              <w:ind w:left="720"/>
              <w:spacing w:after="0"/>
              <w:rPr>
                <w:sz w:val="20"/>
                <w:szCs w:val="20"/>
                <w:color w:val="auto"/>
              </w:rPr>
            </w:pPr>
            <w:r>
              <w:rPr>
                <w:rFonts w:ascii="Times New Roman" w:cs="Times New Roman" w:eastAsia="Times New Roman" w:hAnsi="Times New Roman"/>
                <w:sz w:val="17"/>
                <w:szCs w:val="17"/>
                <w:b w:val="1"/>
                <w:bCs w:val="1"/>
                <w:color w:val="auto"/>
              </w:rPr>
              <w:t>​​​ XpresSpa</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 XpresTest</w:t>
            </w:r>
          </w:p>
        </w:tc>
        <w:tc>
          <w:tcPr>
            <w:tcW w:w="110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​​​Naples Wax</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8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480" w:type="dxa"/>
            <w:vAlign w:val="bottom"/>
            <w:gridSpan w:val="5"/>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2"/>
        </w:trPr>
        <w:tc>
          <w:tcPr>
            <w:tcW w:w="24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Stock based compensation</w:t>
            </w: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420"/>
              <w:spacing w:after="0" w:line="192" w:lineRule="exact"/>
              <w:rPr>
                <w:sz w:val="20"/>
                <w:szCs w:val="20"/>
                <w:color w:val="auto"/>
              </w:rPr>
            </w:pPr>
            <w:r>
              <w:rPr>
                <w:rFonts w:ascii="Times New Roman" w:cs="Times New Roman" w:eastAsia="Times New Roman" w:hAnsi="Times New Roman"/>
                <w:sz w:val="17"/>
                <w:szCs w:val="17"/>
                <w:color w:val="auto"/>
              </w:rPr>
              <w:t>37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3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center"/>
              <w:ind w:left="1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43</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3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83</w:t>
            </w:r>
          </w:p>
        </w:tc>
      </w:tr>
      <w:tr>
        <w:trPr>
          <w:trHeight w:val="498"/>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1"/>
        </w:trPr>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7"/>
              </w:rPr>
              <w:t>Corporate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0"/>
        </w:trPr>
        <w:tc>
          <w:tcPr>
            <w:tcW w:w="2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w w:val="95"/>
              </w:rPr>
              <w:t>XpresSpa</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gridSpan w:val="3"/>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93"/>
              </w:rPr>
              <w:t>XpresTest</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 Naples Wax</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and 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2"/>
        </w:trPr>
        <w:tc>
          <w:tcPr>
            <w:tcW w:w="24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Capital expenditures</w:t>
            </w:r>
          </w:p>
        </w:tc>
        <w:tc>
          <w:tcPr>
            <w:tcW w:w="92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228</w:t>
            </w: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4</w:t>
            </w:r>
          </w:p>
        </w:tc>
        <w:tc>
          <w:tcPr>
            <w:tcW w:w="60" w:type="dxa"/>
            <w:vAlign w:val="bottom"/>
            <w:tcBorders>
              <w:top w:val="single" w:sz="8" w:color="auto"/>
            </w:tcBorders>
            <w:gridSpan w:val="2"/>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239</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Assets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20,508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24,992</w:t>
            </w:r>
          </w:p>
        </w:tc>
      </w:tr>
      <w:tr>
        <w:trPr>
          <w:trHeight w:val="581"/>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December 31, 2025</w:t>
            </w: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1"/>
        </w:trPr>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7"/>
              </w:rPr>
              <w:t>Corporate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0"/>
        </w:trPr>
        <w:tc>
          <w:tcPr>
            <w:tcW w:w="2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w w:val="95"/>
              </w:rPr>
              <w:t>XpresSpa</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gridSpan w:val="3"/>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93"/>
              </w:rPr>
              <w:t>XpresTest</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 Naples Wax</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and 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2"/>
        </w:trPr>
        <w:tc>
          <w:tcPr>
            <w:tcW w:w="24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Capital expenditures</w:t>
            </w:r>
          </w:p>
        </w:tc>
        <w:tc>
          <w:tcPr>
            <w:tcW w:w="92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1,780</w:t>
            </w: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932</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147</w:t>
            </w:r>
          </w:p>
        </w:tc>
        <w:tc>
          <w:tcPr>
            <w:tcW w:w="60" w:type="dxa"/>
            <w:vAlign w:val="bottom"/>
            <w:tcBorders>
              <w:top w:val="single" w:sz="8" w:color="auto"/>
            </w:tcBorders>
            <w:gridSpan w:val="2"/>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2,859</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Assets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6,884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11,217</w:t>
            </w:r>
          </w:p>
        </w:tc>
      </w:tr>
    </w:tbl>
    <w:p>
      <w:pPr>
        <w:spacing w:after="0" w:line="153"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Company currently operates in two geographical regions: United States and all other countries, which include Netherlands, Turkey and United Arab Emirates. The following table represents the geographical revenue, and total long-lived asset information. There were no concentrations of geographical revenue and long-lived assets related to any single foreign country that were material to the Company’s unaudited condensed consolidated financial statements. Long-lived assets include property and equipment and right of use lease assets.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36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6"/>
          </w:tcPr>
          <w:p>
            <w:pPr>
              <w:jc w:val="center"/>
              <w:ind w:right="237"/>
              <w:spacing w:after="0"/>
              <w:rPr>
                <w:sz w:val="20"/>
                <w:szCs w:val="20"/>
                <w:color w:val="auto"/>
              </w:rPr>
            </w:pPr>
            <w:r>
              <w:rPr>
                <w:rFonts w:ascii="Times New Roman" w:cs="Times New Roman" w:eastAsia="Times New Roman" w:hAnsi="Times New Roman"/>
                <w:sz w:val="17"/>
                <w:szCs w:val="17"/>
                <w:b w:val="1"/>
                <w:bCs w:val="1"/>
                <w:color w:val="auto"/>
                <w:w w:val="97"/>
              </w:rPr>
              <w:t>Three months ended</w:t>
            </w:r>
          </w:p>
        </w:tc>
        <w:tc>
          <w:tcPr>
            <w:tcW w:w="0" w:type="dxa"/>
            <w:vAlign w:val="bottom"/>
          </w:tcPr>
          <w:p>
            <w:pPr>
              <w:spacing w:after="0"/>
              <w:rPr>
                <w:sz w:val="1"/>
                <w:szCs w:val="1"/>
                <w:color w:val="auto"/>
              </w:rPr>
            </w:pPr>
          </w:p>
        </w:tc>
      </w:tr>
      <w:tr>
        <w:trPr>
          <w:trHeight w:val="220"/>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left="637"/>
              <w:spacing w:after="0"/>
              <w:rPr>
                <w:sz w:val="20"/>
                <w:szCs w:val="20"/>
                <w:color w:val="auto"/>
              </w:rPr>
            </w:pPr>
            <w:r>
              <w:rPr>
                <w:rFonts w:ascii="Times New Roman" w:cs="Times New Roman" w:eastAsia="Times New Roman" w:hAnsi="Times New Roman"/>
                <w:sz w:val="17"/>
                <w:szCs w:val="17"/>
                <w:b w:val="1"/>
                <w:bCs w:val="1"/>
                <w:color w:val="auto"/>
                <w:w w:val="96"/>
              </w:rPr>
              <w:t>March 31,</w:t>
            </w:r>
          </w:p>
        </w:tc>
        <w:tc>
          <w:tcPr>
            <w:tcW w:w="10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2660" w:type="dxa"/>
            <w:vAlign w:val="bottom"/>
            <w:gridSpan w:val="2"/>
          </w:tcPr>
          <w:p>
            <w:pPr>
              <w:jc w:val="right"/>
              <w:ind w:right="13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ind w:right="337"/>
              <w:spacing w:after="0" w:line="192" w:lineRule="exact"/>
              <w:rPr>
                <w:sz w:val="20"/>
                <w:szCs w:val="20"/>
                <w:color w:val="auto"/>
              </w:rPr>
            </w:pPr>
            <w:r>
              <w:rPr>
                <w:rFonts w:ascii="Times New Roman" w:cs="Times New Roman" w:eastAsia="Times New Roman" w:hAnsi="Times New Roman"/>
                <w:sz w:val="17"/>
                <w:szCs w:val="17"/>
                <w:b w:val="1"/>
                <w:bCs w:val="1"/>
                <w:color w:val="auto"/>
              </w:rPr>
              <w:t>2026</w:t>
            </w:r>
          </w:p>
        </w:tc>
        <w:tc>
          <w:tcPr>
            <w:tcW w:w="40" w:type="dxa"/>
            <w:vAlign w:val="bottom"/>
          </w:tcPr>
          <w:p>
            <w:pPr>
              <w:spacing w:after="0"/>
              <w:rPr>
                <w:sz w:val="16"/>
                <w:szCs w:val="16"/>
                <w:color w:val="auto"/>
              </w:rPr>
            </w:pPr>
          </w:p>
        </w:tc>
        <w:tc>
          <w:tcPr>
            <w:tcW w:w="64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jc w:val="right"/>
              <w:ind w:right="497"/>
              <w:spacing w:after="0" w:line="192" w:lineRule="exact"/>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364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Revenue</w:t>
            </w:r>
          </w:p>
        </w:tc>
        <w:tc>
          <w:tcPr>
            <w:tcW w:w="24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United States</w:t>
            </w:r>
          </w:p>
        </w:tc>
        <w:tc>
          <w:tcPr>
            <w:tcW w:w="266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5,356</w:t>
            </w:r>
          </w:p>
        </w:tc>
        <w:tc>
          <w:tcPr>
            <w:tcW w:w="680" w:type="dxa"/>
            <w:vAlign w:val="bottom"/>
            <w:gridSpan w:val="3"/>
          </w:tcPr>
          <w:p>
            <w:pPr>
              <w:jc w:val="center"/>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All other countries</w:t>
            </w:r>
          </w:p>
        </w:tc>
        <w:tc>
          <w:tcPr>
            <w:tcW w:w="24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Total revenue</w:t>
            </w:r>
          </w:p>
        </w:tc>
        <w:tc>
          <w:tcPr>
            <w:tcW w:w="2400" w:type="dxa"/>
            <w:vAlign w:val="bottom"/>
          </w:tcPr>
          <w:p>
            <w:pPr>
              <w:spacing w:after="0"/>
              <w:rPr>
                <w:sz w:val="16"/>
                <w:szCs w:val="16"/>
                <w:color w:val="auto"/>
              </w:rPr>
            </w:pPr>
          </w:p>
        </w:tc>
        <w:tc>
          <w:tcPr>
            <w:tcW w:w="260" w:type="dxa"/>
            <w:vAlign w:val="bottom"/>
          </w:tcPr>
          <w:p>
            <w:pPr>
              <w:jc w:val="right"/>
              <w:ind w:right="9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6,638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center"/>
              <w:ind w:right="31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7,023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Long-lived assets</w:t>
            </w: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December 31, 2025</w:t>
            </w:r>
          </w:p>
        </w:tc>
      </w:tr>
      <w:tr>
        <w:trPr>
          <w:trHeight w:val="192"/>
        </w:trPr>
        <w:tc>
          <w:tcPr>
            <w:tcW w:w="3760" w:type="dxa"/>
            <w:vAlign w:val="bottom"/>
            <w:tcBorders>
              <w:top w:val="single" w:sz="8" w:color="CCEEFF"/>
            </w:tcBorders>
            <w:shd w:val="clear" w:color="auto" w:fill="CCEEFF"/>
          </w:tcPr>
          <w:p>
            <w:pPr>
              <w:ind w:left="100"/>
              <w:spacing w:after="0" w:line="192" w:lineRule="exact"/>
              <w:rPr>
                <w:sz w:val="20"/>
                <w:szCs w:val="20"/>
                <w:color w:val="auto"/>
              </w:rPr>
            </w:pPr>
            <w:r>
              <w:rPr>
                <w:rFonts w:ascii="Times New Roman" w:cs="Times New Roman" w:eastAsia="Times New Roman" w:hAnsi="Times New Roman"/>
                <w:sz w:val="17"/>
                <w:szCs w:val="17"/>
                <w:color w:val="auto"/>
              </w:rPr>
              <w:t>United States</w:t>
            </w:r>
          </w:p>
        </w:tc>
        <w:tc>
          <w:tcPr>
            <w:tcW w:w="22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2,545</w:t>
            </w: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4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2,496</w:t>
            </w:r>
          </w:p>
        </w:tc>
      </w:tr>
      <w:tr>
        <w:trPr>
          <w:trHeight w:val="199"/>
        </w:trPr>
        <w:tc>
          <w:tcPr>
            <w:tcW w:w="3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All other countries</w:t>
            </w:r>
          </w:p>
        </w:tc>
        <w:tc>
          <w:tcPr>
            <w:tcW w:w="22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192"/>
        </w:trPr>
        <w:tc>
          <w:tcPr>
            <w:tcW w:w="3760" w:type="dxa"/>
            <w:vAlign w:val="bottom"/>
            <w:tcBorders>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Total long-lived assets</w:t>
            </w:r>
          </w:p>
        </w:tc>
        <w:tc>
          <w:tcPr>
            <w:tcW w:w="22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2,727</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2,704</w:t>
            </w:r>
          </w:p>
        </w:tc>
      </w:tr>
      <w:tr>
        <w:trPr>
          <w:trHeight w:val="20"/>
        </w:trPr>
        <w:tc>
          <w:tcPr>
            <w:tcW w:w="3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13. Net Loss per Share of Common Stock</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666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8"/>
              </w:rPr>
              <w:t>The table below presents the computation of basic and diluted net loss per share of Common Stock:</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gridSpan w:val="5"/>
          </w:tcPr>
          <w:p>
            <w:pPr>
              <w:jc w:val="center"/>
              <w:ind w:right="357"/>
              <w:spacing w:after="0"/>
              <w:rPr>
                <w:sz w:val="20"/>
                <w:szCs w:val="20"/>
                <w:color w:val="auto"/>
              </w:rPr>
            </w:pPr>
            <w:r>
              <w:rPr>
                <w:rFonts w:ascii="Times New Roman" w:cs="Times New Roman" w:eastAsia="Times New Roman" w:hAnsi="Times New Roman"/>
                <w:sz w:val="17"/>
                <w:szCs w:val="17"/>
                <w:b w:val="1"/>
                <w:bCs w:val="1"/>
                <w:color w:val="auto"/>
                <w:w w:val="97"/>
              </w:rPr>
              <w:t>Three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7"/>
                <w:szCs w:val="17"/>
                <w:b w:val="1"/>
                <w:bCs w:val="1"/>
                <w:color w:val="auto"/>
                <w:w w:val="96"/>
              </w:rPr>
              <w:t>March 31,</w:t>
            </w: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640" w:type="dxa"/>
            <w:vAlign w:val="bottom"/>
            <w:gridSpan w:val="2"/>
          </w:tcPr>
          <w:p>
            <w:pPr>
              <w:jc w:val="right"/>
              <w:ind w:right="29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ind w:right="417"/>
              <w:spacing w:after="0" w:line="192" w:lineRule="exact"/>
              <w:rPr>
                <w:sz w:val="20"/>
                <w:szCs w:val="20"/>
                <w:color w:val="auto"/>
              </w:rPr>
            </w:pPr>
            <w:r>
              <w:rPr>
                <w:rFonts w:ascii="Times New Roman" w:cs="Times New Roman" w:eastAsia="Times New Roman" w:hAnsi="Times New Roman"/>
                <w:sz w:val="17"/>
                <w:szCs w:val="17"/>
                <w:b w:val="1"/>
                <w:bCs w:val="1"/>
                <w:color w:val="auto"/>
              </w:rPr>
              <w:t>2026</w:t>
            </w:r>
          </w:p>
        </w:tc>
        <w:tc>
          <w:tcPr>
            <w:tcW w:w="480" w:type="dxa"/>
            <w:vAlign w:val="bottom"/>
            <w:gridSpan w:val="2"/>
          </w:tcPr>
          <w:p>
            <w:pPr>
              <w:jc w:val="right"/>
              <w:ind w:right="17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right"/>
              <w:ind w:right="317"/>
              <w:spacing w:after="0" w:line="192" w:lineRule="exact"/>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Basic numerator:</w:t>
            </w: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center"/>
              <w:ind w:right="77"/>
              <w:spacing w:after="0" w:line="192"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XWELL, Inc.</w:t>
            </w:r>
          </w:p>
        </w:tc>
        <w:tc>
          <w:tcPr>
            <w:tcW w:w="640" w:type="dxa"/>
            <w:vAlign w:val="bottom"/>
            <w:gridSpan w:val="2"/>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(11,202)</w:t>
            </w:r>
          </w:p>
        </w:tc>
        <w:tc>
          <w:tcPr>
            <w:tcW w:w="48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preferred stock dividends</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Less: preferred stock accretion</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Plus: deemed contribution on Repurchase of Series G Preferred Stock</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640" w:type="dxa"/>
            <w:vAlign w:val="bottom"/>
            <w:gridSpan w:val="2"/>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(11,178)</w:t>
            </w:r>
          </w:p>
        </w:tc>
        <w:tc>
          <w:tcPr>
            <w:tcW w:w="48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Basic denominator:</w:t>
            </w:r>
          </w:p>
        </w:tc>
        <w:tc>
          <w:tcPr>
            <w:tcW w:w="2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7,396,148</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5,261,024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Basic loss per share</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(1.51)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600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w w:val="99"/>
              </w:rPr>
              <w:t>Net loss per share data presented above excludes from the calculation of diluted net</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the following potentially dilutive securities, having an anti-dilutive impact, in</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case of net loss</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center"/>
              <w:ind w:right="35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Both vested and unvested options to purchase an equal number of shares of Common</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905,014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RSUs to issue an equal number of shares of Common Stock</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Warrants to purchase shares of Common Stock</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71,999,234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5,347,594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G Convertible Preferred Stock on an as converted basis</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2,933,452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Series H Convertible Preferred Stock on an as converted basis</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66,665,957</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7"/>
                <w:szCs w:val="17"/>
                <w:b w:val="1"/>
                <w:bCs w:val="1"/>
                <w:color w:val="auto"/>
                <w:w w:val="99"/>
              </w:rPr>
              <w:t>Total number of potentially dilutive securities excluded from the calculation of loss</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139,607,705</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8,797,142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per share attributable to common shareholders</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In accordance with ASC 260, 552,500 RSUs that were fully vested on March 31, 2026 were included in basic and dilutive earnings per share as there were no remaining contingencies for these shares to be issued as of March 31, 2026.</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14. Related Party</w:t>
      </w:r>
    </w:p>
    <w:p>
      <w:pPr>
        <w:spacing w:after="0" w:line="207"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 On December 15, 2025 the Consulting Agreement was further amended to increase the value of agreement by $250, increasing the total amount for original and amended agreements to $780. On January 1, 2026, the Consulting Agreement was further extended for a period of three months from the effective date of the extension in exchange for an additional amount of $500. For the three months ended March 31, 2026, $562, of this contract was recognized in general and administrative expenses on the unaudited condensed consolidated statement of operations and comprehensive loss and $20 was recognized as a prepaid expense in other current assets on the unaudited condensed consolidated balance sheets as of March 31, 2026.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05"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2025, filed with the Securities and Exchange Commission (the “SEC”) on April 1, 2026, as subsequently amended on April 30, 2026 (the “Annual Report”) and this Quarterly Report on Form 10-Q and any future reports we file with the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71"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i w:val="1"/>
          <w:iCs w:val="1"/>
          <w:color w:val="auto"/>
        </w:rPr>
        <w:t>All references in this Quarterly Report on Form 10-Q to “we,” “us” and “our” refer to XWELL, Inc., a Delaware corporation, and its consolidated subsidiaries.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Overview</w:t>
      </w:r>
    </w:p>
    <w:p>
      <w:pPr>
        <w:spacing w:after="0" w:line="20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XWELL is a global wellness company operating multiple brands and focused on bringing restorative, regenerative and reinvigorating products and services to travelers. As of the date of this Quarterly Report on Form 10-Q, XWELL currently has three reportable operating segments: XpresSpa®, XpresTest®, and Naples Wax Center®</w:t>
      </w:r>
    </w:p>
    <w:p>
      <w:pPr>
        <w:spacing w:after="0" w:line="17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On October 25, 2022, the Company changed its name to XWELL, Inc. (“XWELL” or the “Company”)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All amounts are in thousands, except share, per share, or as otherwise specifically noted.</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XpresSpa</w:t>
      </w:r>
    </w:p>
    <w:p>
      <w:pPr>
        <w:spacing w:after="0" w:line="205" w:lineRule="exact"/>
        <w:rPr>
          <w:sz w:val="20"/>
          <w:szCs w:val="20"/>
          <w:color w:val="auto"/>
        </w:rPr>
      </w:pPr>
    </w:p>
    <w:p>
      <w:pPr>
        <w:jc w:val="both"/>
        <w:ind w:left="40" w:right="59"/>
        <w:spacing w:after="0" w:line="301" w:lineRule="auto"/>
        <w:rPr>
          <w:sz w:val="20"/>
          <w:szCs w:val="20"/>
          <w:color w:val="auto"/>
        </w:rPr>
      </w:pPr>
      <w:r>
        <w:rPr>
          <w:rFonts w:ascii="Times New Roman" w:cs="Times New Roman" w:eastAsia="Times New Roman" w:hAnsi="Times New Roman"/>
          <w:sz w:val="16"/>
          <w:szCs w:val="16"/>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36"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As of March 31, 2026, there were 16 domestic XpresSpa locations in total. The Company also had nine international locations operating as of March 31, 2026, including two XpresSpa locations in the Dubai International Airport in the United Arab Emirates, one XpresSpa location in the Zayad International Airport in Abu Dhabi, United Arab Emirates, two XpresSpa locations in the Schiphol Amsterdam Airport in the Netherlands and four XpresSpa locations in the Istanbul Airport in Turkey.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XpresTest</w:t>
      </w:r>
    </w:p>
    <w:p>
      <w:pPr>
        <w:spacing w:after="0" w:line="20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spacing w:after="0" w:line="177"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$22,200 over three years, and a maximum ceiling value of $24,800 within the same timeframe.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Naples Wax Center</w:t>
      </w:r>
    </w:p>
    <w:p>
      <w:pPr>
        <w:spacing w:after="0" w:line="205"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XWELL’s subsidiary Naples Wax, LLC, d/b/a Naples Wax Centers (“Naples Wax Center” or “Naples Wax”) operates a group of upscale hair removal locations with core products and service offerings from face and body waxing to a range of skincare and cosmetic products. Naples Wax Center is intended to enable us to move beyond our airport client base with a business that can be adapted to a larger wellness platform while also growing our retail footprint to serve our long-term financial goals.</w:t>
      </w:r>
    </w:p>
    <w:p>
      <w:pPr>
        <w:spacing w:after="0" w:line="17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Although we recognize three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7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5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We will be looking to further expand internationally. We believe a strategy for international expansion further advances our ability to expand our other brands including bio surveillance outside of the US.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February 2026 Private Placement</w:t>
      </w:r>
    </w:p>
    <w:p>
      <w:pPr>
        <w:spacing w:after="0" w:line="207"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color w:val="auto"/>
        </w:rPr>
        <w:t>On February 24, 2026, the Company entered into the February 2026 Purchase Agreement with the a certain accredited investor (the “February 2026 Purchaser”) for the issuance and sale in a private placement of an aggregate of (i) 31,333 shares of the Company’s newly-designated Series H Convertible Preferred Stock, par value of $0.01 per share and a stated value of $1,000 per share (the “Series H Preferred Stock”), initially convertible into up to 66,665,957 shares of common stock (the “Series H Conversion Shares”), at an initial conversion price of $0.47 per share, subject to adjustment for certain customary adjustments, and (ii) the warrants (the “Series H Warrants”) to purchase up to 66,665,957 shares of common stock, at an initial exercise price of $0.345 per share, subject to adjustment for certain customary adjustments, for aggregate gross proceeds of approximately $31,300. The Series H Warrants expire three years from the date of issuance. The February 2026 Private Placement closed in two tranches, with 30,832 shares of Series H Preferred Stock and 65,600,000 Series H Warrants issued on February 27, 2026 (the “First Closing”), and 501 shares of Series H Preferred Stock and</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1,065,957 Series H Warrants issued on March 3, 2026 (the “Second Closing”, and collectively with the First Closing, the “Closing”).</w:t>
      </w:r>
    </w:p>
    <w:p>
      <w:pPr>
        <w:spacing w:after="0" w:line="214"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7"/>
          <w:szCs w:val="17"/>
          <w:color w:val="auto"/>
        </w:rPr>
        <w:t>In connection with the February 2026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February 2026 Private Placement and agreed to (i) pay to the Placement Agent (a) a cash fee equal to 8% of the gross proceeds of the February 2026 Private Placement and (b) reimbursements and payments of certain expenses, including non-accountable expense allowance equal to 1% of the gross proceeds raised in the February 2026 Private Placement and reasonable out-of-pocket expenses, not to exceed $250, and (ii) issue to the Placement Agent warrants (the “Placement Agent Warrants”) to purchase up to an aggregate number of shares of Common Stock equal to 8% of the aggregate number of shares of common stock underlying the securities issued in the February 2026 Private Placement, with terms identical to the Series H Warrants, except that the Series H Placement Agent Warrants have a term of five (5) years from the date of issuance. The Placement Agency Agreement contains customary representations, warranties and agreements of the parties, and customary indemnification obligations of the Company.</w:t>
      </w:r>
    </w:p>
    <w:p>
      <w:pPr>
        <w:spacing w:after="0" w:line="185"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In connection with the February 2026 Private Placement, the Company entered into a registration rights agreement (the “Registration Rights Agreement”) with the February 2026 Purchaser and the Placement Agent, pursuant to which the Company has agreed to prepare and file a registration statement with the SEC registering the resale of the shares of common stock underlying the Series H Preferred Stock and shares of common stock underlying the Series H Warrants and the Series H Placement Agent Warrants no later than the earlier of (a) 50 days after the later of (1) the closing date of the February 2026 Private Placement or (2) the Escrow Release Date (as defined in the Registration Rights Agreement) and (b) the second trading day following the date on which the Company files its Annual Report on Form 10-K for the year ended December 31, 2025 (the “Filing Deadline”), and to use best efforts to have the registration statement declared effective as promptly as practical thereafter, and in any event no later than 60 days following the Filing Deadline (or 90 days following the Filing Deadline in the event of a “full review” by the SEC). Such registration statement was filed on April 1, 2026, with the SEC and declared effective on April 15, 2026.</w:t>
      </w:r>
    </w:p>
    <w:p>
      <w:pPr>
        <w:spacing w:after="0" w:line="16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used the net proceeds from the February 2026 Private Placement, in part, to repurchase certain outstanding indebtedness, redeem previously issued preferred equity and warrants in the Repurchase (see below February 2026 Omnibus Agreement).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February 2026 Omnibus Agreement</w:t>
      </w:r>
    </w:p>
    <w:p>
      <w:pPr>
        <w:spacing w:after="0" w:line="205"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On February 24, 2026, the Company entered into the Omnibus Agreement, by and between the Company and January 2025 Investors, pursuant to which, the Company agreed to (i) repurchase from the January 2025 Investors $3,468 of aggregate principal amount of the Notes, representing the entire outstanding principal amounts of the Notes and any accrued and unpaid interest thereon, (ii) redeem 196 shares of Series G Preferred Stock held by the January 2025 Investors, with an aggregate Stated Value of $196 and $27 of accrued and unpaid dividends thereon, representing all outstanding shares of Series G Preferred Stock, and (iii) redeem all Amended and Restated Warrants held by the January 2025 Investors, representing all outstanding Series A Warrants and Series B Warrants, for an aggregate cash purchase price of $9,000 (collectively, the “Repurchase”). The Repurchase closed on March 2, 2026.</w:t>
      </w:r>
    </w:p>
    <w:p>
      <w:pPr>
        <w:spacing w:after="0" w:line="16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On March 4, 2026, the Company filed a Certificate of Elimination (the “Certificate of Elimination”) with respect to its Series G Preferred Stock, with the Delaware Secretary of State. The Certificate of Elimination (i) eliminates the previous designation of 4,000 shares of Series G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Series H Preferred Stock</w:t>
      </w:r>
    </w:p>
    <w:p>
      <w:pPr>
        <w:spacing w:after="0" w:line="20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 terms of the Series H Preferred Stock are set forth in the Series H Certificate of Designations. The shares of Series H Preferred Stock are convertible into the Conversion Shares at the election of the holders of the Series H Preferred Stock</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 “Holders”) at any time at an initial conversion price of $0.47 per share (the “Conversion Price”). The Conversion Price is subject to customary adjustments for stock dividends, stock splits, reclassifications, stock combinations and the like.</w:t>
      </w:r>
    </w:p>
    <w:p>
      <w:pPr>
        <w:spacing w:after="0" w:line="15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A Holder of the Series H Preferred Stock may not convert any portion of the Series H Preferred Stock to the extent that the Holder, together with its affiliates, would beneficially own more than 4.99% of the Company’s outstanding shares of Common Stock immediately after conversion, except that upon at least 61 days’ prior notice from the Holder to the Company, the Holder may increase the beneficial ownership limitation to up to 9.99% of the number of shares of Common Stock outstanding immediately after giving effect to the conversion.</w:t>
      </w:r>
    </w:p>
    <w:p>
      <w:pPr>
        <w:spacing w:after="0" w:line="176"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Pursuant to the Series H Certificate of Designations, so long as any shares of the Series H Preferred Stock are outstanding, the Company may not, directly or indirectly, redeem, or declare or pay any cash dividend or distribution on, any securities of the Company without the prior express written consent of the Required Holders (as defined in the Certificate of Designations). In the event that dividends are consented to by the Required Holders, the Holders of the Series H Preferred Stock shall be entitled to receive dividends on shares of the Series H Preferred Stock equal (on an as-if-converted-to-Common-Stock basis) to and in the same form as dividends actually paid on shares of the Common Stock when, as and if such dividends are paid on shares of the Common Stock. No other dividends may be paid on shares of the Series H Preferred Stock.</w:t>
      </w:r>
    </w:p>
    <w:p>
      <w:pPr>
        <w:spacing w:after="0" w:line="179"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7"/>
          <w:szCs w:val="17"/>
          <w:color w:val="auto"/>
        </w:rPr>
        <w:t>Except as otherwise provided in the Series H Certificate of Designations or as otherwise required by law, the Series H Preferred Stock will have no voting rights except as provided by law. However, as long as any shares of Series H Preferred Stock are outstanding, the Company may not, without the affirmative vote at a meeting duly called for such purpose, or the written consent without a meeting, of the Required Holders, voting together as a single class, (a) amend or repeal any provision of, or add any provision to, its charter documents, including, without limitation, its Certificate of Incorporation or bylaws, the Series H Certificate of Designation, or file any certificate of designations or articles of amendment of any series of shares of preferred stock, in each case, only if such action would adversely alter or change in any respect the preferences, rights, privileges or powers, or restrictions provided for the benefit, of the Series H Preferred Stock, regardless of whether any such action shall be by means of amendment to the Certificate of Incorporation or by merger, consolidation or otherwise; (b) increase or decrease (other than by conversion) the authorized number of shares of the Series H Preferred Stock; (c) create or authorize (by reclassification or otherwise) any new class or series of shares that has a preference over the Series H Preferred Stock with respect to dividends or the distribution of assets on the liquidation, dissolution or winding up of the Company; (d) pay dividends or make any other distribution on any shares of any capital stock of the Company junior in rank to the Series H Preferred Stock; or (e) whether or not prohibited by the terms of the Series H Preferred Stock, circumvent a right of the Series H Preferred Stock.</w:t>
      </w:r>
    </w:p>
    <w:p>
      <w:pPr>
        <w:spacing w:after="0" w:line="18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There is no established public trading market for the Preferred Stock and the Company does not intend to list the Series H Preferred Stock on any national securities exchange or nationally recognized trading system.</w:t>
      </w: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207" w:lineRule="exact"/>
        <w:rPr>
          <w:sz w:val="20"/>
          <w:szCs w:val="20"/>
          <w:color w:val="auto"/>
        </w:rPr>
      </w:pPr>
    </w:p>
    <w:p>
      <w:pPr>
        <w:jc w:val="both"/>
        <w:ind w:left="40" w:right="59"/>
        <w:spacing w:after="0" w:line="301" w:lineRule="auto"/>
        <w:rPr>
          <w:sz w:val="20"/>
          <w:szCs w:val="20"/>
          <w:color w:val="auto"/>
        </w:rPr>
      </w:pPr>
      <w:r>
        <w:rPr>
          <w:rFonts w:ascii="Times New Roman" w:cs="Times New Roman" w:eastAsia="Times New Roman" w:hAnsi="Times New Roman"/>
          <w:sz w:val="16"/>
          <w:szCs w:val="16"/>
          <w:color w:val="auto"/>
        </w:rPr>
        <w:t>We recognize revenue from the sale of XpresSpa and Naples Wax services when they are rendered at our stores and from the sale of products at the time goods are purchased at our stores or online (usually by credit card), net of discounts and applicable sales taxes.</w:t>
      </w:r>
    </w:p>
    <w:p>
      <w:pPr>
        <w:spacing w:after="0" w:line="136"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During the third quarter of 2022, XpresTest, in partnership with Ginkgo Bioworks in continuation of their support to the CDC’s traveler-based SARS-CoV-2 genomic surveillance program was awarded a new contract. We recognize revenue over time for both sample collection performance obligations, using the input method based on time elapsed to measure progress towards satisfying each of the performance obligations. The Company recognizes revenue ratably (straight line basis) over the term of the contract.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20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Cost of sales for our XpresSpa, XpresTest, and Naples Wax segments consist of location and segment level costs. Location and segment level costs include all costs that are directly attributable to operations, primarily payroll and related benefit costs for personnel, occupancy costs and cost of products sold.</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p>
      <w:pPr>
        <w:spacing w:after="0" w:line="207" w:lineRule="exact"/>
        <w:rPr>
          <w:sz w:val="20"/>
          <w:szCs w:val="20"/>
          <w:color w:val="auto"/>
        </w:rPr>
      </w:pPr>
    </w:p>
    <w:p>
      <w:pPr>
        <w:jc w:val="both"/>
        <w:ind w:left="40" w:right="59"/>
        <w:spacing w:after="0" w:line="301" w:lineRule="auto"/>
        <w:rPr>
          <w:sz w:val="20"/>
          <w:szCs w:val="20"/>
          <w:color w:val="auto"/>
        </w:rPr>
      </w:pPr>
      <w:r>
        <w:rPr>
          <w:rFonts w:ascii="Times New Roman" w:cs="Times New Roman" w:eastAsia="Times New Roman" w:hAnsi="Times New Roman"/>
          <w:sz w:val="16"/>
          <w:szCs w:val="16"/>
          <w:color w:val="auto"/>
        </w:rPr>
        <w:t>General and administrative expenses include management and administrative personnel, overhead and occupancy costs, insurance, salaries, and various professional fees, as well as stock-based compensation for directors, management and administrative personnel.</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Three months ended March 31, 2026, compared to the three months ended March 31, 2025</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0"/>
        </w:trPr>
        <w:tc>
          <w:tcPr>
            <w:tcW w:w="3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7"/>
              </w:rPr>
              <w:t>Three months ended March 31,</w:t>
            </w: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3560" w:type="dxa"/>
            <w:vAlign w:val="bottom"/>
          </w:tcPr>
          <w:p>
            <w:pPr>
              <w:spacing w:after="0"/>
              <w:rPr>
                <w:sz w:val="16"/>
                <w:szCs w:val="16"/>
                <w:color w:val="auto"/>
              </w:rPr>
            </w:pPr>
          </w:p>
        </w:tc>
        <w:tc>
          <w:tcPr>
            <w:tcW w:w="2620" w:type="dxa"/>
            <w:vAlign w:val="bottom"/>
            <w:gridSpan w:val="2"/>
          </w:tcPr>
          <w:p>
            <w:pPr>
              <w:jc w:val="right"/>
              <w:ind w:right="5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ind w:right="177"/>
              <w:spacing w:after="0" w:line="192" w:lineRule="exact"/>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gridSpan w:val="2"/>
          </w:tcPr>
          <w:p>
            <w:pPr>
              <w:jc w:val="right"/>
              <w:ind w:right="5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ind w:right="177"/>
              <w:spacing w:after="0" w:line="192" w:lineRule="exact"/>
              <w:rPr>
                <w:sz w:val="20"/>
                <w:szCs w:val="20"/>
                <w:color w:val="auto"/>
              </w:rPr>
            </w:pPr>
            <w:r>
              <w:rPr>
                <w:rFonts w:ascii="Times New Roman" w:cs="Times New Roman" w:eastAsia="Times New Roman" w:hAnsi="Times New Roman"/>
                <w:sz w:val="17"/>
                <w:szCs w:val="17"/>
                <w:b w:val="1"/>
                <w:bCs w:val="1"/>
                <w:color w:val="auto"/>
              </w:rPr>
              <w:t>2025</w:t>
            </w:r>
          </w:p>
        </w:tc>
        <w:tc>
          <w:tcPr>
            <w:tcW w:w="1040" w:type="dxa"/>
            <w:vAlign w:val="bottom"/>
            <w:gridSpan w:val="3"/>
          </w:tcPr>
          <w:p>
            <w:pPr>
              <w:jc w:val="right"/>
              <w:ind w:right="17"/>
              <w:spacing w:after="0" w:line="192" w:lineRule="exact"/>
              <w:rPr>
                <w:sz w:val="20"/>
                <w:szCs w:val="20"/>
                <w:color w:val="auto"/>
              </w:rPr>
            </w:pPr>
            <w:r>
              <w:rPr>
                <w:rFonts w:ascii="Times New Roman" w:cs="Times New Roman" w:eastAsia="Times New Roman" w:hAnsi="Times New Roman"/>
                <w:sz w:val="17"/>
                <w:szCs w:val="17"/>
                <w:b w:val="1"/>
                <w:bCs w:val="1"/>
                <w:color w:val="auto"/>
              </w:rPr>
              <w:t>​​​ Inc/(Dec)</w:t>
            </w:r>
          </w:p>
        </w:tc>
        <w:tc>
          <w:tcPr>
            <w:tcW w:w="20" w:type="dxa"/>
            <w:vAlign w:val="bottom"/>
          </w:tcPr>
          <w:p>
            <w:pPr>
              <w:spacing w:after="0"/>
              <w:rPr>
                <w:sz w:val="16"/>
                <w:szCs w:val="16"/>
                <w:color w:val="auto"/>
              </w:rPr>
            </w:pPr>
          </w:p>
        </w:tc>
      </w:tr>
      <w:tr>
        <w:trPr>
          <w:trHeight w:val="192"/>
        </w:trPr>
        <w:tc>
          <w:tcPr>
            <w:tcW w:w="3560" w:type="dxa"/>
            <w:vAlign w:val="bottom"/>
            <w:tcBorders>
              <w:top w:val="single" w:sz="8" w:color="CCEEFF"/>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Total revenue, net</w:t>
            </w:r>
          </w:p>
        </w:tc>
        <w:tc>
          <w:tcPr>
            <w:tcW w:w="24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6,638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7,023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3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2"/>
              </w:rPr>
              <w:t>(385)</w:t>
            </w:r>
          </w:p>
        </w:tc>
        <w:tc>
          <w:tcPr>
            <w:tcW w:w="20" w:type="dxa"/>
            <w:vAlign w:val="bottom"/>
          </w:tcPr>
          <w:p>
            <w:pPr>
              <w:spacing w:after="0"/>
              <w:rPr>
                <w:sz w:val="16"/>
                <w:szCs w:val="16"/>
                <w:color w:val="auto"/>
              </w:rPr>
            </w:pPr>
          </w:p>
        </w:tc>
      </w:tr>
      <w:tr>
        <w:trPr>
          <w:trHeight w:val="20"/>
        </w:trPr>
        <w:tc>
          <w:tcPr>
            <w:tcW w:w="3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The decrease in revenue of $385 or 5%, for the three months ended March 31, 2026, was primarily driven by the absence of revenues from the HyperPointe segment, which ceased operations as of December 31, 2025. Additionally, for XpresTest, specifically, there were additional revenues generated in three months ended March 31, 2025 from providing services to airports above the base contract amounts, which resulted in increased surge billing prices.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Cost of sales</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10"/>
        </w:trPr>
        <w:tc>
          <w:tcPr>
            <w:tcW w:w="3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7"/>
              </w:rPr>
              <w:t>Three months ended March 31,</w:t>
            </w:r>
          </w:p>
        </w:tc>
      </w:tr>
      <w:tr>
        <w:trPr>
          <w:trHeight w:val="192"/>
        </w:trPr>
        <w:tc>
          <w:tcPr>
            <w:tcW w:w="3560" w:type="dxa"/>
            <w:vAlign w:val="bottom"/>
          </w:tcPr>
          <w:p>
            <w:pPr>
              <w:spacing w:after="0"/>
              <w:rPr>
                <w:sz w:val="16"/>
                <w:szCs w:val="16"/>
                <w:color w:val="auto"/>
              </w:rPr>
            </w:pPr>
          </w:p>
        </w:tc>
        <w:tc>
          <w:tcPr>
            <w:tcW w:w="2620" w:type="dxa"/>
            <w:vAlign w:val="bottom"/>
            <w:gridSpan w:val="2"/>
          </w:tcPr>
          <w:p>
            <w:pPr>
              <w:jc w:val="right"/>
              <w:ind w:right="5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ind w:right="177"/>
              <w:spacing w:after="0" w:line="192" w:lineRule="exact"/>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gridSpan w:val="2"/>
          </w:tcPr>
          <w:p>
            <w:pPr>
              <w:jc w:val="right"/>
              <w:ind w:right="5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ind w:right="177"/>
              <w:spacing w:after="0" w:line="192" w:lineRule="exact"/>
              <w:rPr>
                <w:sz w:val="20"/>
                <w:szCs w:val="20"/>
                <w:color w:val="auto"/>
              </w:rPr>
            </w:pPr>
            <w:r>
              <w:rPr>
                <w:rFonts w:ascii="Times New Roman" w:cs="Times New Roman" w:eastAsia="Times New Roman" w:hAnsi="Times New Roman"/>
                <w:sz w:val="17"/>
                <w:szCs w:val="17"/>
                <w:b w:val="1"/>
                <w:bCs w:val="1"/>
                <w:color w:val="auto"/>
              </w:rPr>
              <w:t>2025</w:t>
            </w:r>
          </w:p>
        </w:tc>
        <w:tc>
          <w:tcPr>
            <w:tcW w:w="1040" w:type="dxa"/>
            <w:vAlign w:val="bottom"/>
            <w:gridSpan w:val="3"/>
          </w:tcPr>
          <w:p>
            <w:pPr>
              <w:jc w:val="right"/>
              <w:ind w:right="17"/>
              <w:spacing w:after="0" w:line="192" w:lineRule="exact"/>
              <w:rPr>
                <w:sz w:val="20"/>
                <w:szCs w:val="20"/>
                <w:color w:val="auto"/>
              </w:rPr>
            </w:pPr>
            <w:r>
              <w:rPr>
                <w:rFonts w:ascii="Times New Roman" w:cs="Times New Roman" w:eastAsia="Times New Roman" w:hAnsi="Times New Roman"/>
                <w:sz w:val="17"/>
                <w:szCs w:val="17"/>
                <w:b w:val="1"/>
                <w:bCs w:val="1"/>
                <w:color w:val="auto"/>
              </w:rPr>
              <w:t>​​​ Inc/(Dec)</w:t>
            </w:r>
          </w:p>
        </w:tc>
      </w:tr>
      <w:tr>
        <w:trPr>
          <w:trHeight w:val="192"/>
        </w:trPr>
        <w:tc>
          <w:tcPr>
            <w:tcW w:w="3560" w:type="dxa"/>
            <w:vAlign w:val="bottom"/>
            <w:tcBorders>
              <w:top w:val="single" w:sz="8" w:color="CCEEFF"/>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Total cost of sales</w:t>
            </w:r>
          </w:p>
        </w:tc>
        <w:tc>
          <w:tcPr>
            <w:tcW w:w="24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4,285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5,704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(1,419)</w:t>
            </w:r>
          </w:p>
        </w:tc>
      </w:tr>
      <w:tr>
        <w:trPr>
          <w:trHeight w:val="20"/>
        </w:trPr>
        <w:tc>
          <w:tcPr>
            <w:tcW w:w="3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The decrease in cost of sales of $1,419 or 25%, for the three months ended March 31, 2026, was primarily driven by the absence of costs associated with the HyperPointe segment, which ceased operations as of December 31, 2025. As a result, the Company experienced lower labor and related operating costs due to reduced sales activity and a smaller workforce compared to the prior period.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10"/>
        </w:trPr>
        <w:tc>
          <w:tcPr>
            <w:tcW w:w="4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Three months ended March 31,</w:t>
            </w:r>
          </w:p>
        </w:tc>
        <w:tc>
          <w:tcPr>
            <w:tcW w:w="260" w:type="dxa"/>
            <w:vAlign w:val="bottom"/>
            <w:tcBorders>
              <w:bottom w:val="single" w:sz="8" w:color="auto"/>
            </w:tcBorders>
          </w:tcPr>
          <w:p>
            <w:pPr>
              <w:spacing w:after="0"/>
              <w:rPr>
                <w:sz w:val="24"/>
                <w:szCs w:val="24"/>
                <w:color w:val="auto"/>
              </w:rPr>
            </w:pPr>
          </w:p>
        </w:tc>
      </w:tr>
      <w:tr>
        <w:trPr>
          <w:trHeight w:val="192"/>
        </w:trPr>
        <w:tc>
          <w:tcPr>
            <w:tcW w:w="4040" w:type="dxa"/>
            <w:vAlign w:val="bottom"/>
          </w:tcPr>
          <w:p>
            <w:pPr>
              <w:spacing w:after="0"/>
              <w:rPr>
                <w:sz w:val="16"/>
                <w:szCs w:val="16"/>
                <w:color w:val="auto"/>
              </w:rPr>
            </w:pPr>
          </w:p>
        </w:tc>
        <w:tc>
          <w:tcPr>
            <w:tcW w:w="2140" w:type="dxa"/>
            <w:vAlign w:val="bottom"/>
            <w:gridSpan w:val="2"/>
          </w:tcPr>
          <w:p>
            <w:pPr>
              <w:jc w:val="right"/>
              <w:ind w:right="5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ind w:right="177"/>
              <w:spacing w:after="0" w:line="192" w:lineRule="exact"/>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gridSpan w:val="2"/>
          </w:tcPr>
          <w:p>
            <w:pPr>
              <w:jc w:val="right"/>
              <w:ind w:right="5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ind w:right="177"/>
              <w:spacing w:after="0" w:line="192" w:lineRule="exact"/>
              <w:rPr>
                <w:sz w:val="20"/>
                <w:szCs w:val="20"/>
                <w:color w:val="auto"/>
              </w:rPr>
            </w:pPr>
            <w:r>
              <w:rPr>
                <w:rFonts w:ascii="Times New Roman" w:cs="Times New Roman" w:eastAsia="Times New Roman" w:hAnsi="Times New Roman"/>
                <w:sz w:val="17"/>
                <w:szCs w:val="17"/>
                <w:b w:val="1"/>
                <w:bCs w:val="1"/>
                <w:color w:val="auto"/>
              </w:rPr>
              <w:t>2025</w:t>
            </w:r>
          </w:p>
        </w:tc>
        <w:tc>
          <w:tcPr>
            <w:tcW w:w="1040" w:type="dxa"/>
            <w:vAlign w:val="bottom"/>
            <w:gridSpan w:val="3"/>
          </w:tcPr>
          <w:p>
            <w:pPr>
              <w:jc w:val="right"/>
              <w:ind w:right="17"/>
              <w:spacing w:after="0" w:line="192" w:lineRule="exact"/>
              <w:rPr>
                <w:sz w:val="20"/>
                <w:szCs w:val="20"/>
                <w:color w:val="auto"/>
              </w:rPr>
            </w:pPr>
            <w:r>
              <w:rPr>
                <w:rFonts w:ascii="Times New Roman" w:cs="Times New Roman" w:eastAsia="Times New Roman" w:hAnsi="Times New Roman"/>
                <w:sz w:val="17"/>
                <w:szCs w:val="17"/>
                <w:b w:val="1"/>
                <w:bCs w:val="1"/>
                <w:color w:val="auto"/>
              </w:rPr>
              <w:t>​​​ Inc/(Dec)</w:t>
            </w:r>
          </w:p>
        </w:tc>
      </w:tr>
      <w:tr>
        <w:trPr>
          <w:trHeight w:val="192"/>
        </w:trPr>
        <w:tc>
          <w:tcPr>
            <w:tcW w:w="4040" w:type="dxa"/>
            <w:vAlign w:val="bottom"/>
            <w:tcBorders>
              <w:top w:val="single" w:sz="8" w:color="CCEEFF"/>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Depreciation and amortization</w:t>
            </w:r>
          </w:p>
        </w:tc>
        <w:tc>
          <w:tcPr>
            <w:tcW w:w="19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172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166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3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w:t>
            </w:r>
          </w:p>
        </w:tc>
      </w:tr>
      <w:tr>
        <w:trPr>
          <w:trHeight w:val="20"/>
        </w:trPr>
        <w:tc>
          <w:tcPr>
            <w:tcW w:w="4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increase in depreciation and amortization of approximately $6 or 4% for the three months ended March 31, 2026, was not individually significant and was primarily attributable to normal changes in the Company’s depreciable asset base compared to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General and administrative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15240</wp:posOffset>
            </wp:positionV>
            <wp:extent cx="18491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49120" cy="7620"/>
                    </a:xfrm>
                    <a:prstGeom prst="rect">
                      <a:avLst/>
                    </a:prstGeom>
                    <a:noFill/>
                  </pic:spPr>
                </pic:pic>
              </a:graphicData>
            </a:graphic>
          </wp:anchor>
        </w:drawing>
      </w:r>
    </w:p>
    <w:p>
      <w:pPr>
        <w:spacing w:after="0" w:line="4" w:lineRule="exact"/>
        <w:rPr>
          <w:sz w:val="20"/>
          <w:szCs w:val="20"/>
          <w:color w:val="auto"/>
        </w:rPr>
      </w:pPr>
    </w:p>
    <w:p>
      <w:pPr>
        <w:spacing w:after="0"/>
        <w:tabs>
          <w:tab w:leader="none" w:pos="320" w:val="left"/>
          <w:tab w:leader="none" w:pos="1000" w:val="left"/>
          <w:tab w:leader="none" w:pos="1340" w:val="left"/>
          <w:tab w:leader="none" w:pos="2020" w:val="left"/>
        </w:tabs>
        <w:rPr>
          <w:sz w:val="20"/>
          <w:szCs w:val="20"/>
          <w:color w:val="auto"/>
        </w:rPr>
      </w:pPr>
      <w:r>
        <w:rPr>
          <w:rFonts w:ascii="Times New Roman" w:cs="Times New Roman" w:eastAsia="Times New Roman" w:hAnsi="Times New Roman"/>
          <w:sz w:val="17"/>
          <w:szCs w:val="17"/>
          <w:b w:val="1"/>
          <w:bCs w:val="1"/>
          <w:color w:val="auto"/>
        </w:rPr>
        <w:t>​​​</w:t>
        <w:tab/>
        <w:t>2026</w:t>
      </w:r>
      <w:r>
        <w:rPr>
          <w:sz w:val="20"/>
          <w:szCs w:val="20"/>
          <w:color w:val="auto"/>
        </w:rPr>
        <w:tab/>
      </w:r>
      <w:r>
        <w:rPr>
          <w:rFonts w:ascii="Times New Roman" w:cs="Times New Roman" w:eastAsia="Times New Roman" w:hAnsi="Times New Roman"/>
          <w:sz w:val="17"/>
          <w:szCs w:val="17"/>
          <w:b w:val="1"/>
          <w:bCs w:val="1"/>
          <w:color w:val="auto"/>
        </w:rPr>
        <w:t>​​​</w:t>
        <w:tab/>
        <w:t>2025</w:t>
      </w:r>
      <w:r>
        <w:rPr>
          <w:sz w:val="20"/>
          <w:szCs w:val="20"/>
          <w:color w:val="auto"/>
        </w:rPr>
        <w:tab/>
      </w:r>
      <w:r>
        <w:rPr>
          <w:rFonts w:ascii="Times New Roman" w:cs="Times New Roman" w:eastAsia="Times New Roman" w:hAnsi="Times New Roman"/>
          <w:sz w:val="17"/>
          <w:szCs w:val="17"/>
          <w:b w:val="1"/>
          <w:bCs w:val="1"/>
          <w:color w:val="auto"/>
        </w:rPr>
        <w:t>​​​ Inc/(Dec)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10160</wp:posOffset>
            </wp:positionV>
            <wp:extent cx="5657850" cy="142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42240"/>
                    </a:xfrm>
                    <a:prstGeom prst="rect">
                      <a:avLst/>
                    </a:prstGeom>
                    <a:noFill/>
                  </pic:spPr>
                </pic:pic>
              </a:graphicData>
            </a:graphic>
          </wp:anchor>
        </w:drawing>
      </w:r>
    </w:p>
    <w:p>
      <w:pPr>
        <w:ind w:left="80"/>
        <w:spacing w:after="0"/>
        <w:tabs>
          <w:tab w:leader="none" w:pos="480" w:val="left"/>
          <w:tab w:leader="none" w:pos="1080" w:val="left"/>
          <w:tab w:leader="none" w:pos="1520" w:val="left"/>
          <w:tab w:leader="none" w:pos="2120" w:val="left"/>
          <w:tab w:leader="none" w:pos="25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7,595</w:t>
        <w:tab/>
        <w:t>$</w:t>
      </w:r>
      <w:r>
        <w:rPr>
          <w:sz w:val="20"/>
          <w:szCs w:val="20"/>
          <w:color w:val="auto"/>
        </w:rPr>
        <w:tab/>
      </w:r>
      <w:r>
        <w:rPr>
          <w:rFonts w:ascii="Times New Roman" w:cs="Times New Roman" w:eastAsia="Times New Roman" w:hAnsi="Times New Roman"/>
          <w:sz w:val="17"/>
          <w:szCs w:val="17"/>
          <w:color w:val="auto"/>
        </w:rPr>
        <w:t>4,311</w:t>
        <w:tab/>
        <w:t>$</w:t>
      </w:r>
      <w:r>
        <w:rPr>
          <w:sz w:val="20"/>
          <w:szCs w:val="20"/>
          <w:color w:val="auto"/>
        </w:rPr>
        <w:tab/>
      </w:r>
      <w:r>
        <w:rPr>
          <w:rFonts w:ascii="Times New Roman" w:cs="Times New Roman" w:eastAsia="Times New Roman" w:hAnsi="Times New Roman"/>
          <w:sz w:val="16"/>
          <w:szCs w:val="16"/>
          <w:color w:val="auto"/>
        </w:rPr>
        <w:t>3,284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26035</wp:posOffset>
            </wp:positionV>
            <wp:extent cx="184912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49120" cy="762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5240" w:space="720"/>
            <w:col w:w="3059"/>
          </w:cols>
          <w:pgMar w:left="1440" w:top="484" w:right="1440" w:bottom="1440" w:gutter="0" w:footer="0" w:header="0"/>
        </w:sectPr>
      </w:pPr>
    </w:p>
    <w:p>
      <w:pPr>
        <w:spacing w:after="0" w:line="2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increase of approximately 76% for the three months ended March 31, 2026, was primarily attributable to increased franchise tax expense, stock-based compensation related to shares granted and vested during the three months ended March 31, 2026, and higher consulting expenses, including amounts related to a related party consulting agreement (see Note 14), as well as higher legal and accounting fees. These increases were partially offset by a decrease in salaries and benefits expense compared to the three months ended March 31, 2025.</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non-operating expenses</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10"/>
        </w:trPr>
        <w:tc>
          <w:tcPr>
            <w:tcW w:w="4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40" w:type="dxa"/>
            <w:vAlign w:val="bottom"/>
            <w:tcBorders>
              <w:bottom w:val="single" w:sz="8" w:color="auto"/>
            </w:tcBorders>
          </w:tcPr>
          <w:p>
            <w:pPr>
              <w:spacing w:after="0"/>
              <w:rPr>
                <w:sz w:val="24"/>
                <w:szCs w:val="24"/>
                <w:color w:val="auto"/>
              </w:rPr>
            </w:pPr>
          </w:p>
        </w:tc>
      </w:tr>
      <w:tr>
        <w:trPr>
          <w:trHeight w:val="192"/>
        </w:trPr>
        <w:tc>
          <w:tcPr>
            <w:tcW w:w="4080" w:type="dxa"/>
            <w:vAlign w:val="bottom"/>
          </w:tcPr>
          <w:p>
            <w:pPr>
              <w:spacing w:after="0"/>
              <w:rPr>
                <w:sz w:val="16"/>
                <w:szCs w:val="16"/>
                <w:color w:val="auto"/>
              </w:rPr>
            </w:pPr>
          </w:p>
        </w:tc>
        <w:tc>
          <w:tcPr>
            <w:tcW w:w="2100" w:type="dxa"/>
            <w:vAlign w:val="bottom"/>
            <w:gridSpan w:val="2"/>
          </w:tcPr>
          <w:p>
            <w:pPr>
              <w:jc w:val="right"/>
              <w:ind w:right="5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ind w:right="177"/>
              <w:spacing w:after="0" w:line="192" w:lineRule="exact"/>
              <w:rPr>
                <w:sz w:val="20"/>
                <w:szCs w:val="20"/>
                <w:color w:val="auto"/>
              </w:rPr>
            </w:pPr>
            <w:r>
              <w:rPr>
                <w:rFonts w:ascii="Times New Roman" w:cs="Times New Roman" w:eastAsia="Times New Roman" w:hAnsi="Times New Roman"/>
                <w:sz w:val="17"/>
                <w:szCs w:val="17"/>
                <w:b w:val="1"/>
                <w:bCs w:val="1"/>
                <w:color w:val="auto"/>
              </w:rPr>
              <w:t>2026</w:t>
            </w:r>
          </w:p>
        </w:tc>
        <w:tc>
          <w:tcPr>
            <w:tcW w:w="360" w:type="dxa"/>
            <w:vAlign w:val="bottom"/>
            <w:gridSpan w:val="2"/>
          </w:tcPr>
          <w:p>
            <w:pPr>
              <w:jc w:val="right"/>
              <w:ind w:right="160"/>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ind w:right="177"/>
              <w:spacing w:after="0" w:line="192" w:lineRule="exact"/>
              <w:rPr>
                <w:sz w:val="20"/>
                <w:szCs w:val="20"/>
                <w:color w:val="auto"/>
              </w:rPr>
            </w:pPr>
            <w:r>
              <w:rPr>
                <w:rFonts w:ascii="Times New Roman" w:cs="Times New Roman" w:eastAsia="Times New Roman" w:hAnsi="Times New Roman"/>
                <w:sz w:val="17"/>
                <w:szCs w:val="17"/>
                <w:b w:val="1"/>
                <w:bCs w:val="1"/>
                <w:color w:val="auto"/>
              </w:rPr>
              <w:t>2025</w:t>
            </w:r>
          </w:p>
        </w:tc>
        <w:tc>
          <w:tcPr>
            <w:tcW w:w="1040" w:type="dxa"/>
            <w:vAlign w:val="bottom"/>
            <w:gridSpan w:val="3"/>
          </w:tcPr>
          <w:p>
            <w:pPr>
              <w:jc w:val="right"/>
              <w:ind w:right="17"/>
              <w:spacing w:after="0" w:line="192" w:lineRule="exact"/>
              <w:rPr>
                <w:sz w:val="20"/>
                <w:szCs w:val="20"/>
                <w:color w:val="auto"/>
              </w:rPr>
            </w:pPr>
            <w:r>
              <w:rPr>
                <w:rFonts w:ascii="Times New Roman" w:cs="Times New Roman" w:eastAsia="Times New Roman" w:hAnsi="Times New Roman"/>
                <w:sz w:val="17"/>
                <w:szCs w:val="17"/>
                <w:b w:val="1"/>
                <w:bCs w:val="1"/>
                <w:color w:val="auto"/>
              </w:rPr>
              <w:t>​​​ Inc/(Dec)</w:t>
            </w:r>
          </w:p>
        </w:tc>
      </w:tr>
      <w:tr>
        <w:trPr>
          <w:trHeight w:val="192"/>
        </w:trPr>
        <w:tc>
          <w:tcPr>
            <w:tcW w:w="40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Foreign exchange gain (loss)</w:t>
            </w:r>
          </w:p>
        </w:tc>
        <w:tc>
          <w:tcPr>
            <w:tcW w:w="1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77</w:t>
            </w:r>
          </w:p>
        </w:tc>
        <w:tc>
          <w:tcPr>
            <w:tcW w:w="360" w:type="dxa"/>
            <w:vAlign w:val="bottom"/>
            <w:tcBorders>
              <w:top w:val="single" w:sz="8" w:color="auto"/>
            </w:tcBorders>
            <w:gridSpan w:val="2"/>
            <w:shd w:val="clear" w:color="auto" w:fill="CCEEFF"/>
          </w:tcPr>
          <w:p>
            <w:pPr>
              <w:jc w:val="right"/>
              <w:ind w:right="80"/>
              <w:spacing w:after="0" w:line="192"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(455)</w:t>
            </w:r>
          </w:p>
        </w:tc>
        <w:tc>
          <w:tcPr>
            <w:tcW w:w="700" w:type="dxa"/>
            <w:vAlign w:val="bottom"/>
            <w:tcBorders>
              <w:top w:val="single" w:sz="8" w:color="auto"/>
            </w:tcBorders>
            <w:gridSpan w:val="2"/>
            <w:shd w:val="clear" w:color="auto" w:fill="CCEEFF"/>
          </w:tcPr>
          <w:p>
            <w:pPr>
              <w:jc w:val="right"/>
              <w:ind w:right="400"/>
              <w:spacing w:after="0" w:line="192"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532</w:t>
            </w:r>
          </w:p>
        </w:tc>
      </w:tr>
      <w:tr>
        <w:trPr>
          <w:trHeight w:val="199"/>
        </w:trPr>
        <w:tc>
          <w:tcPr>
            <w:tcW w:w="40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non-operating expense, net</w:t>
            </w:r>
          </w:p>
        </w:tc>
        <w:tc>
          <w:tcPr>
            <w:tcW w:w="1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4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decrease in foreign exchange loss of $532 was primarily due to the fluctuation of the foreign exchange rate in Turkey, creating a remeasurement gain on our lease liability. The decrease in other non-operating expense of $7, net was primarily driven by a decrease in finance expenses related to bank fees and charges.</w:t>
      </w:r>
    </w:p>
    <w:p>
      <w:pPr>
        <w:spacing w:after="0" w:line="171"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The following is a summary of the transactions included in other non-operating expense, net for the three months ended March 31, 2026 and 2025:</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7"/>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9"/>
              </w:rPr>
              <w:t>Three months ended March 31,</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66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297"/>
              <w:spacing w:after="0" w:line="192" w:lineRule="exact"/>
              <w:rPr>
                <w:sz w:val="20"/>
                <w:szCs w:val="20"/>
                <w:color w:val="auto"/>
              </w:rPr>
            </w:pPr>
            <w:r>
              <w:rPr>
                <w:rFonts w:ascii="Times New Roman" w:cs="Times New Roman" w:eastAsia="Times New Roman" w:hAnsi="Times New Roman"/>
                <w:sz w:val="17"/>
                <w:szCs w:val="17"/>
                <w:b w:val="1"/>
                <w:bCs w:val="1"/>
                <w:color w:val="auto"/>
              </w:rPr>
              <w:t>2026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2"/>
          </w:tcPr>
          <w:p>
            <w:pPr>
              <w:jc w:val="right"/>
              <w:ind w:right="19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Pr>
          <w:p>
            <w:pPr>
              <w:jc w:val="right"/>
              <w:ind w:right="317"/>
              <w:spacing w:after="0" w:line="192" w:lineRule="exact"/>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2"/>
        </w:trPr>
        <w:tc>
          <w:tcPr>
            <w:tcW w:w="39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Bank fees and financing charges</w:t>
            </w:r>
          </w:p>
        </w:tc>
        <w:tc>
          <w:tcPr>
            <w:tcW w:w="2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(25)</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25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Total</w:t>
            </w:r>
          </w:p>
        </w:tc>
        <w:tc>
          <w:tcPr>
            <w:tcW w:w="2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(26)</w:t>
            </w: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Change in fair value of warrants and derivatives</w:t>
            </w:r>
          </w:p>
        </w:tc>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90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97"/>
              </w:rPr>
              <w:t>Three months ended March 31,</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66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277"/>
              <w:spacing w:after="0" w:line="192" w:lineRule="exact"/>
              <w:rPr>
                <w:sz w:val="20"/>
                <w:szCs w:val="20"/>
                <w:color w:val="auto"/>
              </w:rPr>
            </w:pPr>
            <w:r>
              <w:rPr>
                <w:rFonts w:ascii="Times New Roman" w:cs="Times New Roman" w:eastAsia="Times New Roman" w:hAnsi="Times New Roman"/>
                <w:sz w:val="17"/>
                <w:szCs w:val="17"/>
                <w:b w:val="1"/>
                <w:bCs w:val="1"/>
                <w:color w:val="auto"/>
              </w:rPr>
              <w:t>2026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2"/>
          </w:tcPr>
          <w:p>
            <w:pPr>
              <w:jc w:val="right"/>
              <w:ind w:right="19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Pr>
          <w:p>
            <w:pPr>
              <w:jc w:val="right"/>
              <w:ind w:right="317"/>
              <w:spacing w:after="0" w:line="192" w:lineRule="exact"/>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2"/>
        </w:trPr>
        <w:tc>
          <w:tcPr>
            <w:tcW w:w="39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Change in fair value of derivative liability</w:t>
            </w:r>
          </w:p>
        </w:tc>
        <w:tc>
          <w:tcPr>
            <w:tcW w:w="256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(5,584)</w:t>
            </w: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19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0" w:type="dxa"/>
            <w:vAlign w:val="bottom"/>
          </w:tcPr>
          <w:p>
            <w:pPr>
              <w:spacing w:after="0"/>
              <w:rPr>
                <w:sz w:val="1"/>
                <w:szCs w:val="1"/>
                <w:color w:val="auto"/>
              </w:rPr>
            </w:pPr>
          </w:p>
        </w:tc>
      </w:tr>
      <w:tr>
        <w:trPr>
          <w:trHeight w:val="19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issuance of Series G Preferred Stock</w:t>
            </w:r>
          </w:p>
        </w:tc>
        <w:tc>
          <w:tcPr>
            <w:tcW w:w="2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(3,443)</w:t>
            </w:r>
          </w:p>
        </w:tc>
        <w:tc>
          <w:tcPr>
            <w:tcW w:w="0" w:type="dxa"/>
            <w:vAlign w:val="bottom"/>
          </w:tcPr>
          <w:p>
            <w:pPr>
              <w:spacing w:after="0"/>
              <w:rPr>
                <w:sz w:val="1"/>
                <w:szCs w:val="1"/>
                <w:color w:val="auto"/>
              </w:rPr>
            </w:pPr>
          </w:p>
        </w:tc>
      </w:tr>
      <w:tr>
        <w:trPr>
          <w:trHeight w:val="797"/>
        </w:trPr>
        <w:tc>
          <w:tcPr>
            <w:tcW w:w="3900" w:type="dxa"/>
            <w:vAlign w:val="bottom"/>
          </w:tcPr>
          <w:p>
            <w:pPr>
              <w:spacing w:after="0"/>
              <w:rPr>
                <w:sz w:val="24"/>
                <w:szCs w:val="24"/>
                <w:color w:val="auto"/>
              </w:rPr>
            </w:pPr>
          </w:p>
        </w:tc>
        <w:tc>
          <w:tcPr>
            <w:tcW w:w="2540" w:type="dxa"/>
            <w:vAlign w:val="bottom"/>
          </w:tcPr>
          <w:p>
            <w:pPr>
              <w:jc w:val="right"/>
              <w:ind w:right="1817"/>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39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color w:val="auto"/>
        </w:rPr>
        <w:t>The increase in the loss on change in fair value of derivative liability of $5,442 is primarily due to the issuance of convertible notes on November 10, 2025 which contained embedded features meeting the definition of a derivative and requiring bifurcation; the bifurcated derivative of these notes increased by $5,624 during the three months ended March 31, 2026 due to an increase in the Company’s stock price. The decrease in the change in fair value of warrant liability of $2,590 was due to the reclassification of the Company’s outstanding warrants from liability to equity in connection with the amendment on May 16, 2025; after reclassification, the warrants were no longer subject to remeasurement each reporting period with changes in fair value recognized in earnings, and thus no change in fair value of warrant liability was recorded for the three months ended March 31, 2026. The loss on issuance of Series G Preferred Stock during the three months ended March 31, 2025 was associated with the Securities Purchase Agreement dated as of January 14, 2025, by and between the Company and the investors named therein (the “January 2025 Purchase Agreement”); there was no such transaction or loss during the three months ended March 31, 2026.</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(expense) income, net</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0"/>
        </w:trPr>
        <w:tc>
          <w:tcPr>
            <w:tcW w:w="4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4020" w:type="dxa"/>
            <w:vAlign w:val="bottom"/>
          </w:tcPr>
          <w:p>
            <w:pPr>
              <w:spacing w:after="0"/>
              <w:rPr>
                <w:sz w:val="16"/>
                <w:szCs w:val="16"/>
                <w:color w:val="auto"/>
              </w:rPr>
            </w:pPr>
          </w:p>
        </w:tc>
        <w:tc>
          <w:tcPr>
            <w:tcW w:w="2160" w:type="dxa"/>
            <w:vAlign w:val="bottom"/>
            <w:gridSpan w:val="2"/>
          </w:tcPr>
          <w:p>
            <w:pPr>
              <w:jc w:val="right"/>
              <w:ind w:right="57"/>
              <w:spacing w:after="0" w:line="192" w:lineRule="exact"/>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ind w:right="177"/>
              <w:spacing w:after="0" w:line="192" w:lineRule="exact"/>
              <w:rPr>
                <w:sz w:val="20"/>
                <w:szCs w:val="20"/>
                <w:color w:val="auto"/>
              </w:rPr>
            </w:pPr>
            <w:r>
              <w:rPr>
                <w:rFonts w:ascii="Times New Roman" w:cs="Times New Roman" w:eastAsia="Times New Roman" w:hAnsi="Times New Roman"/>
                <w:sz w:val="17"/>
                <w:szCs w:val="17"/>
                <w:b w:val="1"/>
                <w:bCs w:val="1"/>
                <w:color w:val="auto"/>
              </w:rPr>
              <w:t>2026</w:t>
            </w:r>
          </w:p>
        </w:tc>
        <w:tc>
          <w:tcPr>
            <w:tcW w:w="78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   2025</w:t>
            </w:r>
          </w:p>
        </w:tc>
        <w:tc>
          <w:tcPr>
            <w:tcW w:w="240" w:type="dxa"/>
            <w:vAlign w:val="bottom"/>
          </w:tcPr>
          <w:p>
            <w:pPr>
              <w:spacing w:after="0"/>
              <w:rPr>
                <w:sz w:val="16"/>
                <w:szCs w:val="16"/>
                <w:color w:val="auto"/>
              </w:rPr>
            </w:pPr>
          </w:p>
        </w:tc>
        <w:tc>
          <w:tcPr>
            <w:tcW w:w="1040" w:type="dxa"/>
            <w:vAlign w:val="bottom"/>
            <w:gridSpan w:val="3"/>
          </w:tcPr>
          <w:p>
            <w:pPr>
              <w:jc w:val="right"/>
              <w:ind w:right="17"/>
              <w:spacing w:after="0" w:line="192" w:lineRule="exact"/>
              <w:rPr>
                <w:sz w:val="20"/>
                <w:szCs w:val="20"/>
                <w:color w:val="auto"/>
              </w:rPr>
            </w:pPr>
            <w:r>
              <w:rPr>
                <w:rFonts w:ascii="Times New Roman" w:cs="Times New Roman" w:eastAsia="Times New Roman" w:hAnsi="Times New Roman"/>
                <w:sz w:val="17"/>
                <w:szCs w:val="17"/>
                <w:b w:val="1"/>
                <w:bCs w:val="1"/>
                <w:color w:val="auto"/>
              </w:rPr>
              <w:t>​​​ Inc/(Dec)</w:t>
            </w:r>
          </w:p>
        </w:tc>
        <w:tc>
          <w:tcPr>
            <w:tcW w:w="20" w:type="dxa"/>
            <w:vAlign w:val="bottom"/>
          </w:tcPr>
          <w:p>
            <w:pPr>
              <w:spacing w:after="0"/>
              <w:rPr>
                <w:sz w:val="16"/>
                <w:szCs w:val="16"/>
                <w:color w:val="auto"/>
              </w:rPr>
            </w:pPr>
          </w:p>
        </w:tc>
      </w:tr>
      <w:tr>
        <w:trPr>
          <w:trHeight w:val="192"/>
        </w:trPr>
        <w:tc>
          <w:tcPr>
            <w:tcW w:w="4020" w:type="dxa"/>
            <w:vAlign w:val="bottom"/>
            <w:tcBorders>
              <w:top w:val="single" w:sz="8" w:color="CCEEFF"/>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Interest (expense) income, net</w:t>
            </w:r>
          </w:p>
        </w:tc>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43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58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3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2"/>
              </w:rPr>
              <w:t>(101)</w:t>
            </w:r>
          </w:p>
        </w:tc>
        <w:tc>
          <w:tcPr>
            <w:tcW w:w="20" w:type="dxa"/>
            <w:vAlign w:val="bottom"/>
          </w:tcPr>
          <w:p>
            <w:pPr>
              <w:spacing w:after="0"/>
              <w:rPr>
                <w:sz w:val="16"/>
                <w:szCs w:val="16"/>
                <w:color w:val="auto"/>
              </w:rPr>
            </w:pPr>
          </w:p>
        </w:tc>
      </w:tr>
      <w:tr>
        <w:trPr>
          <w:trHeight w:val="20"/>
        </w:trPr>
        <w:tc>
          <w:tcPr>
            <w:tcW w:w="4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The decrease of $101 for the three months ended March 31, 2026 was primarily driven by a reduction in interest income and the recognition of interest expense in the current period. In 2025, the Company earned approximately $51 of interest income on its Citi money market account, which has declined due to lower cash balances. In 2026, the Company incurred approximately $52 of interest expense related to a note payable.</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Cash and Liquidity Analysis</w:t>
      </w:r>
    </w:p>
    <w:p>
      <w:pPr>
        <w:spacing w:after="0" w:line="20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As of March 31, 2026, the Company had cash and cash equivalents of $16,800 (excluding restricted cash), $7 in marketable securities, and total current assets of $19,747. The Company’s total current liabilities balance, which includes accounts payable, deferred revenue, accrued expenses, and operating lease liabilities was $8,389 as of March 31, 2026, and $12,892 as of December 31, 2025. The working capital surplus was $11,358 as of March 31, 2026, compared to a working capital deficit of $6,982 as of December 31, 2025.</w:t>
      </w:r>
    </w:p>
    <w:p>
      <w:pPr>
        <w:spacing w:after="0" w:line="1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has taken actions to improve its overall cash position, right sizing its corporate structure and streamlining its operations, while at the same time the Company is aggressively trying to get the company to profitability. The Company continues to pursue strategic partnerships that the Company expects will further strengthen the long-term profitability of the business.</w:t>
      </w:r>
    </w:p>
    <w:p>
      <w:pPr>
        <w:spacing w:after="0" w:line="17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The increase in liquidity during the period was primarily attributable to proceeds from a private placement of Series H Convertible Preferred Stock with accompanying warrants completed in February 2026 (the “February 2026 Private Placement”), which generated net proceeds of $28,269. During the three months ended March 31, 2026, the Company used approximately $9,000 of these proceeds to repurchase outstanding Series G Preferred Stock, certain convertible notes, and related warrants as part of a strategic effort to simplify its capital structure and reduce future financing obligations. The remaining proceeds were used to support general corporate purposes and working capital needs.</w:t>
      </w:r>
    </w:p>
    <w:p>
      <w:pPr>
        <w:spacing w:after="0" w:line="17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As of the date of this Quarterly Report on Form 10-Q, the Company believes it has sufficient liquidity to fund its operations and meet its obligations for at least the next twelve months.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0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There have been no material changes to the Company’s critical accounting estimates from those disclosed in the Company’s Annual Report on Form 10-K for the year ended December 31, 2025.</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Known Trends, Events and Uncertainties</w:t>
      </w:r>
    </w:p>
    <w:p>
      <w:pPr>
        <w:spacing w:after="0" w:line="207"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7"/>
          <w:szCs w:val="17"/>
          <w:color w:val="auto"/>
        </w:rPr>
        <w:t>Ongoing conflicts in Russia and Ukraine, the Middle East, and Israel and Palestine, including related sanctions and countermeasures, are difficult to predict, and could adversely impact geopolitical and macroeconomic conditions, the global economy, and contribute to increased market volatility, which may in turn adversely affect our business and operations. We may not be able to raise sufficient additional capital and may tailor our business and operations based on the amount of funding we are able to raise in the future. Nevertheless, there is no assurance that these initiatives will be successful. Our ability to operate depends upon a large number of airplane travelers with the propensity for health and wellness, and in particular spa treatments and products, spending significant time post-security clearance check points at airports. The number of airline travelers at any given time is volatile and subject to change based on various conditions, including but not limited to market and other conditions, prices of travel fare, and oil and gas prices. Additionally, the US government shutdown, recent changes to U.S. policy implemented by the U.S. Congress, the Trump administration or any new administration have impacted and may in the future impact, among other things, the U.S. and global economy, tariffs, international trade relations, unemployment, immigration, healthcare, taxation, the U.S. regulatory environment, inflation and other areas. Although we cannot predict the impact, if any, of these changes to our business, they could adversely affect our business.</w:t>
      </w:r>
    </w:p>
    <w:p>
      <w:pPr>
        <w:spacing w:after="0" w:line="183"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Other than as discussed above and elsewhere in this report, we are not aware of any trends, events or uncertainties that are likely to have a material effect on our financial condition.</w:t>
      </w:r>
    </w:p>
    <w:p>
      <w:pPr>
        <w:spacing w:after="0" w:line="155"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99"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6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 13a-15(e) or Rule 15d-15(e)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spacing w:after="0" w:line="139"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6"/>
          <w:szCs w:val="16"/>
          <w:color w:val="auto"/>
        </w:rPr>
        <w:t>As of March 31, 2026, we carried out an evaluation, under the supervision and with the participation of our management, including our Chief Executive Officer and Chief Financial Officer, of the effectiveness of the design and operation of our disclosure controls and procedures.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Based upon that evaluation, our management concluded that our disclosure controls and procedures were not effective as of March 31, 2026, due to the following material weaknesses:</w:t>
      </w:r>
    </w:p>
    <w:p>
      <w:pPr>
        <w:spacing w:after="0" w:line="161" w:lineRule="exact"/>
        <w:rPr>
          <w:sz w:val="20"/>
          <w:szCs w:val="20"/>
          <w:color w:val="auto"/>
        </w:rPr>
      </w:pPr>
    </w:p>
    <w:p>
      <w:pPr>
        <w:ind w:left="640" w:right="79" w:hanging="298"/>
        <w:spacing w:after="0" w:line="269"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properly design, implement, and consistently operate effective controls over the completeness and accuracy of its accounting for leases under ASC 842.</w:t>
      </w:r>
    </w:p>
    <w:p>
      <w:pPr>
        <w:spacing w:after="0" w:line="159" w:lineRule="exact"/>
        <w:rPr>
          <w:rFonts w:ascii="Times New Roman" w:cs="Times New Roman" w:eastAsia="Times New Roman" w:hAnsi="Times New Roman"/>
          <w:sz w:val="17"/>
          <w:szCs w:val="17"/>
          <w:color w:val="auto"/>
        </w:rPr>
      </w:pPr>
    </w:p>
    <w:p>
      <w:pPr>
        <w:ind w:left="640" w:right="59" w:hanging="298"/>
        <w:spacing w:after="0" w:line="269"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properly design or maintain effective entity level monitoring controls over the financial close and reporting process.</w:t>
      </w:r>
    </w:p>
    <w:p>
      <w:pPr>
        <w:spacing w:after="0" w:line="159" w:lineRule="exact"/>
        <w:rPr>
          <w:rFonts w:ascii="Times New Roman" w:cs="Times New Roman" w:eastAsia="Times New Roman" w:hAnsi="Times New Roman"/>
          <w:sz w:val="17"/>
          <w:szCs w:val="17"/>
          <w:color w:val="auto"/>
        </w:rPr>
      </w:pPr>
    </w:p>
    <w:p>
      <w:pPr>
        <w:jc w:val="both"/>
        <w:ind w:left="640" w:right="59" w:hanging="298"/>
        <w:spacing w:after="0" w:line="256"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640" w:right="79" w:hanging="298"/>
        <w:spacing w:after="0" w:line="256"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w:t>
      </w:r>
    </w:p>
    <w:p>
      <w:pPr>
        <w:spacing w:after="0" w:line="170" w:lineRule="exact"/>
        <w:rPr>
          <w:rFonts w:ascii="Times New Roman" w:cs="Times New Roman" w:eastAsia="Times New Roman" w:hAnsi="Times New Roman"/>
          <w:sz w:val="17"/>
          <w:szCs w:val="17"/>
          <w:color w:val="auto"/>
        </w:rPr>
      </w:pPr>
    </w:p>
    <w:p>
      <w:pPr>
        <w:ind w:left="640" w:hanging="298"/>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implement, and consistently operate effective controls over its’ foreign subsidiaries.</w:t>
      </w:r>
    </w:p>
    <w:p>
      <w:pPr>
        <w:spacing w:after="0" w:line="20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This type of evaluation is performed on a quarterly basis so that conclusions of management, including our Chief Executive Officer and the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Chief Financial Officer concluded that our disclosure controls and procedures were not effective as of March 31, 2026.</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u w:val="single" w:color="auto"/>
          <w:color w:val="auto"/>
        </w:rPr>
        <w:t>Remediation Plan for Material Weakness in Internal Control over Financial Reporting</w:t>
      </w:r>
    </w:p>
    <w:p>
      <w:pPr>
        <w:spacing w:after="0" w:line="205"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Management is committed to the remediation of the Company’s material weaknesses,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w:t>
      </w:r>
    </w:p>
    <w:p>
      <w:pPr>
        <w:spacing w:after="0" w:line="179" w:lineRule="exact"/>
        <w:rPr>
          <w:sz w:val="20"/>
          <w:szCs w:val="20"/>
          <w:color w:val="auto"/>
        </w:rPr>
      </w:pPr>
    </w:p>
    <w:p>
      <w:pPr>
        <w:ind w:left="660" w:hanging="293"/>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turned on the multi-currency features related to its cloud-based accounting systems.</w:t>
      </w:r>
    </w:p>
    <w:p>
      <w:pPr>
        <w:spacing w:after="0" w:line="202" w:lineRule="exact"/>
        <w:rPr>
          <w:rFonts w:ascii="Times New Roman" w:cs="Times New Roman" w:eastAsia="Times New Roman" w:hAnsi="Times New Roman"/>
          <w:sz w:val="17"/>
          <w:szCs w:val="17"/>
          <w:color w:val="auto"/>
        </w:rPr>
      </w:pPr>
    </w:p>
    <w:p>
      <w:pPr>
        <w:ind w:left="660" w:right="79" w:hanging="293"/>
        <w:spacing w:after="0" w:line="269"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engaged outside service providers to assist with the valuation, accounting, and recording of key reporting areas such as leases, revenue recognition and stock compensation expense.</w:t>
      </w:r>
    </w:p>
    <w:p>
      <w:pPr>
        <w:spacing w:after="0" w:line="159" w:lineRule="exact"/>
        <w:rPr>
          <w:rFonts w:ascii="Times New Roman" w:cs="Times New Roman" w:eastAsia="Times New Roman" w:hAnsi="Times New Roman"/>
          <w:sz w:val="17"/>
          <w:szCs w:val="17"/>
          <w:color w:val="auto"/>
        </w:rPr>
      </w:pPr>
    </w:p>
    <w:p>
      <w:pPr>
        <w:ind w:left="660" w:right="79" w:hanging="293"/>
        <w:spacing w:after="0" w:line="269"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contracted an independent consulting firm to assist with the preparation of the Financial Statements and U.S. GAAP accounting research.</w:t>
      </w:r>
    </w:p>
    <w:p>
      <w:pPr>
        <w:spacing w:after="0" w:line="159" w:lineRule="exact"/>
        <w:rPr>
          <w:rFonts w:ascii="Times New Roman" w:cs="Times New Roman" w:eastAsia="Times New Roman" w:hAnsi="Times New Roman"/>
          <w:sz w:val="17"/>
          <w:szCs w:val="17"/>
          <w:color w:val="auto"/>
        </w:rPr>
      </w:pPr>
    </w:p>
    <w:p>
      <w:pPr>
        <w:ind w:left="660" w:right="79" w:hanging="293"/>
        <w:spacing w:after="0" w:line="269"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80"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Other than as set forth in the foregoing paragraph, there have been no changes in our internal control over financial reporting identified in connection with the evaluation required by Rule 13a-15(d) and 15d-15(d) of the Exchange Act that occurred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03"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0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From time to time, we may be involved in certain claims and litigation arising out of the ordinary course and conduct of business. Management assesses such claims and, if it considers that it is probable that an asset had been impaired or a liability had been incurred and the amount of loss can be reasonably estimated, provisions for loss are made based on management’s assessment of the most likely outcome.</w:t>
      </w:r>
    </w:p>
    <w:p>
      <w:pPr>
        <w:spacing w:after="0" w:line="17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 information set forth in Note 8 Commitments and Contingencies of the Notes to unaudited condensed consolidated financial statements of this Quarterly Report on Form 10-Q is incorporated by reference herein.</w:t>
      </w:r>
    </w:p>
    <w:p>
      <w:pPr>
        <w:spacing w:after="0" w:line="159"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There are no other material proceedings in which any of our directors, officers, affiliates, any registered or beneficial stockholder of more than 5% of our common stock, or any associate of any of the foregoing is an adverse party or has a material interest adverse to our interest.</w:t>
      </w:r>
    </w:p>
    <w:p>
      <w:pPr>
        <w:spacing w:after="0" w:line="167"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0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You should carefully consider the risks and uncertainties described in Part I, Item 1A under the heading “Risk Factors” in our Annual Report on Form 10-K for the year ended December 31, 2025, in addition to the other information included in this Quarterly Report on Form 10-Q before making an investment decision regarding our common stock. If any of these risks actually occur, our business, financial condition, or operating results would likely suffer, possibly materially, the trading price of our common stock could decline, and you could lose part or all of your investment.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0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There were no unregistered sales of equity securities during the quarter ended March 31, 2026, other than as reported in our Current Reports on Form 8-K filed with the SEC.</w:t>
      </w:r>
    </w:p>
    <w:p>
      <w:pPr>
        <w:spacing w:after="0" w:line="155"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199"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99"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Item 6.</w:t>
            </w:r>
          </w:p>
        </w:tc>
        <w:tc>
          <w:tcPr>
            <w:tcW w:w="8200" w:type="dxa"/>
            <w:vAlign w:val="bottom"/>
            <w:gridSpan w:val="16"/>
          </w:tcPr>
          <w:p>
            <w:pPr>
              <w:ind w:left="60"/>
              <w:spacing w:after="0"/>
              <w:rPr>
                <w:sz w:val="20"/>
                <w:szCs w:val="20"/>
                <w:color w:val="auto"/>
              </w:rPr>
            </w:pPr>
            <w:r>
              <w:rPr>
                <w:rFonts w:ascii="Times New Roman" w:cs="Times New Roman" w:eastAsia="Times New Roman" w:hAnsi="Times New Roman"/>
                <w:sz w:val="15"/>
                <w:szCs w:val="15"/>
                <w:b w:val="1"/>
                <w:bCs w:val="1"/>
                <w:color w:val="auto"/>
              </w:rPr>
              <w:t>Exhibits.</w:t>
            </w: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80" w:type="dxa"/>
            <w:vAlign w:val="bottom"/>
          </w:tcPr>
          <w:p>
            <w:pPr>
              <w:spacing w:after="0"/>
              <w:rPr>
                <w:sz w:val="24"/>
                <w:szCs w:val="24"/>
                <w:color w:val="auto"/>
              </w:rPr>
            </w:pPr>
          </w:p>
        </w:tc>
        <w:tc>
          <w:tcPr>
            <w:tcW w:w="8020" w:type="dxa"/>
            <w:vAlign w:val="bottom"/>
            <w:gridSpan w:val="15"/>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No.</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34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rPr>
            </w:pPr>
            <w:hyperlink r:id="rId47">
              <w:r>
                <w:rPr>
                  <w:rFonts w:ascii="Times New Roman" w:cs="Times New Roman" w:eastAsia="Times New Roman" w:hAnsi="Times New Roman"/>
                  <w:sz w:val="15"/>
                  <w:szCs w:val="15"/>
                  <w:color w:val="0000EE"/>
                </w:rPr>
                <w:t>Certificate of Designations of Series H Convertible Preferred Stock (incorporated by reference to Exhibit 3.1 to the Company’s</w:t>
              </w:r>
            </w:hyperlink>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60" w:type="dxa"/>
            <w:vAlign w:val="bottom"/>
            <w:tcBorders>
              <w:bottom w:val="single" w:sz="8" w:color="0000EE"/>
            </w:tcBorders>
            <w:gridSpan w:val="8"/>
          </w:tcPr>
          <w:p>
            <w:pPr>
              <w:spacing w:after="0" w:line="167" w:lineRule="exact"/>
              <w:rPr>
                <w:rFonts w:ascii="Times New Roman" w:cs="Times New Roman" w:eastAsia="Times New Roman" w:hAnsi="Times New Roman"/>
                <w:sz w:val="15"/>
                <w:szCs w:val="15"/>
                <w:color w:val="0000EE"/>
                <w:w w:val="99"/>
              </w:rPr>
            </w:pPr>
            <w:hyperlink r:id="rId47">
              <w:r>
                <w:rPr>
                  <w:rFonts w:ascii="Times New Roman" w:cs="Times New Roman" w:eastAsia="Times New Roman" w:hAnsi="Times New Roman"/>
                  <w:sz w:val="15"/>
                  <w:szCs w:val="15"/>
                  <w:color w:val="0000EE"/>
                  <w:w w:val="99"/>
                </w:rPr>
                <w:t>Current Report on Form 8-K filed with the SEC on March 4, 2026).</w:t>
              </w:r>
            </w:hyperlink>
          </w:p>
        </w:tc>
        <w:tc>
          <w:tcPr>
            <w:tcW w:w="3800" w:type="dxa"/>
            <w:vAlign w:val="bottom"/>
            <w:gridSpan w:val="6"/>
          </w:tcPr>
          <w:p>
            <w:pPr>
              <w:spacing w:after="0"/>
              <w:rPr>
                <w:sz w:val="14"/>
                <w:szCs w:val="14"/>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rPr>
            </w:pPr>
            <w:hyperlink r:id="rId48">
              <w:r>
                <w:rPr>
                  <w:rFonts w:ascii="Times New Roman" w:cs="Times New Roman" w:eastAsia="Times New Roman" w:hAnsi="Times New Roman"/>
                  <w:sz w:val="15"/>
                  <w:szCs w:val="15"/>
                  <w:color w:val="0000EE"/>
                </w:rPr>
                <w:t>Certificate of Elimination of Series G Convertible Preferred Stock (incorporated by reference to Exhibit 3.2 to the Company’s</w:t>
              </w:r>
            </w:hyperlink>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60" w:type="dxa"/>
            <w:vAlign w:val="bottom"/>
            <w:tcBorders>
              <w:bottom w:val="single" w:sz="8" w:color="0000EE"/>
            </w:tcBorders>
            <w:gridSpan w:val="8"/>
          </w:tcPr>
          <w:p>
            <w:pPr>
              <w:spacing w:after="0" w:line="167" w:lineRule="exact"/>
              <w:rPr>
                <w:rFonts w:ascii="Times New Roman" w:cs="Times New Roman" w:eastAsia="Times New Roman" w:hAnsi="Times New Roman"/>
                <w:sz w:val="15"/>
                <w:szCs w:val="15"/>
                <w:color w:val="0000EE"/>
                <w:w w:val="99"/>
              </w:rPr>
            </w:pPr>
            <w:hyperlink r:id="rId48">
              <w:r>
                <w:rPr>
                  <w:rFonts w:ascii="Times New Roman" w:cs="Times New Roman" w:eastAsia="Times New Roman" w:hAnsi="Times New Roman"/>
                  <w:sz w:val="15"/>
                  <w:szCs w:val="15"/>
                  <w:color w:val="0000EE"/>
                  <w:w w:val="99"/>
                </w:rPr>
                <w:t>Current Report on Form 8-K filed with the SEC on March 4, 2026).</w:t>
              </w:r>
            </w:hyperlink>
          </w:p>
        </w:tc>
        <w:tc>
          <w:tcPr>
            <w:tcW w:w="3800" w:type="dxa"/>
            <w:vAlign w:val="bottom"/>
            <w:gridSpan w:val="6"/>
          </w:tcPr>
          <w:p>
            <w:pPr>
              <w:spacing w:after="0"/>
              <w:rPr>
                <w:sz w:val="14"/>
                <w:szCs w:val="14"/>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rPr>
            </w:pPr>
            <w:hyperlink r:id="rId49">
              <w:r>
                <w:rPr>
                  <w:rFonts w:ascii="Times New Roman" w:cs="Times New Roman" w:eastAsia="Times New Roman" w:hAnsi="Times New Roman"/>
                  <w:sz w:val="15"/>
                  <w:szCs w:val="15"/>
                  <w:color w:val="0000EE"/>
                </w:rPr>
                <w:t>Form of Warrant (incorporated by reference to Exhibit 4.1 to the Company’s Current Report on Form 8-K filed with the SEC on</w:t>
              </w:r>
            </w:hyperlink>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0000EE"/>
            </w:tcBorders>
            <w:gridSpan w:val="2"/>
          </w:tcPr>
          <w:p>
            <w:pPr>
              <w:spacing w:after="0" w:line="167" w:lineRule="exact"/>
              <w:rPr>
                <w:rFonts w:ascii="Times New Roman" w:cs="Times New Roman" w:eastAsia="Times New Roman" w:hAnsi="Times New Roman"/>
                <w:sz w:val="15"/>
                <w:szCs w:val="15"/>
                <w:color w:val="0000EE"/>
                <w:w w:val="98"/>
              </w:rPr>
            </w:pPr>
            <w:hyperlink r:id="rId49">
              <w:r>
                <w:rPr>
                  <w:rFonts w:ascii="Times New Roman" w:cs="Times New Roman" w:eastAsia="Times New Roman" w:hAnsi="Times New Roman"/>
                  <w:sz w:val="15"/>
                  <w:szCs w:val="15"/>
                  <w:color w:val="0000EE"/>
                  <w:w w:val="98"/>
                </w:rPr>
                <w:t>February 25, 2026).</w:t>
              </w:r>
            </w:hyperlink>
          </w:p>
        </w:tc>
        <w:tc>
          <w:tcPr>
            <w:tcW w:w="6660" w:type="dxa"/>
            <w:vAlign w:val="bottom"/>
            <w:gridSpan w:val="12"/>
          </w:tcPr>
          <w:p>
            <w:pPr>
              <w:spacing w:after="0"/>
              <w:rPr>
                <w:sz w:val="14"/>
                <w:szCs w:val="14"/>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4.2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rPr>
            </w:pPr>
            <w:hyperlink r:id="rId50">
              <w:r>
                <w:rPr>
                  <w:rFonts w:ascii="Times New Roman" w:cs="Times New Roman" w:eastAsia="Times New Roman" w:hAnsi="Times New Roman"/>
                  <w:sz w:val="15"/>
                  <w:szCs w:val="15"/>
                  <w:color w:val="0000EE"/>
                </w:rPr>
                <w:t>Form of Placement Agent Warrant (incorporated by reference to Exhibit 4.2 to the Company’s Current Report on Form 8-K filed</w:t>
              </w:r>
            </w:hyperlink>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Borders>
              <w:bottom w:val="single" w:sz="8" w:color="0000EE"/>
            </w:tcBorders>
            <w:gridSpan w:val="4"/>
          </w:tcPr>
          <w:p>
            <w:pPr>
              <w:spacing w:after="0" w:line="167" w:lineRule="exact"/>
              <w:rPr>
                <w:rFonts w:ascii="Times New Roman" w:cs="Times New Roman" w:eastAsia="Times New Roman" w:hAnsi="Times New Roman"/>
                <w:sz w:val="15"/>
                <w:szCs w:val="15"/>
                <w:color w:val="0000EE"/>
                <w:w w:val="99"/>
              </w:rPr>
            </w:pPr>
            <w:hyperlink r:id="rId50">
              <w:r>
                <w:rPr>
                  <w:rFonts w:ascii="Times New Roman" w:cs="Times New Roman" w:eastAsia="Times New Roman" w:hAnsi="Times New Roman"/>
                  <w:sz w:val="15"/>
                  <w:szCs w:val="15"/>
                  <w:color w:val="0000EE"/>
                  <w:w w:val="99"/>
                </w:rPr>
                <w:t>with the SEC on February 25, 2026).</w:t>
              </w:r>
            </w:hyperlink>
          </w:p>
        </w:tc>
        <w:tc>
          <w:tcPr>
            <w:tcW w:w="5640" w:type="dxa"/>
            <w:vAlign w:val="bottom"/>
            <w:gridSpan w:val="10"/>
          </w:tcPr>
          <w:p>
            <w:pPr>
              <w:spacing w:after="0"/>
              <w:rPr>
                <w:sz w:val="14"/>
                <w:szCs w:val="14"/>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gridSpan w:val="14"/>
          </w:tcPr>
          <w:p>
            <w:pPr>
              <w:spacing w:after="0"/>
              <w:rPr>
                <w:rFonts w:ascii="Times New Roman" w:cs="Times New Roman" w:eastAsia="Times New Roman" w:hAnsi="Times New Roman"/>
                <w:sz w:val="15"/>
                <w:szCs w:val="15"/>
                <w:color w:val="0000EE"/>
              </w:rPr>
            </w:pPr>
            <w:hyperlink r:id="rId51">
              <w:r>
                <w:rPr>
                  <w:rFonts w:ascii="Times New Roman" w:cs="Times New Roman" w:eastAsia="Times New Roman" w:hAnsi="Times New Roman"/>
                  <w:sz w:val="15"/>
                  <w:szCs w:val="15"/>
                  <w:color w:val="0000EE"/>
                </w:rPr>
                <w:t>Securities Purchase Agreement, dated February 24, 2026, by and among the Company and the investor signatory thereto</w:t>
              </w:r>
            </w:hyperlink>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60" w:type="dxa"/>
            <w:vAlign w:val="bottom"/>
            <w:tcBorders>
              <w:bottom w:val="single" w:sz="8" w:color="0000EE"/>
            </w:tcBorders>
            <w:gridSpan w:val="14"/>
          </w:tcPr>
          <w:p>
            <w:pPr>
              <w:spacing w:after="0" w:line="167" w:lineRule="exact"/>
              <w:rPr>
                <w:rFonts w:ascii="Times New Roman" w:cs="Times New Roman" w:eastAsia="Times New Roman" w:hAnsi="Times New Roman"/>
                <w:sz w:val="15"/>
                <w:szCs w:val="15"/>
                <w:color w:val="0000EE"/>
              </w:rPr>
            </w:pPr>
            <w:hyperlink r:id="rId51">
              <w:r>
                <w:rPr>
                  <w:rFonts w:ascii="Times New Roman" w:cs="Times New Roman" w:eastAsia="Times New Roman" w:hAnsi="Times New Roman"/>
                  <w:sz w:val="15"/>
                  <w:szCs w:val="15"/>
                  <w:color w:val="0000EE"/>
                </w:rPr>
                <w:t>(incorporated by reference to Exhibit 10.1 to the Company’s Current Report on Form 8-K filed with the SEC on February 25,</w:t>
              </w:r>
            </w:hyperlink>
          </w:p>
        </w:tc>
      </w:tr>
      <w:tr>
        <w:trPr>
          <w:trHeight w:val="167"/>
        </w:trPr>
        <w:tc>
          <w:tcPr>
            <w:tcW w:w="7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400" w:type="dxa"/>
            <w:vAlign w:val="bottom"/>
            <w:tcBorders>
              <w:bottom w:val="single" w:sz="8" w:color="0000EE"/>
            </w:tcBorders>
          </w:tcPr>
          <w:p>
            <w:pPr>
              <w:spacing w:after="0" w:line="167" w:lineRule="exact"/>
              <w:rPr>
                <w:rFonts w:ascii="Times New Roman" w:cs="Times New Roman" w:eastAsia="Times New Roman" w:hAnsi="Times New Roman"/>
                <w:sz w:val="15"/>
                <w:szCs w:val="15"/>
                <w:color w:val="0000EE"/>
                <w:w w:val="97"/>
              </w:rPr>
            </w:pPr>
            <w:hyperlink r:id="rId51">
              <w:r>
                <w:rPr>
                  <w:rFonts w:ascii="Times New Roman" w:cs="Times New Roman" w:eastAsia="Times New Roman" w:hAnsi="Times New Roman"/>
                  <w:sz w:val="15"/>
                  <w:szCs w:val="15"/>
                  <w:color w:val="0000EE"/>
                  <w:w w:val="97"/>
                </w:rPr>
                <w:t>2026).</w:t>
              </w:r>
            </w:hyperlink>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rPr>
            </w:pPr>
            <w:hyperlink r:id="rId52">
              <w:r>
                <w:rPr>
                  <w:rFonts w:ascii="Times New Roman" w:cs="Times New Roman" w:eastAsia="Times New Roman" w:hAnsi="Times New Roman"/>
                  <w:sz w:val="15"/>
                  <w:szCs w:val="15"/>
                  <w:color w:val="0000EE"/>
                </w:rPr>
                <w:t>Form of Registration Rights Agreement (incorporated by reference to Exhibit 10.2 to the Company’s Current Report on Form 8-K</w:t>
              </w:r>
            </w:hyperlink>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60" w:type="dxa"/>
            <w:vAlign w:val="bottom"/>
            <w:gridSpan w:val="14"/>
          </w:tcPr>
          <w:p>
            <w:pPr>
              <w:spacing w:after="0" w:line="167" w:lineRule="exact"/>
              <w:rPr>
                <w:rFonts w:ascii="Times New Roman" w:cs="Times New Roman" w:eastAsia="Times New Roman" w:hAnsi="Times New Roman"/>
                <w:sz w:val="15"/>
                <w:szCs w:val="15"/>
                <w:color w:val="0000EE"/>
              </w:rPr>
            </w:pPr>
            <w:hyperlink r:id="rId52">
              <w:r>
                <w:rPr>
                  <w:rFonts w:ascii="Times New Roman" w:cs="Times New Roman" w:eastAsia="Times New Roman" w:hAnsi="Times New Roman"/>
                  <w:sz w:val="15"/>
                  <w:szCs w:val="15"/>
                  <w:color w:val="0000EE"/>
                </w:rPr>
                <w:t>filed with the SEC on February 25, 2026).</w:t>
              </w:r>
            </w:hyperlink>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gridSpan w:val="14"/>
          </w:tcPr>
          <w:p>
            <w:pPr>
              <w:spacing w:after="0"/>
              <w:rPr>
                <w:rFonts w:ascii="Times New Roman" w:cs="Times New Roman" w:eastAsia="Times New Roman" w:hAnsi="Times New Roman"/>
                <w:sz w:val="15"/>
                <w:szCs w:val="15"/>
                <w:color w:val="0000EE"/>
              </w:rPr>
            </w:pPr>
            <w:hyperlink r:id="rId53">
              <w:r>
                <w:rPr>
                  <w:rFonts w:ascii="Times New Roman" w:cs="Times New Roman" w:eastAsia="Times New Roman" w:hAnsi="Times New Roman"/>
                  <w:sz w:val="15"/>
                  <w:szCs w:val="15"/>
                  <w:color w:val="0000EE"/>
                </w:rPr>
                <w:t>Placement Agency Agreement, dated February 24, 2026, by and between the Company and Dominari Securities LLC</w:t>
              </w:r>
            </w:hyperlink>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500" w:type="dxa"/>
            <w:vAlign w:val="bottom"/>
            <w:tcBorders>
              <w:bottom w:val="single" w:sz="8" w:color="0000EE"/>
            </w:tcBorders>
            <w:gridSpan w:val="11"/>
          </w:tcPr>
          <w:p>
            <w:pPr>
              <w:spacing w:after="0" w:line="167" w:lineRule="exact"/>
              <w:rPr>
                <w:rFonts w:ascii="Times New Roman" w:cs="Times New Roman" w:eastAsia="Times New Roman" w:hAnsi="Times New Roman"/>
                <w:sz w:val="15"/>
                <w:szCs w:val="15"/>
                <w:color w:val="0000EE"/>
                <w:w w:val="99"/>
              </w:rPr>
            </w:pPr>
            <w:hyperlink r:id="rId53">
              <w:r>
                <w:rPr>
                  <w:rFonts w:ascii="Times New Roman" w:cs="Times New Roman" w:eastAsia="Times New Roman" w:hAnsi="Times New Roman"/>
                  <w:sz w:val="15"/>
                  <w:szCs w:val="15"/>
                  <w:color w:val="0000EE"/>
                  <w:w w:val="99"/>
                </w:rPr>
                <w:t>(incorporated by reference to Exhibit 10.3 to the Company’s Current Report on Form 8-K filed with the SEC on February 25,</w:t>
              </w:r>
            </w:hyperlink>
          </w:p>
        </w:tc>
        <w:tc>
          <w:tcPr>
            <w:tcW w:w="360" w:type="dxa"/>
            <w:vAlign w:val="bottom"/>
            <w:gridSpan w:val="3"/>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400" w:type="dxa"/>
            <w:vAlign w:val="bottom"/>
            <w:tcBorders>
              <w:bottom w:val="single" w:sz="8" w:color="0000EE"/>
            </w:tcBorders>
          </w:tcPr>
          <w:p>
            <w:pPr>
              <w:spacing w:after="0" w:line="167" w:lineRule="exact"/>
              <w:rPr>
                <w:rFonts w:ascii="Times New Roman" w:cs="Times New Roman" w:eastAsia="Times New Roman" w:hAnsi="Times New Roman"/>
                <w:sz w:val="15"/>
                <w:szCs w:val="15"/>
                <w:color w:val="0000EE"/>
                <w:w w:val="97"/>
              </w:rPr>
            </w:pPr>
            <w:hyperlink r:id="rId53">
              <w:r>
                <w:rPr>
                  <w:rFonts w:ascii="Times New Roman" w:cs="Times New Roman" w:eastAsia="Times New Roman" w:hAnsi="Times New Roman"/>
                  <w:sz w:val="15"/>
                  <w:szCs w:val="15"/>
                  <w:color w:val="0000EE"/>
                  <w:w w:val="97"/>
                </w:rPr>
                <w:t>2026).</w:t>
              </w:r>
            </w:hyperlink>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40" w:type="dxa"/>
            <w:vAlign w:val="bottom"/>
            <w:tcBorders>
              <w:bottom w:val="single" w:sz="8" w:color="0000EE"/>
            </w:tcBorders>
            <w:gridSpan w:val="13"/>
          </w:tcPr>
          <w:p>
            <w:pPr>
              <w:spacing w:after="0"/>
              <w:rPr>
                <w:rFonts w:ascii="Times New Roman" w:cs="Times New Roman" w:eastAsia="Times New Roman" w:hAnsi="Times New Roman"/>
                <w:sz w:val="15"/>
                <w:szCs w:val="15"/>
                <w:color w:val="0000EE"/>
                <w:w w:val="99"/>
              </w:rPr>
            </w:pPr>
            <w:hyperlink r:id="rId54">
              <w:r>
                <w:rPr>
                  <w:rFonts w:ascii="Times New Roman" w:cs="Times New Roman" w:eastAsia="Times New Roman" w:hAnsi="Times New Roman"/>
                  <w:sz w:val="15"/>
                  <w:szCs w:val="15"/>
                  <w:color w:val="0000EE"/>
                  <w:w w:val="99"/>
                </w:rPr>
                <w:t>Form of Lock-Up Agreement (incorporated by reference to Exhibit 10.4 to the Company’s Current Report on Form 8-K filed with</w:t>
              </w:r>
            </w:hyperlink>
          </w:p>
        </w:tc>
        <w:tc>
          <w:tcPr>
            <w:tcW w:w="20" w:type="dxa"/>
            <w:vAlign w:val="bottom"/>
          </w:tcPr>
          <w:p>
            <w:pPr>
              <w:spacing w:after="0"/>
              <w:rPr>
                <w:sz w:val="24"/>
                <w:szCs w:val="24"/>
                <w:color w:val="auto"/>
              </w:rPr>
            </w:pPr>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Borders>
              <w:bottom w:val="single" w:sz="8" w:color="0000EE"/>
            </w:tcBorders>
            <w:gridSpan w:val="3"/>
          </w:tcPr>
          <w:p>
            <w:pPr>
              <w:spacing w:after="0" w:line="167" w:lineRule="exact"/>
              <w:rPr>
                <w:rFonts w:ascii="Times New Roman" w:cs="Times New Roman" w:eastAsia="Times New Roman" w:hAnsi="Times New Roman"/>
                <w:sz w:val="15"/>
                <w:szCs w:val="15"/>
                <w:color w:val="0000EE"/>
                <w:w w:val="99"/>
              </w:rPr>
            </w:pPr>
            <w:hyperlink r:id="rId54">
              <w:r>
                <w:rPr>
                  <w:rFonts w:ascii="Times New Roman" w:cs="Times New Roman" w:eastAsia="Times New Roman" w:hAnsi="Times New Roman"/>
                  <w:sz w:val="15"/>
                  <w:szCs w:val="15"/>
                  <w:color w:val="0000EE"/>
                  <w:w w:val="99"/>
                </w:rPr>
                <w:t>the SEC on February 25, 2026).</w:t>
              </w:r>
            </w:hyperlink>
          </w:p>
        </w:tc>
        <w:tc>
          <w:tcPr>
            <w:tcW w:w="5940" w:type="dxa"/>
            <w:vAlign w:val="bottom"/>
            <w:gridSpan w:val="11"/>
          </w:tcPr>
          <w:p>
            <w:pPr>
              <w:spacing w:after="0"/>
              <w:rPr>
                <w:sz w:val="14"/>
                <w:szCs w:val="14"/>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tcBorders>
              <w:bottom w:val="single" w:sz="8" w:color="0000EE"/>
            </w:tcBorders>
            <w:gridSpan w:val="12"/>
          </w:tcPr>
          <w:p>
            <w:pPr>
              <w:spacing w:after="0"/>
              <w:rPr>
                <w:rFonts w:ascii="Times New Roman" w:cs="Times New Roman" w:eastAsia="Times New Roman" w:hAnsi="Times New Roman"/>
                <w:sz w:val="15"/>
                <w:szCs w:val="15"/>
                <w:color w:val="0000EE"/>
                <w:w w:val="99"/>
              </w:rPr>
            </w:pPr>
            <w:hyperlink r:id="rId55">
              <w:r>
                <w:rPr>
                  <w:rFonts w:ascii="Times New Roman" w:cs="Times New Roman" w:eastAsia="Times New Roman" w:hAnsi="Times New Roman"/>
                  <w:sz w:val="15"/>
                  <w:szCs w:val="15"/>
                  <w:color w:val="0000EE"/>
                  <w:w w:val="99"/>
                </w:rPr>
                <w:t>Omnibus Agreement, dated February 24, 2026, by and among the Company and the investors signatory thereto (incorporated by</w:t>
              </w:r>
            </w:hyperlink>
          </w:p>
        </w:tc>
        <w:tc>
          <w:tcPr>
            <w:tcW w:w="180" w:type="dxa"/>
            <w:vAlign w:val="bottom"/>
            <w:gridSpan w:val="2"/>
          </w:tcPr>
          <w:p>
            <w:pPr>
              <w:spacing w:after="0"/>
              <w:rPr>
                <w:sz w:val="24"/>
                <w:szCs w:val="24"/>
                <w:color w:val="auto"/>
              </w:rPr>
            </w:pPr>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900" w:type="dxa"/>
            <w:vAlign w:val="bottom"/>
            <w:tcBorders>
              <w:bottom w:val="single" w:sz="8" w:color="0000EE"/>
            </w:tcBorders>
            <w:gridSpan w:val="9"/>
          </w:tcPr>
          <w:p>
            <w:pPr>
              <w:spacing w:after="0" w:line="167" w:lineRule="exact"/>
              <w:rPr>
                <w:rFonts w:ascii="Times New Roman" w:cs="Times New Roman" w:eastAsia="Times New Roman" w:hAnsi="Times New Roman"/>
                <w:sz w:val="15"/>
                <w:szCs w:val="15"/>
                <w:color w:val="0000EE"/>
                <w:w w:val="99"/>
              </w:rPr>
            </w:pPr>
            <w:hyperlink r:id="rId55">
              <w:r>
                <w:rPr>
                  <w:rFonts w:ascii="Times New Roman" w:cs="Times New Roman" w:eastAsia="Times New Roman" w:hAnsi="Times New Roman"/>
                  <w:sz w:val="15"/>
                  <w:szCs w:val="15"/>
                  <w:color w:val="0000EE"/>
                  <w:w w:val="99"/>
                </w:rPr>
                <w:t>reference to Exhibit 10.5 to the Company’s Current Report on Form 8-K filed with the SEC on February 25, 2026).</w:t>
              </w:r>
            </w:hyperlink>
          </w:p>
        </w:tc>
        <w:tc>
          <w:tcPr>
            <w:tcW w:w="960" w:type="dxa"/>
            <w:vAlign w:val="bottom"/>
            <w:gridSpan w:val="5"/>
          </w:tcPr>
          <w:p>
            <w:pPr>
              <w:spacing w:after="0"/>
              <w:rPr>
                <w:sz w:val="14"/>
                <w:szCs w:val="14"/>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31.1*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5"/>
                <w:szCs w:val="15"/>
                <w:color w:val="0000EE"/>
              </w:rPr>
              <w:t>Certification of Principal Executive Officer pursuant to Exchange Act, Rules 13a – 14(a) and 15d – 14(a), as adopted pursuant to</w:t>
            </w:r>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tcBorders>
              <w:bottom w:val="single" w:sz="8" w:color="0000EE"/>
            </w:tcBorders>
            <w:gridSpan w:val="6"/>
          </w:tcPr>
          <w:p>
            <w:pPr>
              <w:spacing w:after="0" w:line="167" w:lineRule="exact"/>
              <w:rPr>
                <w:sz w:val="20"/>
                <w:szCs w:val="20"/>
                <w:color w:val="auto"/>
              </w:rPr>
            </w:pPr>
            <w:r>
              <w:rPr>
                <w:rFonts w:ascii="Times New Roman" w:cs="Times New Roman" w:eastAsia="Times New Roman" w:hAnsi="Times New Roman"/>
                <w:sz w:val="15"/>
                <w:szCs w:val="15"/>
                <w:color w:val="0000EE"/>
                <w:w w:val="99"/>
              </w:rPr>
              <w:t>Section 302 of the Sarbanes-Oxley Act of 2002</w:t>
            </w:r>
          </w:p>
        </w:tc>
        <w:tc>
          <w:tcPr>
            <w:tcW w:w="5020" w:type="dxa"/>
            <w:vAlign w:val="bottom"/>
            <w:gridSpan w:val="8"/>
          </w:tcPr>
          <w:p>
            <w:pPr>
              <w:spacing w:after="0"/>
              <w:rPr>
                <w:sz w:val="14"/>
                <w:szCs w:val="14"/>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31.2*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5"/>
                <w:szCs w:val="15"/>
                <w:color w:val="0000EE"/>
              </w:rPr>
              <w:t>Certification of Principal Financial Officer pursuant to Exchange Act, Rules 13a – 14(a) and 15d – 14(a), as adopted pursuant to</w:t>
            </w:r>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tcBorders>
              <w:bottom w:val="single" w:sz="8" w:color="0000EE"/>
            </w:tcBorders>
            <w:gridSpan w:val="6"/>
          </w:tcPr>
          <w:p>
            <w:pPr>
              <w:spacing w:after="0" w:line="167" w:lineRule="exact"/>
              <w:rPr>
                <w:sz w:val="20"/>
                <w:szCs w:val="20"/>
                <w:color w:val="auto"/>
              </w:rPr>
            </w:pPr>
            <w:r>
              <w:rPr>
                <w:rFonts w:ascii="Times New Roman" w:cs="Times New Roman" w:eastAsia="Times New Roman" w:hAnsi="Times New Roman"/>
                <w:sz w:val="15"/>
                <w:szCs w:val="15"/>
                <w:color w:val="0000EE"/>
                <w:w w:val="99"/>
              </w:rPr>
              <w:t>Section 302 of the Sarbanes-Oxley Act of 2002</w:t>
            </w:r>
          </w:p>
        </w:tc>
        <w:tc>
          <w:tcPr>
            <w:tcW w:w="5020" w:type="dxa"/>
            <w:vAlign w:val="bottom"/>
            <w:gridSpan w:val="8"/>
          </w:tcPr>
          <w:p>
            <w:pPr>
              <w:spacing w:after="0"/>
              <w:rPr>
                <w:sz w:val="14"/>
                <w:szCs w:val="14"/>
                <w:color w:val="auto"/>
              </w:rPr>
            </w:pPr>
          </w:p>
        </w:tc>
      </w:tr>
      <w:tr>
        <w:trPr>
          <w:trHeight w:val="3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5"/>
                <w:szCs w:val="15"/>
                <w:color w:val="0000EE"/>
              </w:rPr>
              <w:t>Certifications of Principal Executive Officer and Principal Financial Officer Pursuant to 18 U.S.C. Section 1350, as adopted</w:t>
            </w:r>
          </w:p>
        </w:tc>
      </w:tr>
      <w:tr>
        <w:trPr>
          <w:trHeight w:val="167"/>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60" w:type="dxa"/>
            <w:vAlign w:val="bottom"/>
            <w:gridSpan w:val="14"/>
          </w:tcPr>
          <w:p>
            <w:pPr>
              <w:spacing w:after="0" w:line="167" w:lineRule="exact"/>
              <w:rPr>
                <w:sz w:val="20"/>
                <w:szCs w:val="20"/>
                <w:color w:val="auto"/>
              </w:rPr>
            </w:pPr>
            <w:r>
              <w:rPr>
                <w:rFonts w:ascii="Times New Roman" w:cs="Times New Roman" w:eastAsia="Times New Roman" w:hAnsi="Times New Roman"/>
                <w:sz w:val="15"/>
                <w:szCs w:val="15"/>
                <w:color w:val="0000EE"/>
              </w:rPr>
              <w:t>pursuant to Section 906 of the Sarbanes-Oxley Act of 2002</w:t>
            </w:r>
          </w:p>
        </w:tc>
      </w:tr>
      <w:tr>
        <w:trPr>
          <w:trHeight w:val="38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101.INS*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5"/>
                <w:szCs w:val="15"/>
                <w:color w:val="auto"/>
              </w:rPr>
              <w:t>Inline XBRL Instance Document</w:t>
            </w:r>
          </w:p>
        </w:tc>
        <w:tc>
          <w:tcPr>
            <w:tcW w:w="4320" w:type="dxa"/>
            <w:vAlign w:val="bottom"/>
            <w:gridSpan w:val="7"/>
          </w:tcPr>
          <w:p>
            <w:pPr>
              <w:spacing w:after="0"/>
              <w:rPr>
                <w:sz w:val="24"/>
                <w:szCs w:val="24"/>
                <w:color w:val="auto"/>
              </w:rPr>
            </w:pPr>
          </w:p>
        </w:tc>
      </w:tr>
      <w:tr>
        <w:trPr>
          <w:trHeight w:val="37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101.SCH*</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r>
      <w:tr>
        <w:trPr>
          <w:trHeight w:val="37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101.CAL*</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37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101.DEF*</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r>
        <w:trPr>
          <w:trHeight w:val="37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101.LAB*</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37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101.PRE*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r>
        <w:trPr>
          <w:trHeight w:val="37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66675</wp:posOffset>
            </wp:positionV>
            <wp:extent cx="141414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414145" cy="7620"/>
                    </a:xfrm>
                    <a:prstGeom prst="rect">
                      <a:avLst/>
                    </a:prstGeom>
                    <a:noFill/>
                  </pic:spPr>
                </pic:pic>
              </a:graphicData>
            </a:graphic>
          </wp:anchor>
        </w:drawing>
      </w:r>
    </w:p>
    <w:p>
      <w:pPr>
        <w:spacing w:after="0" w:line="160" w:lineRule="exact"/>
        <w:rPr>
          <w:sz w:val="20"/>
          <w:szCs w:val="20"/>
          <w:color w:val="auto"/>
        </w:rPr>
      </w:pPr>
    </w:p>
    <w:p>
      <w:pPr>
        <w:ind w:left="1100" w:hanging="1056"/>
        <w:spacing w:after="0"/>
        <w:tabs>
          <w:tab w:leader="none" w:pos="11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21" w:lineRule="exact"/>
        <w:rPr>
          <w:sz w:val="20"/>
          <w:szCs w:val="20"/>
          <w:color w:val="auto"/>
        </w:rPr>
      </w:pPr>
    </w:p>
    <w:p>
      <w:pPr>
        <w:ind w:left="1100" w:hanging="1056"/>
        <w:spacing w:after="0"/>
        <w:tabs>
          <w:tab w:leader="none" w:pos="11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65785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7"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XWELL, Inc.</w:t>
            </w:r>
          </w:p>
        </w:tc>
        <w:tc>
          <w:tcPr>
            <w:tcW w:w="3280" w:type="dxa"/>
            <w:vAlign w:val="bottom"/>
          </w:tcPr>
          <w:p>
            <w:pPr>
              <w:spacing w:after="0"/>
              <w:rPr>
                <w:sz w:val="19"/>
                <w:szCs w:val="19"/>
                <w:color w:val="auto"/>
              </w:rPr>
            </w:pPr>
          </w:p>
        </w:tc>
      </w:tr>
      <w:tr>
        <w:trPr>
          <w:trHeight w:val="597"/>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May 20, 2026</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By:</w:t>
            </w:r>
          </w:p>
        </w:tc>
        <w:tc>
          <w:tcPr>
            <w:tcW w:w="3280" w:type="dxa"/>
            <w:vAlign w:val="bottom"/>
          </w:tcPr>
          <w:p>
            <w:pPr>
              <w:jc w:val="center"/>
              <w:ind w:right="797"/>
              <w:spacing w:after="0"/>
              <w:rPr>
                <w:sz w:val="20"/>
                <w:szCs w:val="20"/>
                <w:color w:val="auto"/>
              </w:rPr>
            </w:pPr>
            <w:r>
              <w:rPr>
                <w:rFonts w:ascii="Times New Roman" w:cs="Times New Roman" w:eastAsia="Times New Roman" w:hAnsi="Times New Roman"/>
                <w:sz w:val="17"/>
                <w:szCs w:val="17"/>
                <w:color w:val="auto"/>
                <w:w w:val="97"/>
              </w:rPr>
              <w:t>/s/ Ezra T. Ernst</w:t>
            </w:r>
          </w:p>
        </w:tc>
      </w:tr>
      <w:tr>
        <w:trPr>
          <w:trHeight w:val="171"/>
        </w:trPr>
        <w:tc>
          <w:tcPr>
            <w:tcW w:w="400" w:type="dxa"/>
            <w:vAlign w:val="bottom"/>
          </w:tcPr>
          <w:p>
            <w:pPr>
              <w:spacing w:after="0"/>
              <w:rPr>
                <w:sz w:val="14"/>
                <w:szCs w:val="14"/>
                <w:color w:val="auto"/>
              </w:rPr>
            </w:pPr>
          </w:p>
        </w:tc>
        <w:tc>
          <w:tcPr>
            <w:tcW w:w="392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280" w:type="dxa"/>
            <w:vAlign w:val="bottom"/>
            <w:tcBorders>
              <w:top w:val="single" w:sz="8" w:color="auto"/>
            </w:tcBorders>
          </w:tcPr>
          <w:p>
            <w:pPr>
              <w:jc w:val="center"/>
              <w:ind w:right="797"/>
              <w:spacing w:after="0" w:line="172" w:lineRule="exact"/>
              <w:rPr>
                <w:sz w:val="20"/>
                <w:szCs w:val="20"/>
                <w:color w:val="auto"/>
              </w:rPr>
            </w:pPr>
            <w:r>
              <w:rPr>
                <w:rFonts w:ascii="Times New Roman" w:cs="Times New Roman" w:eastAsia="Times New Roman" w:hAnsi="Times New Roman"/>
                <w:sz w:val="17"/>
                <w:szCs w:val="17"/>
                <w:b w:val="1"/>
                <w:bCs w:val="1"/>
                <w:color w:val="auto"/>
                <w:w w:val="96"/>
              </w:rPr>
              <w:t>Ezra T. Ernst</w:t>
            </w:r>
          </w:p>
        </w:tc>
      </w:tr>
      <w:tr>
        <w:trPr>
          <w:trHeight w:val="199"/>
        </w:trPr>
        <w:tc>
          <w:tcPr>
            <w:tcW w:w="4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80" w:type="dxa"/>
            <w:vAlign w:val="bottom"/>
          </w:tcPr>
          <w:p>
            <w:pPr>
              <w:jc w:val="center"/>
              <w:ind w:right="797"/>
              <w:spacing w:after="0"/>
              <w:rPr>
                <w:sz w:val="20"/>
                <w:szCs w:val="20"/>
                <w:color w:val="auto"/>
              </w:rPr>
            </w:pPr>
            <w:r>
              <w:rPr>
                <w:rFonts w:ascii="Times New Roman" w:cs="Times New Roman" w:eastAsia="Times New Roman" w:hAnsi="Times New Roman"/>
                <w:sz w:val="17"/>
                <w:szCs w:val="17"/>
                <w:b w:val="1"/>
                <w:bCs w:val="1"/>
                <w:color w:val="auto"/>
                <w:w w:val="98"/>
              </w:rPr>
              <w:t>Chief Executive Officer</w:t>
            </w:r>
          </w:p>
        </w:tc>
      </w:tr>
      <w:tr>
        <w:trPr>
          <w:trHeight w:val="220"/>
        </w:trPr>
        <w:tc>
          <w:tcPr>
            <w:tcW w:w="4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80" w:type="dxa"/>
            <w:vAlign w:val="bottom"/>
          </w:tcPr>
          <w:p>
            <w:pPr>
              <w:jc w:val="center"/>
              <w:ind w:right="797"/>
              <w:spacing w:after="0"/>
              <w:rPr>
                <w:sz w:val="20"/>
                <w:szCs w:val="20"/>
                <w:color w:val="auto"/>
              </w:rPr>
            </w:pPr>
            <w:r>
              <w:rPr>
                <w:rFonts w:ascii="Times New Roman" w:cs="Times New Roman" w:eastAsia="Times New Roman" w:hAnsi="Times New Roman"/>
                <w:sz w:val="17"/>
                <w:szCs w:val="17"/>
                <w:b w:val="1"/>
                <w:bCs w:val="1"/>
                <w:color w:val="auto"/>
                <w:w w:val="97"/>
              </w:rPr>
              <w:t>(Principal Executive Officer)</w:t>
            </w:r>
          </w:p>
        </w:tc>
      </w:tr>
      <w:tr>
        <w:trPr>
          <w:trHeight w:val="597"/>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May 20, 2026</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By:</w:t>
            </w:r>
          </w:p>
        </w:tc>
        <w:tc>
          <w:tcPr>
            <w:tcW w:w="3280" w:type="dxa"/>
            <w:vAlign w:val="bottom"/>
          </w:tcPr>
          <w:p>
            <w:pPr>
              <w:jc w:val="center"/>
              <w:ind w:right="797"/>
              <w:spacing w:after="0"/>
              <w:rPr>
                <w:sz w:val="20"/>
                <w:szCs w:val="20"/>
                <w:color w:val="auto"/>
              </w:rPr>
            </w:pPr>
            <w:r>
              <w:rPr>
                <w:rFonts w:ascii="Times New Roman" w:cs="Times New Roman" w:eastAsia="Times New Roman" w:hAnsi="Times New Roman"/>
                <w:sz w:val="17"/>
                <w:szCs w:val="17"/>
                <w:color w:val="auto"/>
                <w:w w:val="99"/>
              </w:rPr>
              <w:t>/s/ Ian Brown</w:t>
            </w:r>
          </w:p>
        </w:tc>
      </w:tr>
      <w:tr>
        <w:trPr>
          <w:trHeight w:val="193"/>
        </w:trPr>
        <w:tc>
          <w:tcPr>
            <w:tcW w:w="4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tcPr>
          <w:p>
            <w:pPr>
              <w:jc w:val="center"/>
              <w:ind w:right="797"/>
              <w:spacing w:after="0" w:line="194" w:lineRule="exact"/>
              <w:rPr>
                <w:sz w:val="20"/>
                <w:szCs w:val="20"/>
                <w:color w:val="auto"/>
              </w:rPr>
            </w:pPr>
            <w:r>
              <w:rPr>
                <w:rFonts w:ascii="Times New Roman" w:cs="Times New Roman" w:eastAsia="Times New Roman" w:hAnsi="Times New Roman"/>
                <w:sz w:val="17"/>
                <w:szCs w:val="17"/>
                <w:b w:val="1"/>
                <w:bCs w:val="1"/>
                <w:color w:val="auto"/>
                <w:w w:val="97"/>
              </w:rPr>
              <w:t>Ian Brown</w:t>
            </w:r>
          </w:p>
        </w:tc>
      </w:tr>
    </w:tbl>
    <w:p>
      <w:pPr>
        <w:jc w:val="center"/>
        <w:ind w:left="474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2"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7"/>
          <w:szCs w:val="17"/>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5" w:name="page36"/>
    <w:bookmarkEnd w:id="35"/>
    <w:p>
      <w:pPr>
        <w:ind w:left="810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302 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 Ezra T. Ernst, certify that:</w:t>
      </w:r>
    </w:p>
    <w:p>
      <w:pPr>
        <w:spacing w:after="0" w:line="203" w:lineRule="exact"/>
        <w:rPr>
          <w:sz w:val="20"/>
          <w:szCs w:val="20"/>
          <w:color w:val="auto"/>
        </w:rPr>
      </w:pPr>
    </w:p>
    <w:p>
      <w:pPr>
        <w:ind w:left="200" w:hanging="156"/>
        <w:spacing w:after="0"/>
        <w:tabs>
          <w:tab w:leader="none" w:pos="2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XWELL, Inc.;</w:t>
      </w:r>
    </w:p>
    <w:p>
      <w:pPr>
        <w:spacing w:after="0" w:line="202"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3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31"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31"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sz w:val="20"/>
          <w:szCs w:val="20"/>
          <w:color w:val="auto"/>
        </w:rPr>
      </w:pPr>
    </w:p>
    <w:p>
      <w:pPr>
        <w:jc w:val="both"/>
        <w:ind w:left="40" w:right="59" w:firstLine="4"/>
        <w:spacing w:after="0" w:line="256" w:lineRule="auto"/>
        <w:tabs>
          <w:tab w:leader="none" w:pos="23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0"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2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1" w:lineRule="exact"/>
        <w:rPr>
          <w:sz w:val="20"/>
          <w:szCs w:val="20"/>
          <w:color w:val="auto"/>
        </w:rPr>
      </w:pPr>
    </w:p>
    <w:p>
      <w:pPr>
        <w:ind w:left="40" w:right="59" w:firstLine="4"/>
        <w:spacing w:after="0" w:line="269" w:lineRule="auto"/>
        <w:tabs>
          <w:tab w:leader="none" w:pos="2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9" w:lineRule="exact"/>
        <w:rPr>
          <w:sz w:val="20"/>
          <w:szCs w:val="20"/>
          <w:color w:val="auto"/>
        </w:rPr>
      </w:pPr>
    </w:p>
    <w:p>
      <w:pPr>
        <w:ind w:left="40" w:right="59" w:firstLine="4"/>
        <w:spacing w:after="0" w:line="269" w:lineRule="auto"/>
        <w:tabs>
          <w:tab w:leader="none" w:pos="20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40" w:right="59" w:firstLine="4"/>
        <w:spacing w:after="0" w:line="269" w:lineRule="auto"/>
        <w:tabs>
          <w:tab w:leader="none" w:pos="2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Dated: May 20, 2026</w:t>
      </w:r>
    </w:p>
    <w:p>
      <w:pPr>
        <w:spacing w:after="0" w:line="12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/s/ EZRA T. ERNST</w:t>
      </w:r>
    </w:p>
    <w:p>
      <w:pPr>
        <w:spacing w:after="0" w:line="19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-110490</wp:posOffset>
            </wp:positionV>
            <wp:extent cx="289179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2891790" cy="7620"/>
                    </a:xfrm>
                    <a:prstGeom prst="rect">
                      <a:avLst/>
                    </a:prstGeom>
                    <a:noFill/>
                  </pic:spPr>
                </pic:pic>
              </a:graphicData>
            </a:graphic>
          </wp:anchor>
        </w:drawing>
      </w:r>
    </w:p>
    <w:p>
      <w:pPr>
        <w:spacing w:after="0" w:line="18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584200</wp:posOffset>
            </wp:positionV>
            <wp:extent cx="565785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6" w:name="page37"/>
    <w:bookmarkEnd w:id="36"/>
    <w:p>
      <w:pPr>
        <w:ind w:left="810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302 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 Ian Brown, certify that:</w:t>
      </w:r>
    </w:p>
    <w:p>
      <w:pPr>
        <w:spacing w:after="0" w:line="203" w:lineRule="exact"/>
        <w:rPr>
          <w:sz w:val="20"/>
          <w:szCs w:val="20"/>
          <w:color w:val="auto"/>
        </w:rPr>
      </w:pPr>
    </w:p>
    <w:p>
      <w:pPr>
        <w:ind w:left="200" w:hanging="156"/>
        <w:spacing w:after="0"/>
        <w:tabs>
          <w:tab w:leader="none" w:pos="2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XWELL, Inc.;</w:t>
      </w:r>
    </w:p>
    <w:p>
      <w:pPr>
        <w:spacing w:after="0" w:line="202"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3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3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3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sz w:val="20"/>
          <w:szCs w:val="20"/>
          <w:color w:val="auto"/>
        </w:rPr>
      </w:pPr>
    </w:p>
    <w:p>
      <w:pPr>
        <w:jc w:val="both"/>
        <w:ind w:left="40" w:right="59" w:firstLine="4"/>
        <w:spacing w:after="0" w:line="256" w:lineRule="auto"/>
        <w:tabs>
          <w:tab w:leader="none" w:pos="23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1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0" w:lineRule="exact"/>
        <w:rPr>
          <w:rFonts w:ascii="Times New Roman" w:cs="Times New Roman" w:eastAsia="Times New Roman" w:hAnsi="Times New Roman"/>
          <w:sz w:val="17"/>
          <w:szCs w:val="17"/>
          <w:color w:val="auto"/>
        </w:rPr>
      </w:pPr>
    </w:p>
    <w:p>
      <w:pPr>
        <w:jc w:val="both"/>
        <w:ind w:left="40" w:right="59" w:firstLine="4"/>
        <w:spacing w:after="0" w:line="256" w:lineRule="auto"/>
        <w:tabs>
          <w:tab w:leader="none" w:pos="22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1" w:lineRule="exact"/>
        <w:rPr>
          <w:sz w:val="20"/>
          <w:szCs w:val="20"/>
          <w:color w:val="auto"/>
        </w:rPr>
      </w:pPr>
    </w:p>
    <w:p>
      <w:pPr>
        <w:ind w:left="40" w:right="59" w:firstLine="4"/>
        <w:spacing w:after="0" w:line="269" w:lineRule="auto"/>
        <w:tabs>
          <w:tab w:leader="none" w:pos="2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9" w:lineRule="exact"/>
        <w:rPr>
          <w:sz w:val="20"/>
          <w:szCs w:val="20"/>
          <w:color w:val="auto"/>
        </w:rPr>
      </w:pPr>
    </w:p>
    <w:p>
      <w:pPr>
        <w:ind w:left="40" w:right="59" w:firstLine="4"/>
        <w:spacing w:after="0" w:line="269" w:lineRule="auto"/>
        <w:tabs>
          <w:tab w:leader="none" w:pos="20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40" w:right="59" w:firstLine="4"/>
        <w:spacing w:after="0" w:line="269" w:lineRule="auto"/>
        <w:tabs>
          <w:tab w:leader="none" w:pos="22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Dated: May 20, 2026</w:t>
      </w:r>
    </w:p>
    <w:p>
      <w:pPr>
        <w:spacing w:after="0" w:line="11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/s/ IAN BROWN</w:t>
      </w:r>
    </w:p>
    <w:p>
      <w:pPr>
        <w:spacing w:after="0" w:line="21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-118110</wp:posOffset>
            </wp:positionV>
            <wp:extent cx="290004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18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584200</wp:posOffset>
            </wp:positionV>
            <wp:extent cx="565785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65785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OF PRINCIPAL EXECUTIVE OFFICER AND PRINCIPAL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Quarterly Report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20, 2026</w:t>
      </w:r>
    </w:p>
    <w:p>
      <w:pPr>
        <w:spacing w:after="0" w:line="20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/s/ EZRA T. ERNST</w:t>
      </w:r>
    </w:p>
    <w:p>
      <w:pPr>
        <w:spacing w:after="0" w:line="2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1010920</wp:posOffset>
            </wp:positionH>
            <wp:positionV relativeFrom="paragraph">
              <wp:posOffset>-118110</wp:posOffset>
            </wp:positionV>
            <wp:extent cx="426656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4266565" cy="7620"/>
                    </a:xfrm>
                    <a:prstGeom prst="rect">
                      <a:avLst/>
                    </a:prstGeom>
                    <a:noFill/>
                  </pic:spPr>
                </pic:pic>
              </a:graphicData>
            </a:graphic>
          </wp:anchor>
        </w:drawing>
      </w:r>
    </w:p>
    <w:p>
      <w:pPr>
        <w:spacing w:after="0" w:line="1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0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/s/ IAN BROWN</w:t>
      </w:r>
    </w:p>
    <w:p>
      <w:pPr>
        <w:spacing w:after="0" w:line="2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1010920</wp:posOffset>
            </wp:positionH>
            <wp:positionV relativeFrom="paragraph">
              <wp:posOffset>-118110</wp:posOffset>
            </wp:positionV>
            <wp:extent cx="426656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4266565" cy="7620"/>
                    </a:xfrm>
                    <a:prstGeom prst="rect">
                      <a:avLst/>
                    </a:prstGeom>
                    <a:noFill/>
                  </pic:spPr>
                </pic:pic>
              </a:graphicData>
            </a:graphic>
          </wp:anchor>
        </w:drawing>
      </w:r>
    </w:p>
    <w:p>
      <w:pPr>
        <w:spacing w:after="0" w:line="1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20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584200</wp:posOffset>
            </wp:positionV>
            <wp:extent cx="6305550"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305550" cy="23495"/>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5"/>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47" Type="http://schemas.openxmlformats.org/officeDocument/2006/relationships/hyperlink" Target="https://www.sec.gov/Archives/edgar/data/1410428/000110465926023569/tm268017d1_ex3-1.htm" TargetMode="External"/><Relationship Id="rId48" Type="http://schemas.openxmlformats.org/officeDocument/2006/relationships/hyperlink" Target="https://www.sec.gov/Archives/edgar/data/1410428/000110465926023569/tm268017d1_ex3-2.htm" TargetMode="External"/><Relationship Id="rId49" Type="http://schemas.openxmlformats.org/officeDocument/2006/relationships/hyperlink" Target="https://www.sec.gov/Archives/edgar/data/1410428/000110465926019431/tm267239d1_ex4-1.htm" TargetMode="External"/><Relationship Id="rId50" Type="http://schemas.openxmlformats.org/officeDocument/2006/relationships/hyperlink" Target="https://www.sec.gov/Archives/edgar/data/1410428/000110465926019431/tm267239d1_ex4-2.htm" TargetMode="External"/><Relationship Id="rId51" Type="http://schemas.openxmlformats.org/officeDocument/2006/relationships/hyperlink" Target="https://www.sec.gov/Archives/edgar/data/1410428/000110465926019431/tm267239d1_ex10-1.htm" TargetMode="External"/><Relationship Id="rId52" Type="http://schemas.openxmlformats.org/officeDocument/2006/relationships/hyperlink" Target="https://www.sec.gov/Archives/edgar/data/1410428/000110465926019431/tm267239d1_ex10-2.htm" TargetMode="External"/><Relationship Id="rId53" Type="http://schemas.openxmlformats.org/officeDocument/2006/relationships/hyperlink" Target="https://www.sec.gov/Archives/edgar/data/1410428/000110465926019431/tm267239d1_ex10-3.htm" TargetMode="External"/><Relationship Id="rId54" Type="http://schemas.openxmlformats.org/officeDocument/2006/relationships/hyperlink" Target="https://www.sec.gov/Archives/edgar/data/1410428/000110465926019431/tm267239d1_ex10-4.htm" TargetMode="External"/><Relationship Id="rId55" Type="http://schemas.openxmlformats.org/officeDocument/2006/relationships/hyperlink" Target="https://www.sec.gov/Archives/edgar/data/1410428/000110465926019431/tm267239d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2026-05-20T15:11:41Z</dcterms:created>
  <dcterms:modified xsi:type="dcterms:W3CDTF">2026-05-20T15:11:41Z</dcterms:modified>
</cp:coreProperties>
</file>