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23282d1_8k.htm"/>
      <w:bookmarkStart w:id="1" w:name="kstm2523282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14,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B_edei--EntityFileNumber_c20250814"/>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7_edei--EntityAddressAddressLine1_"/>
            <w:bookmarkEnd w:id="8"/>
            <w:r>
              <w:rPr>
                <w:b/>
                <w:sz w:val="20"/>
              </w:rPr>
              <w:t>254 West 31</w:t>
            </w:r>
            <w:r>
              <w:rPr>
                <w:b/>
                <w:position w:val="7"/>
                <w:sz w:val="16"/>
                <w:sz w:val="20"/>
              </w:rPr>
              <w:t>st</w:t>
            </w:r>
            <w:r>
              <w:rPr>
                <w:b/>
                <w:sz w:val="20"/>
              </w:rPr>
              <w:t xml:space="preserve"> Street, </w:t>
            </w:r>
            <w:bookmarkStart w:id="9" w:name="xdx_90F_edei--EntityAddressAddressLine2_"/>
            <w:bookmarkEnd w:id="9"/>
            <w:r>
              <w:rPr>
                <w:b/>
                <w:sz w:val="20"/>
              </w:rPr>
              <w:t>11</w:t>
            </w:r>
            <w:r>
              <w:rPr>
                <w:b/>
                <w:position w:val="7"/>
                <w:sz w:val="16"/>
                <w:sz w:val="20"/>
              </w:rPr>
              <w:t xml:space="preserve">th </w:t>
            </w:r>
            <w:r>
              <w:rPr>
                <w:b/>
                <w:sz w:val="20"/>
              </w:rPr>
              <w:t xml:space="preserve">Floor, </w:t>
            </w:r>
            <w:bookmarkStart w:id="10" w:name="xdx_90B_edei--EntityAddressCityOrTown_c2"/>
            <w:bookmarkEnd w:id="10"/>
            <w:r>
              <w:rPr>
                <w:b/>
                <w:sz w:val="20"/>
              </w:rPr>
              <w:t xml:space="preserve">New York, </w:t>
            </w:r>
            <w:bookmarkStart w:id="11" w:name="xdx_905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50814__20"/>
      <w:bookmarkEnd w:id="13"/>
      <w:r>
        <w:rPr>
          <w:rFonts w:ascii="Times New Roman;Times;Serif" w:hAnsi="Times New Roman;Times;Serif"/>
          <w:b/>
          <w:i w:val="false"/>
          <w:caps w:val="false"/>
          <w:smallCaps w:val="false"/>
          <w:sz w:val="20"/>
        </w:rPr>
        <w:t xml:space="preserve">212) </w:t>
      </w:r>
      <w:bookmarkStart w:id="14" w:name="xdx_900_edei--LocalPhoneNumber_c20250814"/>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D_edei--SolicitingMaterial_c2025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3_edei--Security12bTitle_c20250814"/>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50814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A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XWELL, Inc. (the “Company”) issued a press release announcing its financial results for the quarter ended June 30, 2025, and provided a corporate update. A copy of this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995"/>
        <w:gridCol w:w="60"/>
        <w:gridCol w:w="491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pPr>
            <w:hyperlink w:anchor="tm2523282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hyperlink w:anchor="tm2523282d1_ex99-1.htm">
              <w:r>
                <w:rPr>
                  <w:rStyle w:val="InternetLink"/>
                  <w:sz w:val="20"/>
                </w:rPr>
                <w:t>Press Release dated August 14, 2025*</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sz w:val="20"/>
              </w:rPr>
            </w:pPr>
            <w:r>
              <w:rPr>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865"/>
        <w:gridCol w:w="545"/>
        <w:gridCol w:w="3095"/>
      </w:tblGrid>
      <w:tr>
        <w:trPr/>
        <w:tc>
          <w:tcPr>
            <w:tcW w:w="18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b/>
                <w:sz w:val="20"/>
              </w:rPr>
            </w:pPr>
            <w:r>
              <w:rPr>
                <w:b/>
                <w:sz w:val="20"/>
              </w:rPr>
              <w:t>XWELL, Inc.</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14, 2025</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523282d1_ex99-1.htm"/>
      <w:bookmarkStart w:id="24" w:name="kstm2523282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5390" w:type="dxa"/>
        <w:jc w:val="left"/>
        <w:tblInd w:w="0" w:type="dxa"/>
        <w:tblLayout w:type="fixed"/>
        <w:tblCellMar>
          <w:top w:w="0" w:type="dxa"/>
          <w:left w:w="0" w:type="dxa"/>
          <w:bottom w:w="0" w:type="dxa"/>
          <w:right w:w="0" w:type="dxa"/>
        </w:tblCellMar>
      </w:tblPr>
      <w:tblGrid>
        <w:gridCol w:w="3375"/>
        <w:gridCol w:w="2015"/>
      </w:tblGrid>
      <w:tr>
        <w:trPr/>
        <w:tc>
          <w:tcPr>
            <w:tcW w:w="3375" w:type="dxa"/>
            <w:tcBorders/>
            <w:vAlign w:val="center"/>
          </w:tcPr>
          <w:p>
            <w:pPr>
              <w:pStyle w:val="TableContents"/>
              <w:bidi w:val="0"/>
              <w:spacing w:before="0" w:after="283"/>
              <w:jc w:val="left"/>
              <w:rPr/>
            </w:pPr>
            <w:r>
              <w:rPr/>
              <w:t> </w:t>
            </w:r>
            <w:r>
              <w:rPr/>
              <w:drawing>
                <wp:inline distT="0" distB="0" distL="0" distR="0">
                  <wp:extent cx="2095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400050"/>
                          </a:xfrm>
                          <a:prstGeom prst="rect">
                            <a:avLst/>
                          </a:prstGeom>
                        </pic:spPr>
                      </pic:pic>
                    </a:graphicData>
                  </a:graphic>
                </wp:inline>
              </w:drawing>
            </w:r>
          </w:p>
        </w:tc>
        <w:tc>
          <w:tcPr>
            <w:tcW w:w="2015" w:type="dxa"/>
            <w:tcBorders/>
            <w:vAlign w:val="center"/>
          </w:tcPr>
          <w:p>
            <w:pPr>
              <w:pStyle w:val="TableContents"/>
              <w:bidi w:val="0"/>
              <w:spacing w:before="0" w:after="283"/>
              <w:jc w:val="right"/>
              <w:rPr>
                <w:b/>
              </w:rPr>
            </w:pPr>
            <w:r>
              <w:rPr>
                <w:b/>
              </w:rPr>
              <w:t>PRESS RELEASE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Reports Second Quarter 2025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 August 14, 2025 – XWELL, Inc. (Nasdaq: XWEL) ("XWELL" or the "Company"), a leading provider of wellness solutions for people on the go, today announced results for the second quarter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providing critical biosecurity support to building tech-forward wellness spaces in transportation hubs and local communities, XWELL currently is on a growth trajectory. Through its portfolio of in-airport and off-airport brands, the Company is reimagining what it means to access wellness.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175"/>
        <w:gridCol w:w="9961"/>
      </w:tblGrid>
      <w:tr>
        <w:trPr/>
        <w:tc>
          <w:tcPr>
            <w:tcW w:w="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for the 2025 second quarter totaled $7.7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39"/>
        <w:gridCol w:w="10011"/>
      </w:tblGrid>
      <w:tr>
        <w:trPr/>
        <w:tc>
          <w:tcPr>
            <w:tcW w:w="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sales decreased approximately 5% from the 2024 second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decreased by approximately 9% from the 2024 second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84"/>
        <w:gridCol w:w="9948"/>
      </w:tblGrid>
      <w:tr>
        <w:trPr/>
        <w:tc>
          <w:tcPr>
            <w:tcW w:w="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Named the official wellness spa of the Orlando Magic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56"/>
        <w:gridCol w:w="9987"/>
      </w:tblGrid>
      <w:tr>
        <w:trPr/>
        <w:tc>
          <w:tcPr>
            <w:tcW w:w="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XpresSpa recognized as one of </w:t>
            </w:r>
            <w:r>
              <w:rPr>
                <w:rFonts w:ascii="Times New Roman;Times;Serif" w:hAnsi="Times New Roman;Times;Serif"/>
                <w:i/>
              </w:rPr>
              <w:t>Yelp</w:t>
            </w:r>
            <w:r>
              <w:rPr>
                <w:rFonts w:ascii="Times New Roman;Times;Serif" w:hAnsi="Times New Roman;Times;Serif"/>
              </w:rPr>
              <w:t>’s most loved airport brands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09"/>
        <w:gridCol w:w="10053"/>
      </w:tblGrid>
      <w:tr>
        <w:trPr/>
        <w:tc>
          <w:tcPr>
            <w:tcW w:w="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Expanded its partnership with Priority Pass, the world’s original airport experiences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7"/>
        <w:gridCol w:w="10014"/>
      </w:tblGrid>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Opened new non-airport brick-and-mortar location in Clearwater, Florida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XWELL team delivered a solid second quarter, underscoring the solid momentum we’re building across the business,” said Ezra Ernst, CEO of XWELL. “We are currently executing a focused, multi-pronged strategy to expand our operational footprint, increase access to our wellness offerings, and deepen our engagement with both new and existing customers. We believe that these efforts are already delivering measurable results.” Mr. Ernst added, “Coupled with our long-standing CDC partnership, continued operational discipline, and our focused growth strategy, I’m excited by the opportunities that lie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375"/>
        <w:gridCol w:w="2015"/>
      </w:tblGrid>
      <w:tr>
        <w:trPr/>
        <w:tc>
          <w:tcPr>
            <w:tcW w:w="3375" w:type="dxa"/>
            <w:tcBorders/>
            <w:vAlign w:val="center"/>
          </w:tcPr>
          <w:p>
            <w:pPr>
              <w:pStyle w:val="TableContents"/>
              <w:bidi w:val="0"/>
              <w:spacing w:before="0" w:after="283"/>
              <w:jc w:val="left"/>
              <w:rPr/>
            </w:pPr>
            <w:r>
              <w:rPr/>
              <w:t> </w:t>
            </w:r>
            <w:r>
              <w:rPr/>
              <w:drawing>
                <wp:inline distT="0" distB="0" distL="0" distR="0">
                  <wp:extent cx="20955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400050"/>
                          </a:xfrm>
                          <a:prstGeom prst="rect">
                            <a:avLst/>
                          </a:prstGeom>
                        </pic:spPr>
                      </pic:pic>
                    </a:graphicData>
                  </a:graphic>
                </wp:inline>
              </w:drawing>
            </w:r>
          </w:p>
        </w:tc>
        <w:tc>
          <w:tcPr>
            <w:tcW w:w="2015" w:type="dxa"/>
            <w:tcBorders/>
            <w:vAlign w:val="center"/>
          </w:tcPr>
          <w:p>
            <w:pPr>
              <w:pStyle w:val="TableContents"/>
              <w:bidi w:val="0"/>
              <w:spacing w:before="0" w:after="283"/>
              <w:jc w:val="right"/>
              <w:rPr>
                <w:b/>
              </w:rPr>
            </w:pPr>
            <w:r>
              <w:rPr>
                <w:b/>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Momentum Building Across Wellness Channels and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several months, XWELL achieved several milestones that underscore the Company’s momentum in expanding beyond airport terminals and into growing consumer wellness markets: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 June 2025, XWELL was named </w:t>
            </w:r>
            <w:r>
              <w:rPr>
                <w:rFonts w:ascii="Times New Roman;Times;Serif" w:hAnsi="Times New Roman;Times;Serif"/>
                <w:u w:val="single"/>
              </w:rPr>
              <w:t>the Official Wellness Spa of the Orlando Magic</w:t>
            </w:r>
            <w:r>
              <w:rPr>
                <w:rFonts w:ascii="Times New Roman;Times;Serif" w:hAnsi="Times New Roman;Times;Serif"/>
              </w:rPr>
              <w:t xml:space="preserve"> through a multiyear partnership, marking a major step in the Company’s strategic push into local markets, beginning with Florida.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XpresSpa was recently recognized as one of </w:t>
            </w:r>
            <w:r>
              <w:rPr>
                <w:rFonts w:ascii="Times New Roman;Times;Serif" w:hAnsi="Times New Roman;Times;Serif"/>
                <w:u w:val="single"/>
              </w:rPr>
              <w:t>Yelp’s “Most Loved Airport Brands,”</w:t>
            </w:r>
            <w:r>
              <w:rPr>
                <w:rFonts w:ascii="Times New Roman;Times;Serif" w:hAnsi="Times New Roman;Times;Serif"/>
              </w:rPr>
              <w:t xml:space="preserve"> ranking </w:t>
            </w:r>
            <w:r>
              <w:rPr>
                <w:rFonts w:ascii="Times New Roman;Times;Serif" w:hAnsi="Times New Roman;Times;Serif"/>
                <w:u w:val="single"/>
              </w:rPr>
              <w:t>#10 based on millions of traveler reviews</w:t>
            </w:r>
            <w:r>
              <w:rPr>
                <w:rFonts w:ascii="Times New Roman;Times;Serif" w:hAnsi="Times New Roman;Times;Serif"/>
              </w:rPr>
              <w:t>, further validating its strong customer loyalty and brand equity.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Company </w:t>
            </w:r>
            <w:r>
              <w:rPr>
                <w:rFonts w:ascii="Times New Roman;Times;Serif" w:hAnsi="Times New Roman;Times;Serif"/>
                <w:u w:val="single"/>
              </w:rPr>
              <w:t>expanded its relationship with Priority Pass</w:t>
            </w:r>
            <w:r>
              <w:rPr>
                <w:rFonts w:ascii="Times New Roman;Times;Serif" w:hAnsi="Times New Roman;Times;Serif"/>
              </w:rPr>
              <w:t>, providing members with access to an enhanced range of wellness services across both its U.S. and international locations.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w:t>
            </w:r>
            <w:r>
              <w:rPr>
                <w:rFonts w:ascii="Times New Roman;Times;Serif" w:hAnsi="Times New Roman;Times;Serif"/>
                <w:u w:val="single"/>
              </w:rPr>
              <w:t>Company recently unveiled</w:t>
            </w:r>
            <w:r>
              <w:rPr>
                <w:rFonts w:ascii="Times New Roman;Times;Serif" w:hAnsi="Times New Roman;Times;Serif"/>
              </w:rPr>
              <w:t xml:space="preserve"> a newly redesigned website, accessible at </w:t>
            </w:r>
            <w:r>
              <w:rPr>
                <w:rFonts w:ascii="Times New Roman;Times;Serif" w:hAnsi="Times New Roman;Times;Serif"/>
                <w:u w:val="single"/>
              </w:rPr>
              <w:t>www.XWELL.com</w:t>
            </w:r>
            <w:r>
              <w:rPr>
                <w:rFonts w:ascii="Times New Roman;Times;Serif" w:hAnsi="Times New Roman;Times;Serif"/>
              </w:rPr>
              <w:t xml:space="preserve"> which integrates all of its wellness and beauty brands — XpresSpa®, Naples Wax Center®, XpresCheck®, and HyperPointe™ — into one seamless, user-first digital experience. Customers can now easily explore locations, connect with spa staff, and book services in just a few clicks.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This summer, </w:t>
            </w:r>
            <w:r>
              <w:rPr>
                <w:rFonts w:ascii="Times New Roman;Times;Serif" w:hAnsi="Times New Roman;Times;Serif"/>
                <w:u w:val="single"/>
              </w:rPr>
              <w:t>XWELL celebrated the opening</w:t>
            </w:r>
            <w:r>
              <w:rPr>
                <w:rFonts w:ascii="Times New Roman;Times;Serif" w:hAnsi="Times New Roman;Times;Serif"/>
              </w:rPr>
              <w:t xml:space="preserve"> of an out-of-airport locations in Clearwater, Florida while advancing plans for its New York City’s Penn Station location -- a pivotal step toward making premium self-care more accessible in high-traffic, high-need environments.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both"/>
              <w:rPr/>
            </w:pPr>
            <w:r>
              <w:rPr/>
              <w:t>In Clearwater, Florida, the Company opened a full-service wellness center offering massage, skincare, and recovery treatments in a standalone, modern retail setting.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both"/>
              <w:rPr/>
            </w:pPr>
            <w:r>
              <w:rPr/>
              <w:t>In New York City, New York, the Penn Station location is anticipated to serve as a grab-and-go destination for wellness essentials tailored to busy commuters.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375"/>
        <w:gridCol w:w="2015"/>
      </w:tblGrid>
      <w:tr>
        <w:trPr/>
        <w:tc>
          <w:tcPr>
            <w:tcW w:w="3375" w:type="dxa"/>
            <w:tcBorders/>
            <w:vAlign w:val="center"/>
          </w:tcPr>
          <w:p>
            <w:pPr>
              <w:pStyle w:val="TableContents"/>
              <w:bidi w:val="0"/>
              <w:spacing w:before="0" w:after="283"/>
              <w:jc w:val="left"/>
              <w:rPr/>
            </w:pPr>
            <w:r>
              <w:rPr/>
              <w:t> </w:t>
            </w:r>
            <w:r>
              <w:rPr/>
              <w:drawing>
                <wp:inline distT="0" distB="0" distL="0" distR="0">
                  <wp:extent cx="20955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400050"/>
                          </a:xfrm>
                          <a:prstGeom prst="rect">
                            <a:avLst/>
                          </a:prstGeom>
                        </pic:spPr>
                      </pic:pic>
                    </a:graphicData>
                  </a:graphic>
                </wp:inline>
              </w:drawing>
            </w:r>
          </w:p>
        </w:tc>
        <w:tc>
          <w:tcPr>
            <w:tcW w:w="2015" w:type="dxa"/>
            <w:tcBorders/>
            <w:vAlign w:val="center"/>
          </w:tcPr>
          <w:p>
            <w:pPr>
              <w:pStyle w:val="TableContents"/>
              <w:bidi w:val="0"/>
              <w:spacing w:before="0" w:after="283"/>
              <w:jc w:val="right"/>
              <w:rPr>
                <w:b/>
              </w:rPr>
            </w:pPr>
            <w:r>
              <w:rPr>
                <w:b/>
              </w:rPr>
              <w:t>PRESS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XWELL also continues to pursue opportunities to potentially acquire select medical spas in high-demand cities such as Orlando, Florida, Dallas, Texas and Salt Lake City, Utah -- extending its reach into the broader consumer wellness landscape and building a presence beyond the travel corridor.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initiatives reflect XWELL’s continued progress executing its strategy to diversify access points, elevate brand relevance, and deepen engagement with consumers both in and beyond airports.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Biosurveillance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XpresCheck and HyperPointe, XWELL continues to operate at the frontlines of biosurveillance and digital healthcare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XWELL secured a three-year extension of its Traveler-based Genomic Surveillance Program (“TGS”), operated with the CDC and Ginkgo Bioworks Holdings. The TGS program, provides early detection of emerging pathogens, safeguarding national health through airport-based biosurveillance.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XpresCheck, which helped power national COVID-19 testing and reporting during the pandemic, and HyperPointe serve as the operational and technological core of this next phase of strategic, science-driven wellness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had approximately $5.3 million of cash and cash equivalents (excluding restricted cash), approximately $2.9 million in marketable securities, total current assets of approximately $11.8 million, and no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Financial Overview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Approximately $7.7 million for the three months ended June 30, 2025, consisted of approximately $4.9 million for XpresSpa, approximately $2.2 million for XpresCheck, and approximately $647,000 for Naples Wax Center. Second quarter 2025 revenue increased sequentially from approximately $7.0 million reported for the first quarter of 2025 and decreased from approximately $9.3 million reported for the second quarter of 2024. The year-over-year revenue decrease was primarily the result of additional CDC revenue generated during the second quarter of 2024 from providing more services to airports than the base contract amounts, which in turn resulted in increased surge billing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375"/>
        <w:gridCol w:w="2015"/>
      </w:tblGrid>
      <w:tr>
        <w:trPr/>
        <w:tc>
          <w:tcPr>
            <w:tcW w:w="3375" w:type="dxa"/>
            <w:tcBorders/>
            <w:vAlign w:val="center"/>
          </w:tcPr>
          <w:p>
            <w:pPr>
              <w:pStyle w:val="TableContents"/>
              <w:bidi w:val="0"/>
              <w:spacing w:before="0" w:after="283"/>
              <w:jc w:val="left"/>
              <w:rPr/>
            </w:pPr>
            <w:r>
              <w:rPr/>
              <w:t> </w:t>
            </w:r>
            <w:r>
              <w:rPr/>
              <w:drawing>
                <wp:inline distT="0" distB="0" distL="0" distR="0">
                  <wp:extent cx="209550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400050"/>
                          </a:xfrm>
                          <a:prstGeom prst="rect">
                            <a:avLst/>
                          </a:prstGeom>
                        </pic:spPr>
                      </pic:pic>
                    </a:graphicData>
                  </a:graphic>
                </wp:inline>
              </w:drawing>
            </w:r>
          </w:p>
        </w:tc>
        <w:tc>
          <w:tcPr>
            <w:tcW w:w="2015" w:type="dxa"/>
            <w:tcBorders/>
            <w:vAlign w:val="center"/>
          </w:tcPr>
          <w:p>
            <w:pPr>
              <w:pStyle w:val="TableContents"/>
              <w:bidi w:val="0"/>
              <w:spacing w:before="0" w:after="283"/>
              <w:jc w:val="right"/>
              <w:rPr>
                <w:b/>
              </w:rPr>
            </w:pPr>
            <w:r>
              <w:rPr>
                <w:b/>
              </w:rPr>
              <w:t>PRESS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Cost of Sales: Approximately $5.9 million for the three months ended June 30, 2025, down from $6.2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Approximately $4.3 million for the three months ended June 30, 2025 million, down from approximately $4.7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 Approximately $4.5 million for the three months ended June 30, 2025, down from approximately $5.0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Loss: Approximately $2.7 million for the three months ended June 30, 2025 compared with $1.9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Attributable to XWELL: Approximately $2.3 million for the three months ended June 30, 2025 compared with $2.0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will host a webcast and conference call at 5:00 pm Eastern Time today. The Company encourages investors and interested parties to listen via webcast, as there is a limited capacity to access the conference call by dialing 1-412-317-6026.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375"/>
        <w:gridCol w:w="2015"/>
      </w:tblGrid>
      <w:tr>
        <w:trPr/>
        <w:tc>
          <w:tcPr>
            <w:tcW w:w="3375" w:type="dxa"/>
            <w:tcBorders/>
            <w:vAlign w:val="center"/>
          </w:tcPr>
          <w:p>
            <w:pPr>
              <w:pStyle w:val="TableContents"/>
              <w:bidi w:val="0"/>
              <w:spacing w:before="0" w:after="283"/>
              <w:jc w:val="left"/>
              <w:rPr/>
            </w:pPr>
            <w:r>
              <w:rPr/>
              <w:t> </w:t>
            </w:r>
            <w:r>
              <w:rPr/>
              <w:drawing>
                <wp:inline distT="0" distB="0" distL="0" distR="0">
                  <wp:extent cx="20955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00" cy="400050"/>
                          </a:xfrm>
                          <a:prstGeom prst="rect">
                            <a:avLst/>
                          </a:prstGeom>
                        </pic:spPr>
                      </pic:pic>
                    </a:graphicData>
                  </a:graphic>
                </wp:inline>
              </w:drawing>
            </w:r>
          </w:p>
        </w:tc>
        <w:tc>
          <w:tcPr>
            <w:tcW w:w="2015" w:type="dxa"/>
            <w:tcBorders/>
            <w:vAlign w:val="center"/>
          </w:tcPr>
          <w:p>
            <w:pPr>
              <w:pStyle w:val="TableContents"/>
              <w:bidi w:val="0"/>
              <w:spacing w:before="0" w:after="283"/>
              <w:jc w:val="right"/>
              <w:rPr>
                <w:b/>
              </w:rPr>
            </w:pPr>
            <w:r>
              <w:rPr>
                <w:b/>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and later archived webcast can be accessed from the Investor Relations section of the Company’s website at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 Visitors to the website should select the “Investors” tab and navigate to the “Events” link to access the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global wellness company on a mission to liberate science-proven wellness for all. Through a portfolio of brands that include XpresSpa®, Naples Wax Center®, XpresCheck®, and HyperPointe™, XWELL delivers accessible, real-world wellness across travel, retail, and clinical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XWELL’s offerings, visit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2106</Words>
  <Characters>12123</Characters>
  <CharactersWithSpaces>14242</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