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jc w:val="right"/>
        <w:ind w:right="4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333-180493</w:t>
      </w:r>
    </w:p>
    <w:p>
      <w:pPr>
        <w:spacing w:after="0" w:line="200" w:lineRule="exact"/>
        <w:rPr>
          <w:sz w:val="24"/>
          <w:szCs w:val="24"/>
          <w:color w:val="auto"/>
        </w:rPr>
      </w:pPr>
    </w:p>
    <w:p>
      <w:pPr>
        <w:sectPr>
          <w:pgSz w:w="11900" w:h="16838" w:orient="portrait"/>
          <w:cols w:equalWidth="0" w:num="2">
            <w:col w:w="8160" w:space="720"/>
            <w:col w:w="2540"/>
          </w:cols>
          <w:pgMar w:left="240" w:top="472" w:right="239" w:bottom="1440" w:gutter="0" w:footer="0" w:header="0"/>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2,526,289 Shares of</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154940</wp:posOffset>
            </wp:positionV>
            <wp:extent cx="523240"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3240" cy="20574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both"/>
        <w:ind w:left="80" w:right="440" w:firstLine="486"/>
        <w:spacing w:after="0" w:line="342" w:lineRule="auto"/>
        <w:rPr>
          <w:sz w:val="20"/>
          <w:szCs w:val="20"/>
          <w:color w:val="auto"/>
        </w:rPr>
      </w:pPr>
      <w:r>
        <w:rPr>
          <w:rFonts w:ascii="Arial" w:cs="Arial" w:eastAsia="Arial" w:hAnsi="Arial"/>
          <w:sz w:val="16"/>
          <w:szCs w:val="16"/>
          <w:color w:val="auto"/>
        </w:rPr>
        <w:t>This prospectus relates to the sale of an aggregate of 2,526,289 shares of our common stock, $0.01 par value per share, issued and issuable upon exercise of certain warrants held by the selling security holders identified in this prospectus, including their transferees, pledgees, donees or successors.</w:t>
      </w:r>
    </w:p>
    <w:p>
      <w:pPr>
        <w:spacing w:after="0" w:line="124" w:lineRule="exact"/>
        <w:rPr>
          <w:sz w:val="24"/>
          <w:szCs w:val="24"/>
          <w:color w:val="auto"/>
        </w:rPr>
      </w:pPr>
    </w:p>
    <w:p>
      <w:pPr>
        <w:ind w:left="80" w:right="460" w:firstLine="486"/>
        <w:spacing w:after="0" w:line="264" w:lineRule="auto"/>
        <w:rPr>
          <w:sz w:val="20"/>
          <w:szCs w:val="20"/>
          <w:color w:val="auto"/>
        </w:rPr>
      </w:pPr>
      <w:r>
        <w:rPr>
          <w:rFonts w:ascii="Arial" w:cs="Arial" w:eastAsia="Arial" w:hAnsi="Arial"/>
          <w:sz w:val="18"/>
          <w:szCs w:val="18"/>
          <w:color w:val="auto"/>
        </w:rPr>
        <w:t>The selling security holders may sell their shares of our common stock from time to time at market prices prevailing at the time of sale, at prices related to the prevailing market price, or at negotiated prices. We will not receive any proceeds from the sale of common stock by the selling security holders, other than the exercise price of the warrants.</w:t>
      </w:r>
    </w:p>
    <w:p>
      <w:pPr>
        <w:spacing w:after="0" w:line="181" w:lineRule="exact"/>
        <w:rPr>
          <w:sz w:val="24"/>
          <w:szCs w:val="24"/>
          <w:color w:val="auto"/>
        </w:rPr>
      </w:pPr>
    </w:p>
    <w:p>
      <w:pPr>
        <w:ind w:left="80" w:right="260" w:firstLine="486"/>
        <w:spacing w:after="0" w:line="286" w:lineRule="auto"/>
        <w:rPr>
          <w:sz w:val="20"/>
          <w:szCs w:val="20"/>
          <w:color w:val="auto"/>
        </w:rPr>
      </w:pPr>
      <w:r>
        <w:rPr>
          <w:rFonts w:ascii="Arial" w:cs="Arial" w:eastAsia="Arial" w:hAnsi="Arial"/>
          <w:sz w:val="17"/>
          <w:szCs w:val="17"/>
          <w:color w:val="auto"/>
        </w:rPr>
        <w:t>No underwriter or other person has been engaged to facilitate the sale of shares of our common stock in this offering. We are paying the cost of registering the shares of our common stock covered by this prospectus as well as various related expenses. The selling security holders are responsible for all selling commissions, transfer taxes and other costs related to the offer and sale of their shares of our common stock.</w:t>
      </w:r>
    </w:p>
    <w:p>
      <w:pPr>
        <w:spacing w:after="0" w:line="166" w:lineRule="exact"/>
        <w:rPr>
          <w:sz w:val="24"/>
          <w:szCs w:val="24"/>
          <w:color w:val="auto"/>
        </w:rPr>
      </w:pPr>
    </w:p>
    <w:p>
      <w:pPr>
        <w:ind w:left="80" w:right="320" w:firstLine="486"/>
        <w:spacing w:after="0" w:line="277" w:lineRule="auto"/>
        <w:rPr>
          <w:sz w:val="20"/>
          <w:szCs w:val="20"/>
          <w:color w:val="auto"/>
        </w:rPr>
      </w:pPr>
      <w:r>
        <w:rPr>
          <w:rFonts w:ascii="Arial" w:cs="Arial" w:eastAsia="Arial" w:hAnsi="Arial"/>
          <w:sz w:val="18"/>
          <w:szCs w:val="18"/>
          <w:color w:val="auto"/>
        </w:rPr>
        <w:t>Our common stock is traded on the NYSE MKT under the symbol “VRNG.” On June 19, 2012, the closing sale price of our common stock on the NYSE MKT was $4.36 per share.</w:t>
      </w:r>
    </w:p>
    <w:p>
      <w:pPr>
        <w:spacing w:after="0" w:line="166"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Investment in our common stock involves risks. See “Risk Factors” on page 5 of this prospectus.</w:t>
      </w:r>
    </w:p>
    <w:p>
      <w:pPr>
        <w:spacing w:after="0" w:line="229" w:lineRule="exact"/>
        <w:rPr>
          <w:sz w:val="24"/>
          <w:szCs w:val="24"/>
          <w:color w:val="auto"/>
        </w:rPr>
      </w:pPr>
    </w:p>
    <w:p>
      <w:pPr>
        <w:ind w:left="80" w:right="180" w:firstLine="48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June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5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0520" w:type="dxa"/>
            <w:vAlign w:val="bottom"/>
            <w:tcBorders>
              <w:bottom w:val="single" w:sz="8" w:color="CCFFCC"/>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SUMMARY</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FORWARD-LOOKING STATEMENTS</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SELLING SECURITY HOLDERS</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PLAN OF DISTRIBUTION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LEGAL MATTERS</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EXPERTS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WHERE YOU CAN FIND ADDITIONAL INFORMATION</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r>
      <w:tr>
        <w:trPr>
          <w:trHeight w:val="230"/>
        </w:trPr>
        <w:tc>
          <w:tcPr>
            <w:tcW w:w="1052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We incorporate by reference important information into this prospectus. You may obtain the information incorporated by reference without charge by following the instructions under “Where You Can Find Additional Information.” You should carefully read this prospectus as well as additional information described under “Incorporation of Certain Information by Reference,” before deciding to invest in shares of our common stock. All references in this prospectus to “Vringo,” “the Company,” “we,” “us” or “our” mean Vringo, Inc., unless we state otherwise or the context otherwise requires.</w:t>
      </w:r>
    </w:p>
    <w:p>
      <w:pPr>
        <w:spacing w:after="0" w:line="154"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together with any applicable prospectus supplement. We have not authorized anyone to provide you with different information. We are not making an offer to sell these securities in any jurisdiction where the offer is not permitted. The information contained in this prospectus, any applicable prospectus supplement and the documents incorporated by reference herein and therein are accurate only as of their respective dates, regardless of the time of delivery of this prospectus or the time of any sale of our common stock. Our business, financial condition, results of operations and prospects may have changed since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its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it believes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it can leverage our existing distribution and relationships to promote apps and services for these two operating systems.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260" w:hanging="334"/>
        <w:spacing w:after="0" w:line="282" w:lineRule="auto"/>
        <w:tabs>
          <w:tab w:leader="none" w:pos="1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video ringtones for mobile phones;</w:t>
      </w:r>
    </w:p>
    <w:p>
      <w:pPr>
        <w:spacing w:after="0" w:line="161" w:lineRule="exact"/>
        <w:rPr>
          <w:rFonts w:ascii="Arial" w:cs="Arial" w:eastAsia="Arial" w:hAnsi="Arial"/>
          <w:sz w:val="18"/>
          <w:szCs w:val="18"/>
          <w:b w:val="1"/>
          <w:bCs w:val="1"/>
          <w:color w:val="auto"/>
        </w:rPr>
      </w:pPr>
    </w:p>
    <w:p>
      <w:pPr>
        <w:ind w:left="1260" w:hanging="334"/>
        <w:spacing w:after="0"/>
        <w:tabs>
          <w:tab w:leader="none" w:pos="1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260" w:right="20" w:hanging="334"/>
        <w:spacing w:after="0" w:line="282" w:lineRule="auto"/>
        <w:tabs>
          <w:tab w:leader="none" w:pos="1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260" w:hanging="334"/>
        <w:spacing w:after="0" w:line="282" w:lineRule="auto"/>
        <w:tabs>
          <w:tab w:leader="none" w:pos="1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 stars</w:t>
      </w:r>
      <w:r>
        <w:rPr>
          <w:rFonts w:ascii="Arial" w:cs="Arial" w:eastAsia="Arial" w:hAnsi="Arial"/>
          <w:sz w:val="18"/>
          <w:szCs w:val="18"/>
          <w:b w:val="1"/>
          <w:bCs w:val="1"/>
          <w:color w:val="auto"/>
        </w:rPr>
        <w:t xml:space="preserve"> </w:t>
      </w:r>
      <w:r>
        <w:rPr>
          <w:rFonts w:ascii="Arial" w:cs="Arial" w:eastAsia="Arial" w:hAnsi="Arial"/>
          <w:sz w:val="18"/>
          <w:szCs w:val="18"/>
          <w:color w:val="auto"/>
        </w:rPr>
        <w:t>and vote for contestants.</w:t>
      </w:r>
    </w:p>
    <w:p>
      <w:pPr>
        <w:spacing w:after="0" w:line="166"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To develop these platforms, we have leveraged our existing technology, intellectual property and our extensive experience with mobile video, personalization and social applications. We believe that these platforms will represent a significant component of our business going forward.</w:t>
      </w:r>
    </w:p>
    <w:p>
      <w:pPr>
        <w:spacing w:after="0" w:line="14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ability to compete successfully depends on our ability to ensure a continuing and timely introduction of innovative new products and technologies to the marketplace. As a result, we must make significant investments in research and development. To date, we filed over 24 patents, 3 of the patents that have been filed have been granted by the USPTO and we have received a notice of allowance for 1 patent in Europe.</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were incorporated in January 2006 and are still a development stage company. Our principal executive offices are located in New York, NY, and in addition, we have a wholly owned subsidiary, Vringo (Israel) Ltd., located in Bet-Shemesh, Israel. From inception through March 31, 2012, we recorded revenues of $1,055,000, which includes $726,000 from revenue share subscription services, $118,000 from one-time setup fees, $91,000 from Facetones™, $80,000 from Fan Loyalty application formats, $30,000 from Video ReMix platform and $10,000 from applications sold. We believe that current cash levels will be sufficient to support our activity into the first quarter of 2013. The continuation of our business is dependent upon the successful consummation of the merger with Innovate/Protect and/or similar merger or acquisition, financing and/or further development of our products. There can be no assurance that the merger will be consummated, or that business development opportunities will materialize. Should we need to raise funds, the issuance of additional equity securities by us could result in a substantial dilution to our current stockholders. Obtaining commercial loans, assuming those loans would be available, will increase our liabilities and future cash commitments. All of our audited consolidated financial statements since inception have contained a statement by our management that raises substantial doubt about us being able to continue as a going concern unless we are able to raise additional capital.</w:t>
      </w:r>
    </w:p>
    <w:p>
      <w:pPr>
        <w:spacing w:after="0" w:line="16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video ringtone platform was our primary product focus since inception through the launch of our Facetones™ product in the third Quarter of 2011. We continue to develop business for this product.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VringForward™ video ringtone technology allows users to enjoy a rich social experience by sharing video ringtones from our library or which they created.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line="5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At that point, we moved to a paid service model together with mobile carriers and other partners around the world. The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three of which have been issued to date, and we continue to create new intellectual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will merge with and into Merger Sub, with Merger Sub being the surviving corporation (the “Surviving Corporation”) through an exchange of capital stock of Innovate/Protect for capital stock of Vringo (the “Merger”).</w:t>
      </w:r>
    </w:p>
    <w:p>
      <w:pPr>
        <w:spacing w:after="0" w:line="188"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Under the terms of the Merger Agreement, upon completion of the Merger, (i) each share of then-outstanding common stock of Innovate/Protect, par value $0.0001 per share (“Innovate/Protect Common Stock”) (other than shares held by us, Innovate/Protect or any of our and their subsidiaries, which will be cancelled at the completion of the Merger) will be automatically converted into the right to receive the number of shares of our common stock, par value $0.01 per share (“Vringo Common Stock”) multiplied by the Common Stock Exchange Ratio (as defined below) and (ii) each share of then-outstanding Series A Convertible Preferred Stock of Innovate/Protect, par value $0.0001 per share (total 6,673 shares outstanding) (“Innovate/Protect Series A Stock” and together with the Innovate/Protect Common Stock, “Innovate/Protect Capital Stock”) (other than shares held by us, Innovate/Protect or any of our and their subsidiaries, which will be cancelled at the completion of the Merger) will be automatically converted into the right to receive the same number of shares of Vringo Series A Convertible Preferred Stock (“Vringo Preferred Stock”), which 6,673 shares, as of June 13, 2012, shall be initially convertible into an aggregate of 20,136,445 shares of Vringo Common Stock (or at a current conversion rate of 3,017.6). The Vringo Preferred Stock will have the powers, designations, preferences and other rights as will be set forth in a Certificate of Designations, Preferences and Rights of Series A Convertible Preferred Stock to be filed by us prior to closing. The Common Stock Exchange Ratio initially is 3.0176, which is subject to adjustment as set forth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(on a pro rata as-converted basis) an aggregate of 15,959,838 warrants to purchase an aggregate of 15,959,838 shares of Vringo Common Stock with an exercise price of $1.76 per share. The issued and outstanding warrants to purchase Innovate/Protect Common Stock shall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1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at the effective time of the Merger, each outstanding and unexercised option to purchase Innovate/Protect Common Stock (each a “Innovate/Protect Stock Option”), whether vested or unvested will be converted into and become an option to purchase Vringo Common Stock and we will assume such Innovate/Protect Stock Option in accordance with the terms of the Innovate/Protect 2011 Equity Incentive Plan. After the effective time of the Merger, (a) each Innovate/Protect Stock Option assumed by us may be exercised solely for shares of Vringo Common Stock and (b) the number of shares of Vringo Common Stock and the exercise price subject to each Innovate/Protect Stock Option assumed by us shall be determined by the Common Stock Exchange Ratio.</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56.30% of the outstanding common stock of the combined company, and our current stockholders are expected to own approximately 43.70% of the outstanding common stock of the combined company. On a fully diluted basis, the former stockholders of Innovate/Protect are expected to own approximately 67.82% of the outstanding common stock of the combined company, and our current stockholders are expected to own approximately 32.18% of the outstanding common stock of the combined company.</w:t>
      </w:r>
    </w:p>
    <w:p>
      <w:pPr>
        <w:spacing w:after="0" w:line="1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Innovate/Protect is the owner of patent assets acquired from Lycos,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Innovate/Protect is obligated under a senior secured note payable to its principal stockholder Hudson Bay Master Fund Ltd. (“Hudson Bay) with an outstanding balance of $3,200,000 as of March 31, 2012.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we and our subsidiaries have more than $15,000,000 in the aggregate of cash and cash equivalents, Hudson Bay may require us to redeem up to 50% of the outstanding principal amount of the note, (ii) we and our subsidiaries have more than $20,000,000 in the aggregate of cash and cash equivalents, Hudson Bay may require us to redeem up to 100% of the outstanding principal of the Note, (iii) we and our subsidiaries receive proceeds in excess of $500,000 in the aggregate from the issuance of any equity or indebtedness, Hudson Bay may require us to redeem the outstanding principal under the note in an amount equal to up to 20% of the proceeds of the issuance of any such equity or indebtedness. In</w:t>
      </w:r>
    </w:p>
    <w:p>
      <w:pPr>
        <w:sectPr>
          <w:pgSz w:w="11900" w:h="16897" w:orient="portrait"/>
          <w:cols w:equalWidth="0" w:num="1">
            <w:col w:w="11420"/>
          </w:cols>
          <w:pgMar w:left="240" w:top="881" w:right="239" w:bottom="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addition, the amended and restated note shall provide that in the event of a change of control, Hudson Bay may require us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 In connection with the Merger, the senior secured note will become an obligation of the combined company and we will guaranty the obligations under the senior secured note.</w:t>
      </w:r>
    </w:p>
    <w:p>
      <w:pPr>
        <w:spacing w:after="0" w:line="17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us,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ind w:firstLine="486"/>
        <w:spacing w:after="0" w:line="286" w:lineRule="auto"/>
        <w:rPr>
          <w:sz w:val="20"/>
          <w:szCs w:val="20"/>
          <w:color w:val="auto"/>
        </w:rPr>
      </w:pPr>
      <w:r>
        <w:rPr>
          <w:rFonts w:ascii="Arial" w:cs="Arial" w:eastAsia="Arial" w:hAnsi="Arial"/>
          <w:sz w:val="17"/>
          <w:szCs w:val="17"/>
          <w:color w:val="auto"/>
        </w:rPr>
        <w:t>As of June 13,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6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expended significant effort and management attention on the proposed transaction. There is no assurance that the transaction contemplated by the Merger Agreement will be consummated. If the transaction is not consummated for any reason, our business and operations, as well as the market price of our stock and warrants may be adversely affected. For accounting purposes Innovate/Protect was identified as the “Acquirer”, as it is defined in FASB Topic ASC 805. As a result, in the post-combination consolidated financial statements, Innovate/Protect’s assets and liabilities will be presented at its pre-combination amounts, and our assets and liabilities will be recognized and measured in accordance with the guidance for business combinations in ASC 805. We are currently evaluating the effect of this on our financial statements. We believe such effect will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Innovate/Protect’s Initial Litigation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March 15, 2012, Google submitted a request to the USPTO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w:t>
      </w:r>
    </w:p>
    <w:p>
      <w:pPr>
        <w:spacing w:after="0" w:line="18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w:t>
      </w:r>
    </w:p>
    <w:p>
      <w:pPr>
        <w:sectPr>
          <w:pgSz w:w="11900" w:h="16838" w:orient="portrait"/>
          <w:cols w:equalWidth="0" w:num="1">
            <w:col w:w="11420"/>
          </w:cols>
          <w:pgMar w:left="240" w:top="881" w:right="239" w:bottom="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available on the Public Access to Court Electronic Records (PACER) electronic public access service at http://www.pacer.uscourts.gov/, and was also filed by Vringo with the Securities and Exchange Commission.</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Innovate/Protect’s intention is to expand its business through the acquisition of additional patent and intellectual property assets, the viability of Innovate/Protect currently depends on the outcome of this lawsuit.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NYSE MKT (formerly, NYSE Amex)</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26, 2012, the NYSE MKT notified us that it had resolved the continued listing deficiency referenced in the NYSE MKT’s letter dated May 24, 2011, which stated that we were not in compliance with Section 1003(a) (iv) of the NYSE MKT’s continued listing standards. The NYSE MKT’s conclusion was based on a review of available information, including our filings with the Securities and Exchange Commission. Our continued listing eligibility will be assessed on an ongoing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firstLine="648"/>
        <w:spacing w:after="0" w:line="312" w:lineRule="auto"/>
        <w:rPr>
          <w:sz w:val="20"/>
          <w:szCs w:val="20"/>
          <w:color w:val="auto"/>
        </w:rPr>
      </w:pPr>
      <w:r>
        <w:rPr>
          <w:rFonts w:ascii="Arial" w:cs="Arial" w:eastAsia="Arial" w:hAnsi="Arial"/>
          <w:sz w:val="16"/>
          <w:szCs w:val="16"/>
          <w:color w:val="auto"/>
        </w:rPr>
        <w:t xml:space="preserve">We were incorporated as a Delaware corporation in January 2006. Our principal executive offices are located in New York, New York and we have a subsidiary, Vringo (Israel) Ltd., located in Beit Shemesh, Israel. Our executive offices are located at 44 W. 28th Street, New York, New York 10001 and our telephone number at this location is (646) 525-4319. Our website address is </w:t>
      </w:r>
      <w:r>
        <w:rPr>
          <w:rFonts w:ascii="Arial" w:cs="Arial" w:eastAsia="Arial" w:hAnsi="Arial"/>
          <w:sz w:val="16"/>
          <w:szCs w:val="16"/>
          <w:i w:val="1"/>
          <w:iCs w:val="1"/>
          <w:color w:val="auto"/>
        </w:rPr>
        <w:t>www.vringo.com</w:t>
      </w:r>
      <w:r>
        <w:rPr>
          <w:rFonts w:ascii="Arial" w:cs="Arial" w:eastAsia="Arial" w:hAnsi="Arial"/>
          <w:sz w:val="16"/>
          <w:szCs w:val="16"/>
          <w:color w:val="auto"/>
        </w:rPr>
        <w:t>. The information on our website is not part of this prospectus.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prospectus relates to the resale of 2,526,289 shares of common stock issued and issuable upon exercise of certain warrants held by the selling security holders identified in this prospectus, including their transferees, pledgees, donees or successors. A description of the transactions in which the selling security holders were issued the warrants is set forth in the Current Reports on Form 8-K which we filed with the SEC on February 7, 2012 and February 14, 2012, respectively.</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agreed to register the offer and sale of these shares to satisfy registration rights we have granted to various investors. We will not receive any proceeds from the sale of common stock by the selling security holders, other than as a result of the exercise of warrants held by the selling security holders for cash.</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8" w:name="page9"/>
    <w:bookmarkEnd w:id="8"/>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 The risks and uncertainties we describe are not the only ones facing us. Additional risks not presently known to us or that we currently deem immaterial may also impair our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consummate our Merger with Innovate/Protect.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12, 2012, we entered into a Merger Agreement, pursuant to which Innovate/Protect will merge with and into our wholly owned subsidiary, Merger Sub, with Merger Sub being the surviving corporation through an exchange of capital stock of Innovate/Protect for our capital stock of Vringo. The consummation of the transaction with Innovate/Protect is subject to stockholders approval and other closing conditions. We have expended significant effort and management attention on the proposed transaction. There is no assurance that the transaction will be approved. For example, our stockholders may not approve the transaction. If the transaction is not consummated for any reason, our business and operations, as well as the market price of our stock and warrants may be adversely affected.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issuance of our shares of common stock to Innovate/Protect stockholders in connection with the Merger will substantially dilute the voting power of our current stockholders.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terms of the Merger Agreement, it is anticipated that we will issue equity instruments to Innovate/Protect stockholders representing approximately 67.82% of the outstanding equity instruments of the combined company calculated on a fully diluted basis as of immediately following the completion of the Merger. After such issuance, our equity instruments outstanding immediately prior to the completion of the Merger will represent approximately 32.18% of the outstanding equity instruments of the combined company, calculated on a fully diluted basis as of immediately following the completion of the Merger. Accordingly, the issuance of our equity instruments Innovate/Protect stockholders in connection with the Merger will significantly reduce the relative voting power of each share of our common stock held by our current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2012, we had a cash balance of $3.6 million and $2.7 million of net working capital. For the three months ended March 31, 2012 and 2011 and for the cumulative period from inception until March 31, 2012, we incurred net losses of $5.6 million, $1.1 million and $43.2 million, respectively. As of March 31, 2012, our deficit in stockholders' equity was $1.0 million.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our net losses to continue in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development stage company with no significant source of income and our there is a significant doubt about our ability to continue our activities as a going concern.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management that raises significant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current cash levels will be sufficient to support our activity into the first quarter of 2013. The continuation of our business is dependent upon the successful consummation of our Merger with Innovate/Protect, or similar merger or acquisition, financing and upon the further development of our products.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we undertake will likely be dilutive to our current stockholders.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our currently outstanding warrants be exercised, there will be an additional 7,385,364 shares of common stock eligible for trading in the public market. In addition, we currently have options outstanding to purchase 4,634,821 shares of common stock, granted as of the reporting date, to our management, employees, directors and consultants. In March 2012, our Board approved participation of all outstanding options in future dividends, as well as, acceleration of vesting of all outstanding options will accelerate if our common stock reaches certain price or market capitalization targets for 20 of 30 consecutive trading dates, as follows: (i) 50% acceleration if either the price of our common stock is at least $5 or our market capitalization is at least $250,000,000; (ii) 75% acceleration if either the price of our common stock is at least $10 or our market capitalization is $500,000,000 or more; and (iii) 100% acceleration if either the price of our common stock is at least $20 or our market capitalization is at least $1,000,000,000. Furthermore, all outstanding options granted to members of the Board shall fully vest if a Board member ceases to be a director at any time during the six-month period immediately following a change of control.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June 13, 2012, is $3.19 per share.</w:t>
      </w:r>
    </w:p>
    <w:p>
      <w:pPr>
        <w:sectPr>
          <w:pgSz w:w="11900" w:h="16903" w:orient="portrait"/>
          <w:cols w:equalWidth="0" w:num="1">
            <w:col w:w="11420"/>
          </w:cols>
          <w:pgMar w:left="240" w:top="877" w:right="239" w:bottom="0" w:gutter="0" w:footer="0" w:header="0"/>
        </w:sectPr>
      </w:pPr>
    </w:p>
    <w:bookmarkStart w:id="9" w:name="page10"/>
    <w:bookmarkEnd w:id="9"/>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0" w:name="page11"/>
    <w:bookmarkEnd w:id="10"/>
    <w:p>
      <w:pPr>
        <w:jc w:val="both"/>
        <w:ind w:firstLine="486"/>
        <w:spacing w:after="0" w:line="286" w:lineRule="auto"/>
        <w:rPr>
          <w:sz w:val="20"/>
          <w:szCs w:val="20"/>
          <w:color w:val="auto"/>
        </w:rPr>
      </w:pPr>
      <w:r>
        <w:rPr>
          <w:rFonts w:ascii="Arial" w:cs="Arial" w:eastAsia="Arial" w:hAnsi="Arial"/>
          <w:sz w:val="16"/>
          <w:szCs w:val="16"/>
          <w:color w:val="auto"/>
        </w:rPr>
        <w:t>Under the terms of the Merger Agreement, we will issue Innovate/Protect stockholders warrants to purchase 15,959,838 shares of our common stock at an exercise price of $1.76 per share, each subject to equitable adjustment in the event of a reverse split. In addition, the issued and outstanding warrant to purchase 250,000 shares of Innovate/Protect’s common stock that are outstanding and unexercised immediately prior to the Merger will be exchanged for 250,000 shares of our common stock and 850,000 warrants to purchase 850,000 shares of our common stock with an exercise price of $1.76 per share, each subject to equitable adjustment in the event of a reverse stock split. In addition, the aggregate number of shares of our common stock and the aggregate number of warrants (and the aggregate number of shares of our common stock that may be purchased upon exercise thereof) to be issued in exchange for the issued and outstanding warrant of Innovate/Protect shall each be ratably adjusted to give effect to any partial exercise of such warrant prior to the effective time of the Merger. Finally, all outstanding and unexercised options to purchase Innovate/Protect common stock, whether vested or unvested, will be converted into options to purchase our common stock with the number of shares subject to and the exercise price applicable to such options being appropriately adjusted based on the Common Stock Exchange Ratio. As a result of an approval of the Merger with Innovate/Protect, the total number of warrants and options held by our security holders will be increased by 16,851,016 and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67.82% of the outstanding common stock of the combined company calculated on a fully diluted basis) and the current stockholders of Vringo are expected to own approximately 43.70% of the outstanding common stock of the combined company (or 32.18% of the outstanding common stock of the combined company calculated on a fully diluted basis).</w:t>
      </w:r>
    </w:p>
    <w:p>
      <w:pPr>
        <w:spacing w:after="0" w:line="16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June 13, 2012, we have 14,239,226 shares of common stock issued and outstanding, excluding shares of common stock issuable upon exercise of warrants or options. As shares saleable under Rule 144 are sold or as restrictions on resale need, the market price of our stock could drop significantly, if the holders of restricted shares sell them, or are perceived by the market as intending to sell them. This decline in our stock price could occur even if our business is otherwise performing well. We filed Registration Statements for the common stock shares underlying (a) the 2,526,289 of the new warrants issued in June 2012 (including 11,834 warrants issued to our placement agent) and (b) 4,634,821 options currently outstanding under our 2006 Stock Option Plan.</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terms of the Merger Agreement, we will issue Innovate/Protect shareholders 17,863,169 of our common stock shares and Series A Convertible Preferred stock, initially convertible into 20,136,445 shares of our common stock. In addition, the outstanding warrant to purchase 250,000 shares of Innovate/Protect’s common stock will be exchanged for 250,000 shares of our common stock and 850,000 warrants to purchase 850,000 shares of our common stock with an exercise price of $1.76 per share, each subject to equitable adjustment in the event of a reverse stock split. In addition, the aggregate number of shares of our common stock and the aggregate number of warrants (and the aggregate number of shares of our common stock that may be purchased upon exercise thereof) to be issued in exchange for the issued and outstanding warrant of Innovate/Protect shall each be ratably adjusted to give effect to any partial exercise of such warrant prior to the effective time of the Merger. Upon the consummation of the Merger, if consummated, the number of outstanding shares of common stock (calculated on a fully diluted basis) held by our security holders will significantly increase.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adequately protect our intellectual property, we may not be able to compete effectively.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031" w:gutter="0" w:footer="0" w:header="0"/>
        </w:sectPr>
      </w:pPr>
    </w:p>
    <w:bookmarkStart w:id="11" w:name="page12"/>
    <w:bookmarkEnd w:id="11"/>
    <w:p>
      <w:pPr>
        <w:jc w:val="both"/>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8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we are unable to enter into or maintain distribution arrangements with major mobile carriers and/or other partners and develop and maintain our existing strategic relationships with mobile carriers, we will be unable to distribute our products effectively or generate significant revenue.</w:t>
      </w:r>
    </w:p>
    <w:p>
      <w:pPr>
        <w:spacing w:after="0" w:line="1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strategy for distributing our applications and services is dependent upon establishing distribution arrangements with major mobile carriers and other partners. We currently have distribution arrangements with Etisalat (Emirates Telecom), Orange (Everything Everywhere), Vodafone, Verizon, Maxis, Celcom (Axiata Berhard), Hungama Mobile and Du. We need to develop and maintain strategic relationships with these entities in order for them to market our service to their end users. While we have entered into agreements with the aforementioned mobile carriers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Some of our applications are compatible with various mobile operating systems including the Android, Blackberry, Sony Ericsson, Symbian, Apple’s iOS Java and Windows Mobile operating systems. While Windows Mobile, Blackberry and Android do not support video ringtones natively, our development team has enabled our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 subscribers to our video ringtone platform. Our Facetones™ platform, which represents less than 5% of our revenue for the three months ended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March 31, 2012, is heavily reliant upon our Android devices users. Currently, over 96% of our Facetones™ users utilize the Android operating system. In addition, our commercial agreement with ZTE is solely reliant on our ability to maintain its support for the Android operating system.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Facetones™ application creates automated video slideshow using friends' photos from social media web sites, primarily from Facebook®, the world's leading social media site. Facetones™ represented less than 5% of our revenue for the three months ended March 31, 2012, however, we believe that the rapid growth of its user base is critical to the value of its mobile application business. In the event Facebook® prohibits or restricts the ability of our application to access photos on its site, our business, financial condition, operating results and projected growth could be harmed. In February 2012, we entered into an agreement with Facebook®, which clarifies our permitted use of the Facetones™ mark and domain name.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87" w:orient="portrait"/>
          <w:cols w:equalWidth="0" w:num="1">
            <w:col w:w="11420"/>
          </w:cols>
          <w:pgMar w:left="240" w:top="877" w:right="239" w:bottom="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If our Facetones™ trademark is challenged by another party, our revenue from this application may be adversely affected.</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9, 2012, Vringo entered into an agreement with Facebook, Inc. an online social network, relating to the use of our Facetones™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our Facetones Mark, we will need to re-brand our application, which may have a negative impact on our revenue from this application.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order for us to raise capital through equity or equity-linked transactions, stockholder approval is required to enable us to issue more than 19.99% of our outstanding shares of common stock pursuant to the rules and regulations of the NYSE MKT. Should stockholders not approve such issuances, our sole means to raise capital would be through debt, which could have a material adverse effect on our balance sheet and overall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If the NYSE MKT delists our securities from trading, we could face significant consequences, including:</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both"/>
        <w:ind w:right="20" w:firstLine="648"/>
        <w:spacing w:after="0" w:line="277" w:lineRule="auto"/>
        <w:rPr>
          <w:sz w:val="20"/>
          <w:szCs w:val="20"/>
          <w:color w:val="auto"/>
        </w:rPr>
      </w:pPr>
      <w:r>
        <w:rPr>
          <w:rFonts w:ascii="Arial" w:cs="Arial" w:eastAsia="Arial" w:hAnsi="Arial"/>
          <w:sz w:val="18"/>
          <w:szCs w:val="18"/>
          <w:color w:val="auto"/>
        </w:rPr>
        <w:t>In addition, we would no longer be subject to the NYSE MKT rules, including rules requiring us to have a certain number of independent directors and to meet other corporate governance standards.</w:t>
      </w:r>
    </w:p>
    <w:p>
      <w:pPr>
        <w:spacing w:after="0" w:line="166" w:lineRule="exact"/>
        <w:rPr>
          <w:sz w:val="20"/>
          <w:szCs w:val="20"/>
          <w:color w:val="auto"/>
        </w:rPr>
      </w:pPr>
    </w:p>
    <w:p>
      <w:pPr>
        <w:jc w:val="both"/>
        <w:ind w:right="20" w:firstLine="45"/>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facility and finance department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covenants not-to-compete under current Israeli law, which may result in added 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a substantial portion of our revenues is generated in dollars and euros, while a significant portion of our expenses is incurred in Israeli currency, our revenue may be reduced due to inflation in Israel and currency exchange rate fluctuations.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substantial portion of our revenues is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This prospectus and the documents incorporated herein by reference contain forward-looking statements within the meaning of the Private Securities Litigation Reform Act of 1995.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the use of words such as “may,” “could,” “expect,” “intend,” “plan,” “seek,” “anticipate,” “believe,” “estimate,” “predict,” “potential,” “continue,” or the negative of these terms or other comparable terminology. You should not place undue reliance on forward-looking statements, since they involve known and unknown risks, uncertainties and other factors which are, in some cases, beyond our control and which could materially affect actual results, levels of activity, performance or achievements. These risks, uncertainties and other factors include, but are not limited to, those referenced under “Risk Factors” above and in any applicable prospectus supplement and any documents incorporated by reference herein or therein.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ind w:firstLine="486"/>
        <w:spacing w:after="0" w:line="297" w:lineRule="auto"/>
        <w:rPr>
          <w:sz w:val="20"/>
          <w:szCs w:val="20"/>
          <w:color w:val="auto"/>
        </w:rPr>
      </w:pPr>
      <w:r>
        <w:rPr>
          <w:rFonts w:ascii="Arial" w:cs="Arial" w:eastAsia="Arial" w:hAnsi="Arial"/>
          <w:sz w:val="16"/>
          <w:szCs w:val="16"/>
          <w:color w:val="auto"/>
        </w:rPr>
        <w:t>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business, financial condition or results of operations. Except as required by law, we undertake no obligation to publicly revise our forward-looking statements to reflect events or circumstances that arise after the date of this prospectus or any applicable prospectus supplement or the respective dates of documents incorporated herein or therein that include forward-looking statements.</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will not receive any of the proceeds from the sale of the common stock by the selling security holders named in this prospectus. All proceeds from the sale of the common stock will be paid directly to the selling security holders. We may receive proceeds from the exercise of the warrants held by the selling security holders. If all of the warrants exercisable for shares of common stock being registered in this offering are exercised, we could receive net proceeds of up to approximately $4,138,690, unless such warrants are exercise on a cashless basis. The holders of the warrants are not obligated to exercise the warrants and we cannot assure that the holders of the warrants will choose to exercise all or any of the warrants. We intend to use the estimated net proceeds received upon exercise of the warrants, if any, for working capital and general corporate purposes.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 HOLDERS</w:t>
      </w:r>
    </w:p>
    <w:p>
      <w:pPr>
        <w:spacing w:after="0" w:line="22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An aggregate of up to 2,526,289 shares being offered by the selling security holders are issued and issuable upon exercise of certain warrants issued to holders of our previously outstanding warrants.</w:t>
      </w:r>
    </w:p>
    <w:p>
      <w:pPr>
        <w:spacing w:after="0" w:line="170" w:lineRule="exact"/>
        <w:rPr>
          <w:sz w:val="20"/>
          <w:szCs w:val="20"/>
          <w:color w:val="auto"/>
        </w:rPr>
      </w:pPr>
    </w:p>
    <w:p>
      <w:pPr>
        <w:ind w:right="140" w:firstLine="486"/>
        <w:spacing w:after="0" w:line="287" w:lineRule="auto"/>
        <w:rPr>
          <w:sz w:val="20"/>
          <w:szCs w:val="20"/>
          <w:color w:val="auto"/>
        </w:rPr>
      </w:pPr>
      <w:r>
        <w:rPr>
          <w:rFonts w:ascii="Arial" w:cs="Arial" w:eastAsia="Arial" w:hAnsi="Arial"/>
          <w:sz w:val="16"/>
          <w:szCs w:val="16"/>
          <w:color w:val="auto"/>
        </w:rPr>
        <w:t>Between February 6 and February 14, 2012, we entered into agreements with holders of certain of our outstanding warrants, pursuant to which the selling security holders exercised warrants to purchase an aggregate of 3,828,993 shares of our common stock. We issued new warrants to purchase an aggregate of 2,660,922 shares of common stock at an exercise price of $1.76 per share in consideration for the immediate exercise of the warrants. These transactions included (i) the agreement we entered into on February 6, 2012 with holders of certain of our outstanding warrants, pursuant to which such selling security holders agreed to immediately exercise warrants to purchase 2,444,866 shares of our common stock in consideration for the issuance to such selling security holders of new five-year warrants to purchase an aggregate of 1,784,709 shares of common stock that have an exercise price of $1.76 per share and are redeemable by us in the event that our common stock exceeds $5.00 for twenty of thirty trading days, and (ii) additional warrant exercises to purchase an aggregate of 1,384,127 shares of our common stock between February 8, 2012 and February 14, 2012 by holders of certain of our outstanding warrants in consideration for the issuance to such selling security holders of new five-year warrants to purchase an aggregate of 876,213 shares of common stock that have an exercise price of $1.76 per share and are redeemable by us in the event that our common stock exceeds $5.00 for twenty of thirty trading days. In addition, Maxim Partners LLC received warrants to purchase 11,834 shares of common stock at an exercise price of $1.76 per share. On June 7, 2012, 321,228 of the newly issued warrants were exercised, using the cashless exercise feature, into 174,760 shares of our common stock.</w:t>
      </w:r>
    </w:p>
    <w:p>
      <w:pPr>
        <w:spacing w:after="0" w:line="169"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following table sets forth certain information regarding the selling security holders and the shares of our common stock beneficially owned by them and issuable to the selling security holders upon a cash exercise of the warrants, which information is available to us as of June 13, 2012. The selling security holders may offer the shares under this prospectus from time to time and may elect to sell some, all or none of the shares set forth next to their name. As a result, we cannot estimate the number of shares of our common stock that a selling security holder will beneficially own after termination of sales under this prospectus. However, for the purposes of the table below, we have assumed that, after completion of the offering, none of the shares covered by this prospectus will be held by the selling security holders. In addition, a selling security holder may have sold, transferred or otherwise disposed of all or a portion of that holder’s shares of our common stock since the date on which they provided information for this table. We have not made independent inquiries about this. We are relying on written commitments from the selling security holders to notify us of any changes in their beneficial ownership after the date they originally provided this information.</w:t>
      </w:r>
    </w:p>
    <w:p>
      <w:pPr>
        <w:spacing w:after="0" w:line="18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 material relationships exist between any of the selling security holders and us nor have any such material relationships existed within the past three years, except that (i) Maxim Parnters LLC is an affiliate of Maxim Group LLC, which served as our placement agent for a financing in December 2009 and as the representative of the underwriters in our initial public offering in June 2010 and (ii) Iroquois Capital Management LLC, together with its affiliates, is a 8.3% beneficial stockholder.</w:t>
      </w:r>
    </w:p>
    <w:p>
      <w:pPr>
        <w:spacing w:after="0" w:line="18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For the purposes of the following table, the number of shares of our common stock beneficially owned, has been determined in accordance with Rule 13d-3 under the Securities Exchange Act of 1934, as amended, and such information is not necessarily indicative of beneficial ownership for any other purpose. Under Rule 13d-3, beneficial ownership includes any shares as to which a selling security holder has sole or shared voting power or investment power and also any shares which that selling security holder has the right to acquire within 60 days of the date of this prospectus through the exercise of any stock option, restricted stock unit, warrant or other rights.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Common Stock Beneficially Owned</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of Common</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Beneficially</w:t>
            </w: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 Being</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Selling Securityholder</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(1)</w:t>
            </w:r>
          </w:p>
        </w:tc>
        <w:tc>
          <w:tcPr>
            <w:tcW w:w="3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3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Outstanding</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Iroquois Master Fund Ltd.+ (2)</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1,242,828</w:t>
            </w:r>
          </w:p>
        </w:tc>
        <w:tc>
          <w:tcPr>
            <w:tcW w:w="3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358,705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884,123</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EL Equities, LLC (3)</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64,915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11,380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South Ferry #2, L.P. (4)</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441,542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133,842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307,700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40" w:type="dxa"/>
            <w:vAlign w:val="bottom"/>
          </w:tcPr>
          <w:p>
            <w:pPr>
              <w:ind w:left="40"/>
              <w:spacing w:after="0"/>
              <w:rPr>
                <w:sz w:val="20"/>
                <w:szCs w:val="20"/>
                <w:color w:val="auto"/>
              </w:rPr>
            </w:pPr>
            <w:r>
              <w:rPr>
                <w:rFonts w:ascii="Arial" w:cs="Arial" w:eastAsia="Arial" w:hAnsi="Arial"/>
                <w:sz w:val="18"/>
                <w:szCs w:val="18"/>
                <w:color w:val="auto"/>
              </w:rPr>
              <w:t>Aaron Wolfson</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26,767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26,767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Daniel S. Senor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15,000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15,000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David Dossetter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49,966</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49,966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Isaac Applbaum</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37,474</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37,474</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Dan Laor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34,797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34,797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Nathan Ron Lawyers Company (5)</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64,245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64,245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Jeffrey Belk</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299,181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160,614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138,567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Charles A. Steiger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80,000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Derek G. Fogt</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80,000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Todd Kronshage</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75,000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75,000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Mike Heller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George F. Gilder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31,692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31,692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Silver Mountain Partners LP (6)</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210,000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210,000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Mitchell Kopin</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233,535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180,000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Joseph L. Obrant</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50,000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Kingsbrook Opportunities Master Fund LP (7)</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123,132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123,132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KLW Investments LLC (8)</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182,029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74,953</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107,076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Brio Capital L.P. (9)</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256,286</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175,979</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Ellis International Ltd. (10)</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58,252</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58,252</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Rockmore Investment Master Fund Ltd. (11)</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133,010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52,703</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Lilac Ventures Master Fund Ltd. (12)</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117,264</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36,957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Cranshire Capital LP (13)</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264,015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210,480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Post Family Trust (14)</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42,828</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42,828</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40"/>
              <w:spacing w:after="0"/>
              <w:rPr>
                <w:sz w:val="20"/>
                <w:szCs w:val="20"/>
                <w:color w:val="auto"/>
              </w:rPr>
            </w:pPr>
            <w:r>
              <w:rPr>
                <w:rFonts w:ascii="Arial" w:cs="Arial" w:eastAsia="Arial" w:hAnsi="Arial"/>
                <w:sz w:val="18"/>
                <w:szCs w:val="18"/>
                <w:color w:val="auto"/>
              </w:rPr>
              <w:t>Alpha Capital Anstalt (15)</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373,472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330,662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42,810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60"/>
              <w:spacing w:after="0"/>
              <w:rPr>
                <w:sz w:val="20"/>
                <w:szCs w:val="20"/>
                <w:color w:val="auto"/>
              </w:rPr>
            </w:pPr>
            <w:r>
              <w:rPr>
                <w:rFonts w:ascii="Arial" w:cs="Arial" w:eastAsia="Arial" w:hAnsi="Arial"/>
                <w:sz w:val="18"/>
                <w:szCs w:val="18"/>
                <w:color w:val="auto"/>
              </w:rPr>
              <w:t>Maxim Partners LLC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11,834</w:t>
            </w:r>
          </w:p>
        </w:tc>
        <w:tc>
          <w:tcPr>
            <w:tcW w:w="34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11,834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3720" w:firstLine="8"/>
        <w:spacing w:after="0" w:line="581" w:lineRule="auto"/>
        <w:tabs>
          <w:tab w:leader="none" w:pos="192"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as indicated by +, no selling security holder is an officer, director, affiliate or 5% security holder. ^ Except indicated by a ^, no selling securityholder is a broker dealer or an affiliate of a broker-dealer.</w:t>
      </w:r>
    </w:p>
    <w:p>
      <w:pPr>
        <w:spacing w:after="0" w:line="1" w:lineRule="exact"/>
        <w:rPr>
          <w:sz w:val="20"/>
          <w:szCs w:val="20"/>
          <w:color w:val="auto"/>
        </w:rPr>
      </w:pPr>
    </w:p>
    <w:p>
      <w:pPr>
        <w:ind w:left="5620" w:right="5540" w:hanging="5612"/>
        <w:spacing w:after="0" w:line="941" w:lineRule="auto"/>
        <w:tabs>
          <w:tab w:leader="none" w:pos="3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14,239,226 shares of common stock outstanding on June 13, 2012.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ind w:left="460" w:right="160" w:hanging="452"/>
        <w:spacing w:after="0" w:line="29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158" w:lineRule="exact"/>
        <w:rPr>
          <w:rFonts w:ascii="Arial" w:cs="Arial" w:eastAsia="Arial" w:hAnsi="Arial"/>
          <w:sz w:val="16"/>
          <w:szCs w:val="16"/>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225" w:lineRule="exact"/>
        <w:rPr>
          <w:rFonts w:ascii="Arial" w:cs="Arial" w:eastAsia="Arial" w:hAnsi="Arial"/>
          <w:sz w:val="18"/>
          <w:szCs w:val="18"/>
          <w:color w:val="auto"/>
        </w:rPr>
      </w:pPr>
    </w:p>
    <w:p>
      <w:pPr>
        <w:jc w:val="both"/>
        <w:ind w:left="460" w:right="3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Aaron and Abraham Wolfson, the General Partners of South Ferry #2, L.P., have delegated all dispositive and voting rights to Morris Wolfson in his capacity as portfolio manager for South Ferry #2, L.P. Each of Aaron, Abraham and Morris Wolfson disclaim beneficial ownership over the shares except to the extent of their pecuniary interest therein.</w:t>
      </w:r>
    </w:p>
    <w:p>
      <w:pPr>
        <w:spacing w:after="0" w:line="181"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225" w:lineRule="exact"/>
        <w:rPr>
          <w:rFonts w:ascii="Arial" w:cs="Arial" w:eastAsia="Arial" w:hAnsi="Arial"/>
          <w:sz w:val="18"/>
          <w:szCs w:val="18"/>
          <w:color w:val="auto"/>
        </w:rPr>
      </w:pPr>
    </w:p>
    <w:p>
      <w:pPr>
        <w:ind w:left="460" w:right="220" w:hanging="452"/>
        <w:spacing w:after="0" w:line="271"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Kingsbrook Partners LP (“Kingsbrook Partners”) is the investment manager of Kingsbrook Opportunities Master Fund LP (“Kingsbrook Opportunities”) and consequently has voting control and investment discretion over securities held by Kingsbrook Opportunities. Kingsbrook Opportunities GP LLC (“Opportunities GP”) is the general partner of Kingsbrook Opportunities and may be considered the beneficial owner of any securities deemed to be beneficially owned by Kingsbrook Opportunities. KBGP LLC (“GP LLC”) is the general partner of Kingsbrook Partners and may be considered the beneficial owner of any securities deemed to be beneficially owned by Kingsbrook Partners. Ari J. Storch, Adam J. Chill and Scott M. Wallace are the sole managing members of Opportunities GP and GP LLC and as a result may be considered beneficial owners of any securities deemed beneficially owned by Opportunities GP and GP LLC. Each of the Kingsbrook Partners, Opportunities GP, GP LLC and Messrs. Storch, Chill and Wallace disclaim beneficial ownership of these securities.</w:t>
      </w:r>
    </w:p>
    <w:p>
      <w:pPr>
        <w:spacing w:after="0" w:line="178" w:lineRule="exact"/>
        <w:rPr>
          <w:rFonts w:ascii="Arial" w:cs="Arial" w:eastAsia="Arial" w:hAnsi="Arial"/>
          <w:sz w:val="17"/>
          <w:szCs w:val="17"/>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Lee Lasher, Mitchell Weitzner and Robert Koppel share voting and investment control over such securities.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225" w:lineRule="exact"/>
        <w:rPr>
          <w:rFonts w:ascii="Arial" w:cs="Arial" w:eastAsia="Arial" w:hAnsi="Arial"/>
          <w:sz w:val="18"/>
          <w:szCs w:val="18"/>
          <w:color w:val="auto"/>
        </w:rPr>
      </w:pPr>
    </w:p>
    <w:p>
      <w:pPr>
        <w:jc w:val="both"/>
        <w:ind w:left="460" w:hanging="452"/>
        <w:spacing w:after="0" w:line="279"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Rockmore Capital, LLC (“Rockmore Capital”) serves as the investment manager to Rockmore Investment Master Fund Ltd (“Rockmore Master Fund”) and in such capacity has investment discretion to vote and dispose of these shares. Mr. Bruce T. Bernstein and Mr. Brian Daly, as officers of Rockmore Capital, are responsible for the portfolio management decisions of Rockmore Master Fund and may be deemed to have investment discretion over these shares. Each of Rockmore Capital, Messrs. Bernstein and Daly, disclaims beneficial ownership of these shares.</w:t>
      </w:r>
    </w:p>
    <w:p>
      <w:pPr>
        <w:spacing w:after="0" w:line="171" w:lineRule="exact"/>
        <w:rPr>
          <w:rFonts w:ascii="Arial" w:cs="Arial" w:eastAsia="Arial" w:hAnsi="Arial"/>
          <w:sz w:val="17"/>
          <w:szCs w:val="17"/>
          <w:color w:val="auto"/>
        </w:rPr>
      </w:pPr>
    </w:p>
    <w:p>
      <w:pPr>
        <w:ind w:left="460" w:right="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Lilac Advisors, LLC (“Lilac Advisors”) serves as the investment manager to Lilac Ventures Master Fund Ltd (“Lilac Master Fund”) and in such capacity has investment discretion to vote and dispose of these shares. Mr. Bruce T. Bernstein and Mr. Brian Daly, as officers of Lilac Advisors, are responsible for the portfolio management decisions of Lilac Master Fund and may be deemed to have investment discretion over these shares. Each of Lilac Advisors, Messrs. Bernstein and Daly, disclaims beneficial ownership of these shares.</w:t>
      </w:r>
    </w:p>
    <w:p>
      <w:pPr>
        <w:spacing w:after="0" w:line="186" w:lineRule="exact"/>
        <w:rPr>
          <w:rFonts w:ascii="Arial" w:cs="Arial" w:eastAsia="Arial" w:hAnsi="Arial"/>
          <w:sz w:val="18"/>
          <w:szCs w:val="18"/>
          <w:color w:val="auto"/>
        </w:rPr>
      </w:pPr>
    </w:p>
    <w:p>
      <w:pPr>
        <w:ind w:left="460" w:right="40" w:hanging="452"/>
        <w:spacing w:after="0" w:line="29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Cranshire Capital Advisors, LLC (“CCA”) is the investment manager of Cranshire Capital LP (“Cranshire Capital”) and has voting control and investment discretion over securities held by Cranshire Capital. Mitchell P. Kopin (“Mr. Kopin”), the president, the sole member and the sole member of the Board of Managers of CCA, has voting control over CCA. As a result, each of Mr. Kopin and CCA may be deemed to have beneficial ownership (as determined under Section 13(d) of the Securities Exchange Act of 1934, as amended) of the securities held by Cranshire Master Fund. Mr. Kopin also may be deemed to have beneficial ownership (as determined under Section 13(d) of the Securities Exchange Act of 1934, as amended) of an additional 233,535 shares of common stock of the issuer that are issuable upon exercise of the warrants held by Mr. Kopin.</w:t>
      </w:r>
    </w:p>
    <w:p>
      <w:pPr>
        <w:spacing w:after="0" w:line="164"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Konrad Ackerman has voting and investment control over such securities.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are registering the shares of our common stock previously issued to the selling security holders and shares of common issuable upon exercise of warrants previously issued to the selling security holders to permit the resale of these shares of common stock by their respective holders from time to time after the date of this prospectus. We will not receive any of the proceeds from the sale by the selling security holders of the shares of our common stock. We will bear all fees and expenses incident to our obligation to register the shares of our common stock.</w:t>
      </w:r>
    </w:p>
    <w:p>
      <w:pPr>
        <w:spacing w:after="0" w:line="17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selling security holders, which as used herein includes transferees, pledgees, donees or other successors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437"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The selling security holders may use any one or more of the following methods when disposing of shares or interests therein:</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aggregate proceeds to the selling security holders from the sale of the common stock offered by them will be the purchase price of the common stock less discounts or commissions, if any. Each of the selling security 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selling security 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selling security 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 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ind w:right="20" w:firstLine="648"/>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advised the selling security holders that the anti-manipulation rules of Regulation M under the Exchange Act may apply to sales of shares in the market and to the activities of the selling security holders and their affiliates. In addition,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agreed to indemnify the selling security 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agreed with the selling security 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 of the Securities Act.</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To our knowledge, no selling security holder is a broker-dealer or an affiliate of a broker-dealer, except for Maxim Partners LLC, which is an affiliate of Maxim Group LLC, a broker-dealer. Maxim Partners LLC may be deemed an underwriter.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validity of the shares of our common stock being offered by this prospectus has been passed upon for us by Mintz</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w:t>
      </w:r>
      <w:r>
        <w:rPr>
          <w:rFonts w:ascii="Arial" w:cs="Arial" w:eastAsia="Arial" w:hAnsi="Arial"/>
          <w:sz w:val="18"/>
          <w:szCs w:val="18"/>
          <w:color w:val="auto"/>
        </w:rPr>
        <w:t xml:space="preserve"> </w:t>
      </w:r>
      <w:r>
        <w:rPr>
          <w:rFonts w:ascii="Arial" w:cs="Arial" w:eastAsia="Arial" w:hAnsi="Arial"/>
          <w:sz w:val="18"/>
          <w:szCs w:val="18"/>
          <w:color w:val="222222"/>
        </w:rPr>
        <w:t>and Popeo, P.C.</w:t>
      </w:r>
      <w:r>
        <w:rPr>
          <w:rFonts w:ascii="Arial" w:cs="Arial" w:eastAsia="Arial" w:hAnsi="Arial"/>
          <w:sz w:val="18"/>
          <w:szCs w:val="18"/>
          <w:color w:val="000000"/>
        </w:rPr>
        <w:t>,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an independent registered public accounting firm, incorporated by reference herein, and upon the authority of said firm as experts in accounting and auditing.</w:t>
      </w:r>
    </w:p>
    <w:p>
      <w:pPr>
        <w:spacing w:after="0" w:line="17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 Certain information in the registration statement has been omitted from this prospectus in accordance with the rules of the SEC. We are a public company and file proxy statements, annual, quarterly and current reports and other information with the SEC. The registration statement, such reports and other information can be inspected and copied at the Public Reference Room of the SEC located at 100 F Street, N.E., Washington D.C. 20549. Copies of such materials, including copies of all or any portion of the registration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we will make with the SEC under Sections 13(a), 13(c), 14, or 15(d) of the Exchange Act after the date of this prospectus until the termination of the offering of the shares covered by this prospectus (other than information furnished under Item 2.02 or Item 7.01 of Form 8-K):</w:t>
      </w:r>
    </w:p>
    <w:p>
      <w:pPr>
        <w:spacing w:after="0" w:line="19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2011, filed on March 30, 2012;</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and June 19, 2012;</w:t>
      </w:r>
    </w:p>
    <w:p>
      <w:pPr>
        <w:ind w:left="980" w:right="6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filed on January 29, 2011, including any amendment or reports filed for the purpose of updating this description; and</w:t>
      </w: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filings we make with the SEC pursuant to the Exchange Act after the date of this prospectus and before termination of this offering.</w:t>
      </w:r>
    </w:p>
    <w:p>
      <w:pPr>
        <w:spacing w:after="0" w:line="22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w:t>
      </w:r>
    </w:p>
    <w:p>
      <w:pPr>
        <w:spacing w:after="0"/>
        <w:rPr>
          <w:sz w:val="20"/>
          <w:szCs w:val="20"/>
          <w:color w:val="auto"/>
        </w:rPr>
      </w:pPr>
      <w:r>
        <w:rPr>
          <w:rFonts w:ascii="Arial" w:cs="Arial" w:eastAsia="Arial" w:hAnsi="Arial"/>
          <w:sz w:val="18"/>
          <w:szCs w:val="18"/>
          <w:color w:val="auto"/>
        </w:rPr>
        <w:t>525-4319.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707" w:gutter="0" w:footer="0" w:header="0"/>
        </w:sectPr>
      </w:pPr>
    </w:p>
    <w:bookmarkStart w:id="22" w:name="page23"/>
    <w:bookmarkEnd w:id="22"/>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989330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16"/>
          <w:szCs w:val="16"/>
          <w:b w:val="1"/>
          <w:bCs w:val="1"/>
          <w:color w:val="auto"/>
        </w:rPr>
        <w:t>2,526,289 Shares</w:t>
      </w:r>
    </w:p>
    <w:p>
      <w:pPr>
        <w:spacing w:after="0" w:line="248"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795020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169545</wp:posOffset>
            </wp:positionV>
            <wp:extent cx="52324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32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755015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1355090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2019-12-09T19:19:11Z</dcterms:created>
  <dcterms:modified xsi:type="dcterms:W3CDTF">2019-12-09T19:19:11Z</dcterms:modified>
</cp:coreProperties>
</file>