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$0.01 par value per</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01/29/2014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587,243</w:t>
            </w:r>
          </w:p>
        </w:tc>
        <w:tc>
          <w:tcPr>
            <w:tcW w:w="50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5.1946</w:t>
            </w:r>
            <w:r>
              <w:rPr>
                <w:rFonts w:ascii="Arial" w:cs="Arial" w:eastAsia="Arial" w:hAnsi="Arial"/>
                <w:sz w:val="22"/>
                <w:szCs w:val="22"/>
                <w:color w:val="008000"/>
                <w:w w:val="91"/>
                <w:vertAlign w:val="superscript"/>
              </w:rPr>
              <w:t>(1)</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2,344,509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w w:val="90"/>
              </w:rPr>
              <w:t>Common Stock, $0.01 par value per</w:t>
            </w:r>
          </w:p>
        </w:tc>
        <w:tc>
          <w:tcPr>
            <w:tcW w:w="11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99"/>
              </w:rPr>
              <w:t>2,769,204</w:t>
            </w:r>
            <w:r>
              <w:rPr>
                <w:rFonts w:ascii="Arial" w:cs="Arial" w:eastAsia="Arial" w:hAnsi="Arial"/>
                <w:sz w:val="22"/>
                <w:szCs w:val="22"/>
                <w:color w:val="008000"/>
                <w:w w:val="99"/>
                <w:vertAlign w:val="superscript"/>
              </w:rPr>
              <w:t>(3)</w:t>
            </w:r>
          </w:p>
        </w:tc>
        <w:tc>
          <w:tcPr>
            <w:tcW w:w="940" w:type="dxa"/>
            <w:vAlign w:val="bottom"/>
            <w:tcBorders>
              <w:top w:val="single" w:sz="8" w:color="2C2C2C"/>
            </w:tcBorders>
            <w:vMerge w:val="restart"/>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106,772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333,333 vested and unvested options and 106,772 vested and unvested restricted stock units. In addition, the reporting person owns (either directly or indirectly) 5,006,941 shares of common stock and 2,052,419 warrants. The total number of securities listed is 7,499,465.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01/31/2014</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2019-12-17T07:15:44Z</dcterms:created>
  <dcterms:modified xsi:type="dcterms:W3CDTF">2019-12-17T07:15:44Z</dcterms:modified>
</cp:coreProperties>
</file>