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6"/>
          <w:szCs w:val="16"/>
          <w:b w:val="1"/>
          <w:bCs w:val="1"/>
          <w:color w:val="auto"/>
        </w:rPr>
        <w:t>As filed with the Securities and Exchange Commission on March 31, 2022</w:t>
      </w:r>
    </w:p>
    <w:p>
      <w:pPr>
        <w:spacing w:after="0" w:line="50" w:lineRule="exact"/>
        <w:rPr>
          <w:sz w:val="24"/>
          <w:szCs w:val="24"/>
          <w:color w:val="auto"/>
        </w:rPr>
      </w:pPr>
    </w:p>
    <w:p>
      <w:pPr>
        <w:ind w:left="9140"/>
        <w:spacing w:after="0"/>
        <w:rPr>
          <w:sz w:val="20"/>
          <w:szCs w:val="20"/>
          <w:color w:val="auto"/>
        </w:rPr>
      </w:pPr>
      <w:r>
        <w:rPr>
          <w:rFonts w:ascii="Arial" w:cs="Arial" w:eastAsia="Arial" w:hAnsi="Arial"/>
          <w:sz w:val="16"/>
          <w:szCs w:val="16"/>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S-8</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UNDER THE SECURITIES ACT OF 1933</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472" w:right="499" w:bottom="1440" w:gutter="0" w:footer="0" w:header="0"/>
        </w:sectPr>
      </w:pPr>
    </w:p>
    <w:p>
      <w:pPr>
        <w:spacing w:after="0" w:line="20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3680"/>
          </w:cols>
          <w:pgMar w:left="320" w:top="472" w:right="499" w:bottom="1440" w:gutter="0" w:footer="0" w:header="0"/>
          <w:type w:val="continuous"/>
        </w:sectPr>
      </w:pP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254 West 31st Street, 11th Floor</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Nonqualified Stock Option Inducement Award</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(Full title of the plans)</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Scott R. Milford</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XpresSpa Group, Inc.</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254 West 31st Street, 11th Floor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Robert J. Endicott, Esq.</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Kenneth L. Henderson, Esq.</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Bryan Cave Leighton Paisner LLP</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211 North Broadway, Suite 3600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 Louis, Missouri 63102-2750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(314) 259-2000</w:t>
      </w:r>
    </w:p>
    <w:p>
      <w:pPr>
        <w:spacing w:after="0" w:line="211"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472" w:right="49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20" w:space="720"/>
            <w:col w:w="5340"/>
          </w:cols>
          <w:pgMar w:left="320" w:top="472" w:right="49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472" w:right="4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Registration Statement on Form S-8 is being filed to register a total of 1,000,000 shares of common stock, par value $0.01 per share (“Common Stock”), pursuant to an inducement stock option award of nonqualified stock options to purchase 1,000,000 shares of Common Stock granted by the Registrant to Ezra Ernst on January 14, 2022, as inducement to accept employment with the Registrant as its Executive Vice President and the Chief Executive Officer of XpresTest, Inc., the Registrant’s subsidiary (the “Inducement Award”).</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Inducement Award was approved by the compensation committee of the Registrant’s board of directors as an inducement material to such employee’s acceptance of employment with the Registrant in compliance with and in reliance on Nasdaq Listing Rule 5635(c)(4). The Inducement Award was granted outside of the Registrant’s 2020 Equity Incentive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As permitted by the rules of the Securities Exchange Commission (“SEC”), this Registration Statement omits the information specified in Part I of Form S-8. The documents containing the information specified in Part I of this Registration Statement will be sent or given to eligible employees as specified by Rule 428(b) promulgated under the Securities Act. Such documents are not being filed with the SEC either as part of this Registration Statement or as prospectuses or prospectus supplements pursuant to Rule 424 promulgated under the Securities Act.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following documents listed in (a) through (e) below, which are on file with the SEC, are incorporated herein by reference (except for the portions of the Company’s Current Reports on Form 8-K furnished pursuant to Item 2.02 or Item 7.01 thereof or otherwise not filed with the SEC which are deemed not to be incorporated by reference into this Registration Statement):</w:t>
      </w:r>
    </w:p>
    <w:p>
      <w:pPr>
        <w:spacing w:after="0" w:line="184" w:lineRule="exact"/>
        <w:rPr>
          <w:sz w:val="20"/>
          <w:szCs w:val="20"/>
          <w:color w:val="auto"/>
        </w:rPr>
      </w:pPr>
    </w:p>
    <w:p>
      <w:pPr>
        <w:ind w:left="1300" w:right="22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year ended December 31, 2021, filed with the SEC on </w:t>
      </w:r>
      <w:hyperlink r:id="rId13">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001-34785);</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SEC on </w:t>
      </w:r>
      <w:hyperlink r:id="rId14">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portions furnished under Items 2.02 and 7.01), </w:t>
      </w:r>
      <w:hyperlink r:id="rId15">
        <w:r>
          <w:rPr>
            <w:rFonts w:ascii="Arial" w:cs="Arial" w:eastAsia="Arial" w:hAnsi="Arial"/>
            <w:sz w:val="18"/>
            <w:szCs w:val="18"/>
            <w:u w:val="single" w:color="auto"/>
            <w:color w:val="0000EE"/>
          </w:rPr>
          <w:t>January 21,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
        <w:r>
          <w:rPr>
            <w:rFonts w:ascii="Arial" w:cs="Arial" w:eastAsia="Arial" w:hAnsi="Arial"/>
            <w:sz w:val="18"/>
            <w:szCs w:val="18"/>
            <w:u w:val="single" w:color="auto"/>
            <w:color w:val="0000EE"/>
          </w:rPr>
          <w:t>January 26,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Nos. 001-34785); and</w:t>
      </w:r>
    </w:p>
    <w:p>
      <w:pPr>
        <w:spacing w:after="0" w:line="170" w:lineRule="exact"/>
        <w:rPr>
          <w:rFonts w:ascii="Arial" w:cs="Arial" w:eastAsia="Arial" w:hAnsi="Arial"/>
          <w:sz w:val="18"/>
          <w:szCs w:val="18"/>
          <w:color w:val="auto"/>
        </w:rPr>
      </w:pPr>
    </w:p>
    <w:p>
      <w:pPr>
        <w:jc w:val="both"/>
        <w:ind w:left="1300" w:right="280" w:hanging="644"/>
        <w:spacing w:after="0" w:line="263" w:lineRule="auto"/>
        <w:tabs>
          <w:tab w:leader="none" w:pos="130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description of our securities contained in our Registration Statement on Form 8-A filed on </w:t>
      </w:r>
      <w:hyperlink r:id="rId17">
        <w:r>
          <w:rPr>
            <w:rFonts w:ascii="Arial" w:cs="Arial" w:eastAsia="Arial" w:hAnsi="Arial"/>
            <w:sz w:val="18"/>
            <w:szCs w:val="18"/>
            <w:u w:val="single" w:color="auto"/>
            <w:color w:val="0000EE"/>
          </w:rPr>
          <w:t>March 21,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001-34785), </w:t>
      </w:r>
      <w:hyperlink r:id="rId18">
        <w:r>
          <w:rPr>
            <w:rFonts w:ascii="Arial" w:cs="Arial" w:eastAsia="Arial" w:hAnsi="Arial"/>
            <w:sz w:val="18"/>
            <w:szCs w:val="18"/>
            <w:u w:val="single" w:color="auto"/>
            <w:color w:val="0000EE"/>
          </w:rPr>
          <w:t>April 29, 2013</w:t>
        </w:r>
        <w:r>
          <w:rPr>
            <w:rFonts w:ascii="Arial" w:cs="Arial" w:eastAsia="Arial" w:hAnsi="Arial"/>
            <w:sz w:val="18"/>
            <w:szCs w:val="18"/>
            <w:color w:val="0000EE"/>
          </w:rPr>
          <w:t xml:space="preserve">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001-34785) and</w:t>
      </w:r>
      <w:r>
        <w:rPr>
          <w:rFonts w:ascii="Arial" w:cs="Arial" w:eastAsia="Arial" w:hAnsi="Arial"/>
          <w:sz w:val="18"/>
          <w:szCs w:val="18"/>
          <w:color w:val="0000EE"/>
        </w:rPr>
        <w:t xml:space="preserve"> </w:t>
      </w:r>
      <w:hyperlink r:id="rId19">
        <w:r>
          <w:rPr>
            <w:rFonts w:ascii="Arial" w:cs="Arial" w:eastAsia="Arial" w:hAnsi="Arial"/>
            <w:sz w:val="18"/>
            <w:szCs w:val="18"/>
            <w:u w:val="single" w:color="auto"/>
            <w:color w:val="0000EE"/>
          </w:rPr>
          <w:t xml:space="preserve">June 16, 2010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001-34785), pursuant to Section 12(b) of the Exchange Act, and any</w:t>
      </w:r>
      <w:r>
        <w:rPr>
          <w:rFonts w:ascii="Arial" w:cs="Arial" w:eastAsia="Arial" w:hAnsi="Arial"/>
          <w:sz w:val="18"/>
          <w:szCs w:val="18"/>
          <w:color w:val="0000EE"/>
        </w:rPr>
        <w:t xml:space="preserve"> </w:t>
      </w:r>
      <w:r>
        <w:rPr>
          <w:rFonts w:ascii="Arial" w:cs="Arial" w:eastAsia="Arial" w:hAnsi="Arial"/>
          <w:sz w:val="18"/>
          <w:szCs w:val="18"/>
          <w:color w:val="000000"/>
        </w:rPr>
        <w:t>amendment or report filed with the SEC for purposes of updating such description.</w:t>
      </w:r>
    </w:p>
    <w:p>
      <w:pPr>
        <w:spacing w:after="0" w:line="184" w:lineRule="exact"/>
        <w:rPr>
          <w:rFonts w:ascii="Arial" w:cs="Arial" w:eastAsia="Arial" w:hAnsi="Arial"/>
          <w:sz w:val="18"/>
          <w:szCs w:val="18"/>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all documents subsequently filed by the Registrant with the SEC pursuant to Sections 13(a), 13(c), 14 and 15(d) of the Exchange Act (other than those made pursuant to Item 2.02 or Item 7.01 of Form 8-K or other information “furnished” to the Commission)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 These documents include periodic reports, such as Proxy Statements, Annual Reports on Form 10-K, Quarterly Reports on Form 10-Q and Current Reports on Form 8-K (other than the portions of those documents not deemed to be filed, which is deemed not to be incorporated by reference in this Registration Statement). Any statement contained in a document incorporated or deemed to be incorporated herein by reference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w:t>
      </w:r>
    </w:p>
    <w:p>
      <w:pPr>
        <w:spacing w:after="0" w:line="3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securities to be offered are registered under Section 12 of the Exchange Act and, accordingly, no description is provided hereunder.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77" w:lineRule="exact"/>
        <w:rPr>
          <w:sz w:val="20"/>
          <w:szCs w:val="20"/>
          <w:color w:val="auto"/>
        </w:rPr>
      </w:pPr>
    </w:p>
    <w:p>
      <w:pPr>
        <w:ind w:right="60" w:firstLine="441"/>
        <w:spacing w:after="0" w:line="275"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right="40" w:firstLine="441"/>
        <w:spacing w:after="0" w:line="255" w:lineRule="auto"/>
        <w:rPr>
          <w:sz w:val="20"/>
          <w:szCs w:val="20"/>
          <w:color w:val="auto"/>
        </w:rPr>
      </w:pPr>
      <w:r>
        <w:rPr>
          <w:rFonts w:ascii="Arial" w:cs="Arial" w:eastAsia="Arial" w:hAnsi="Arial"/>
          <w:sz w:val="18"/>
          <w:szCs w:val="18"/>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2"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or incorporated by reference into this registration statement on Form S-8.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4"/>
        </w:trPr>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988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5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line="169"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hyperlink>
          </w:p>
        </w:tc>
        <w:tc>
          <w:tcPr>
            <w:tcW w:w="4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80" w:type="dxa"/>
            <w:vAlign w:val="bottom"/>
            <w:tcBorders>
              <w:top w:val="single" w:sz="8" w:color="auto"/>
            </w:tcBorders>
            <w:gridSpan w:val="7"/>
          </w:tcPr>
          <w:p>
            <w:pPr>
              <w:ind w:left="100"/>
              <w:spacing w:after="0" w:line="169" w:lineRule="exact"/>
              <w:rPr>
                <w:rFonts w:ascii="Arial" w:cs="Arial" w:eastAsia="Arial" w:hAnsi="Arial"/>
                <w:sz w:val="18"/>
                <w:szCs w:val="18"/>
                <w:color w:val="0000EE"/>
              </w:rPr>
            </w:pPr>
            <w:hyperlink w:anchor="page7">
              <w:r>
                <w:rPr>
                  <w:rFonts w:ascii="Arial" w:cs="Arial" w:eastAsia="Arial" w:hAnsi="Arial"/>
                  <w:sz w:val="18"/>
                  <w:szCs w:val="18"/>
                  <w:color w:val="0000EE"/>
                </w:rPr>
                <w:t>Opinion of Bryan Cave Leighton Paisner LLP</w:t>
              </w:r>
            </w:hyperlink>
          </w:p>
        </w:tc>
      </w:tr>
      <w:tr>
        <w:trPr>
          <w:trHeight w:val="20"/>
        </w:trPr>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72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7"/>
          </w:tcPr>
          <w:p>
            <w:pPr>
              <w:ind w:left="10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Stock Option Agreement between XpresSpa Group, Inc. and Ezra Ernst dated January 14, 2022</w:t>
              </w:r>
            </w:hyperlink>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720" w:type="dxa"/>
            <w:vAlign w:val="bottom"/>
            <w:gridSpan w:val="2"/>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7"/>
          </w:tcPr>
          <w:p>
            <w:pPr>
              <w:ind w:left="10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Consent of Friedman LLP, independent registered public accounting firm</w:t>
              </w:r>
            </w:hyperlink>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580" w:type="dxa"/>
            <w:vAlign w:val="bottom"/>
            <w:tcBorders>
              <w:left w:val="single" w:sz="8" w:color="0000EE"/>
            </w:tcBorders>
            <w:gridSpan w:val="2"/>
          </w:tcPr>
          <w:p>
            <w:pPr>
              <w:spacing w:after="0" w:line="20" w:lineRule="exact"/>
              <w:rPr>
                <w:sz w:val="1"/>
                <w:szCs w:val="1"/>
                <w:color w:val="auto"/>
              </w:rPr>
            </w:pPr>
          </w:p>
        </w:tc>
      </w:tr>
      <w:tr>
        <w:trPr>
          <w:trHeight w:val="196"/>
        </w:trPr>
        <w:tc>
          <w:tcPr>
            <w:tcW w:w="72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23.</w:t>
              </w:r>
              <w:r>
                <w:rPr>
                  <w:rFonts w:ascii="Arial" w:cs="Arial" w:eastAsia="Arial" w:hAnsi="Arial"/>
                  <w:sz w:val="18"/>
                  <w:szCs w:val="18"/>
                  <w:u w:val="single" w:color="auto"/>
                  <w:color w:val="0000EE"/>
                </w:rPr>
                <w:t>2</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7"/>
          </w:tcPr>
          <w:p>
            <w:pPr>
              <w:ind w:lef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Consent of Bryan Cave Leighton Paisner LLP (contained in Exhibit 5.1)</w:t>
              </w:r>
            </w:hyperlink>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96"/>
        </w:trPr>
        <w:tc>
          <w:tcPr>
            <w:tcW w:w="72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7"/>
          </w:tcPr>
          <w:p>
            <w:pPr>
              <w:ind w:left="10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Power of Attorney (included on signature page)</w:t>
              </w:r>
            </w:hyperlink>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jc w:val="right"/>
              <w:spacing w:after="0"/>
              <w:rPr>
                <w:rFonts w:ascii="Arial" w:cs="Arial" w:eastAsia="Arial" w:hAnsi="Arial"/>
                <w:sz w:val="17"/>
                <w:szCs w:val="17"/>
                <w:color w:val="0000EE"/>
                <w:w w:val="70"/>
              </w:rPr>
            </w:pPr>
            <w:hyperlink w:anchor="page26">
              <w:r>
                <w:rPr>
                  <w:rFonts w:ascii="Arial" w:cs="Arial" w:eastAsia="Arial" w:hAnsi="Arial"/>
                  <w:sz w:val="17"/>
                  <w:szCs w:val="17"/>
                  <w:color w:val="0000EE"/>
                  <w:w w:val="70"/>
                </w:rPr>
                <w:t>107</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gridSpan w:val="7"/>
          </w:tcPr>
          <w:p>
            <w:pPr>
              <w:ind w:left="10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Filing Fee Table</w:t>
              </w:r>
            </w:hyperlink>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right="60" w:firstLine="4"/>
        <w:spacing w:after="0" w:line="272" w:lineRule="auto"/>
        <w:tabs>
          <w:tab w:leader="none" w:pos="1565" w:val="left"/>
        </w:tabs>
        <w:numPr>
          <w:ilvl w:val="2"/>
          <w:numId w:val="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right="240" w:firstLine="4"/>
        <w:spacing w:after="0" w:line="277" w:lineRule="auto"/>
        <w:tabs>
          <w:tab w:leader="none" w:pos="1615"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652" w:right="4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registrant pursuant to Section 13 and Section 15(d) of the Exchange Act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652" w:right="20" w:hanging="4"/>
        <w:spacing w:after="0" w:line="263" w:lineRule="auto"/>
        <w:tabs>
          <w:tab w:leader="none" w:pos="9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52" w:right="640" w:hanging="4"/>
        <w:spacing w:after="0" w:line="277" w:lineRule="auto"/>
        <w:tabs>
          <w:tab w:leader="none" w:pos="9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 w:firstLine="8"/>
        <w:spacing w:after="0" w:line="301" w:lineRule="auto"/>
        <w:tabs>
          <w:tab w:leader="none" w:pos="24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7" w:lineRule="exact"/>
        <w:rPr>
          <w:rFonts w:ascii="Arial" w:cs="Arial" w:eastAsia="Arial" w:hAnsi="Arial"/>
          <w:sz w:val="16"/>
          <w:szCs w:val="16"/>
          <w:color w:val="auto"/>
        </w:rPr>
      </w:pPr>
    </w:p>
    <w:p>
      <w:pPr>
        <w:ind w:left="-8" w:firstLine="8"/>
        <w:spacing w:after="0" w:line="291" w:lineRule="auto"/>
        <w:tabs>
          <w:tab w:leader="none" w:pos="237"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New York, on the 31st day of March, 2022.</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Scott R. Milford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441"/>
        <w:spacing w:after="0" w:line="254" w:lineRule="auto"/>
        <w:rPr>
          <w:sz w:val="20"/>
          <w:szCs w:val="20"/>
          <w:color w:val="auto"/>
        </w:rPr>
      </w:pPr>
      <w:r>
        <w:rPr>
          <w:rFonts w:ascii="Arial" w:cs="Arial" w:eastAsia="Arial" w:hAnsi="Arial"/>
          <w:sz w:val="18"/>
          <w:szCs w:val="18"/>
          <w:color w:val="auto"/>
        </w:rPr>
        <w:t>KNOW ALL MEN BY THESE PRESENTS, that each of the undersigned directors and officers of XpresSpa Group, Inc. constitutes and appoints Scott R. Milford and Cara Soffer, and each of them, severally, as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attorneys-in-fact and agents and/or either of them, or his or her substitute, may lawfully do or cause to be done by virtue hereof.</w:t>
      </w:r>
    </w:p>
    <w:p>
      <w:pPr>
        <w:spacing w:after="0" w:line="192"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494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Title(s)</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Scott R. Milford</w:t>
            </w: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5"/>
              </w:rPr>
              <w:t>Scott R. Milford</w:t>
            </w: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(Principal Executive Officer)</w:t>
            </w: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A. Berry</w:t>
            </w: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James A. Berry</w:t>
            </w: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(Principal Financial Officer and Principal Accounting Officer)</w:t>
            </w: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Bruce T. Bernstein</w:t>
            </w: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Director, Chairman of the Board of Directors</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1"/>
              </w:rPr>
              <w:t>Bruce T. Bernstein</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Weinstein</w:t>
            </w: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9"/>
              </w:rPr>
              <w:t>Robert Weinstein</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Donald E. Stout</w:t>
            </w: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1"/>
              </w:rPr>
              <w:t>Donald E. Stout</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Lebowitz</w:t>
            </w:r>
          </w:p>
        </w:tc>
        <w:tc>
          <w:tcPr>
            <w:tcW w:w="518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March 31, 2022</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5"/>
              </w:rPr>
              <w:t>Michael Lebowitz</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61"/>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148590</wp:posOffset>
            </wp:positionV>
            <wp:extent cx="2374265" cy="1577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37426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254 West 31st Street,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ectPr>
          <w:pgSz w:w="11900" w:h="16838" w:orient="portrait"/>
          <w:cols w:equalWidth="0" w:num="1">
            <w:col w:w="11240"/>
          </w:cols>
          <w:pgMar w:left="320" w:top="11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Statement on Form S-8</w:t>
      </w:r>
    </w:p>
    <w:p>
      <w:pPr>
        <w:spacing w:after="0" w:line="200" w:lineRule="exact"/>
        <w:rPr>
          <w:sz w:val="20"/>
          <w:szCs w:val="20"/>
          <w:color w:val="auto"/>
        </w:rPr>
      </w:pPr>
    </w:p>
    <w:p>
      <w:pPr>
        <w:sectPr>
          <w:pgSz w:w="11900" w:h="16838" w:orient="portrait"/>
          <w:cols w:equalWidth="0" w:num="2">
            <w:col w:w="280" w:space="380"/>
            <w:col w:w="10580"/>
          </w:cols>
          <w:pgMar w:left="320" w:top="111"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acted as special counsel to XpresSpa Group, Inc., a Delaware corporation (the “Company”), in connection with its registration under the Securities Act of 1933, as amended (the “Securities Act”), by means of a registration statement on Form S-8 (the “Registration Statement”), of an aggregate of 1,000,000 shares (the “Inducement Option Shares”) of the Company’s common stock, par value $0.01 per share (the “Common Stock”), issuable upon the vesting and exercise of an inducement stock option award to purchase 1,000,000 shares of Common Stock granted by the Company to Ezra Ernst on January 14, 2022, as inducement to accept employment with the Company as its Executive Vice President and the Chief Executive Officer of XpresTest, Inc., the Company’s subsidiary (the “Inducement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herewith, we have examined:</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Stock Option Agreement between XpresSpa Group, Inc. and Ezra Ernst dated January 14, 2022 (the “Option Agreement”), governing the terms of the Inducement Award;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Company, as amended (the “Charter”);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Amended and Restated Bylaws of the Company, as amended.</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also examined originals or copies, certified or otherwise identified to our satisfaction, of such other corporate records, agreements and instruments of the Company, statements and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Securities and Exchange Commission’s (“SEC”)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have been filed with the SEC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certificates and statements of appropriate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XpresSpa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5715</wp:posOffset>
            </wp:positionV>
            <wp:extent cx="126873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687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herewith, we have assumed that, other than with respect to the Company, all of the documents referred to in this opinion letter have been duly authorized by, have been duly executed and delivered by, and constitute the valid, binding and enforceable obligations of, all of the parties to such documents, all of the signatories to such documents have been duly authorized and all such parties are duly organized and validly existing and have the power and authority (corporate or other) to execute, deliver and perform such documents.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Based upon the foregoing and in reliance thereon, and subject to the assumptions, comments, qualifications, limitations and exceptions set forth herein, we are of the opinion that the Inducement Option Shares (i) have been duly authorized for issuance, and (ii) when issued, delivered and paid for in accordance with the Option Agreement, and assuming that upon issuance thereof, such Inducement Option Shares together with all shares of Common Stock previously issued or reserved for issuance and not duly and lawfully retired do not exceed the number of shares authorized for issuance pursuant to the Charter at such time, will be validly issued, fully paid and non-assessable.</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opinion is not rendered with respect to any laws other than the General Corporation Law of the State of Delaware.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opinion is being delivered by us in connection with the filing of the Registration Statement with the SEC. We do not render any opinions except as set forth above. We hereby consent to the filing of this opinion as Exhibit 5.1 to the Registration Statement and to the use of our name under the caption “Legal Matters” in the prospectus which forms part of the Registration Statement. We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such consent, we do not thereby concede that we are within the category of persons whose consent is required under Section 7 of the Securities Act or the rules and regulations of the SEC promulgated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Bryan Cave Leighton Paisner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700" w:type="dxa"/>
            <w:vAlign w:val="bottom"/>
          </w:tcPr>
          <w:p>
            <w:pPr>
              <w:jc w:val="center"/>
              <w:ind w:left="1530"/>
              <w:spacing w:after="0"/>
              <w:rPr>
                <w:sz w:val="20"/>
                <w:szCs w:val="20"/>
                <w:color w:val="auto"/>
              </w:rPr>
            </w:pPr>
            <w:r>
              <w:rPr>
                <w:rFonts w:ascii="Arial" w:cs="Arial" w:eastAsia="Arial" w:hAnsi="Arial"/>
                <w:sz w:val="18"/>
                <w:szCs w:val="18"/>
                <w:b w:val="1"/>
                <w:bCs w:val="1"/>
                <w:color w:val="auto"/>
                <w:w w:val="92"/>
              </w:rPr>
              <w:t>XpresSpa Group Inc.</w:t>
            </w: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7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Stock Option Grant Notice</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2600" w:type="dxa"/>
            <w:vAlign w:val="bottom"/>
          </w:tcPr>
          <w:p>
            <w:pPr>
              <w:ind w:left="220"/>
              <w:spacing w:after="0"/>
              <w:rPr>
                <w:sz w:val="20"/>
                <w:szCs w:val="20"/>
                <w:color w:val="auto"/>
              </w:rPr>
            </w:pPr>
            <w:r>
              <w:rPr>
                <w:rFonts w:ascii="Arial" w:cs="Arial" w:eastAsia="Arial" w:hAnsi="Arial"/>
                <w:sz w:val="18"/>
                <w:szCs w:val="18"/>
                <w:b w:val="1"/>
                <w:bCs w:val="1"/>
                <w:color w:val="auto"/>
              </w:rPr>
              <w:t>Participant:</w:t>
            </w:r>
          </w:p>
        </w:tc>
        <w:tc>
          <w:tcPr>
            <w:tcW w:w="3700" w:type="dxa"/>
            <w:vAlign w:val="bottom"/>
          </w:tcPr>
          <w:p>
            <w:pPr>
              <w:ind w:left="660"/>
              <w:spacing w:after="0"/>
              <w:rPr>
                <w:sz w:val="20"/>
                <w:szCs w:val="20"/>
                <w:color w:val="auto"/>
              </w:rPr>
            </w:pPr>
            <w:r>
              <w:rPr>
                <w:rFonts w:ascii="Arial" w:cs="Arial" w:eastAsia="Arial" w:hAnsi="Arial"/>
                <w:sz w:val="18"/>
                <w:szCs w:val="18"/>
                <w:color w:val="auto"/>
              </w:rPr>
              <w:t>Ezra T. Ernst</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2600" w:type="dxa"/>
            <w:vAlign w:val="bottom"/>
          </w:tcPr>
          <w:p>
            <w:pPr>
              <w:ind w:left="220"/>
              <w:spacing w:after="0"/>
              <w:rPr>
                <w:sz w:val="20"/>
                <w:szCs w:val="20"/>
                <w:color w:val="auto"/>
              </w:rPr>
            </w:pPr>
            <w:r>
              <w:rPr>
                <w:rFonts w:ascii="Arial" w:cs="Arial" w:eastAsia="Arial" w:hAnsi="Arial"/>
                <w:sz w:val="18"/>
                <w:szCs w:val="18"/>
                <w:b w:val="1"/>
                <w:bCs w:val="1"/>
                <w:color w:val="auto"/>
              </w:rPr>
              <w:t>Date of Option Grant:</w:t>
            </w:r>
          </w:p>
        </w:tc>
        <w:tc>
          <w:tcPr>
            <w:tcW w:w="3700" w:type="dxa"/>
            <w:vAlign w:val="bottom"/>
          </w:tcPr>
          <w:p>
            <w:pPr>
              <w:ind w:left="660"/>
              <w:spacing w:after="0"/>
              <w:rPr>
                <w:sz w:val="20"/>
                <w:szCs w:val="20"/>
                <w:color w:val="auto"/>
              </w:rPr>
            </w:pPr>
            <w:r>
              <w:rPr>
                <w:rFonts w:ascii="Arial" w:cs="Arial" w:eastAsia="Arial" w:hAnsi="Arial"/>
                <w:sz w:val="18"/>
                <w:szCs w:val="18"/>
                <w:color w:val="auto"/>
              </w:rPr>
              <w:t>January 14, 2022</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2600" w:type="dxa"/>
            <w:vAlign w:val="bottom"/>
          </w:tcPr>
          <w:p>
            <w:pPr>
              <w:ind w:left="220"/>
              <w:spacing w:after="0"/>
              <w:rPr>
                <w:sz w:val="20"/>
                <w:szCs w:val="20"/>
                <w:color w:val="auto"/>
              </w:rPr>
            </w:pPr>
            <w:r>
              <w:rPr>
                <w:rFonts w:ascii="Arial" w:cs="Arial" w:eastAsia="Arial" w:hAnsi="Arial"/>
                <w:sz w:val="18"/>
                <w:szCs w:val="18"/>
                <w:b w:val="1"/>
                <w:bCs w:val="1"/>
                <w:color w:val="auto"/>
              </w:rPr>
              <w:t>Type of Grant:</w:t>
            </w:r>
          </w:p>
        </w:tc>
        <w:tc>
          <w:tcPr>
            <w:tcW w:w="3700" w:type="dxa"/>
            <w:vAlign w:val="bottom"/>
          </w:tcPr>
          <w:p>
            <w:pPr>
              <w:ind w:left="660"/>
              <w:spacing w:after="0"/>
              <w:rPr>
                <w:sz w:val="20"/>
                <w:szCs w:val="20"/>
                <w:color w:val="auto"/>
              </w:rPr>
            </w:pPr>
            <w:r>
              <w:rPr>
                <w:rFonts w:ascii="Arial" w:cs="Arial" w:eastAsia="Arial" w:hAnsi="Arial"/>
                <w:sz w:val="18"/>
                <w:szCs w:val="18"/>
                <w:color w:val="auto"/>
              </w:rPr>
              <w:t>Non-Qualified Stock Option</w:t>
            </w:r>
          </w:p>
        </w:tc>
      </w:tr>
    </w:tbl>
    <w:p>
      <w:pPr>
        <w:spacing w:after="0" w:line="198" w:lineRule="exact"/>
        <w:rPr>
          <w:sz w:val="20"/>
          <w:szCs w:val="20"/>
          <w:color w:val="auto"/>
        </w:rPr>
      </w:pPr>
    </w:p>
    <w:p>
      <w:pPr>
        <w:ind w:left="580" w:right="6900" w:hanging="572"/>
        <w:spacing w:after="0" w:line="282"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Maximum Number of Shares for </w:t>
      </w:r>
      <w:r>
        <w:rPr>
          <w:rFonts w:ascii="Arial" w:cs="Arial" w:eastAsia="Arial" w:hAnsi="Arial"/>
          <w:sz w:val="18"/>
          <w:szCs w:val="18"/>
          <w:color w:val="auto"/>
        </w:rPr>
        <w:t>1,000,000</w:t>
      </w:r>
      <w:r>
        <w:rPr>
          <w:rFonts w:ascii="Arial" w:cs="Arial" w:eastAsia="Arial" w:hAnsi="Arial"/>
          <w:sz w:val="18"/>
          <w:szCs w:val="18"/>
          <w:b w:val="1"/>
          <w:bCs w:val="1"/>
          <w:color w:val="auto"/>
        </w:rPr>
        <w:t xml:space="preserve"> which this Option is exercisable: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2880" w:type="dxa"/>
            <w:vAlign w:val="bottom"/>
          </w:tcPr>
          <w:p>
            <w:pPr>
              <w:ind w:left="220"/>
              <w:spacing w:after="0"/>
              <w:rPr>
                <w:sz w:val="20"/>
                <w:szCs w:val="20"/>
                <w:color w:val="auto"/>
              </w:rPr>
            </w:pPr>
            <w:r>
              <w:rPr>
                <w:rFonts w:ascii="Arial" w:cs="Arial" w:eastAsia="Arial" w:hAnsi="Arial"/>
                <w:sz w:val="18"/>
                <w:szCs w:val="18"/>
                <w:b w:val="1"/>
                <w:bCs w:val="1"/>
                <w:color w:val="auto"/>
              </w:rPr>
              <w:t>Exercise Price per Share:</w:t>
            </w:r>
          </w:p>
        </w:tc>
        <w:tc>
          <w:tcPr>
            <w:tcW w:w="1600" w:type="dxa"/>
            <w:vAlign w:val="bottom"/>
          </w:tcPr>
          <w:p>
            <w:pPr>
              <w:ind w:left="380"/>
              <w:spacing w:after="0"/>
              <w:rPr>
                <w:sz w:val="20"/>
                <w:szCs w:val="20"/>
                <w:color w:val="auto"/>
              </w:rPr>
            </w:pPr>
            <w:r>
              <w:rPr>
                <w:rFonts w:ascii="Arial" w:cs="Arial" w:eastAsia="Arial" w:hAnsi="Arial"/>
                <w:sz w:val="18"/>
                <w:szCs w:val="18"/>
                <w:color w:val="auto"/>
              </w:rPr>
              <w:t>$1.64</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2880" w:type="dxa"/>
            <w:vAlign w:val="bottom"/>
          </w:tcPr>
          <w:p>
            <w:pPr>
              <w:ind w:left="220"/>
              <w:spacing w:after="0"/>
              <w:rPr>
                <w:sz w:val="20"/>
                <w:szCs w:val="20"/>
                <w:color w:val="auto"/>
              </w:rPr>
            </w:pPr>
            <w:r>
              <w:rPr>
                <w:rFonts w:ascii="Arial" w:cs="Arial" w:eastAsia="Arial" w:hAnsi="Arial"/>
                <w:sz w:val="18"/>
                <w:szCs w:val="18"/>
                <w:b w:val="1"/>
                <w:bCs w:val="1"/>
                <w:color w:val="auto"/>
              </w:rPr>
              <w:t>Option Expiration Date:</w:t>
            </w:r>
          </w:p>
        </w:tc>
        <w:tc>
          <w:tcPr>
            <w:tcW w:w="1600" w:type="dxa"/>
            <w:vAlign w:val="bottom"/>
          </w:tcPr>
          <w:p>
            <w:pPr>
              <w:ind w:left="380"/>
              <w:spacing w:after="0"/>
              <w:rPr>
                <w:sz w:val="20"/>
                <w:szCs w:val="20"/>
                <w:color w:val="auto"/>
              </w:rPr>
            </w:pPr>
            <w:r>
              <w:rPr>
                <w:rFonts w:ascii="Arial" w:cs="Arial" w:eastAsia="Arial" w:hAnsi="Arial"/>
                <w:sz w:val="18"/>
                <w:szCs w:val="18"/>
                <w:color w:val="auto"/>
                <w:w w:val="86"/>
              </w:rPr>
              <w:t>January 14, 2032</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2880" w:type="dxa"/>
            <w:vAlign w:val="bottom"/>
          </w:tcPr>
          <w:p>
            <w:pPr>
              <w:ind w:left="220"/>
              <w:spacing w:after="0"/>
              <w:rPr>
                <w:sz w:val="20"/>
                <w:szCs w:val="20"/>
                <w:color w:val="auto"/>
              </w:rPr>
            </w:pPr>
            <w:r>
              <w:rPr>
                <w:rFonts w:ascii="Arial" w:cs="Arial" w:eastAsia="Arial" w:hAnsi="Arial"/>
                <w:sz w:val="18"/>
                <w:szCs w:val="18"/>
                <w:b w:val="1"/>
                <w:bCs w:val="1"/>
                <w:color w:val="auto"/>
              </w:rPr>
              <w:t>Vesting Commencement Date</w:t>
            </w:r>
            <w:r>
              <w:rPr>
                <w:rFonts w:ascii="Arial" w:cs="Arial" w:eastAsia="Arial" w:hAnsi="Arial"/>
                <w:sz w:val="18"/>
                <w:szCs w:val="18"/>
                <w:color w:val="auto"/>
              </w:rPr>
              <w:t>:</w:t>
            </w:r>
          </w:p>
        </w:tc>
        <w:tc>
          <w:tcPr>
            <w:tcW w:w="1600" w:type="dxa"/>
            <w:vAlign w:val="bottom"/>
          </w:tcPr>
          <w:p>
            <w:pPr>
              <w:ind w:left="380"/>
              <w:spacing w:after="0"/>
              <w:rPr>
                <w:sz w:val="20"/>
                <w:szCs w:val="20"/>
                <w:color w:val="auto"/>
              </w:rPr>
            </w:pPr>
            <w:r>
              <w:rPr>
                <w:rFonts w:ascii="Arial" w:cs="Arial" w:eastAsia="Arial" w:hAnsi="Arial"/>
                <w:sz w:val="18"/>
                <w:szCs w:val="18"/>
                <w:color w:val="auto"/>
                <w:w w:val="86"/>
              </w:rPr>
              <w:t>January 14, 2022</w:t>
            </w:r>
          </w:p>
        </w:tc>
      </w:tr>
    </w:tbl>
    <w:p>
      <w:pPr>
        <w:spacing w:after="0" w:line="198" w:lineRule="exact"/>
        <w:rPr>
          <w:sz w:val="20"/>
          <w:szCs w:val="20"/>
          <w:color w:val="auto"/>
        </w:rPr>
      </w:pPr>
    </w:p>
    <w:p>
      <w:pPr>
        <w:jc w:val="both"/>
        <w:ind w:left="580" w:hanging="572"/>
        <w:spacing w:after="0" w:line="256"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This Option shall become exercisable as to one-third (1/3) of the underlying shares (rounded down to the nearest whole share)</w:t>
      </w:r>
      <w:r>
        <w:rPr>
          <w:rFonts w:ascii="Arial" w:cs="Arial" w:eastAsia="Arial" w:hAnsi="Arial"/>
          <w:sz w:val="18"/>
          <w:szCs w:val="18"/>
          <w:b w:val="1"/>
          <w:bCs w:val="1"/>
          <w:color w:val="auto"/>
        </w:rPr>
        <w:t xml:space="preserve"> </w:t>
      </w:r>
      <w:r>
        <w:rPr>
          <w:rFonts w:ascii="Arial" w:cs="Arial" w:eastAsia="Arial" w:hAnsi="Arial"/>
          <w:sz w:val="18"/>
          <w:szCs w:val="18"/>
          <w:color w:val="auto"/>
        </w:rPr>
        <w:t>on each of the first three anniversaries of the Vesting Commencement Date, so that the Option is fully vested on the third anniversary of the Vesting Commencement Dates, subject to the Participant’s Continuous Service on the applicable vesting date. The Option shall become 100% vested (i) upon a Change in Control or (ii) if the Company terminates Participant’s employment without Cause (as defined in the Employment Agreement), Participant terminates employment for Good Reason (as defined in the Employment Agreement), or the Employment Agreement expires without being renewed or novated.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Participant acknowledges and agrees this Stock Option Grant Notice and the Stock Option Agreement is issued in full satisfaction of any right of Participant to be granted stock options to purchase Common Stock under the Employment Agreement. The foregoing rights are cumulative and are subject to the other terms and conditions of this Agreement. The Company and the Participant acknowledge receipt of this Stock Option Grant Notice and agree to the terms of the Stock Option Agreement attached hereto and incorporated by reference herein.</w:t>
      </w:r>
    </w:p>
    <w:p>
      <w:pPr>
        <w:spacing w:after="0" w:line="18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Berry</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James A. Berry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STOCK OPTION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made as of the date of grant set forth in the Stock Option Grant Notice by and between XpresSpa Group, Inc. (the “</w:t>
      </w:r>
      <w:r>
        <w:rPr>
          <w:rFonts w:ascii="Arial" w:cs="Arial" w:eastAsia="Arial" w:hAnsi="Arial"/>
          <w:sz w:val="18"/>
          <w:szCs w:val="18"/>
          <w:b w:val="1"/>
          <w:bCs w:val="1"/>
          <w:color w:val="auto"/>
        </w:rPr>
        <w:t>Company</w:t>
      </w:r>
      <w:r>
        <w:rPr>
          <w:rFonts w:ascii="Arial" w:cs="Arial" w:eastAsia="Arial" w:hAnsi="Arial"/>
          <w:sz w:val="18"/>
          <w:szCs w:val="18"/>
          <w:color w:val="auto"/>
        </w:rPr>
        <w:t>”), a Delaware corporation, and the individual whose name appears on the Stock Option Grant Notice (the “</w:t>
      </w:r>
      <w:r>
        <w:rPr>
          <w:rFonts w:ascii="Arial" w:cs="Arial" w:eastAsia="Arial" w:hAnsi="Arial"/>
          <w:sz w:val="18"/>
          <w:szCs w:val="18"/>
          <w:b w:val="1"/>
          <w:bCs w:val="1"/>
          <w:color w:val="auto"/>
        </w:rPr>
        <w:t>Participant</w:t>
      </w:r>
      <w:r>
        <w:rPr>
          <w:rFonts w:ascii="Arial" w:cs="Arial" w:eastAsia="Arial" w:hAnsi="Arial"/>
          <w:sz w:val="18"/>
          <w:szCs w:val="18"/>
          <w:color w:val="auto"/>
        </w:rPr>
        <w:t>”). This Agreement will be deemed to be signed by Participant on the signing by Participant of the Stock Option Grant Notice to which it is attached.</w:t>
      </w:r>
    </w:p>
    <w:p>
      <w:pPr>
        <w:spacing w:after="0" w:line="180"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WHEREAS, the Company desires to grant to the Participant an Option to purchase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as an employment inducement award pursuant to NASDAQ Listing Rule 5635(c)(4);</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same meanings set forth in the Defined Terms Appendix that is attached to this Agreement;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and the Participant each intend that the Option granted herein shall be of the type set forth in the Stock Option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agree as follows:</w:t>
      </w:r>
    </w:p>
    <w:p>
      <w:pPr>
        <w:spacing w:after="0" w:line="17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hereby grants to the Participant the right and option to purchase all or any part of an aggregate of the number of Shares set forth in the Stock Option Grant Notice, on the terms and conditions and subject to all the limitations set forth herein, under United States securities and tax laws.</w:t>
      </w:r>
    </w:p>
    <w:p>
      <w:pPr>
        <w:spacing w:after="0" w:line="184"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exercise price of the Shares covered by the Option shall be the amount per Share set forth in the Stock Option Grant Notice, subject to adjustment, as provided in this Agreement, in the event of a stock split, reverse stock split or other events affecting the holders of Shares after the date hereof (the “</w:t>
      </w:r>
      <w:r>
        <w:rPr>
          <w:rFonts w:ascii="Arial" w:cs="Arial" w:eastAsia="Arial" w:hAnsi="Arial"/>
          <w:sz w:val="18"/>
          <w:szCs w:val="18"/>
          <w:b w:val="1"/>
          <w:bCs w:val="1"/>
          <w:color w:val="auto"/>
        </w:rPr>
        <w:t>Exercise Price</w:t>
      </w:r>
      <w:r>
        <w:rPr>
          <w:rFonts w:ascii="Arial" w:cs="Arial" w:eastAsia="Arial" w:hAnsi="Arial"/>
          <w:sz w:val="18"/>
          <w:szCs w:val="18"/>
          <w:color w:val="auto"/>
        </w:rPr>
        <w:t>”).</w:t>
      </w:r>
    </w:p>
    <w:p>
      <w:pPr>
        <w:spacing w:after="0" w:line="18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EXERCISABILITY OF OPTION</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Subject to the terms and conditions set forth in this Agreement, the Option granted hereby shall become vested and exercisable as set forth in the Stock Option Grant Notice and is subject to the other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This Option shall terminate on the Option Expiration Date as specified in the Stock Option Grant Notice.</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If the Participant ceases to provide Continuous Service for any reason (including death or Disability) other than a termination of the Participant for Cause (the “</w:t>
      </w:r>
      <w:r>
        <w:rPr>
          <w:rFonts w:ascii="Arial" w:cs="Arial" w:eastAsia="Arial" w:hAnsi="Arial"/>
          <w:sz w:val="16"/>
          <w:szCs w:val="16"/>
          <w:b w:val="1"/>
          <w:bCs w:val="1"/>
          <w:color w:val="auto"/>
        </w:rPr>
        <w:t>Termination Date</w:t>
      </w:r>
      <w:r>
        <w:rPr>
          <w:rFonts w:ascii="Arial" w:cs="Arial" w:eastAsia="Arial" w:hAnsi="Arial"/>
          <w:sz w:val="16"/>
          <w:szCs w:val="16"/>
          <w:color w:val="auto"/>
        </w:rPr>
        <w:t>”), the Option to the extent then vested and exercisable pursuant to Section 3 hereof as of the Termination Date, and not previously terminated in accordance with this Agreement, may be exercised within one year after the Termination Date, or on or prior to the Option Expiration Date as specified in the Stock Option Grant Notice, whichever is earlier, but may not be exercised thereafter except as set forth below. In such event, the unvested portion of the Option shall not be exercisable and shall expire and be cancelled on the Termination Date.</w:t>
      </w:r>
    </w:p>
    <w:p>
      <w:pPr>
        <w:spacing w:after="0" w:line="16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In the event the Participant’s service is terminated by the Company or an Affiliate for Cause, the Participant’s right to exercise any unexercised portion of this Option even if vested shall cease immediately as of the time the Participant is notified his or her service is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19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Subject to the terms and conditions of this Agreement, the Option may be exercised by written notice to the Company or its designee,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(or in such other form acceptable to the Company, which may include electronic notice). Such notice shall state the number of Shares with respect to which the Option is being exercised and shall be signed by the person exercising the Option (which signature may be provided electronically in a form acceptable to the Company).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 limitation, state securities or “blue sky” laws). The Shares as to which the Option shall have been so exercised shall be registered in the Company’s share register in the name of the person so exercising the Option (or, if the Option shall be exercised by the Participant and if the Participant shall so request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shall be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296"/>
        <w:spacing w:after="0" w:line="291" w:lineRule="auto"/>
        <w:rPr>
          <w:sz w:val="20"/>
          <w:szCs w:val="20"/>
          <w:color w:val="auto"/>
        </w:rPr>
      </w:pPr>
      <w:r>
        <w:rPr>
          <w:rFonts w:ascii="Arial" w:cs="Arial" w:eastAsia="Arial" w:hAnsi="Arial"/>
          <w:sz w:val="16"/>
          <w:szCs w:val="16"/>
          <w:color w:val="auto"/>
        </w:rPr>
        <w:t>The Exercise Price shall be paid, to the extent permitted by applicable statutes and regulations, either (a) in cash or by certified or bank check at the time the Option is exercised or (b) in the discretion of the Board, upon such terms as the Board shall approve, the Exercise Price may be paid:</w:t>
      </w:r>
    </w:p>
    <w:p>
      <w:pPr>
        <w:jc w:val="both"/>
        <w:ind w:firstLine="8"/>
        <w:spacing w:after="0" w:line="284" w:lineRule="auto"/>
        <w:tabs>
          <w:tab w:leader="none" w:pos="2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delivery to the Company of other Common Stock, duly endorsed for transfer to the Company, with a Fair Market Value on the date of delivery equal to the Exercise Price (or portion thereof) due for the number of shares being acquired, or by means of attestation whereby the Participant identifies for delivery specific shares of Common Stock that have an aggregate Fair Market Value on the date of attestation equal to the Exercise Price (or portion thereof) and receives a number of shares of Common Stock equal to the difference between the number of shares thereby purchased and the number of identified attestation shares of Common Stock (a “</w:t>
      </w:r>
      <w:r>
        <w:rPr>
          <w:rFonts w:ascii="Arial" w:cs="Arial" w:eastAsia="Arial" w:hAnsi="Arial"/>
          <w:sz w:val="16"/>
          <w:szCs w:val="16"/>
          <w:b w:val="1"/>
          <w:bCs w:val="1"/>
          <w:color w:val="auto"/>
        </w:rPr>
        <w:t>Stock for Stock Exchange</w:t>
      </w:r>
      <w:r>
        <w:rPr>
          <w:rFonts w:ascii="Arial" w:cs="Arial" w:eastAsia="Arial" w:hAnsi="Arial"/>
          <w:sz w:val="16"/>
          <w:szCs w:val="16"/>
          <w:color w:val="auto"/>
        </w:rPr>
        <w:t>”); (ii) if the shares of Common Stock are listed on any established stock exchange or a national market system, through the delivery of 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Exercise Price at the time of exercise (i.e., by means of a “net exercise”); (iv) by any combination of the foregoing methods; or (v) in any other form of legal consideration that may be acceptable to the Board. Any Common Stock used to pay the Exercise Price must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the Option.</w:t>
      </w:r>
    </w:p>
    <w:p>
      <w:pPr>
        <w:spacing w:after="0" w:line="177" w:lineRule="exact"/>
        <w:rPr>
          <w:rFonts w:ascii="Arial" w:cs="Arial" w:eastAsia="Arial" w:hAnsi="Arial"/>
          <w:sz w:val="16"/>
          <w:szCs w:val="16"/>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Exercise of this Option to the extent above stated may be made in part at any time and from time to time within the above limits, except that no fractional share shall be issued pursuant to this Option.</w:t>
      </w:r>
    </w:p>
    <w:p>
      <w:pPr>
        <w:spacing w:after="0" w:line="170"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Option shall not be transferable by the Participant otherwise than by will or by the laws of descent and distribution. If this Option is a Non-Qualified Stock Option then it may also be transferred pursuant to a qualified domestic relations order as defined by the Code or Title I of the Employee Retirement Income Security Act or the rules thereunder</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provided above in this paragraph, the Option shall be exercisable, during the Participant’s lifetime, only by the Participant (or, in the event of legal incapacity or incompetency, by the Participant’s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The Participant shall have no rights as a stockholder with respect to Shares subject to this Agreement until registration of the Shares in the Company’s share register in the name of the Participant. Except as is expressly provided in this Agreement with respect to certain changes in the capitalization of the Company, no adjustment shall be made for dividends or similar rights for which the record date is prior to the date of such registration.</w:t>
      </w:r>
    </w:p>
    <w:p>
      <w:pPr>
        <w:spacing w:after="0" w:line="14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the Shares subject to the Option and the exercise price of the Option will be equitably adjusted or substituted, as to the number, price or kind of Common Stock or other considerations to the extent necessary to preserve the economic intent of the Option. Any adjustments made under this Section shall be made in a manner which does not adversely affect the exemption provided pursuant to Rule 16b-3 under the Exchange Act. The Company shall give Participant notice of an adjustment hereunder and, upon notice, such adjustment shall be conclusive and binding for all purposes.</w:t>
      </w:r>
    </w:p>
    <w:p>
      <w:pPr>
        <w:spacing w:after="0" w:line="17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The Participant acknowledges that any income or other taxes due from him or her with respect to this Option or the Shares issuable pursuant to this Option shall be the Participant’s responsibility. The Participant acknowledges and agrees that (i) the Participant was free to use professional advisors of his or her choice in connection with this Agreement, has received advice from his or her professional advisors in connection with this Agreement, understands its meaning and import, and is entering into this Agreement freely and without coercion or duress; (ii) the Participant has not received and is not relying upon any advice, representations or assurances made by or on behalf of the Company or any Affiliate or any employee of or counsel to the Company or any Affiliate regarding any tax or other effects or implications of the Option, the Shares or other matters contemplated by this Agreement; and (iii) neither the Board, the Company, its Affiliates, nor any of its officers or directors, shall be held liable for any applicable costs, taxes, or penalties associated with the Option if, in fact, the Internal Revenue Service were to determine that the Option constitutes deferred compensation under Section 409A of the Code.</w:t>
      </w:r>
    </w:p>
    <w:p>
      <w:pPr>
        <w:spacing w:after="0" w:line="19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Participant agrees that the Company may withhold from the Participant’s remuneration, if any, the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Unless the offering and sale of the Shares to be issued upon the particular exercise of the Option shall have been effectively registered under the Securities Act, the Company shall be under no obligation to issue the Shares covered by such exercise unless the Company has determined that such exercise and issuance would be exempt from the registration requirements of the Securities Act and until the following conditions have been fulfilled:</w:t>
      </w:r>
    </w:p>
    <w:p>
      <w:pPr>
        <w:spacing w:after="0" w:line="149" w:lineRule="exact"/>
        <w:rPr>
          <w:sz w:val="20"/>
          <w:szCs w:val="20"/>
          <w:color w:val="auto"/>
        </w:rPr>
      </w:pPr>
    </w:p>
    <w:p>
      <w:pPr>
        <w:jc w:val="both"/>
        <w:ind w:left="1300" w:firstLine="4"/>
        <w:spacing w:after="0" w:line="279" w:lineRule="auto"/>
        <w:tabs>
          <w:tab w:leader="none" w:pos="199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any certificate(s) evidencing the Shares issued pursuant to such exercise:</w:t>
      </w:r>
    </w:p>
    <w:p>
      <w:pPr>
        <w:spacing w:after="0" w:line="171" w:lineRule="exact"/>
        <w:rPr>
          <w:sz w:val="20"/>
          <w:szCs w:val="20"/>
          <w:color w:val="auto"/>
        </w:rPr>
      </w:pPr>
    </w:p>
    <w:p>
      <w:pPr>
        <w:jc w:val="both"/>
        <w:ind w:left="1960"/>
        <w:spacing w:after="0" w:line="257"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and</w:t>
      </w:r>
    </w:p>
    <w:p>
      <w:pPr>
        <w:spacing w:after="0" w:line="188" w:lineRule="exact"/>
        <w:rPr>
          <w:sz w:val="20"/>
          <w:szCs w:val="20"/>
          <w:color w:val="auto"/>
        </w:rPr>
      </w:pPr>
    </w:p>
    <w:p>
      <w:pPr>
        <w:jc w:val="both"/>
        <w:ind w:left="1300" w:firstLine="4"/>
        <w:spacing w:after="0" w:line="279" w:lineRule="auto"/>
        <w:tabs>
          <w:tab w:leader="none" w:pos="1874" w:val="left"/>
        </w:tabs>
        <w:numPr>
          <w:ilvl w:val="1"/>
          <w:numId w:val="20"/>
        </w:numPr>
        <w:rPr>
          <w:rFonts w:ascii="Arial" w:cs="Arial" w:eastAsia="Arial" w:hAnsi="Arial"/>
          <w:sz w:val="17"/>
          <w:szCs w:val="17"/>
          <w:color w:val="auto"/>
        </w:rPr>
      </w:pPr>
      <w:r>
        <w:rPr>
          <w:rFonts w:ascii="Arial" w:cs="Arial" w:eastAsia="Arial" w:hAnsi="Arial"/>
          <w:sz w:val="17"/>
          <w:szCs w:val="17"/>
          <w:color w:val="auto"/>
        </w:rPr>
        <w:t>If the Company so requires, the Company shall have received an opinion of its counsel that the Shares may be issued upon such particular exercise in compliance with the Securities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12.1 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Shares or other securities of the Company held by him or her during such period as is determined by the Company and the underwriters, not to exceed 180 days following the closing of the offering, plus such additional period of time as may be required to comply with Marketplace Rule 2711 of the Financial Industry Regulatory Authority or similar rules thereto (such period, the “</w:t>
      </w:r>
      <w:r>
        <w:rPr>
          <w:rFonts w:ascii="Arial" w:cs="Arial" w:eastAsia="Arial" w:hAnsi="Arial"/>
          <w:sz w:val="16"/>
          <w:szCs w:val="16"/>
          <w:b w:val="1"/>
          <w:bCs w:val="1"/>
          <w:color w:val="auto"/>
        </w:rPr>
        <w:t>Lock-Up Period</w:t>
      </w:r>
      <w:r>
        <w:rPr>
          <w:rFonts w:ascii="Arial" w:cs="Arial" w:eastAsia="Arial" w:hAnsi="Arial"/>
          <w:sz w:val="16"/>
          <w:szCs w:val="16"/>
          <w:color w:val="auto"/>
        </w:rPr>
        <w:t>”).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79" w:lineRule="auto"/>
        <w:rPr>
          <w:sz w:val="20"/>
          <w:szCs w:val="20"/>
          <w:color w:val="auto"/>
        </w:rPr>
      </w:pPr>
      <w:r>
        <w:rPr>
          <w:rFonts w:ascii="Arial" w:cs="Arial" w:eastAsia="Arial" w:hAnsi="Arial"/>
          <w:sz w:val="17"/>
          <w:szCs w:val="17"/>
          <w:color w:val="auto"/>
        </w:rPr>
        <w:t>12.2 The Participant acknowledges and agrees that neither the Company, its shareholders nor its directors and officers, has any duty or obligation to disclose to the Participant any material information regarding the business of the Company or affecting the value of the Shares before, at the time of, or following a termination of the service of the Participant by the Company, including, without limitation, any information concerning plans for the Company to make a public offering of its securities or to be acquired by or merged with or into another firm or entity.</w:t>
      </w:r>
    </w:p>
    <w:p>
      <w:pPr>
        <w:spacing w:after="0" w:line="17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 OBLIGATION TO MAINTAIN RELATIONSHIP</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The Participant acknowledges that: (i) the Company is not by this Option obligated to continue the Participant as an Employee, Director or Consultant of the Company or an Affiliate; (ii) the grant of the Option is a one-time benefit which does not create any contractual or other right to receive future grants of options, or benefits in lieu of options; (iii)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(iv) the value of the Option is an extraordinary item of compensation which is outside the scope of the Participant’s employment or consulting contract, if any; and (v) the Option is not part of normal or expected compensation for purposes of calculating any severance, resignation, redundancy, end of service payments, bonuses, long-service awards, pension or retirement benefits or similar payments.</w:t>
      </w:r>
    </w:p>
    <w:p>
      <w:pPr>
        <w:spacing w:after="0" w:line="192"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Any notices required or permitted by the terms of this Agreement shall be given by recognized courier service, facsimile, registered or certified mail, return receipt requested, addressed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XpresSpa Group, Inc.</w:t>
      </w:r>
    </w:p>
    <w:p>
      <w:pPr>
        <w:ind w:left="1300"/>
        <w:spacing w:after="0" w:line="202" w:lineRule="auto"/>
        <w:rPr>
          <w:sz w:val="20"/>
          <w:szCs w:val="20"/>
          <w:color w:val="auto"/>
        </w:rPr>
      </w:pPr>
      <w:r>
        <w:rPr>
          <w:rFonts w:ascii="Arial" w:cs="Arial" w:eastAsia="Arial" w:hAnsi="Arial"/>
          <w:sz w:val="18"/>
          <w:szCs w:val="18"/>
          <w:color w:val="auto"/>
        </w:rPr>
        <w:t>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right="40"/>
        <w:spacing w:after="0" w:line="263" w:lineRule="auto"/>
        <w:rPr>
          <w:sz w:val="20"/>
          <w:szCs w:val="20"/>
          <w:color w:val="auto"/>
        </w:rPr>
      </w:pPr>
      <w:r>
        <w:rPr>
          <w:rFonts w:ascii="Arial" w:cs="Arial" w:eastAsia="Arial" w:hAnsi="Arial"/>
          <w:sz w:val="18"/>
          <w:szCs w:val="18"/>
          <w:color w:val="auto"/>
        </w:rPr>
        <w:t>If to the Participant at the address set forth on the Stock Option Grant Notice or to such other address or addresses of which notice in the same manner has previously been given. Any such notice shall be deemed to have been given upon the earlier of receipt, one business day following delivery to a recognized courier service or three business days following mailing by registered or certified mail.</w:t>
      </w:r>
    </w:p>
    <w:p>
      <w:pPr>
        <w:spacing w:after="0" w:line="184"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without giving effect to the conflict of law principles thereof. For the purpose of litigating any dispute that arises under this Agreement, the parties hereby consent to exclusive jurisdiction in New York and agree that such litigation shall be conducted in the state courts of New York or the federal courts of the United States for the District of New York.</w:t>
      </w:r>
    </w:p>
    <w:p>
      <w:pPr>
        <w:spacing w:after="0" w:line="187"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BENEFIT OF AGREEMENT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Agreement shall be for the benefit of and shall be binding upon the heirs, executors, administrators, successors and assigns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11"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Agreement and the Stock Option Grant Notice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w:t>
      </w:r>
    </w:p>
    <w:p>
      <w:pPr>
        <w:spacing w:after="0" w:line="187"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terms and provisions of this Agreement may be modified or amended by the Company at any time; provided, however, that the Company may not make any amendment which would otherwise constitute an impairment of the rights of Participant unless the Participant consents in writing.</w:t>
      </w:r>
    </w:p>
    <w:p>
      <w:pPr>
        <w:spacing w:after="0" w:line="184"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WAIVERS AND CONSENTS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By entering into this Agreement, the Participant: (i) authorizes the Company and each Affiliate, and any agent of the Company or any Affiliate administering the Option or providing equity award recordkeeping services, to disclose to the Company or any of its Affiliates such information and data as the Company or any such Affiliate shall request in order to facilitate the grant of options and the administration of the Option; and (ii) authorizes the Company and each Affiliate to store and transmit such information in electronic form for the purposes set forth in this Agreement.</w:t>
      </w:r>
    </w:p>
    <w:p>
      <w:pPr>
        <w:spacing w:after="0" w:line="157"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CLAWBACK</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Company may cancel the Option, require reimbursement with respect to the Option by Participant, and effect any other right of recoupment of equity or other compensation in accordance with any Company policies that may be adopted and/or modified from time to time (“</w:t>
      </w:r>
      <w:r>
        <w:rPr>
          <w:rFonts w:ascii="Arial" w:cs="Arial" w:eastAsia="Arial" w:hAnsi="Arial"/>
          <w:sz w:val="16"/>
          <w:szCs w:val="16"/>
          <w:b w:val="1"/>
          <w:bCs w:val="1"/>
          <w:color w:val="auto"/>
        </w:rPr>
        <w:t>Clawback</w:t>
      </w:r>
      <w:r>
        <w:rPr>
          <w:rFonts w:ascii="Arial" w:cs="Arial" w:eastAsia="Arial" w:hAnsi="Arial"/>
          <w:sz w:val="16"/>
          <w:szCs w:val="16"/>
          <w:color w:val="auto"/>
        </w:rPr>
        <w:t xml:space="preserve"> </w:t>
      </w:r>
      <w:r>
        <w:rPr>
          <w:rFonts w:ascii="Arial" w:cs="Arial" w:eastAsia="Arial" w:hAnsi="Arial"/>
          <w:sz w:val="16"/>
          <w:szCs w:val="16"/>
          <w:b w:val="1"/>
          <w:bCs w:val="1"/>
          <w:color w:val="auto"/>
        </w:rPr>
        <w:t>Policy</w:t>
      </w:r>
      <w:r>
        <w:rPr>
          <w:rFonts w:ascii="Arial" w:cs="Arial" w:eastAsia="Arial" w:hAnsi="Arial"/>
          <w:sz w:val="16"/>
          <w:szCs w:val="16"/>
          <w:color w:val="auto"/>
        </w:rPr>
        <w:t>”). In addition, Participant may be required to repay to the Company previously paid compensation under this Agreement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Clawback Policy. By accepting an Award,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61"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Option and this Agreement shall be administered by the Board. The Board, in its sole discretion, has the authority to (i) interpret, administer, reconcile any inconsistency in, correct any defect in and/or supply any omission in this Agreement and any instrument or agreement relating to, this Agreement, and (ii) to exercise discretion to make any and all other determinations which it determines to be necessary or advisable for the administration of the Option. All decisions made by the Board pursuant to the provisions of this Agreement shall be final and binding on the Company and the Participant.</w:t>
      </w:r>
    </w:p>
    <w:p>
      <w:pPr>
        <w:spacing w:after="0" w:line="188"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SECTION 409A</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This Agreement is intended to be exempt from, or comply with, Section 409A of the Code to the extent subject thereto, and, accordingly, to the maximum extent permitted, this Agreement shall be interpreted and administered to be in compliance therewith. Notwithstanding anything to the contrary in this Agreement, to the extent required to avoid accelerated taxation and tax penalties under Section 409A of the Code, amounts that would otherwise be payable and benefits that would otherwise be provided pursuant to this Agreement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Board shall have any obligation to take any action to prevent the assessment of any additional tax or penalty on Participant under Section 409A of the Code and neither the Company nor the Board will have any liability to any Participant for such tax or penalty.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16</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It is the intent of the Company that this Agreement satisfy, and be interpreted in a manner that satisfies, the applicable requirements of Rule 16b-3 as promulgated under Section 16 of the Exchange Act so that Participant will be entitled to the benefit of Rule 16b-3, or any other rule promulgated under Section 16 of the Exchange Act, and will not be subject to short-swing liability under Section 16 of the Exchange Act. Accordingly, if the operation of any provision of this Agreement would conflict with the intent expressed in this Section, such provision to the extent possible shall be interpreted and/or deemed amended so as to avoid such conflict.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EXERCISE OF STOCK OPTION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[Form for Shares </w:t>
      </w:r>
      <w:r>
        <w:rPr>
          <w:rFonts w:ascii="Arial" w:cs="Arial" w:eastAsia="Arial" w:hAnsi="Arial"/>
          <w:sz w:val="18"/>
          <w:szCs w:val="18"/>
          <w:b w:val="1"/>
          <w:bCs w:val="1"/>
          <w:u w:val="single" w:color="auto"/>
          <w:color w:val="auto"/>
        </w:rPr>
        <w:t>registered</w:t>
      </w:r>
      <w:r>
        <w:rPr>
          <w:rFonts w:ascii="Arial" w:cs="Arial" w:eastAsia="Arial" w:hAnsi="Arial"/>
          <w:sz w:val="18"/>
          <w:szCs w:val="18"/>
          <w:b w:val="1"/>
          <w:bCs w:val="1"/>
          <w:color w:val="auto"/>
        </w:rPr>
        <w:t xml:space="preserve"> in the United States]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IMPORTANT NOTICE: This form of Notice of Exercise may only be used at such time as the Company has filed a Registration Statement with the Securities and Exchange Commission under which the issuance of the Shares for which this exercise is being made is registered and such Registration Statement remains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 hereby exercise my Stock Option to purchase </w:t>
      </w:r>
      <w:r>
        <w:rPr>
          <w:rFonts w:ascii="Arial" w:cs="Arial" w:eastAsia="Arial" w:hAnsi="Arial"/>
          <w:sz w:val="16"/>
          <w:szCs w:val="16"/>
          <w:u w:val="single" w:color="auto"/>
          <w:color w:val="auto"/>
        </w:rPr>
        <w:t>_____</w:t>
      </w:r>
      <w:r>
        <w:rPr>
          <w:rFonts w:ascii="Arial" w:cs="Arial" w:eastAsia="Arial" w:hAnsi="Arial"/>
          <w:sz w:val="16"/>
          <w:szCs w:val="16"/>
          <w:color w:val="auto"/>
        </w:rPr>
        <w:t xml:space="preserve">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common stock, $0.01 par value, of XpresSpa Group, Inc.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at the exercise price of $_____ per share, pursuant to and subject to the terms of that Stock Option Grant Notice dated January __, 2022. I</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understand the nature of the investment I am making and the financial risks thereof. I am aware that it is my responsibility to have consulted with competent tax and legal advisors about the relevant national, state and local income tax and securities laws affecting the exercise of the Option and the purchase and subsequent sale of the Shares.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am paying the option exercise price for the Shares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297815</wp:posOffset>
            </wp:positionV>
            <wp:extent cx="4612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Please issue the Shares (check one):</w:t>
      </w:r>
    </w:p>
    <w:p>
      <w:pPr>
        <w:spacing w:after="0" w:line="225" w:lineRule="exact"/>
        <w:rPr>
          <w:sz w:val="20"/>
          <w:szCs w:val="20"/>
          <w:color w:val="auto"/>
        </w:rPr>
      </w:pPr>
    </w:p>
    <w:p>
      <w:pPr>
        <w:ind w:left="780" w:hanging="205"/>
        <w:spacing w:after="0"/>
        <w:tabs>
          <w:tab w:leader="none" w:pos="780"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to me; or</w:t>
      </w:r>
    </w:p>
    <w:p>
      <w:pPr>
        <w:spacing w:after="0" w:line="225" w:lineRule="exact"/>
        <w:rPr>
          <w:rFonts w:ascii="MS PGothic" w:cs="MS PGothic" w:eastAsia="MS PGothic" w:hAnsi="MS PGothic"/>
          <w:sz w:val="18"/>
          <w:szCs w:val="18"/>
          <w:color w:val="auto"/>
        </w:rPr>
      </w:pPr>
    </w:p>
    <w:p>
      <w:pPr>
        <w:ind w:left="580" w:right="4080" w:hanging="5"/>
        <w:spacing w:after="0" w:line="527" w:lineRule="auto"/>
        <w:tabs>
          <w:tab w:leader="none" w:pos="787"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to me and ____________________________, as joint tenants with right of survivorship,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426085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280670</wp:posOffset>
            </wp:positionV>
            <wp:extent cx="3206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134620</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320"/>
        <w:spacing w:after="0"/>
        <w:rPr>
          <w:sz w:val="20"/>
          <w:szCs w:val="20"/>
          <w:color w:val="auto"/>
        </w:rPr>
      </w:pPr>
      <w:r>
        <w:rPr>
          <w:rFonts w:ascii="Arial" w:cs="Arial" w:eastAsia="Arial" w:hAnsi="Arial"/>
          <w:sz w:val="16"/>
          <w:szCs w:val="16"/>
          <w:color w:val="auto"/>
        </w:rPr>
        <w:t>My mailing address for shareholder communications, if different from the address listed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594995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449580</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303530</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-130175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-130175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-130175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288925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288925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288925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of Receipt of Notice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288925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908"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DEFINED TERMS APPENDIX</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or other entity that, directly or through one or more intermediaries, controls, is controlled by or is under common control with, the Company.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at any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the occurrence of any of the following:</w:t>
      </w:r>
    </w:p>
    <w:p>
      <w:pPr>
        <w:spacing w:after="0" w:line="67" w:lineRule="exact"/>
        <w:rPr>
          <w:sz w:val="20"/>
          <w:szCs w:val="20"/>
          <w:color w:val="auto"/>
        </w:rPr>
      </w:pPr>
    </w:p>
    <w:p>
      <w:pPr>
        <w:jc w:val="both"/>
        <w:ind w:left="840" w:hanging="279"/>
        <w:spacing w:after="0" w:line="257"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Any “Person” (as such term is used in Sections 13(d) and 14(d) of the Exchange Act) becomes the “Beneficial Owner”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does not approve; or</w:t>
      </w:r>
    </w:p>
    <w:p>
      <w:pPr>
        <w:spacing w:after="0" w:line="79" w:lineRule="exact"/>
        <w:rPr>
          <w:rFonts w:ascii="Arial" w:cs="Arial" w:eastAsia="Arial" w:hAnsi="Arial"/>
          <w:sz w:val="18"/>
          <w:szCs w:val="18"/>
          <w:color w:val="auto"/>
        </w:rPr>
      </w:pPr>
    </w:p>
    <w:p>
      <w:pPr>
        <w:jc w:val="both"/>
        <w:ind w:left="840" w:hanging="279"/>
        <w:spacing w:after="0" w:line="255"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Merger/Sale of Assets</w:t>
      </w:r>
      <w:r>
        <w:rPr>
          <w:rFonts w:ascii="Arial" w:cs="Arial" w:eastAsia="Arial" w:hAnsi="Arial"/>
          <w:sz w:val="18"/>
          <w:szCs w:val="18"/>
          <w:color w:val="auto"/>
        </w:rPr>
        <w:t>. (A) A merger or consolidation of the Company whether or not approved by the Board, other than a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84" w:lineRule="exact"/>
        <w:rPr>
          <w:sz w:val="20"/>
          <w:szCs w:val="20"/>
          <w:color w:val="auto"/>
        </w:rPr>
      </w:pPr>
    </w:p>
    <w:p>
      <w:pPr>
        <w:jc w:val="both"/>
        <w:ind w:left="840" w:hanging="269"/>
        <w:spacing w:after="0" w:line="255" w:lineRule="auto"/>
        <w:rPr>
          <w:sz w:val="20"/>
          <w:szCs w:val="20"/>
          <w:color w:val="auto"/>
        </w:rPr>
      </w:pPr>
      <w:r>
        <w:rPr>
          <w:rFonts w:ascii="Arial" w:cs="Arial" w:eastAsia="Arial" w:hAnsi="Arial"/>
          <w:sz w:val="18"/>
          <w:szCs w:val="18"/>
          <w:color w:val="auto"/>
        </w:rPr>
        <w:t>(iii)</w:t>
      </w:r>
      <w:r>
        <w:rPr>
          <w:rFonts w:ascii="Arial" w:cs="Arial" w:eastAsia="Arial" w:hAnsi="Arial"/>
          <w:sz w:val="18"/>
          <w:szCs w:val="18"/>
          <w:i w:val="1"/>
          <w:iCs w:val="1"/>
          <w:color w:val="auto"/>
        </w:rPr>
        <w:t>Change in Board Composition</w:t>
      </w:r>
      <w:r>
        <w:rPr>
          <w:rFonts w:ascii="Arial" w:cs="Arial" w:eastAsia="Arial" w:hAnsi="Arial"/>
          <w:sz w:val="18"/>
          <w:szCs w:val="18"/>
          <w:color w:val="auto"/>
        </w:rPr>
        <w:t>. A change in the composition of the Board, as a result of which fewer than a majority of the directors are Incumbent Directors. “</w:t>
      </w:r>
      <w:r>
        <w:rPr>
          <w:rFonts w:ascii="Arial" w:cs="Arial" w:eastAsia="Arial" w:hAnsi="Arial"/>
          <w:sz w:val="18"/>
          <w:szCs w:val="18"/>
          <w:b w:val="1"/>
          <w:bCs w:val="1"/>
          <w:color w:val="auto"/>
        </w:rPr>
        <w:t>Incumbent Directors</w:t>
      </w:r>
      <w:r>
        <w:rPr>
          <w:rFonts w:ascii="Arial" w:cs="Arial" w:eastAsia="Arial" w:hAnsi="Arial"/>
          <w:sz w:val="18"/>
          <w:szCs w:val="18"/>
          <w:color w:val="auto"/>
        </w:rPr>
        <w:t>” shall mean directors who either (A) are directors of the Company as of the effective date of the Company’s 2020 Equity Incentive Plan, which for this purpose shall be the date of its approval by the stockholders of the Company,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right="100"/>
        <w:spacing w:after="0" w:line="257" w:lineRule="auto"/>
        <w:rPr>
          <w:sz w:val="20"/>
          <w:szCs w:val="20"/>
          <w:color w:val="auto"/>
        </w:rPr>
      </w:pPr>
      <w:r>
        <w:rPr>
          <w:rFonts w:ascii="Arial" w:cs="Arial" w:eastAsia="Arial" w:hAnsi="Arial"/>
          <w:sz w:val="18"/>
          <w:szCs w:val="18"/>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it may be amended from time to time. Any reference to a section of the Code shall be deemed to include a reference to any regulations promulgated thereunder.</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$0.01 par value per share, or such other securities of the Company as may be designated by the Board from time to time in substitution thereof.</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Continuous Service</w:t>
      </w:r>
      <w:r>
        <w:rPr>
          <w:rFonts w:ascii="Arial" w:cs="Arial" w:eastAsia="Arial" w:hAnsi="Arial"/>
          <w:sz w:val="16"/>
          <w:szCs w:val="16"/>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there is no interruption or termination of the Participant’s Continuous Service; </w:t>
      </w:r>
      <w:r>
        <w:rPr>
          <w:rFonts w:ascii="Arial" w:cs="Arial" w:eastAsia="Arial" w:hAnsi="Arial"/>
          <w:sz w:val="16"/>
          <w:szCs w:val="16"/>
          <w:i w:val="1"/>
          <w:iCs w:val="1"/>
          <w:color w:val="auto"/>
        </w:rPr>
        <w:t>provided further that</w:t>
      </w:r>
      <w:r>
        <w:rPr>
          <w:rFonts w:ascii="Arial" w:cs="Arial" w:eastAsia="Arial" w:hAnsi="Arial"/>
          <w:sz w:val="16"/>
          <w:szCs w:val="16"/>
          <w:color w:val="auto"/>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Board or its delegate, in its sole discretion, may determine whether Continuous Service shall be considered interrupted in the case of any leave of absence approved by that party, including sick leave, military leave or any other personal or family leave of absence. The Board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permanent and total disability as defined in Section 22(e)(3) of the Code.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means any person, including an Officer or Director, employed as an employee by the Company or an Affiliate. Mere service as a Director or payment of a director’s fee by the Company or an Affiliate shall not be sufficient to constitute “employment” by the Company or an Affiliate.</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Agreement</w:t>
      </w:r>
      <w:r>
        <w:rPr>
          <w:rFonts w:ascii="Arial" w:cs="Arial" w:eastAsia="Arial" w:hAnsi="Arial"/>
          <w:sz w:val="18"/>
          <w:szCs w:val="18"/>
          <w:color w:val="auto"/>
        </w:rPr>
        <w:t>” means that certain Executive Employment Agreement, dated January 9, 2022, by and between the Company and Participant, as may be amended and/or restated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Wall Street Journal. In the absence of an established market for the Common Stock, the Fair Market Value shall be determined in good faith by the Committee and such determination shall be conclusive and binding on all persons.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that is designated by the Committee as an incentive stock option within the meaning of Section 422 of the Code and that meets the requirements set out in the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that by its terms does not qualify or is not intended to qualify as an Incentive Stock Option.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person as defined in Section 13(d)(3) of the 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March 31, 2022, with respect to our audit of the consolidated financial statements of XpresSpa Group, Inc. as of and for the year ended December 31, 2021, appearing in the Annual Report on Form 10-K of XpresSpa Group, Inc.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East Hanover,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Newly Registered Securities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34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3"/>
              </w:rPr>
              <w:t>Fee</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22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calculation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w:t>
            </w:r>
          </w:p>
        </w:tc>
      </w:tr>
      <w:tr>
        <w:trPr>
          <w:trHeight w:val="234"/>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type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Security class title</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0"/>
              </w:rPr>
              <w:t>rule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 (1)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 share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Fee rate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fee</w:t>
            </w:r>
          </w:p>
        </w:tc>
      </w:tr>
      <w:tr>
        <w:trPr>
          <w:trHeight w:val="195"/>
        </w:trPr>
        <w:tc>
          <w:tcPr>
            <w:tcW w:w="9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Equity</w:t>
            </w: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w:t>
            </w:r>
          </w:p>
        </w:tc>
        <w:tc>
          <w:tcPr>
            <w:tcW w:w="420" w:type="dxa"/>
            <w:vAlign w:val="bottom"/>
          </w:tcPr>
          <w:p>
            <w:pPr>
              <w:spacing w:after="0"/>
              <w:rPr>
                <w:sz w:val="16"/>
                <w:szCs w:val="16"/>
                <w:color w:val="auto"/>
              </w:rPr>
            </w:pPr>
          </w:p>
        </w:tc>
        <w:tc>
          <w:tcPr>
            <w:tcW w:w="940" w:type="dxa"/>
            <w:vAlign w:val="bottom"/>
            <w:tcBorders>
              <w:right w:val="single" w:sz="8" w:color="auto"/>
            </w:tcBorders>
          </w:tcPr>
          <w:p>
            <w:pPr>
              <w:jc w:val="center"/>
              <w:ind w:right="370"/>
              <w:spacing w:after="0" w:line="195" w:lineRule="exact"/>
              <w:rPr>
                <w:sz w:val="20"/>
                <w:szCs w:val="20"/>
                <w:color w:val="auto"/>
              </w:rPr>
            </w:pPr>
            <w:r>
              <w:rPr>
                <w:rFonts w:ascii="Arial" w:cs="Arial" w:eastAsia="Arial" w:hAnsi="Arial"/>
                <w:sz w:val="18"/>
                <w:szCs w:val="18"/>
                <w:color w:val="auto"/>
                <w:w w:val="92"/>
              </w:rPr>
              <w:t>457(h)</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1,000,000</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$1.64 (3)</w:t>
            </w:r>
          </w:p>
        </w:tc>
        <w:tc>
          <w:tcPr>
            <w:tcW w:w="134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9"/>
              </w:rPr>
              <w:t>$1,640,000 (3)</w:t>
            </w:r>
          </w:p>
        </w:tc>
        <w:tc>
          <w:tcPr>
            <w:tcW w:w="13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$92.70 per</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$152.03</w:t>
            </w: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value</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shares (2)</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w:t>
            </w: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940" w:type="dxa"/>
            <w:vAlign w:val="bottom"/>
            <w:tcBorders>
              <w:left w:val="single" w:sz="8" w:color="auto"/>
              <w:bottom w:val="single" w:sz="8" w:color="auto"/>
            </w:tcBorders>
          </w:tcPr>
          <w:p>
            <w:pPr>
              <w:spacing w:after="0"/>
              <w:rPr>
                <w:sz w:val="18"/>
                <w:szCs w:val="18"/>
                <w:color w:val="auto"/>
              </w:rPr>
            </w:pPr>
          </w:p>
        </w:tc>
        <w:tc>
          <w:tcPr>
            <w:tcW w:w="360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91"/>
              </w:rPr>
              <w:t>Total Offering Amounts</w:t>
            </w: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$1,640,000</w:t>
            </w: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$152.03</w:t>
            </w:r>
          </w:p>
        </w:tc>
      </w:tr>
      <w:tr>
        <w:trPr>
          <w:trHeight w:val="210"/>
        </w:trPr>
        <w:tc>
          <w:tcPr>
            <w:tcW w:w="94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center"/>
              <w:ind w:left="1270"/>
              <w:spacing w:after="0"/>
              <w:rPr>
                <w:sz w:val="20"/>
                <w:szCs w:val="20"/>
                <w:color w:val="auto"/>
              </w:rPr>
            </w:pPr>
            <w:r>
              <w:rPr>
                <w:rFonts w:ascii="Arial" w:cs="Arial" w:eastAsia="Arial" w:hAnsi="Arial"/>
                <w:sz w:val="18"/>
                <w:szCs w:val="18"/>
                <w:b w:val="1"/>
                <w:bCs w:val="1"/>
                <w:color w:val="auto"/>
                <w:w w:val="88"/>
              </w:rPr>
              <w:t>Total Fee Offsets</w:t>
            </w: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center"/>
              <w:ind w:left="1270"/>
              <w:spacing w:after="0"/>
              <w:rPr>
                <w:sz w:val="20"/>
                <w:szCs w:val="20"/>
                <w:color w:val="auto"/>
              </w:rPr>
            </w:pPr>
            <w:r>
              <w:rPr>
                <w:rFonts w:ascii="Arial" w:cs="Arial" w:eastAsia="Arial" w:hAnsi="Arial"/>
                <w:sz w:val="18"/>
                <w:szCs w:val="18"/>
                <w:b w:val="1"/>
                <w:bCs w:val="1"/>
                <w:color w:val="auto"/>
                <w:w w:val="90"/>
              </w:rPr>
              <w:t>Net Fee Due</w:t>
            </w:r>
          </w:p>
        </w:tc>
        <w:tc>
          <w:tcPr>
            <w:tcW w:w="9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$152.03</w:t>
            </w:r>
          </w:p>
        </w:tc>
      </w:tr>
    </w:tbl>
    <w:p>
      <w:pPr>
        <w:ind w:left="420" w:right="40" w:hanging="412"/>
        <w:spacing w:after="0" w:line="250"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shall also cover an indeterminate number of additional shares of the Registrant’s common stock, par value $0.01 per share (the “Common Stock”), that becomes issuable under the XpresSpa Group, Inc. 2020 Equity Incentive Plan by reason of any stock splits, stock dividends, recapitalization or other similar transactions.</w:t>
      </w:r>
    </w:p>
    <w:p>
      <w:pPr>
        <w:spacing w:after="0" w:line="1" w:lineRule="exact"/>
        <w:rPr>
          <w:rFonts w:ascii="Arial" w:cs="Arial" w:eastAsia="Arial" w:hAnsi="Arial"/>
          <w:sz w:val="18"/>
          <w:szCs w:val="18"/>
          <w:color w:val="auto"/>
        </w:rPr>
      </w:pPr>
    </w:p>
    <w:p>
      <w:pPr>
        <w:ind w:left="420" w:right="300" w:hanging="412"/>
        <w:spacing w:after="0" w:line="281"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shares issuable under an inducement stock option award (the “Inducement Award”) pursuant to an inducement stock option agreement entered into by the Registrant and an employee of the Registrant on January 14, 2022, in accordance with Nasdaq Listing Rule 5635(c)(4).</w:t>
      </w:r>
    </w:p>
    <w:p>
      <w:pPr>
        <w:spacing w:after="0" w:line="1" w:lineRule="exact"/>
        <w:rPr>
          <w:rFonts w:ascii="Arial" w:cs="Arial" w:eastAsia="Arial" w:hAnsi="Arial"/>
          <w:sz w:val="16"/>
          <w:szCs w:val="16"/>
          <w:color w:val="auto"/>
        </w:rPr>
      </w:pPr>
    </w:p>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the exercise price per share of the 1,000,000 shares issuable under the Inducement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Letter"/>
      <w:start w:val="1"/>
    </w:lvl>
  </w:abstractNum>
  <w:abstractNum w:abstractNumId="1">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57130A3"/>
    <w:multiLevelType w:val="hybridMultilevel"/>
    <w:lvl w:ilvl="0">
      <w:lvlJc w:val="left"/>
      <w:lvlText w:val="%1"/>
      <w:numFmt w:val="lowerLetter"/>
      <w:start w:val="1"/>
    </w:lvl>
    <w:lvl w:ilvl="1">
      <w:lvlJc w:val="left"/>
      <w:lvlText w:val="(%2)"/>
      <w:numFmt w:val="decimal"/>
      <w:start w:val="2"/>
    </w:lvl>
  </w:abstractNum>
  <w:abstractNum w:abstractNumId="3">
    <w:nsid w:val="62BBD95A"/>
    <w:multiLevelType w:val="hybridMultilevel"/>
    <w:lvl w:ilvl="0">
      <w:lvlJc w:val="left"/>
      <w:lvlText w:val="(%1)"/>
      <w:numFmt w:val="lowerLetter"/>
      <w:start w:val="2"/>
    </w:lvl>
    <w:lvl w:ilvl="1">
      <w:lvlJc w:val="left"/>
      <w:lvlText w:val="%2"/>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8"/>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2"/>
    </w:lvl>
  </w:abstractNum>
  <w:abstractNum w:abstractNumId="9">
    <w:nsid w:val="2D1D5AE9"/>
    <w:multiLevelType w:val="hybridMultilevel"/>
    <w:lvl w:ilvl="0">
      <w:lvlJc w:val="left"/>
      <w:lvlText w:val="%1."/>
      <w:numFmt w:val="decimal"/>
      <w:start w:val="3"/>
    </w:lvl>
  </w:abstractNum>
  <w:abstractNum w:abstractNumId="10">
    <w:nsid w:val="6763845E"/>
    <w:multiLevelType w:val="hybridMultilevel"/>
    <w:lvl w:ilvl="0">
      <w:lvlJc w:val="left"/>
      <w:lvlText w:val="%1."/>
      <w:numFmt w:val="decimal"/>
      <w:start w:val="4"/>
    </w:lvl>
  </w:abstractNum>
  <w:abstractNum w:abstractNumId="11">
    <w:nsid w:val="75A2A8D4"/>
    <w:multiLevelType w:val="hybridMultilevel"/>
    <w:lvl w:ilvl="0">
      <w:lvlJc w:val="left"/>
      <w:lvlText w:val="%1."/>
      <w:numFmt w:val="decimal"/>
      <w:start w:val="5"/>
    </w:lvl>
  </w:abstractNum>
  <w:abstractNum w:abstractNumId="12">
    <w:nsid w:val="8EDBDAB"/>
    <w:multiLevelType w:val="hybridMultilevel"/>
    <w:lvl w:ilvl="0">
      <w:lvlJc w:val="left"/>
      <w:lvlText w:val="(%1)"/>
      <w:numFmt w:val="lowerRoman"/>
      <w:start w:val="1"/>
    </w:lvl>
    <w:lvl w:ilvl="1">
      <w:lvlJc w:val="left"/>
      <w:lvlText w:val="%2."/>
      <w:numFmt w:val="decimal"/>
      <w:start w:val="6"/>
    </w:lvl>
  </w:abstractNum>
  <w:abstractNum w:abstractNumId="13">
    <w:nsid w:val="79838CB2"/>
    <w:multiLevelType w:val="hybridMultilevel"/>
    <w:lvl w:ilvl="0">
      <w:lvlJc w:val="left"/>
      <w:lvlText w:val="%1."/>
      <w:numFmt w:val="decimal"/>
      <w:start w:val="7"/>
    </w:lvl>
  </w:abstractNum>
  <w:abstractNum w:abstractNumId="14">
    <w:nsid w:val="4353D0CD"/>
    <w:multiLevelType w:val="hybridMultilevel"/>
    <w:lvl w:ilvl="0">
      <w:lvlJc w:val="left"/>
      <w:lvlText w:val="%1."/>
      <w:numFmt w:val="decimal"/>
      <w:start w:val="8"/>
    </w:lvl>
  </w:abstractNum>
  <w:abstractNum w:abstractNumId="15">
    <w:nsid w:val="B03E0C6"/>
    <w:multiLevelType w:val="hybridMultilevel"/>
    <w:lvl w:ilvl="0">
      <w:lvlJc w:val="left"/>
      <w:lvlText w:val="%1."/>
      <w:numFmt w:val="decimal"/>
      <w:start w:val="9"/>
    </w:lvl>
  </w:abstractNum>
  <w:abstractNum w:abstractNumId="16">
    <w:nsid w:val="189A769B"/>
    <w:multiLevelType w:val="hybridMultilevel"/>
    <w:lvl w:ilvl="0">
      <w:lvlJc w:val="left"/>
      <w:lvlText w:val="%1."/>
      <w:numFmt w:val="decimal"/>
      <w:start w:val="10"/>
    </w:lvl>
  </w:abstractNum>
  <w:abstractNum w:abstractNumId="17">
    <w:nsid w:val="54E49EB4"/>
    <w:multiLevelType w:val="hybridMultilevel"/>
    <w:lvl w:ilvl="0">
      <w:lvlJc w:val="left"/>
      <w:lvlText w:val="%1."/>
      <w:numFmt w:val="decimal"/>
      <w:start w:val="1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decimal"/>
      <w:start w:val="1"/>
    </w:lvl>
    <w:lvl w:ilvl="1">
      <w:lvlJc w:val="left"/>
      <w:lvlText w:val="(%2)"/>
      <w:numFmt w:val="lowerLetter"/>
      <w:start w:val="2"/>
    </w:lvl>
  </w:abstractNum>
  <w:abstractNum w:abstractNumId="20">
    <w:nsid w:val="836C40E"/>
    <w:multiLevelType w:val="hybridMultilevel"/>
    <w:lvl w:ilvl="0">
      <w:lvlJc w:val="left"/>
      <w:lvlText w:val="%1."/>
      <w:numFmt w:val="decimal"/>
      <w:start w:val="12"/>
    </w:lvl>
    <w:lvl w:ilvl="1">
      <w:lvlJc w:val="left"/>
      <w:lvlText w:val="%2"/>
      <w:numFmt w:val="lowerLetter"/>
      <w:start w:val="1"/>
    </w:lvl>
  </w:abstractNum>
  <w:abstractNum w:abstractNumId="21">
    <w:nsid w:val="2901D82"/>
    <w:multiLevelType w:val="hybridMultilevel"/>
    <w:lvl w:ilvl="0">
      <w:lvlJc w:val="left"/>
      <w:lvlText w:val="%1."/>
      <w:numFmt w:val="decimal"/>
      <w:start w:val="13"/>
    </w:lvl>
  </w:abstractNum>
  <w:abstractNum w:abstractNumId="22">
    <w:nsid w:val="3A95F874"/>
    <w:multiLevelType w:val="hybridMultilevel"/>
    <w:lvl w:ilvl="0">
      <w:lvlJc w:val="left"/>
      <w:lvlText w:val="%1."/>
      <w:numFmt w:val="decimal"/>
      <w:start w:val="14"/>
    </w:lvl>
  </w:abstractNum>
  <w:abstractNum w:abstractNumId="23">
    <w:nsid w:val="8138641"/>
    <w:multiLevelType w:val="hybridMultilevel"/>
    <w:lvl w:ilvl="0">
      <w:lvlJc w:val="left"/>
      <w:lvlText w:val="%1."/>
      <w:numFmt w:val="decimal"/>
      <w:start w:val="15"/>
    </w:lvl>
  </w:abstractNum>
  <w:abstractNum w:abstractNumId="24">
    <w:nsid w:val="1E7FF521"/>
    <w:multiLevelType w:val="hybridMultilevel"/>
    <w:lvl w:ilvl="0">
      <w:lvlJc w:val="left"/>
      <w:lvlText w:val="%1."/>
      <w:numFmt w:val="decimal"/>
      <w:start w:val="16"/>
    </w:lvl>
  </w:abstractNum>
  <w:abstractNum w:abstractNumId="25">
    <w:nsid w:val="7C3DBD3D"/>
    <w:multiLevelType w:val="hybridMultilevel"/>
    <w:lvl w:ilvl="0">
      <w:lvlJc w:val="left"/>
      <w:lvlText w:val="%1."/>
      <w:numFmt w:val="decimal"/>
      <w:start w:val="17"/>
    </w:lvl>
  </w:abstractNum>
  <w:abstractNum w:abstractNumId="26">
    <w:nsid w:val="737B8DDC"/>
    <w:multiLevelType w:val="hybridMultilevel"/>
    <w:lvl w:ilvl="0">
      <w:lvlJc w:val="left"/>
      <w:lvlText w:val="%1."/>
      <w:numFmt w:val="decimal"/>
      <w:start w:val="18"/>
    </w:lvl>
  </w:abstractNum>
  <w:abstractNum w:abstractNumId="27">
    <w:nsid w:val="6CEAF087"/>
    <w:multiLevelType w:val="hybridMultilevel"/>
    <w:lvl w:ilvl="0">
      <w:lvlJc w:val="left"/>
      <w:lvlText w:val="%1."/>
      <w:numFmt w:val="decimal"/>
      <w:start w:val="19"/>
    </w:lvl>
  </w:abstractNum>
  <w:abstractNum w:abstractNumId="28">
    <w:nsid w:val="22221A70"/>
    <w:multiLevelType w:val="hybridMultilevel"/>
    <w:lvl w:ilvl="0">
      <w:lvlJc w:val="left"/>
      <w:lvlText w:val="%1."/>
      <w:numFmt w:val="decimal"/>
      <w:start w:val="20"/>
    </w:lvl>
  </w:abstractNum>
  <w:abstractNum w:abstractNumId="29">
    <w:nsid w:val="4516DDE9"/>
    <w:multiLevelType w:val="hybridMultilevel"/>
    <w:lvl w:ilvl="0">
      <w:lvlJc w:val="left"/>
      <w:lvlText w:val="%1."/>
      <w:numFmt w:val="decimal"/>
      <w:start w:val="21"/>
    </w:lvl>
  </w:abstractNum>
  <w:abstractNum w:abstractNumId="30">
    <w:nsid w:val="3006C83E"/>
    <w:multiLevelType w:val="hybridMultilevel"/>
    <w:lvl w:ilvl="0">
      <w:lvlJc w:val="left"/>
      <w:lvlText w:val="%1."/>
      <w:numFmt w:val="decimal"/>
      <w:start w:val="22"/>
    </w:lvl>
  </w:abstractNum>
  <w:abstractNum w:abstractNumId="31">
    <w:nsid w:val="614FD4A1"/>
    <w:multiLevelType w:val="hybridMultilevel"/>
    <w:lvl w:ilvl="0">
      <w:lvlJc w:val="left"/>
      <w:lvlText w:val="%1."/>
      <w:numFmt w:val="decimal"/>
      <w:start w:val="23"/>
    </w:lvl>
  </w:abstractNum>
  <w:abstractNum w:abstractNumId="32">
    <w:nsid w:val="419AC241"/>
    <w:multiLevelType w:val="hybridMultilevel"/>
    <w:lvl w:ilvl="0">
      <w:lvlJc w:val="left"/>
      <w:lvlText w:val="%1."/>
      <w:numFmt w:val="decimal"/>
      <w:start w:val="24"/>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jpeg"/><Relationship Id="rId26" Type="http://schemas.openxmlformats.org/officeDocument/2006/relationships/image" Target="media/image12.png"/><Relationship Id="rId27" Type="http://schemas.openxmlformats.org/officeDocument/2006/relationships/image" Target="media/image13.jpe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13" Type="http://schemas.openxmlformats.org/officeDocument/2006/relationships/hyperlink" Target="http://www.sec.gov/ix?doc=/Archives/edgar/data/1410428/000155837022004897/xspa-20211231x10k.htm" TargetMode="External"/><Relationship Id="rId14" Type="http://schemas.openxmlformats.org/officeDocument/2006/relationships/hyperlink" Target="https://www.sec.gov/ix?doc=/Archives/edgar/data/1410428/000110465922002549/tm222437d1_8k.htm" TargetMode="External"/><Relationship Id="rId15" Type="http://schemas.openxmlformats.org/officeDocument/2006/relationships/hyperlink" Target="https://www.sec.gov/ix?doc=/Archives/edgar/data/1410428/000110465922006277/tm224035d1_8k.htm" TargetMode="External"/><Relationship Id="rId16" Type="http://schemas.openxmlformats.org/officeDocument/2006/relationships/hyperlink" Target="https://www.sec.gov/ix?doc=/Archives/edgar/data/1410428/000110465922007853/tm224576-1_8k.htm" TargetMode="External"/><Relationship Id="rId17" Type="http://schemas.openxmlformats.org/officeDocument/2006/relationships/hyperlink" Target="https://www.sec.gov/Archives/edgar/data/1410428/000114420416089194/v434658_8a12b.htm" TargetMode="External"/><Relationship Id="rId18" Type="http://schemas.openxmlformats.org/officeDocument/2006/relationships/hyperlink" Target="https://www.sec.gov/Archives/edgar/data/1410428/000114420413024675/v342843_8a12b.htm" TargetMode="External"/><Relationship Id="rId19" Type="http://schemas.openxmlformats.org/officeDocument/2006/relationships/hyperlink" Target="https://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2022-03-31T17:23:44Z</dcterms:created>
  <dcterms:modified xsi:type="dcterms:W3CDTF">2022-03-31T17:23:44Z</dcterms:modified>
</cp:coreProperties>
</file>