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640" w:type="dxa"/>
            <w:vAlign w:val="bottom"/>
          </w:tcPr>
          <w:p>
            <w:pPr>
              <w:ind w:left="2260"/>
              <w:spacing w:after="0"/>
              <w:rPr>
                <w:sz w:val="20"/>
                <w:szCs w:val="20"/>
                <w:color w:val="auto"/>
              </w:rPr>
            </w:pPr>
            <w:r>
              <w:rPr>
                <w:rFonts w:ascii="Arial" w:cs="Arial" w:eastAsia="Arial" w:hAnsi="Arial"/>
                <w:sz w:val="18"/>
                <w:szCs w:val="18"/>
                <w:b w:val="1"/>
                <w:bCs w:val="1"/>
                <w:color w:val="auto"/>
              </w:rPr>
              <w:t>FORM 8-K</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Current Report</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6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6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Securities Exchange Act of 1934</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6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Date of Report (Date of earliest event reported): September 11, 2014</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640" w:type="dxa"/>
            <w:vAlign w:val="bottom"/>
          </w:tcPr>
          <w:p>
            <w:pPr>
              <w:jc w:val="center"/>
              <w:ind w:right="70"/>
              <w:spacing w:after="0"/>
              <w:rPr>
                <w:sz w:val="20"/>
                <w:szCs w:val="20"/>
                <w:color w:val="auto"/>
              </w:rPr>
            </w:pPr>
            <w:r>
              <w:rPr>
                <w:rFonts w:ascii="Arial" w:cs="Arial" w:eastAsia="Arial" w:hAnsi="Arial"/>
                <w:sz w:val="18"/>
                <w:szCs w:val="18"/>
                <w:b w:val="1"/>
                <w:bCs w:val="1"/>
                <w:color w:val="auto"/>
              </w:rPr>
              <w:t>VRINGO, INC.</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6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680" w:type="dxa"/>
            <w:vAlign w:val="bottom"/>
          </w:tcPr>
          <w:p>
            <w:pPr>
              <w:spacing w:after="0"/>
              <w:rPr>
                <w:sz w:val="20"/>
                <w:szCs w:val="20"/>
                <w:color w:val="auto"/>
              </w:rPr>
            </w:pPr>
          </w:p>
        </w:tc>
      </w:tr>
      <w:tr>
        <w:trPr>
          <w:trHeight w:val="41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6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6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6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6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780 Third Avenue, 12</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 New York, New York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6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6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September 11, 2014, Vringo, Inc. (the “Company”) issued 400,000 restricted shares of common stock of the Company to the law firm Boies, Schiller &amp; Flexner LLP (“BSF”) in consideration of the engagement of BSF by the Company and the Company's wholly-owned subsidiary I/P Engine, Inc. Pursuant to the engagement, David Boies, Esq. chairman of BSF, will join Joseph R. Re, Esq. of Knobbe Martens Olson &amp; Bear LLP, counsel of record in proceedings at the U.S. Court of Appeals for the Federal Circuit, in seeking further review of the Federal Circuit's split appellate decision in I/P Engine's case against AOL Inc., Google Inc. et al. that issued on August 15, 2014 and reversed the judgment of the U.S. District Court for the Eastern District of Virginia. Mr. Boies will also serve as counsel of record in proceedings at the Supreme Court of the United States should I/P Engine or any defendant(s) file a petition for writ of certiorari, and argue the case should certiorari be granted.</w:t>
      </w:r>
    </w:p>
    <w:p>
      <w:pPr>
        <w:spacing w:after="0" w:line="17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issuance of the foregoing securities were exempt from registration under the Securities Act of 1933, as amended, under Section 4(a)(2) thereof as transactions by an issuer not involving any public offering inasmuch as the Company believes the acquirer is an accredited investor that acquired the securities for investment purposes and such securities were issued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7120" w:type="dxa"/>
            <w:vAlign w:val="bottom"/>
            <w:gridSpan w:val="2"/>
          </w:tcPr>
          <w:p>
            <w:pPr>
              <w:ind w:left="234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4300" w:type="dxa"/>
            <w:vAlign w:val="bottom"/>
          </w:tcPr>
          <w:p>
            <w:pPr>
              <w:spacing w:after="0"/>
              <w:rPr>
                <w:sz w:val="20"/>
                <w:szCs w:val="20"/>
                <w:color w:val="auto"/>
              </w:rPr>
            </w:pPr>
            <w:r>
              <w:rPr>
                <w:rFonts w:ascii="Arial" w:cs="Arial" w:eastAsia="Arial" w:hAnsi="Arial"/>
                <w:sz w:val="18"/>
                <w:szCs w:val="18"/>
                <w:color w:val="auto"/>
              </w:rPr>
              <w:t>Dated: September 12, 2014</w:t>
            </w:r>
          </w:p>
        </w:tc>
        <w:tc>
          <w:tcPr>
            <w:tcW w:w="7120" w:type="dxa"/>
            <w:vAlign w:val="bottom"/>
            <w:gridSpan w:val="2"/>
          </w:tcPr>
          <w:p>
            <w:pPr>
              <w:ind w:left="2340"/>
              <w:spacing w:after="0"/>
              <w:rPr>
                <w:sz w:val="20"/>
                <w:szCs w:val="20"/>
                <w:color w:val="auto"/>
              </w:rPr>
            </w:pPr>
            <w:r>
              <w:rPr>
                <w:rFonts w:ascii="Arial" w:cs="Arial" w:eastAsia="Arial" w:hAnsi="Arial"/>
                <w:sz w:val="18"/>
                <w:szCs w:val="18"/>
                <w:color w:val="auto"/>
              </w:rPr>
              <w:t>By:   /s/ Andrew D. Perlman</w:t>
            </w:r>
          </w:p>
        </w:tc>
      </w:tr>
      <w:tr>
        <w:trPr>
          <w:trHeight w:val="195"/>
        </w:trPr>
        <w:tc>
          <w:tcPr>
            <w:tcW w:w="4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4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4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2019-12-07T17:29:46Z</dcterms:created>
  <dcterms:modified xsi:type="dcterms:W3CDTF">2019-12-07T17:29:46Z</dcterms:modified>
</cp:coreProperties>
</file>