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tm2311046d2_nt10k.htm"/>
      <w:bookmarkStart w:id="1" w:name="kstm2311046d2_nt10k"/>
      <w:bookmarkEnd w:id="0"/>
      <w:bookmarkEnd w:id="1"/>
      <w:r>
        <w:rPr/>
        <w:t> </w:t>
      </w:r>
    </w:p>
    <w:p>
      <w:pPr>
        <w:pStyle w:val="TextBody"/>
        <w:ind w:left="0" w:right="0" w:hanging="0"/>
        <w:rPr>
          <w:bdr w:val="single" w:sz="16" w:space="1" w:color="000000"/>
        </w:rPr>
      </w:pPr>
      <w:r>
        <w:rPr>
          <w:bdr w:val="single" w:sz="16"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12b-25</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spacing w:before="0" w:after="0"/>
        <w:ind w:left="0" w:right="0" w:hanging="0"/>
        <w:rPr>
          <w:caps w:val="false"/>
          <w:smallCaps w:val="false"/>
        </w:rPr>
      </w:pPr>
      <w:r>
        <w:rPr>
          <w:caps w:val="false"/>
          <w:smallCaps w:val="false"/>
        </w:rPr>
        <w:t> </w:t>
      </w:r>
    </w:p>
    <w:tbl>
      <w:tblPr>
        <w:tblW w:w="9700" w:type="dxa"/>
        <w:jc w:val="left"/>
        <w:tblInd w:w="0" w:type="dxa"/>
        <w:tblCellMar>
          <w:top w:w="0" w:type="dxa"/>
          <w:left w:w="0" w:type="dxa"/>
          <w:bottom w:w="0" w:type="dxa"/>
          <w:right w:w="0" w:type="dxa"/>
        </w:tblCellMar>
      </w:tblPr>
      <w:tblGrid>
        <w:gridCol w:w="1100"/>
        <w:gridCol w:w="8600"/>
      </w:tblGrid>
      <w:tr>
        <w:trPr/>
        <w:tc>
          <w:tcPr>
            <w:tcW w:w="1100" w:type="dxa"/>
            <w:tcBorders/>
            <w:shd w:fill="FFFFFF"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(Check One):</w:t>
            </w:r>
          </w:p>
        </w:tc>
        <w:tc>
          <w:tcPr>
            <w:tcW w:w="8600" w:type="dxa"/>
            <w:tcBorders/>
            <w:shd w:fill="FFFFFF" w:val="clear"/>
            <w:vAlign w:val="center"/>
          </w:tcPr>
          <w:p>
            <w:pPr>
              <w:pStyle w:val="TableContents"/>
              <w:spacing w:before="0" w:after="283"/>
              <w:rPr/>
            </w:pPr>
            <w:r>
              <w:rPr/>
              <w:t xml:space="preserve">☒ </w:t>
            </w:r>
            <w:r>
              <w:rPr>
                <w:rFonts w:ascii="Times New Roman;Times;Serif" w:hAnsi="Times New Roman;Times;Serif"/>
                <w:sz w:val="20"/>
              </w:rPr>
              <w:t xml:space="preserve">Form 10-K </w:t>
            </w:r>
            <w:r>
              <w:rPr/>
              <w:t xml:space="preserve">☐ </w:t>
            </w:r>
            <w:r>
              <w:rPr>
                <w:rFonts w:ascii="Times New Roman;Times;Serif" w:hAnsi="Times New Roman;Times;Serif"/>
                <w:sz w:val="20"/>
              </w:rPr>
              <w:t xml:space="preserve">Form 20-F </w:t>
            </w:r>
            <w:r>
              <w:rPr/>
              <w:t>☐ </w:t>
            </w:r>
            <w:r>
              <w:rPr>
                <w:rFonts w:ascii="Times New Roman;Times;Serif" w:hAnsi="Times New Roman;Times;Serif"/>
                <w:sz w:val="20"/>
              </w:rPr>
              <w:t xml:space="preserve">Form 11-K </w:t>
            </w:r>
            <w:r>
              <w:rPr/>
              <w:t>☐ </w:t>
            </w:r>
            <w:r>
              <w:rPr>
                <w:rFonts w:ascii="Times New Roman;Times;Serif" w:hAnsi="Times New Roman;Times;Serif"/>
                <w:sz w:val="20"/>
              </w:rPr>
              <w:t xml:space="preserve">Form 10-Q </w:t>
            </w:r>
            <w:r>
              <w:rPr/>
              <w:t xml:space="preserve">☐ </w:t>
            </w:r>
            <w:r>
              <w:rPr>
                <w:rFonts w:ascii="Times New Roman;Times;Serif" w:hAnsi="Times New Roman;Times;Serif"/>
                <w:sz w:val="20"/>
              </w:rPr>
              <w:t xml:space="preserve">Form 10-D </w:t>
            </w:r>
            <w:r>
              <w:rPr/>
              <w:t xml:space="preserve">☐ </w:t>
            </w:r>
            <w:r>
              <w:rPr>
                <w:rFonts w:ascii="Times New Roman;Times;Serif" w:hAnsi="Times New Roman;Times;Serif"/>
                <w:sz w:val="20"/>
              </w:rPr>
              <w:t xml:space="preserve">Form N-CEN </w:t>
            </w:r>
            <w:r>
              <w:rPr/>
              <w:t>☐ </w:t>
            </w:r>
            <w:r>
              <w:rPr>
                <w:rFonts w:ascii="Times New Roman;Times;Serif" w:hAnsi="Times New Roman;Times;Serif"/>
                <w:sz w:val="20"/>
              </w:rPr>
              <w:t>Form N-CSR</w:t>
            </w:r>
          </w:p>
        </w:tc>
      </w:tr>
      <w:tr>
        <w:trPr/>
        <w:tc>
          <w:tcPr>
            <w:tcW w:w="1100" w:type="dxa"/>
            <w:tcBorders/>
            <w:shd w:fill="FFFFFF" w:val="clear"/>
            <w:vAlign w:val="center"/>
          </w:tcPr>
          <w:p>
            <w:pPr>
              <w:pStyle w:val="TableContents"/>
              <w:spacing w:before="0" w:after="283"/>
              <w:rPr/>
            </w:pPr>
            <w:r>
              <w:rPr/>
              <w:t> </w:t>
            </w:r>
          </w:p>
        </w:tc>
        <w:tc>
          <w:tcPr>
            <w:tcW w:w="8600" w:type="dxa"/>
            <w:tcBorders/>
            <w:shd w:fill="FFFFFF" w:val="clear"/>
            <w:vAlign w:val="center"/>
          </w:tcPr>
          <w:p>
            <w:pPr>
              <w:pStyle w:val="TableContents"/>
              <w:spacing w:before="0" w:after="283"/>
              <w:rPr/>
            </w:pPr>
            <w:r>
              <w:rPr/>
              <w:t> </w:t>
            </w:r>
          </w:p>
        </w:tc>
      </w:tr>
      <w:tr>
        <w:trPr/>
        <w:tc>
          <w:tcPr>
            <w:tcW w:w="1100" w:type="dxa"/>
            <w:tcBorders/>
            <w:shd w:fill="FFFFFF" w:val="clear"/>
            <w:vAlign w:val="center"/>
          </w:tcPr>
          <w:p>
            <w:pPr>
              <w:pStyle w:val="TableContents"/>
              <w:spacing w:before="0" w:after="283"/>
              <w:rPr/>
            </w:pPr>
            <w:r>
              <w:rPr/>
              <w:t> </w:t>
            </w:r>
          </w:p>
        </w:tc>
        <w:tc>
          <w:tcPr>
            <w:tcW w:w="86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For Period Ended: </w:t>
            </w:r>
            <w:r>
              <w:rPr>
                <w:rFonts w:ascii="Times New Roman;Times;Serif" w:hAnsi="Times New Roman;Times;Serif"/>
                <w:sz w:val="20"/>
                <w:u w:val="single"/>
              </w:rPr>
              <w:t>December 31, 2022</w:t>
            </w:r>
          </w:p>
        </w:tc>
      </w:tr>
      <w:tr>
        <w:trPr/>
        <w:tc>
          <w:tcPr>
            <w:tcW w:w="1100" w:type="dxa"/>
            <w:tcBorders/>
            <w:shd w:fill="FFFFFF" w:val="clear"/>
            <w:vAlign w:val="center"/>
          </w:tcPr>
          <w:p>
            <w:pPr>
              <w:pStyle w:val="TableContents"/>
              <w:spacing w:before="0" w:after="283"/>
              <w:rPr/>
            </w:pPr>
            <w:r>
              <w:rPr/>
              <w:t> </w:t>
            </w:r>
          </w:p>
        </w:tc>
        <w:tc>
          <w:tcPr>
            <w:tcW w:w="8600" w:type="dxa"/>
            <w:tcBorders/>
            <w:shd w:fill="FFFFFF" w:val="clear"/>
            <w:vAlign w:val="center"/>
          </w:tcPr>
          <w:p>
            <w:pPr>
              <w:pStyle w:val="TableContents"/>
              <w:spacing w:before="0" w:after="283"/>
              <w:rPr/>
            </w:pPr>
            <w:r>
              <w:rPr/>
              <w:t> </w:t>
            </w:r>
          </w:p>
        </w:tc>
      </w:tr>
      <w:tr>
        <w:trPr/>
        <w:tc>
          <w:tcPr>
            <w:tcW w:w="1100" w:type="dxa"/>
            <w:tcBorders/>
            <w:shd w:fill="FFFFFF" w:val="clear"/>
            <w:vAlign w:val="center"/>
          </w:tcPr>
          <w:p>
            <w:pPr>
              <w:pStyle w:val="TableContents"/>
              <w:spacing w:before="0" w:after="283"/>
              <w:rPr/>
            </w:pPr>
            <w:r>
              <w:rPr/>
              <w:t> </w:t>
            </w:r>
          </w:p>
        </w:tc>
        <w:tc>
          <w:tcPr>
            <w:tcW w:w="8600" w:type="dxa"/>
            <w:tcBorders/>
            <w:shd w:fill="FFFFFF" w:val="clear"/>
            <w:vAlign w:val="center"/>
          </w:tcPr>
          <w:p>
            <w:pPr>
              <w:pStyle w:val="TableContents"/>
              <w:spacing w:before="0" w:after="283"/>
              <w:rPr/>
            </w:pPr>
            <w:r>
              <w:rPr/>
              <w:t xml:space="preserve">☐ </w:t>
            </w:r>
            <w:r>
              <w:rPr>
                <w:rFonts w:ascii="Times New Roman;Times;Serif" w:hAnsi="Times New Roman;Times;Serif"/>
                <w:sz w:val="20"/>
              </w:rPr>
              <w:t>Transition Report on Form 10-K</w:t>
            </w:r>
          </w:p>
        </w:tc>
      </w:tr>
      <w:tr>
        <w:trPr/>
        <w:tc>
          <w:tcPr>
            <w:tcW w:w="1100" w:type="dxa"/>
            <w:tcBorders/>
            <w:shd w:fill="FFFFFF" w:val="clear"/>
            <w:vAlign w:val="center"/>
          </w:tcPr>
          <w:p>
            <w:pPr>
              <w:pStyle w:val="TableContents"/>
              <w:spacing w:before="0" w:after="283"/>
              <w:rPr/>
            </w:pPr>
            <w:r>
              <w:rPr/>
              <w:t> </w:t>
            </w:r>
          </w:p>
        </w:tc>
        <w:tc>
          <w:tcPr>
            <w:tcW w:w="8600" w:type="dxa"/>
            <w:tcBorders/>
            <w:shd w:fill="FFFFFF" w:val="clear"/>
            <w:vAlign w:val="center"/>
          </w:tcPr>
          <w:p>
            <w:pPr>
              <w:pStyle w:val="TableContents"/>
              <w:spacing w:before="0" w:after="283"/>
              <w:rPr/>
            </w:pPr>
            <w:r>
              <w:rPr/>
              <w:t xml:space="preserve">☐ </w:t>
            </w:r>
            <w:r>
              <w:rPr>
                <w:rFonts w:ascii="Times New Roman;Times;Serif" w:hAnsi="Times New Roman;Times;Serif"/>
                <w:sz w:val="20"/>
              </w:rPr>
              <w:t>Transition Report on Form 20-F</w:t>
            </w:r>
          </w:p>
        </w:tc>
      </w:tr>
      <w:tr>
        <w:trPr/>
        <w:tc>
          <w:tcPr>
            <w:tcW w:w="1100" w:type="dxa"/>
            <w:tcBorders/>
            <w:shd w:fill="FFFFFF" w:val="clear"/>
            <w:vAlign w:val="center"/>
          </w:tcPr>
          <w:p>
            <w:pPr>
              <w:pStyle w:val="TableContents"/>
              <w:spacing w:before="0" w:after="283"/>
              <w:rPr/>
            </w:pPr>
            <w:r>
              <w:rPr/>
              <w:t> </w:t>
            </w:r>
          </w:p>
        </w:tc>
        <w:tc>
          <w:tcPr>
            <w:tcW w:w="8600" w:type="dxa"/>
            <w:tcBorders/>
            <w:shd w:fill="FFFFFF" w:val="clear"/>
            <w:vAlign w:val="center"/>
          </w:tcPr>
          <w:p>
            <w:pPr>
              <w:pStyle w:val="TableContents"/>
              <w:spacing w:before="0" w:after="283"/>
              <w:rPr/>
            </w:pPr>
            <w:r>
              <w:rPr/>
              <w:t xml:space="preserve">☐ </w:t>
            </w:r>
            <w:r>
              <w:rPr>
                <w:rFonts w:ascii="Times New Roman;Times;Serif" w:hAnsi="Times New Roman;Times;Serif"/>
                <w:sz w:val="20"/>
              </w:rPr>
              <w:t>Transition Report on Form 11-K</w:t>
            </w:r>
          </w:p>
        </w:tc>
      </w:tr>
      <w:tr>
        <w:trPr/>
        <w:tc>
          <w:tcPr>
            <w:tcW w:w="1100" w:type="dxa"/>
            <w:tcBorders/>
            <w:shd w:fill="FFFFFF" w:val="clear"/>
            <w:vAlign w:val="center"/>
          </w:tcPr>
          <w:p>
            <w:pPr>
              <w:pStyle w:val="TableContents"/>
              <w:spacing w:before="0" w:after="283"/>
              <w:rPr/>
            </w:pPr>
            <w:r>
              <w:rPr/>
              <w:t> </w:t>
            </w:r>
          </w:p>
        </w:tc>
        <w:tc>
          <w:tcPr>
            <w:tcW w:w="8600" w:type="dxa"/>
            <w:tcBorders/>
            <w:shd w:fill="FFFFFF" w:val="clear"/>
            <w:vAlign w:val="center"/>
          </w:tcPr>
          <w:p>
            <w:pPr>
              <w:pStyle w:val="TableContents"/>
              <w:spacing w:before="0" w:after="283"/>
              <w:rPr/>
            </w:pPr>
            <w:r>
              <w:rPr/>
              <w:t xml:space="preserve">☐ </w:t>
            </w:r>
            <w:r>
              <w:rPr>
                <w:rFonts w:ascii="Times New Roman;Times;Serif" w:hAnsi="Times New Roman;Times;Serif"/>
                <w:sz w:val="20"/>
              </w:rPr>
              <w:t>Transition Report on Form 10-Q</w:t>
            </w:r>
          </w:p>
        </w:tc>
      </w:tr>
      <w:tr>
        <w:trPr/>
        <w:tc>
          <w:tcPr>
            <w:tcW w:w="1100" w:type="dxa"/>
            <w:tcBorders/>
            <w:shd w:fill="FFFFFF" w:val="clear"/>
            <w:vAlign w:val="center"/>
          </w:tcPr>
          <w:p>
            <w:pPr>
              <w:pStyle w:val="TableContents"/>
              <w:spacing w:before="0" w:after="283"/>
              <w:rPr/>
            </w:pPr>
            <w:r>
              <w:rPr/>
              <w:t> </w:t>
            </w:r>
          </w:p>
        </w:tc>
        <w:tc>
          <w:tcPr>
            <w:tcW w:w="86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For the Transition Period Ended: ________________________</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pBdr>
          <w:bottom w:val="single" w:sz="8" w:space="1" w:color="000000"/>
        </w:pBdr>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spacing w:before="0" w:after="0"/>
        <w:ind w:left="0" w:right="0" w:hanging="0"/>
        <w:jc w:val="left"/>
        <w:rPr>
          <w:caps w:val="false"/>
          <w:smallCaps w:val="false"/>
        </w:rPr>
      </w:pPr>
      <w:r>
        <w:rPr>
          <w:caps w:val="false"/>
          <w:smallCaps w:val="false"/>
        </w:rPr>
        <w:t> </w:t>
      </w:r>
    </w:p>
    <w:p>
      <w:pPr>
        <w:pStyle w:val="TextBody"/>
        <w:pBdr>
          <w:bottom w:val="single" w:sz="8" w:space="1" w:color="000000"/>
        </w:pBdr>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spacing w:before="0" w:after="0"/>
        <w:ind w:left="0" w:right="0" w:hanging="0"/>
        <w:jc w:val="left"/>
        <w:rPr>
          <w:caps w:val="false"/>
          <w:smallCaps w:val="false"/>
        </w:rPr>
      </w:pPr>
      <w:r>
        <w:rPr>
          <w:caps w:val="false"/>
          <w:smallCaps w:val="false"/>
        </w:rPr>
        <w:t> </w:t>
      </w:r>
    </w:p>
    <w:p>
      <w:pPr>
        <w:pStyle w:val="TextBody"/>
        <w:pBdr>
          <w:bottom w:val="single" w:sz="8" w:space="1" w:color="000000"/>
        </w:pBdr>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spacing w:before="0" w:after="0"/>
        <w:ind w:left="0" w:right="0" w:firstLine="9360"/>
        <w:jc w:val="left"/>
        <w:rPr>
          <w:caps w:val="false"/>
          <w:smallCaps w:val="false"/>
        </w:rPr>
      </w:pPr>
      <w:r>
        <w:rPr>
          <w:caps w:val="false"/>
          <w:smallCaps w:val="false"/>
        </w:rPr>
        <w:t> </w:t>
      </w:r>
    </w:p>
    <w:p>
      <w:pPr>
        <w:pStyle w:val="TextBody"/>
        <w:pBdr>
          <w:bottom w:val="single" w:sz="8" w:space="1" w:color="000000"/>
        </w:pBdr>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 West 31</w:t>
      </w:r>
      <w:r>
        <w:rPr>
          <w:rFonts w:ascii="Times New Roman;Times;Serif" w:hAnsi="Times New Roman;Times;Serif"/>
          <w:b w:val="false"/>
          <w:i w:val="false"/>
          <w:caps w:val="false"/>
          <w:smallCaps w:val="false"/>
          <w:position w:val="7"/>
          <w:sz w:val="16"/>
          <w:sz w:val="20"/>
        </w:rPr>
        <w:t xml:space="preserve">st </w:t>
      </w:r>
      <w:r>
        <w:rPr>
          <w:rFonts w:ascii="Times New Roman;Times;Serif" w:hAnsi="Times New Roman;Times;Serif"/>
          <w:b w:val="false"/>
          <w:i w:val="false"/>
          <w:caps w:val="false"/>
          <w:smallCaps w:val="false"/>
          <w:sz w:val="20"/>
        </w:rPr>
        <w:t>Street,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(Street and Number)</w:t>
      </w:r>
    </w:p>
    <w:p>
      <w:pPr>
        <w:pStyle w:val="TextBody"/>
        <w:spacing w:before="0" w:after="0"/>
        <w:ind w:left="0" w:right="0" w:hanging="0"/>
        <w:jc w:val="left"/>
        <w:rPr>
          <w:caps w:val="false"/>
          <w:smallCaps w:val="false"/>
        </w:rPr>
      </w:pPr>
      <w:r>
        <w:rPr>
          <w:caps w:val="false"/>
          <w:smallCaps w:val="false"/>
        </w:rPr>
        <w:t> </w:t>
      </w:r>
    </w:p>
    <w:p>
      <w:pPr>
        <w:pStyle w:val="TextBody"/>
        <w:pBdr>
          <w:bottom w:val="single" w:sz="8" w:space="1" w:color="000000"/>
        </w:pBdr>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spacing w:before="0" w:after="0"/>
        <w:ind w:left="0" w:right="0" w:hanging="0"/>
        <w:jc w:val="left"/>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spacing w:before="0" w:after="0"/>
        <w:ind w:left="0" w:right="0" w:hanging="0"/>
        <w:jc w:val="left"/>
        <w:rPr>
          <w:caps w:val="false"/>
          <w:smallCaps w:val="false"/>
        </w:rPr>
      </w:pPr>
      <w:r>
        <w:rPr>
          <w:caps w:val="false"/>
          <w:smallCaps w:val="false"/>
        </w:rPr>
        <w:t> </w:t>
      </w:r>
    </w:p>
    <w:tbl>
      <w:tblPr>
        <w:tblW w:w="10205" w:type="dxa"/>
        <w:jc w:val="left"/>
        <w:tblInd w:w="0" w:type="dxa"/>
        <w:tblCellMar>
          <w:top w:w="0" w:type="dxa"/>
          <w:left w:w="0" w:type="dxa"/>
          <w:bottom w:w="0" w:type="dxa"/>
          <w:right w:w="28" w:type="dxa"/>
        </w:tblCellMar>
      </w:tblPr>
      <w:tblGrid>
        <w:gridCol w:w="245"/>
        <w:gridCol w:w="199"/>
        <w:gridCol w:w="9761"/>
      </w:tblGrid>
      <w:tr>
        <w:trPr/>
        <w:tc>
          <w:tcPr>
            <w:tcW w:w="245" w:type="dxa"/>
            <w:vMerge w:val="restart"/>
            <w:tcBorders>
              <w:right w:val="single" w:sz="8" w:space="0" w:color="000000"/>
            </w:tcBorders>
            <w:shd w:fill="auto" w:val="clear"/>
            <w:vAlign w:val="center"/>
          </w:tcPr>
          <w:p>
            <w:pPr>
              <w:pStyle w:val="TableContents"/>
              <w:spacing w:before="0" w:after="283"/>
              <w:jc w:val="center"/>
              <w:rPr/>
            </w:pPr>
            <w:r>
              <w:rPr/>
              <w:t>☒</w:t>
            </w:r>
          </w:p>
        </w:tc>
        <w:tc>
          <w:tcPr>
            <w:tcW w:w="199" w:type="dxa"/>
            <w:tcBorders/>
            <w:shd w:fill="auto" w:val="clear"/>
            <w:tcMar>
              <w:right w:w="0" w:type="dxa"/>
            </w:tcMar>
            <w:vAlign w:val="center"/>
          </w:tcPr>
          <w:p>
            <w:pPr>
              <w:pStyle w:val="TableContents"/>
              <w:spacing w:before="0" w:after="283"/>
              <w:ind w:left="0" w:right="0" w:hanging="432"/>
              <w:jc w:val="both"/>
              <w:rPr>
                <w:rFonts w:ascii="Times New Roman;Times;Serif" w:hAnsi="Times New Roman;Times;Serif"/>
                <w:sz w:val="20"/>
              </w:rPr>
            </w:pPr>
            <w:r>
              <w:rPr>
                <w:rFonts w:ascii="Times New Roman;Times;Serif" w:hAnsi="Times New Roman;Times;Serif"/>
                <w:sz w:val="20"/>
              </w:rPr>
              <w:t>(a)</w:t>
            </w:r>
          </w:p>
        </w:tc>
        <w:tc>
          <w:tcPr>
            <w:tcW w:w="9761" w:type="dxa"/>
            <w:tcBorders/>
            <w:shd w:fill="auto" w:val="clear"/>
            <w:tcMar>
              <w:right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reason described in reasonable detail in Part III of this form could not be eliminated without unreasonable effort or expense;</w:t>
            </w:r>
          </w:p>
        </w:tc>
      </w:tr>
      <w:tr>
        <w:trPr/>
        <w:tc>
          <w:tcPr>
            <w:tcW w:w="245" w:type="dxa"/>
            <w:vMerge w:val="continue"/>
            <w:tcBorders>
              <w:right w:val="single" w:sz="8" w:space="0" w:color="000000"/>
            </w:tcBorders>
            <w:shd w:fill="auto" w:val="clear"/>
            <w:vAlign w:val="center"/>
          </w:tcPr>
          <w:p>
            <w:pPr>
              <w:pStyle w:val="Normal"/>
              <w:rPr/>
            </w:pPr>
            <w:r>
              <w:rPr/>
            </w:r>
          </w:p>
        </w:tc>
        <w:tc>
          <w:tcPr>
            <w:tcW w:w="199" w:type="dxa"/>
            <w:tcBorders/>
            <w:shd w:fill="auto" w:val="clear"/>
            <w:tcMar>
              <w:right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w:t>
            </w:r>
          </w:p>
        </w:tc>
        <w:tc>
          <w:tcPr>
            <w:tcW w:w="9761" w:type="dxa"/>
            <w:tcBorders/>
            <w:shd w:fill="auto" w:val="clear"/>
            <w:tcMar>
              <w:right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vMerge w:val="continue"/>
            <w:tcBorders>
              <w:right w:val="single" w:sz="8" w:space="0" w:color="000000"/>
            </w:tcBorders>
            <w:shd w:fill="auto" w:val="clear"/>
            <w:vAlign w:val="center"/>
          </w:tcPr>
          <w:p>
            <w:pPr>
              <w:pStyle w:val="Normal"/>
              <w:rPr/>
            </w:pPr>
            <w:r>
              <w:rPr/>
            </w:r>
          </w:p>
        </w:tc>
        <w:tc>
          <w:tcPr>
            <w:tcW w:w="199" w:type="dxa"/>
            <w:tcBorders/>
            <w:shd w:fill="auto" w:val="clear"/>
            <w:tcMar>
              <w:right w:w="0" w:type="dxa"/>
            </w:tcMar>
            <w:vAlign w:val="center"/>
          </w:tcPr>
          <w:p>
            <w:pPr>
              <w:pStyle w:val="TableContents"/>
              <w:spacing w:before="0" w:after="283"/>
              <w:ind w:left="0" w:right="0" w:hanging="432"/>
              <w:jc w:val="both"/>
              <w:rPr>
                <w:rFonts w:ascii="Times New Roman;Times;Serif" w:hAnsi="Times New Roman;Times;Serif"/>
                <w:sz w:val="20"/>
              </w:rPr>
            </w:pPr>
            <w:r>
              <w:rPr>
                <w:rFonts w:ascii="Times New Roman;Times;Serif" w:hAnsi="Times New Roman;Times;Serif"/>
                <w:sz w:val="20"/>
              </w:rPr>
              <w:t>(c)</w:t>
            </w:r>
          </w:p>
        </w:tc>
        <w:tc>
          <w:tcPr>
            <w:tcW w:w="9761" w:type="dxa"/>
            <w:tcBorders/>
            <w:shd w:fill="auto" w:val="clear"/>
            <w:tcMar>
              <w:right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accountant’s statement or other exhibit required by Rule 12b-25(c) has been attached if applicable.</w:t>
            </w:r>
          </w:p>
        </w:tc>
      </w:tr>
    </w:tbl>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the reasons why Forms 10-K, 20-F, 11-K, 10-Q, N-CEN, N-CSR, or the transition report or portion thereof, could not be filed within the prescribed time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XWELL, Inc. (the “Registrant”) will not, without unreasonable effort and expense, be able to file its Annual Report on Form 10-K for the fiscal year ended December 31, 2022 (the “2022 Annual Report”) within the prescribed time period due to delays in completion of the financial statements contained therein. The Registrant requires additional time to complete a review in accordance with generally accepted accounting principles to assess the amount of a non-cash impairment charge required for the fourth quarter of 2022. The Registrant is working diligently to complete the necessary year-end reporting processes, and it expects to file the Annual Report within the fifteen-day filing extension provided by Rule 12b-25 under the Securities Exchange Act of 1934, as amended (the “Exchange Act”).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spacing w:before="0" w:after="0"/>
        <w:ind w:left="0" w:right="0" w:hanging="0"/>
        <w:jc w:val="left"/>
        <w:rPr>
          <w:caps w:val="false"/>
          <w:smallCaps w:val="false"/>
        </w:rPr>
      </w:pPr>
      <w:r>
        <w:rPr>
          <w:caps w:val="false"/>
          <w:smallCaps w:val="false"/>
        </w:rPr>
        <w:t> </w:t>
      </w:r>
    </w:p>
    <w:tbl>
      <w:tblPr>
        <w:tblW w:w="7645" w:type="dxa"/>
        <w:jc w:val="left"/>
        <w:tblInd w:w="0" w:type="dxa"/>
        <w:tblCellMar>
          <w:top w:w="0" w:type="dxa"/>
          <w:left w:w="0" w:type="dxa"/>
          <w:bottom w:w="0" w:type="dxa"/>
          <w:right w:w="0" w:type="dxa"/>
        </w:tblCellMar>
      </w:tblPr>
      <w:tblGrid>
        <w:gridCol w:w="305"/>
        <w:gridCol w:w="7340"/>
      </w:tblGrid>
      <w:tr>
        <w:trPr/>
        <w:tc>
          <w:tcPr>
            <w:tcW w:w="305" w:type="dxa"/>
            <w:tcBorders/>
            <w:shd w:fill="auto" w:val="clear"/>
            <w:vAlign w:val="center"/>
          </w:tcPr>
          <w:p>
            <w:pPr>
              <w:pStyle w:val="TableContents"/>
              <w:spacing w:before="0" w:after="283"/>
              <w:rPr/>
            </w:pPr>
            <w:r>
              <w:rPr/>
              <w:t>(1)</w:t>
            </w:r>
          </w:p>
        </w:tc>
        <w:tc>
          <w:tcPr>
            <w:tcW w:w="7340" w:type="dxa"/>
            <w:tcBorders/>
            <w:shd w:fill="auto" w:val="clear"/>
            <w:vAlign w:val="center"/>
          </w:tcPr>
          <w:p>
            <w:pPr>
              <w:pStyle w:val="TableContents"/>
              <w:spacing w:before="0" w:after="283"/>
              <w:jc w:val="left"/>
              <w:rPr/>
            </w:pPr>
            <w:r>
              <w:rPr/>
              <w:t>Name and telephone number of person to contact in regard to this notification</w:t>
            </w:r>
          </w:p>
        </w:tc>
      </w:tr>
    </w:tbl>
    <w:p>
      <w:pPr>
        <w:pStyle w:val="TextBody"/>
        <w:spacing w:before="0" w:after="0"/>
        <w:rPr>
          <w:caps w:val="false"/>
          <w:smallCaps w:val="false"/>
        </w:rPr>
      </w:pPr>
      <w:r>
        <w:rPr>
          <w:caps w:val="false"/>
          <w:smallCaps w:val="false"/>
        </w:rPr>
        <w:t> </w:t>
      </w:r>
    </w:p>
    <w:tbl>
      <w:tblPr>
        <w:tblW w:w="4930" w:type="dxa"/>
        <w:jc w:val="left"/>
        <w:tblInd w:w="0" w:type="dxa"/>
        <w:tblCellMar>
          <w:top w:w="0" w:type="dxa"/>
          <w:left w:w="0" w:type="dxa"/>
          <w:bottom w:w="28" w:type="dxa"/>
          <w:right w:w="0" w:type="dxa"/>
        </w:tblCellMar>
      </w:tblPr>
      <w:tblGrid>
        <w:gridCol w:w="75"/>
        <w:gridCol w:w="1340"/>
        <w:gridCol w:w="60"/>
        <w:gridCol w:w="3320"/>
        <w:gridCol w:w="60"/>
        <w:gridCol w:w="75"/>
      </w:tblGrid>
      <w:tr>
        <w:trPr/>
        <w:tc>
          <w:tcPr>
            <w:tcW w:w="75" w:type="dxa"/>
            <w:tcBorders>
              <w:bottom w:val="single" w:sz="8" w:space="0" w:color="FFFFFF"/>
            </w:tcBorders>
            <w:shd w:fill="FFFFFF" w:val="clear"/>
            <w:vAlign w:val="center"/>
          </w:tcPr>
          <w:p>
            <w:pPr>
              <w:pStyle w:val="TableContents"/>
              <w:spacing w:before="0" w:after="283"/>
              <w:rPr/>
            </w:pPr>
            <w:r>
              <w:rPr/>
              <w:t> </w:t>
            </w:r>
          </w:p>
        </w:tc>
        <w:tc>
          <w:tcPr>
            <w:tcW w:w="1340" w:type="dxa"/>
            <w:tcBorders>
              <w:bottom w:val="single" w:sz="8" w:space="0" w:color="000000"/>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Scott R. Milford</w:t>
            </w:r>
          </w:p>
        </w:tc>
        <w:tc>
          <w:tcPr>
            <w:tcW w:w="60" w:type="dxa"/>
            <w:tcBorders>
              <w:bottom w:val="single" w:sz="8" w:space="0" w:color="FFFFFF"/>
            </w:tcBorders>
            <w:shd w:fill="FFFFFF" w:val="clear"/>
            <w:vAlign w:val="center"/>
          </w:tcPr>
          <w:p>
            <w:pPr>
              <w:pStyle w:val="TableContents"/>
              <w:spacing w:before="0" w:after="283"/>
              <w:rPr/>
            </w:pPr>
            <w:r>
              <w:rPr/>
              <w:t> </w:t>
            </w:r>
          </w:p>
        </w:tc>
        <w:tc>
          <w:tcPr>
            <w:tcW w:w="3320" w:type="dxa"/>
            <w:tcBorders>
              <w:bottom w:val="single" w:sz="8" w:space="0" w:color="000000"/>
            </w:tcBorders>
            <w:shd w:fill="FFFF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(212) 750-9595</w:t>
            </w:r>
          </w:p>
        </w:tc>
        <w:tc>
          <w:tcPr>
            <w:tcW w:w="60" w:type="dxa"/>
            <w:tcBorders>
              <w:bottom w:val="single" w:sz="8" w:space="0" w:color="FFFFFF"/>
            </w:tcBorders>
            <w:shd w:fill="FFFFFF" w:val="clear"/>
            <w:vAlign w:val="center"/>
          </w:tcPr>
          <w:p>
            <w:pPr>
              <w:pStyle w:val="TableContents"/>
              <w:spacing w:before="0" w:after="283"/>
              <w:rPr/>
            </w:pPr>
            <w:r>
              <w:rPr/>
              <w:t> </w:t>
            </w:r>
          </w:p>
        </w:tc>
        <w:tc>
          <w:tcPr>
            <w:tcW w:w="75" w:type="dxa"/>
            <w:tcBorders/>
            <w:shd w:fill="FFFFFF" w:val="clear"/>
            <w:tcMar>
              <w:bottom w:w="0" w:type="dxa"/>
            </w:tcMar>
            <w:vAlign w:val="center"/>
          </w:tcPr>
          <w:p>
            <w:pPr>
              <w:pStyle w:val="TableContents"/>
              <w:spacing w:before="0" w:after="283"/>
              <w:jc w:val="center"/>
              <w:rPr/>
            </w:pPr>
            <w:r>
              <w:rPr/>
              <w:t> </w:t>
            </w:r>
          </w:p>
        </w:tc>
      </w:tr>
      <w:tr>
        <w:trPr/>
        <w:tc>
          <w:tcPr>
            <w:tcW w:w="75" w:type="dxa"/>
            <w:tcBorders/>
            <w:shd w:fill="FFFFFF" w:val="clear"/>
            <w:tcMar>
              <w:bottom w:w="0" w:type="dxa"/>
            </w:tcMar>
            <w:vAlign w:val="center"/>
          </w:tcPr>
          <w:p>
            <w:pPr>
              <w:pStyle w:val="TableContents"/>
              <w:spacing w:before="0" w:after="283"/>
              <w:rPr/>
            </w:pPr>
            <w:r>
              <w:rPr/>
              <w:t> </w:t>
            </w:r>
          </w:p>
        </w:tc>
        <w:tc>
          <w:tcPr>
            <w:tcW w:w="1340" w:type="dxa"/>
            <w:tcBorders/>
            <w:shd w:fill="FFFF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(Name)</w:t>
            </w:r>
          </w:p>
        </w:tc>
        <w:tc>
          <w:tcPr>
            <w:tcW w:w="60" w:type="dxa"/>
            <w:tcBorders/>
            <w:shd w:fill="FFFFFF" w:val="clear"/>
            <w:tcMar>
              <w:bottom w:w="0" w:type="dxa"/>
            </w:tcMar>
            <w:vAlign w:val="center"/>
          </w:tcPr>
          <w:p>
            <w:pPr>
              <w:pStyle w:val="TableContents"/>
              <w:spacing w:before="0" w:after="283"/>
              <w:rPr/>
            </w:pPr>
            <w:r>
              <w:rPr/>
              <w:t> </w:t>
            </w:r>
          </w:p>
        </w:tc>
        <w:tc>
          <w:tcPr>
            <w:tcW w:w="3320" w:type="dxa"/>
            <w:tcBorders/>
            <w:shd w:fill="FFFFFF" w:val="clear"/>
            <w:tcMar>
              <w:bottom w:w="0" w:type="dxa"/>
            </w:tcMar>
            <w:vAlign w:val="center"/>
          </w:tcPr>
          <w:p>
            <w:pPr>
              <w:pStyle w:val="TableContents"/>
              <w:spacing w:before="0" w:after="283"/>
              <w:jc w:val="center"/>
              <w:rPr/>
            </w:pPr>
            <w:r>
              <w:rPr/>
              <w:t>(Area Code)  (Telephone Number)</w:t>
            </w:r>
          </w:p>
        </w:tc>
        <w:tc>
          <w:tcPr>
            <w:tcW w:w="60" w:type="dxa"/>
            <w:tcBorders/>
            <w:shd w:fill="FFFFFF" w:val="clear"/>
            <w:tcMar>
              <w:bottom w:w="0" w:type="dxa"/>
            </w:tcMar>
            <w:vAlign w:val="center"/>
          </w:tcPr>
          <w:p>
            <w:pPr>
              <w:pStyle w:val="TableContents"/>
              <w:spacing w:before="0" w:after="283"/>
              <w:rPr/>
            </w:pPr>
            <w:r>
              <w:rPr/>
              <w:t> </w:t>
            </w:r>
          </w:p>
        </w:tc>
        <w:tc>
          <w:tcPr>
            <w:tcW w:w="75" w:type="dxa"/>
            <w:tcBorders/>
            <w:shd w:fill="FFFFFF" w:val="clear"/>
            <w:tcMar>
              <w:bottom w:w="0" w:type="dxa"/>
            </w:tcMar>
            <w:vAlign w:val="center"/>
          </w:tcPr>
          <w:p>
            <w:pPr>
              <w:pStyle w:val="TableContents"/>
              <w:spacing w:before="0" w:after="283"/>
              <w:jc w:val="center"/>
              <w:rPr/>
            </w:pPr>
            <w:r>
              <w:rPr/>
              <w:t> </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10002" w:type="dxa"/>
            <w:tcBorders/>
            <w:shd w:fill="FFFFFF" w:val="clear"/>
            <w:vAlign w:val="center"/>
          </w:tcPr>
          <w:p>
            <w:pPr>
              <w:pStyle w:val="TableContents"/>
              <w:spacing w:before="0" w:after="283"/>
              <w:rPr/>
            </w:pPr>
            <w:r>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w:t>
            </w:r>
            <w:r>
              <w:rPr>
                <w:rFonts w:ascii="Times New Roman;Times;Serif" w:hAnsi="Times New Roman;Times;Serif"/>
                <w:sz w:val="20"/>
              </w:rPr>
              <w:t xml:space="preserve">Yes </w:t>
            </w:r>
            <w:r>
              <w:rPr/>
              <w:t xml:space="preserve">☐ </w:t>
            </w:r>
            <w:r>
              <w:rPr>
                <w:rFonts w:ascii="Times New Roman;Times;Serif" w:hAnsi="Times New Roman;Times;Serif"/>
                <w:sz w:val="20"/>
              </w:rPr>
              <w:t>No</w:t>
            </w:r>
          </w:p>
        </w:tc>
      </w:tr>
      <w:tr>
        <w:trPr/>
        <w:tc>
          <w:tcPr>
            <w:tcW w:w="203" w:type="dxa"/>
            <w:tcBorders/>
            <w:shd w:fill="FFFFFF" w:val="clear"/>
            <w:vAlign w:val="center"/>
          </w:tcPr>
          <w:p>
            <w:pPr>
              <w:pStyle w:val="TableContents"/>
              <w:spacing w:before="0" w:after="283"/>
              <w:rPr/>
            </w:pPr>
            <w:r>
              <w:rPr/>
              <w:t> </w:t>
            </w:r>
          </w:p>
        </w:tc>
        <w:tc>
          <w:tcPr>
            <w:tcW w:w="10002" w:type="dxa"/>
            <w:tcBorders>
              <w:bottom w:val="single" w:sz="8" w:space="0" w:color="000000"/>
            </w:tcBorders>
            <w:shd w:fill="FFFFFF" w:val="clear"/>
            <w:tcMar>
              <w:bottom w:w="28" w:type="dxa"/>
            </w:tcMar>
            <w:vAlign w:val="center"/>
          </w:tcPr>
          <w:p>
            <w:pPr>
              <w:pStyle w:val="TableContents"/>
              <w:spacing w:before="0" w:after="283"/>
              <w:jc w:val="right"/>
              <w:rPr/>
            </w:pPr>
            <w:r>
              <w:rPr/>
              <w:t> </w:t>
            </w:r>
          </w:p>
        </w:tc>
      </w:tr>
      <w:tr>
        <w:trPr/>
        <w:tc>
          <w:tcPr>
            <w:tcW w:w="203" w:type="dxa"/>
            <w:tcBorders/>
            <w:shd w:fill="FFFFFF" w:val="clear"/>
            <w:vAlign w:val="center"/>
          </w:tcPr>
          <w:p>
            <w:pPr>
              <w:pStyle w:val="TableContents"/>
              <w:spacing w:before="0" w:after="283"/>
              <w:rPr/>
            </w:pPr>
            <w:r>
              <w:rPr/>
              <w:t> </w:t>
            </w:r>
          </w:p>
        </w:tc>
        <w:tc>
          <w:tcPr>
            <w:tcW w:w="10002" w:type="dxa"/>
            <w:tcBorders/>
            <w:shd w:fill="FFFFFF" w:val="clear"/>
            <w:vAlign w:val="center"/>
          </w:tcPr>
          <w:p>
            <w:pPr>
              <w:pStyle w:val="TableContents"/>
              <w:spacing w:before="0" w:after="283"/>
              <w:rPr/>
            </w:pPr>
            <w:r>
              <w:rPr/>
              <w:t> </w:t>
            </w:r>
          </w:p>
        </w:tc>
      </w:tr>
      <w:tr>
        <w:trPr/>
        <w:tc>
          <w:tcPr>
            <w:tcW w:w="203"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10002" w:type="dxa"/>
            <w:tcBorders/>
            <w:shd w:fill="FFFFFF" w:val="clear"/>
            <w:vAlign w:val="center"/>
          </w:tcPr>
          <w:p>
            <w:pPr>
              <w:pStyle w:val="TableContents"/>
              <w:spacing w:before="0" w:after="283"/>
              <w:rPr/>
            </w:pPr>
            <w:r>
              <w:rPr>
                <w:rFonts w:ascii="Times New Roman;Times;Serif" w:hAnsi="Times New Roman;Times;Serif"/>
              </w:rPr>
              <w:t xml:space="preserve">Is it anticipated that any significant change in results of operations from the corresponding period for the last fiscal year will be reflected by the earnings statements to be included in the subject report or portion thereof? </w:t>
            </w:r>
            <w:r>
              <w:rPr/>
              <w:t>☒ </w:t>
            </w:r>
            <w:r>
              <w:rPr>
                <w:rFonts w:ascii="Times New Roman;Times;Serif" w:hAnsi="Times New Roman;Times;Serif"/>
                <w:sz w:val="20"/>
              </w:rPr>
              <w:t xml:space="preserve">Yes </w:t>
            </w:r>
            <w:r>
              <w:rPr/>
              <w:t xml:space="preserve">☐ </w:t>
            </w:r>
            <w:r>
              <w:rPr>
                <w:rFonts w:ascii="Times New Roman;Times;Serif" w:hAnsi="Times New Roman;Times;Serif"/>
                <w:sz w:val="20"/>
              </w:rPr>
              <w:t>No</w:t>
            </w:r>
          </w:p>
        </w:tc>
      </w:tr>
      <w:tr>
        <w:trPr/>
        <w:tc>
          <w:tcPr>
            <w:tcW w:w="203" w:type="dxa"/>
            <w:tcBorders/>
            <w:shd w:fill="FFFFFF" w:val="clear"/>
            <w:vAlign w:val="center"/>
          </w:tcPr>
          <w:p>
            <w:pPr>
              <w:pStyle w:val="TableContents"/>
              <w:spacing w:before="0" w:after="283"/>
              <w:rPr/>
            </w:pPr>
            <w:r>
              <w:rPr/>
              <w:t> </w:t>
            </w:r>
          </w:p>
        </w:tc>
        <w:tc>
          <w:tcPr>
            <w:tcW w:w="10002" w:type="dxa"/>
            <w:tcBorders/>
            <w:shd w:fill="FFFFFF" w:val="clear"/>
            <w:vAlign w:val="center"/>
          </w:tcPr>
          <w:p>
            <w:pPr>
              <w:pStyle w:val="TableContents"/>
              <w:spacing w:before="0" w:after="283"/>
              <w:rPr/>
            </w:pPr>
            <w:r>
              <w:rPr/>
              <w:t> </w:t>
            </w:r>
          </w:p>
        </w:tc>
      </w:tr>
      <w:tr>
        <w:trPr/>
        <w:tc>
          <w:tcPr>
            <w:tcW w:w="203" w:type="dxa"/>
            <w:tcBorders/>
            <w:shd w:fill="FFFFFF" w:val="clear"/>
            <w:vAlign w:val="center"/>
          </w:tcPr>
          <w:p>
            <w:pPr>
              <w:pStyle w:val="TableContents"/>
              <w:spacing w:before="0" w:after="283"/>
              <w:rPr/>
            </w:pPr>
            <w:r>
              <w:rPr/>
              <w:t> </w:t>
            </w:r>
          </w:p>
        </w:tc>
        <w:tc>
          <w:tcPr>
            <w:tcW w:w="10002" w:type="dxa"/>
            <w:tcBorders/>
            <w:shd w:fill="FFFFFF" w:val="clear"/>
            <w:vAlign w:val="center"/>
          </w:tcPr>
          <w:p>
            <w:pPr>
              <w:pStyle w:val="TableContents"/>
              <w:spacing w:before="0" w:after="283"/>
              <w:jc w:val="both"/>
              <w:rPr/>
            </w:pPr>
            <w:r>
              <w:rPr/>
              <w:t>If so, attach an explanation of the anticipated change, both narratively and quantitatively, and, if appropriate, state the reasons why a reasonable estimate of the results cannot be made.</w:t>
              <w:br/>
              <w:br/>
              <w:t xml:space="preserve">As a result of the matters discussed in Part III above and the ongoing impairment analysis, the Registrant not yet able to make a reasonable estimate of any changes in its results of operations for the year ended December 31, 2022 as compared to December 31, 2021. </w:t>
              <w:br/>
              <w:br/>
              <w:t>Certain matters discussed in this Form 12b-25 constitute forward-looking statements within the meaning of the federal securities laws. All statements contained in this notification that do not relate to matters of historical fact should be considered forward-looking statements, including, without limitation, statements regarding the Registrant’s expectation that it will file the Form 10-K within the time period prescribed by Rule 12b-25. These forward-looking statements are based on our current expectations and assumptions as of the date of this filing and involve a number of risks and uncertainties. The risks include, but are not limited to, unexpected changes arising during the ongoing quarterly and year-end review procedures. Except for historical information contained herein, the statements in this Form 12b-25 are forward-looking statements that are made pursuant to the Safe Harbor Provisions of the Private Securities Litigation Reform Act of 1995. Forward-looking statements are subject to a number of risks and uncertainties that may cause actual events and results to differ materially from the forward-looking statements. The forward-looking statements in this Form 12b-25 are made as of the date of this Form 12b-25. The Registrant does not undertake, and expressly disclaims, any duty to publicly update these statements, whether as a result of new information, new developments or otherwise, except to the extent that disclosure is required by law.</w:t>
            </w:r>
          </w:p>
        </w:tc>
      </w:tr>
    </w:tbl>
    <w:p>
      <w:pPr>
        <w:pStyle w:val="TextBody"/>
        <w:spacing w:before="0" w:after="0"/>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XWELL, INC.</w:t>
      </w:r>
      <w:r>
        <w:rPr>
          <w:rFonts w:ascii="Times New Roman;Times;Serif" w:hAnsi="Times New Roman;Times;Serif"/>
          <w:b w:val="false"/>
          <w:i w:val="false"/>
          <w:caps w:val="false"/>
          <w:smallCaps w:val="false"/>
          <w:sz w:val="20"/>
        </w:rPr>
        <w:br/>
        <w:t>(Name of Registrant as Specified in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spacing w:before="0" w:after="0"/>
        <w:ind w:left="0" w:right="0" w:hanging="0"/>
        <w:jc w:val="left"/>
        <w:rPr>
          <w:caps w:val="false"/>
          <w:smallCaps w:val="false"/>
        </w:rPr>
      </w:pPr>
      <w:r>
        <w:rPr>
          <w:caps w:val="false"/>
          <w:smallCaps w:val="false"/>
        </w:rPr>
        <w:t> </w:t>
      </w:r>
    </w:p>
    <w:tbl>
      <w:tblPr>
        <w:tblW w:w="4550" w:type="dxa"/>
        <w:jc w:val="left"/>
        <w:tblInd w:w="0" w:type="dxa"/>
        <w:tblCellMar>
          <w:top w:w="0" w:type="dxa"/>
          <w:left w:w="0" w:type="dxa"/>
          <w:bottom w:w="0" w:type="dxa"/>
          <w:right w:w="0" w:type="dxa"/>
        </w:tblCellMar>
      </w:tblPr>
      <w:tblGrid>
        <w:gridCol w:w="410"/>
        <w:gridCol w:w="1310"/>
        <w:gridCol w:w="60"/>
        <w:gridCol w:w="320"/>
        <w:gridCol w:w="2450"/>
      </w:tblGrid>
      <w:tr>
        <w:trPr/>
        <w:tc>
          <w:tcPr>
            <w:tcW w:w="4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w:t>
            </w:r>
          </w:p>
        </w:tc>
        <w:tc>
          <w:tcPr>
            <w:tcW w:w="131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March 31, 2023</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Scott R. Milford</w:t>
            </w:r>
          </w:p>
        </w:tc>
      </w:tr>
      <w:tr>
        <w:trPr/>
        <w:tc>
          <w:tcPr>
            <w:tcW w:w="17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24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Scott R. Milford</w:t>
            </w:r>
          </w:p>
        </w:tc>
      </w:tr>
      <w:tr>
        <w:trPr/>
        <w:tc>
          <w:tcPr>
            <w:tcW w:w="17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caps w:val="false"/>
                <w:smallCaps w:val="false"/>
              </w:rPr>
            </w:pPr>
            <w:r>
              <w:rPr>
                <w:caps w:val="false"/>
                <w:smallCaps w:val="false"/>
              </w:rPr>
              <w:t> </w:t>
            </w:r>
          </w:p>
        </w:tc>
        <w:tc>
          <w:tcPr>
            <w:tcW w:w="24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spacing w:before="0" w:after="0"/>
        <w:ind w:left="0" w:right="0" w:hanging="0"/>
        <w:jc w:val="left"/>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907</Words>
  <CharactersWithSpaces>5716</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