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4140" w:right="1920" w:hanging="4132"/>
        <w:spacing w:after="0" w:line="501" w:lineRule="auto"/>
        <w:tabs>
          <w:tab w:leader="none" w:pos="33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 to ___</w:t>
      </w:r>
    </w:p>
    <w:p>
      <w:pPr>
        <w:ind w:left="43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001-34785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Delaware</w:t>
            </w:r>
          </w:p>
        </w:tc>
        <w:tc>
          <w:tcPr>
            <w:tcW w:w="35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20-4988129</w:t>
            </w:r>
          </w:p>
        </w:tc>
        <w:tc>
          <w:tcPr>
            <w:tcW w:w="2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(State or other jurisdiction of incorporation or</w:t>
            </w:r>
          </w:p>
        </w:tc>
        <w:tc>
          <w:tcPr>
            <w:tcW w:w="5600" w:type="dxa"/>
            <w:vAlign w:val="bottom"/>
            <w:gridSpan w:val="3"/>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0" w:type="dxa"/>
            <w:vAlign w:val="bottom"/>
          </w:tcPr>
          <w:p>
            <w:pPr>
              <w:spacing w:after="0"/>
              <w:rPr>
                <w:sz w:val="20"/>
                <w:szCs w:val="20"/>
                <w:color w:val="auto"/>
              </w:rPr>
            </w:pPr>
          </w:p>
        </w:tc>
        <w:tc>
          <w:tcPr>
            <w:tcW w:w="5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organization)</w:t>
            </w:r>
          </w:p>
        </w:tc>
        <w:tc>
          <w:tcPr>
            <w:tcW w:w="2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54"/>
        </w:trPr>
        <w:tc>
          <w:tcPr>
            <w:tcW w:w="20" w:type="dxa"/>
            <w:vAlign w:val="bottom"/>
          </w:tcPr>
          <w:p>
            <w:pPr>
              <w:spacing w:after="0"/>
              <w:rPr>
                <w:sz w:val="24"/>
                <w:szCs w:val="24"/>
                <w:color w:val="auto"/>
              </w:rPr>
            </w:pPr>
          </w:p>
        </w:tc>
        <w:tc>
          <w:tcPr>
            <w:tcW w:w="5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5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New York, NY</w:t>
            </w:r>
          </w:p>
        </w:tc>
        <w:tc>
          <w:tcPr>
            <w:tcW w:w="35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10017</w:t>
            </w:r>
          </w:p>
        </w:tc>
        <w:tc>
          <w:tcPr>
            <w:tcW w:w="21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(Address of principal executive offices)</w:t>
            </w:r>
          </w:p>
        </w:tc>
        <w:tc>
          <w:tcPr>
            <w:tcW w:w="3500" w:type="dxa"/>
            <w:vAlign w:val="bottom"/>
            <w:gridSpan w:val="2"/>
          </w:tcPr>
          <w:p>
            <w:pPr>
              <w:jc w:val="center"/>
              <w:ind w:left="1910"/>
              <w:spacing w:after="0"/>
              <w:rPr>
                <w:sz w:val="20"/>
                <w:szCs w:val="20"/>
                <w:color w:val="auto"/>
              </w:rPr>
            </w:pPr>
            <w:r>
              <w:rPr>
                <w:rFonts w:ascii="Arial" w:cs="Arial" w:eastAsia="Arial" w:hAnsi="Arial"/>
                <w:sz w:val="18"/>
                <w:szCs w:val="18"/>
                <w:color w:val="auto"/>
                <w:w w:val="91"/>
              </w:rPr>
              <w:t>(Zip Code)</w:t>
            </w:r>
          </w:p>
        </w:tc>
        <w:tc>
          <w:tcPr>
            <w:tcW w:w="2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600" w:type="dxa"/>
            <w:vAlign w:val="bottom"/>
            <w:gridSpan w:val="3"/>
          </w:tcPr>
          <w:p>
            <w:pPr>
              <w:jc w:val="center"/>
              <w:ind w:left="269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(212) 309-7549</w:t>
            </w: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600" w:type="dxa"/>
            <w:vAlign w:val="bottom"/>
            <w:gridSpan w:val="3"/>
          </w:tcPr>
          <w:p>
            <w:pPr>
              <w:jc w:val="center"/>
              <w:ind w:left="271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5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00" w:type="dxa"/>
            <w:vAlign w:val="bottom"/>
          </w:tcPr>
          <w:p>
            <w:pPr>
              <w:spacing w:after="0"/>
              <w:rPr>
                <w:sz w:val="19"/>
                <w:szCs w:val="19"/>
                <w:color w:val="auto"/>
              </w:rPr>
            </w:pPr>
          </w:p>
        </w:tc>
        <w:tc>
          <w:tcPr>
            <w:tcW w:w="56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418"/>
        </w:trPr>
        <w:tc>
          <w:tcPr>
            <w:tcW w:w="20" w:type="dxa"/>
            <w:vAlign w:val="bottom"/>
          </w:tcPr>
          <w:p>
            <w:pPr>
              <w:spacing w:after="0"/>
              <w:rPr>
                <w:sz w:val="24"/>
                <w:szCs w:val="24"/>
                <w:color w:val="auto"/>
              </w:rPr>
            </w:pPr>
          </w:p>
        </w:tc>
        <w:tc>
          <w:tcPr>
            <w:tcW w:w="8600" w:type="dxa"/>
            <w:vAlign w:val="bottom"/>
            <w:gridSpan w:val="3"/>
          </w:tcPr>
          <w:p>
            <w:pPr>
              <w:jc w:val="center"/>
              <w:ind w:left="271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52"/>
        </w:trPr>
        <w:tc>
          <w:tcPr>
            <w:tcW w:w="862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210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62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21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w:t>
      </w:r>
      <w:r>
        <w:rPr>
          <w:rFonts w:ascii="Arial" w:cs="Arial" w:eastAsia="Arial" w:hAnsi="Arial"/>
          <w:sz w:val="17"/>
          <w:szCs w:val="17"/>
          <w:i w:val="1"/>
          <w:iCs w:val="1"/>
          <w:color w:val="auto"/>
        </w:rPr>
        <w:t>large accelerated filer</w:t>
      </w:r>
      <w:r>
        <w:rPr>
          <w:rFonts w:ascii="Arial" w:cs="Arial" w:eastAsia="Arial" w:hAnsi="Arial"/>
          <w:sz w:val="17"/>
          <w:szCs w:val="17"/>
          <w:color w:val="auto"/>
        </w:rPr>
        <w:t xml:space="preserve"> ", "</w:t>
      </w:r>
      <w:r>
        <w:rPr>
          <w:rFonts w:ascii="Arial" w:cs="Arial" w:eastAsia="Arial" w:hAnsi="Arial"/>
          <w:sz w:val="17"/>
          <w:szCs w:val="17"/>
          <w:i w:val="1"/>
          <w:iCs w:val="1"/>
          <w:color w:val="auto"/>
        </w:rPr>
        <w:t>accelerated filer</w:t>
      </w:r>
      <w:r>
        <w:rPr>
          <w:rFonts w:ascii="Arial" w:cs="Arial" w:eastAsia="Arial" w:hAnsi="Arial"/>
          <w:sz w:val="17"/>
          <w:szCs w:val="17"/>
          <w:color w:val="auto"/>
        </w:rPr>
        <w:t>" and "</w:t>
      </w:r>
      <w:r>
        <w:rPr>
          <w:rFonts w:ascii="Arial" w:cs="Arial" w:eastAsia="Arial" w:hAnsi="Arial"/>
          <w:sz w:val="17"/>
          <w:szCs w:val="17"/>
          <w:i w:val="1"/>
          <w:iCs w:val="1"/>
          <w:color w:val="auto"/>
        </w:rPr>
        <w:t>smaller reporting company</w:t>
      </w:r>
      <w:r>
        <w:rPr>
          <w:rFonts w:ascii="Arial" w:cs="Arial" w:eastAsia="Arial" w:hAnsi="Arial"/>
          <w:sz w:val="17"/>
          <w:szCs w:val="17"/>
          <w:color w:val="auto"/>
        </w:rPr>
        <w:t>" in Rule 12b-2 of the Exchange Act (Check one):</w:t>
      </w:r>
    </w:p>
    <w:p>
      <w:pPr>
        <w:sectPr>
          <w:pgSz w:w="11900" w:h="16838" w:orient="portrait"/>
          <w:cols w:equalWidth="0" w:num="1">
            <w:col w:w="11420"/>
          </w:cols>
          <w:pgMar w:left="240" w:top="472" w:right="239" w:bottom="1440" w:gutter="0" w:footer="0" w:header="0"/>
        </w:sectPr>
      </w:pPr>
    </w:p>
    <w:p>
      <w:pPr>
        <w:spacing w:after="0" w:line="114" w:lineRule="exact"/>
        <w:rPr>
          <w:sz w:val="24"/>
          <w:szCs w:val="24"/>
          <w:color w:val="auto"/>
        </w:rPr>
      </w:pPr>
    </w:p>
    <w:p>
      <w:pPr>
        <w:spacing w:after="0" w:line="207" w:lineRule="exact"/>
        <w:tabs>
          <w:tab w:leader="none" w:pos="28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6"/>
          <w:szCs w:val="16"/>
          <w:color w:val="auto"/>
        </w:rPr>
        <w:t>☐</w:t>
      </w:r>
    </w:p>
    <w:p>
      <w:pPr>
        <w:spacing w:after="0" w:line="58" w:lineRule="exact"/>
        <w:rPr>
          <w:sz w:val="24"/>
          <w:szCs w:val="24"/>
          <w:color w:val="auto"/>
        </w:rPr>
      </w:pPr>
    </w:p>
    <w:p>
      <w:pPr>
        <w:spacing w:after="0" w:line="207" w:lineRule="exact"/>
        <w:tabs>
          <w:tab w:leader="none" w:pos="286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7" w:lineRule="exact"/>
        <w:rPr>
          <w:sz w:val="24"/>
          <w:szCs w:val="24"/>
          <w:color w:val="auto"/>
        </w:rPr>
      </w:pPr>
    </w:p>
    <w:p>
      <w:pPr>
        <w:sectPr>
          <w:pgSz w:w="11900" w:h="16838" w:orient="portrait"/>
          <w:cols w:equalWidth="0" w:num="3">
            <w:col w:w="6720" w:space="720"/>
            <w:col w:w="2120" w:space="720"/>
            <w:col w:w="1140"/>
          </w:cols>
          <w:pgMar w:left="240" w:top="472" w:right="239" w:bottom="1440"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472" w:right="239" w:bottom="1440" w:gutter="0" w:footer="0" w:header="0"/>
          <w:type w:val="continuous"/>
        </w:sectPr>
      </w:pPr>
    </w:p>
    <w:p>
      <w:pPr>
        <w:spacing w:after="0" w:line="181" w:lineRule="exact"/>
        <w:rPr>
          <w:sz w:val="24"/>
          <w:szCs w:val="24"/>
          <w:color w:val="auto"/>
        </w:rPr>
      </w:pPr>
    </w:p>
    <w:p>
      <w:pPr>
        <w:spacing w:after="0" w:line="196" w:lineRule="exact"/>
        <w:tabs>
          <w:tab w:leader="none" w:pos="75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120" w:space="180"/>
            <w:col w:w="3120"/>
          </w:cols>
          <w:pgMar w:left="240" w:top="472" w:right="239" w:bottom="1440" w:gutter="0" w:footer="0" w:header="0"/>
          <w:type w:val="continuous"/>
        </w:sectPr>
      </w:pPr>
    </w:p>
    <w:p>
      <w:pPr>
        <w:spacing w:after="0" w:line="6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(without admitting that any person whose shares are not included in such calculation is an affiliate), computed by reference to the closing sale price of such shares on The NASDAQ Stock Market LLC on June 30, 2016 was $28,369,000.</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As of March 30, 2017, 19,198,454 shares of the registrant's common stock 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documents (or parts thereof) are incorporated by reference into the following parts of this Annual Report on Form 10-K: Certain information required in Part III of this Annual Report on Form 10-K is incorporated from the Registrant’s Proxy Statement for the 2017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40" w:type="dxa"/>
            <w:vAlign w:val="bottom"/>
            <w:gridSpan w:val="8"/>
          </w:tcPr>
          <w:p>
            <w:pPr>
              <w:ind w:left="56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gridSpan w:val="5"/>
            <w:shd w:val="clear" w:color="auto" w:fill="CCEEFF"/>
          </w:tcPr>
          <w:p>
            <w:pPr>
              <w:spacing w:after="0" w:line="136" w:lineRule="exact"/>
              <w:rPr>
                <w:rFonts w:ascii="Arial" w:cs="Arial" w:eastAsia="Arial" w:hAnsi="Arial"/>
                <w:sz w:val="15"/>
                <w:szCs w:val="15"/>
                <w:color w:val="0000EE"/>
              </w:rPr>
            </w:pPr>
            <w:hyperlink w:anchor="page5">
              <w:r>
                <w:rPr>
                  <w:rFonts w:ascii="Arial" w:cs="Arial" w:eastAsia="Arial" w:hAnsi="Arial"/>
                  <w:sz w:val="15"/>
                  <w:szCs w:val="15"/>
                  <w:color w:val="0000EE"/>
                </w:rPr>
                <w:t>Part I</w:t>
              </w:r>
            </w:hyperlink>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0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Item 1:</w:t>
            </w:r>
          </w:p>
        </w:tc>
        <w:tc>
          <w:tcPr>
            <w:tcW w:w="9360" w:type="dxa"/>
            <w:vAlign w:val="bottom"/>
            <w:gridSpan w:val="20"/>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1A:</w:t>
            </w: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Item 1B:</w:t>
            </w:r>
          </w:p>
        </w:tc>
        <w:tc>
          <w:tcPr>
            <w:tcW w:w="9360" w:type="dxa"/>
            <w:vAlign w:val="bottom"/>
            <w:gridSpan w:val="20"/>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2:</w:t>
            </w: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Item 3:</w:t>
            </w:r>
          </w:p>
        </w:tc>
        <w:tc>
          <w:tcPr>
            <w:tcW w:w="9360" w:type="dxa"/>
            <w:vAlign w:val="bottom"/>
            <w:gridSpan w:val="20"/>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4:</w:t>
            </w: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5"/>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Part II</w:t>
              </w:r>
            </w:hyperlink>
          </w:p>
        </w:tc>
        <w:tc>
          <w:tcPr>
            <w:tcW w:w="6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5:</w:t>
            </w:r>
          </w:p>
        </w:tc>
        <w:tc>
          <w:tcPr>
            <w:tcW w:w="832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Market for the Registrant's Common Equity, Related Stockholder Matters and Issuer Purchases of Equity Securities</w:t>
              </w:r>
            </w:hyperlink>
          </w:p>
        </w:tc>
        <w:tc>
          <w:tcPr>
            <w:tcW w:w="10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Item 6:</w:t>
            </w:r>
          </w:p>
        </w:tc>
        <w:tc>
          <w:tcPr>
            <w:tcW w:w="9360" w:type="dxa"/>
            <w:vAlign w:val="bottom"/>
            <w:gridSpan w:val="20"/>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Selected Financial Data</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7:</w:t>
            </w:r>
          </w:p>
        </w:tc>
        <w:tc>
          <w:tcPr>
            <w:tcW w:w="644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Management's Discussion and Analysis of Financial Condition and Results of Operations</w:t>
              </w:r>
            </w:hyperlink>
          </w:p>
        </w:tc>
        <w:tc>
          <w:tcPr>
            <w:tcW w:w="2920" w:type="dxa"/>
            <w:vAlign w:val="bottom"/>
            <w:tcBorders>
              <w:bottom w:val="single" w:sz="8" w:color="CCEEFF"/>
            </w:tcBorders>
            <w:gridSpan w:val="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Item 7A:</w:t>
            </w:r>
          </w:p>
        </w:tc>
        <w:tc>
          <w:tcPr>
            <w:tcW w:w="9360" w:type="dxa"/>
            <w:vAlign w:val="bottom"/>
            <w:gridSpan w:val="20"/>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8:</w:t>
            </w: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Financial Statements and Supplementary Data</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Item 9:</w:t>
            </w:r>
          </w:p>
        </w:tc>
        <w:tc>
          <w:tcPr>
            <w:tcW w:w="9360" w:type="dxa"/>
            <w:vAlign w:val="bottom"/>
            <w:gridSpan w:val="20"/>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Changes in and Disagreements with Accountants on Accounting and Financial Disclosure</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9A:</w:t>
            </w: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5"/>
          </w:tcPr>
          <w:p>
            <w:pPr>
              <w:spacing w:after="0" w:line="176" w:lineRule="exact"/>
              <w:rPr>
                <w:sz w:val="20"/>
                <w:szCs w:val="20"/>
                <w:color w:val="auto"/>
              </w:rPr>
            </w:pPr>
            <w:r>
              <w:rPr>
                <w:rFonts w:ascii="Arial" w:cs="Arial" w:eastAsia="Arial" w:hAnsi="Arial"/>
                <w:sz w:val="18"/>
                <w:szCs w:val="18"/>
                <w:b w:val="1"/>
                <w:bCs w:val="1"/>
                <w:color w:val="auto"/>
              </w:rPr>
              <w:t>Item 9B:</w:t>
            </w:r>
          </w:p>
        </w:tc>
        <w:tc>
          <w:tcPr>
            <w:tcW w:w="176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c>
          <w:tcPr>
            <w:tcW w:w="7600" w:type="dxa"/>
            <w:vAlign w:val="bottom"/>
            <w:tcBorders>
              <w:top w:val="single" w:sz="8" w:color="CCEEFF"/>
            </w:tcBorders>
            <w:gridSpan w:val="13"/>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Part III</w:t>
              </w:r>
            </w:hyperlink>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Item 10:</w:t>
            </w:r>
          </w:p>
        </w:tc>
        <w:tc>
          <w:tcPr>
            <w:tcW w:w="9360" w:type="dxa"/>
            <w:vAlign w:val="bottom"/>
            <w:gridSpan w:val="20"/>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Directors, Executive Officers and Corporate Governance</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11:</w:t>
            </w: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Executive Compensation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Item 12:</w:t>
            </w:r>
          </w:p>
        </w:tc>
        <w:tc>
          <w:tcPr>
            <w:tcW w:w="9360" w:type="dxa"/>
            <w:vAlign w:val="bottom"/>
            <w:gridSpan w:val="20"/>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Security Ownership of Certain Beneficial Owners and Management and Related Stockholder Matters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13:</w:t>
            </w: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Certain Relationships and Related Transactions and Director Independence</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5"/>
          </w:tcPr>
          <w:p>
            <w:pPr>
              <w:spacing w:after="0" w:line="176" w:lineRule="exact"/>
              <w:rPr>
                <w:sz w:val="20"/>
                <w:szCs w:val="20"/>
                <w:color w:val="auto"/>
              </w:rPr>
            </w:pPr>
            <w:r>
              <w:rPr>
                <w:rFonts w:ascii="Arial" w:cs="Arial" w:eastAsia="Arial" w:hAnsi="Arial"/>
                <w:sz w:val="18"/>
                <w:szCs w:val="18"/>
                <w:b w:val="1"/>
                <w:bCs w:val="1"/>
                <w:color w:val="auto"/>
              </w:rPr>
              <w:t>Item 14:</w:t>
            </w:r>
          </w:p>
        </w:tc>
        <w:tc>
          <w:tcPr>
            <w:tcW w:w="540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Principal Accounting Fees and Services</w:t>
              </w:r>
            </w:hyperlink>
          </w:p>
        </w:tc>
        <w:tc>
          <w:tcPr>
            <w:tcW w:w="3960" w:type="dxa"/>
            <w:vAlign w:val="bottom"/>
            <w:tcBorders>
              <w:top w:val="single" w:sz="8" w:color="CCEEFF"/>
            </w:tcBorders>
            <w:gridSpan w:val="5"/>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Part IV</w:t>
              </w:r>
            </w:hyperlink>
          </w:p>
        </w:tc>
        <w:tc>
          <w:tcPr>
            <w:tcW w:w="6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Item 15:</w:t>
            </w:r>
          </w:p>
        </w:tc>
        <w:tc>
          <w:tcPr>
            <w:tcW w:w="3160" w:type="dxa"/>
            <w:vAlign w:val="bottom"/>
            <w:tcBorders>
              <w:bottom w:val="single" w:sz="8" w:color="0000EE"/>
            </w:tcBorders>
            <w:gridSpan w:val="11"/>
          </w:tcPr>
          <w:p>
            <w:pPr>
              <w:spacing w:after="0" w:line="17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Exhibits and Financial Statement Schedules</w:t>
              </w:r>
            </w:hyperlink>
          </w:p>
        </w:tc>
        <w:tc>
          <w:tcPr>
            <w:tcW w:w="6200" w:type="dxa"/>
            <w:vAlign w:val="bottom"/>
            <w:gridSpan w:val="9"/>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This Annual Report on Form 10-K contains “forward-looking statements” within the meaning of the Private Securities Litigation Reform Act of 1995. These statements relating, among other matters, to our anticipated financial performance, future revenues or earnings, business prospects, projected ventures, new products and services, anticipated market performance and similar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many of which are beyond our control, include:</w:t>
      </w:r>
    </w:p>
    <w:p>
      <w:pPr>
        <w:spacing w:after="0" w:line="225" w:lineRule="exact"/>
        <w:rPr>
          <w:sz w:val="20"/>
          <w:szCs w:val="20"/>
          <w:color w:val="auto"/>
        </w:rPr>
      </w:pPr>
    </w:p>
    <w:p>
      <w:pPr>
        <w:ind w:left="520" w:right="20" w:hanging="255"/>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our business and asset acquisitions on our operations and operating results including our ability to realize the expected value and benefits of such acquisitions;</w:t>
      </w:r>
    </w:p>
    <w:p>
      <w:pPr>
        <w:spacing w:after="0" w:line="170"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and/or develop intellectual property;</w:t>
      </w:r>
    </w:p>
    <w:p>
      <w:pPr>
        <w:spacing w:after="0" w:line="225"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w:t>
      </w:r>
    </w:p>
    <w:p>
      <w:pPr>
        <w:spacing w:after="0" w:line="225" w:lineRule="exact"/>
        <w:rPr>
          <w:rFonts w:ascii="Arial" w:cs="Arial" w:eastAsia="Arial" w:hAnsi="Arial"/>
          <w:sz w:val="18"/>
          <w:szCs w:val="18"/>
          <w:color w:val="auto"/>
        </w:rPr>
      </w:pPr>
    </w:p>
    <w:p>
      <w:pPr>
        <w:ind w:left="520" w:right="20" w:hanging="255"/>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25"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general economic conditions and level of consumer and corporate spending on technology, consumer electronics, health and wellness, and travel;</w:t>
      </w:r>
    </w:p>
    <w:p>
      <w:pPr>
        <w:spacing w:after="0" w:line="24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25" w:lineRule="exact"/>
        <w:rPr>
          <w:rFonts w:ascii="Arial" w:cs="Arial" w:eastAsia="Arial" w:hAnsi="Arial"/>
          <w:sz w:val="18"/>
          <w:szCs w:val="18"/>
          <w:color w:val="auto"/>
        </w:rPr>
      </w:pPr>
    </w:p>
    <w:p>
      <w:pPr>
        <w:ind w:left="520" w:hanging="255"/>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with regard to our retail businesses, our ability to secure new locations, maintain existing ones, and ensure continued customer traffic at those locations;</w:t>
      </w:r>
    </w:p>
    <w:p>
      <w:pPr>
        <w:spacing w:after="0" w:line="170"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customers’ financial data and other personal information;</w:t>
      </w:r>
    </w:p>
    <w:p>
      <w:pPr>
        <w:spacing w:after="0" w:line="225"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one or more of our significant suppliers or vendors;</w:t>
      </w:r>
    </w:p>
    <w:p>
      <w:pPr>
        <w:spacing w:after="0" w:line="225" w:lineRule="exact"/>
        <w:rPr>
          <w:rFonts w:ascii="Arial" w:cs="Arial" w:eastAsia="Arial" w:hAnsi="Arial"/>
          <w:sz w:val="18"/>
          <w:szCs w:val="18"/>
          <w:color w:val="auto"/>
        </w:rPr>
      </w:pPr>
    </w:p>
    <w:p>
      <w:pPr>
        <w:ind w:left="520" w:hanging="255"/>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trends in the travel, health and wellness, mobile phone, telecom computing, and consumer electronics industries and potential technology and service obsolescence;</w:t>
      </w:r>
    </w:p>
    <w:p>
      <w:pPr>
        <w:spacing w:after="0" w:line="170"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market acceptance, quality, pricing, availability and useful life of our products and/or services, as well as the mix of our products and services sold;</w:t>
      </w:r>
    </w:p>
    <w:p>
      <w:pPr>
        <w:spacing w:after="0" w:line="24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 and</w:t>
      </w:r>
    </w:p>
    <w:p>
      <w:pPr>
        <w:spacing w:after="0" w:line="225"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Forward-looking statements may appear throughout this Annual Report on Form 10-K, including, without limitation, the following sections: Item 1 “Business,” Item 1A “Risk Factors,” and Item 7 “Management’s Discussion and Analysis of Financial Condition and Results of Operations.” Forward-looking statements generally can be identified by words such as “anticipates,” “believes,” “estimates,” “expects,” “intends,” “plans,” “predicts,” “projects,” “will be,” “will continue,” “will likely result,” and similar expressions. These forward-looking statements are based on current expectations and assumptions that are subject to risks and uncertainties, which could cause our actual results to differ materially from those reflected in the forward-looking statements. Factors that could cause or contribute to such differences include, but are not limited to, those discussed in this Annual Report on Form 10-K, and in particular, the risks discussed under the caption “Risk Factors” in Item 1A of this report and those discussed in other documents we file with the Securities and Exchange Commission (“SEC”).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All references in this Annual Report on Form 10-K to “we,” “us” and “our” refer to </w:t>
      </w:r>
      <w:r>
        <w:rPr>
          <w:rFonts w:ascii="Arial" w:cs="Arial" w:eastAsia="Arial" w:hAnsi="Arial"/>
          <w:sz w:val="18"/>
          <w:szCs w:val="18"/>
          <w:i w:val="1"/>
          <w:iCs w:val="1"/>
          <w:color w:val="auto"/>
        </w:rPr>
        <w:t>FORM Holdings Corp. (prior to May 5, 2016, known as “Vringo, Inc.”)</w:t>
      </w:r>
      <w:r>
        <w:rPr>
          <w:rFonts w:ascii="Arial" w:cs="Arial" w:eastAsia="Arial" w:hAnsi="Arial"/>
          <w:sz w:val="18"/>
          <w:szCs w:val="18"/>
          <w:color w:val="auto"/>
        </w:rPr>
        <w:t>, unless the context requires otherwise.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FORM Holdings Corp (“FORM” or the “Company”) focuses on acquiring and building companies that would benefit from:</w:t>
      </w:r>
    </w:p>
    <w:p>
      <w:pPr>
        <w:spacing w:after="0" w:line="225" w:lineRule="exact"/>
        <w:rPr>
          <w:sz w:val="20"/>
          <w:szCs w:val="20"/>
          <w:color w:val="auto"/>
        </w:rPr>
      </w:pPr>
    </w:p>
    <w:p>
      <w:pPr>
        <w:ind w:left="520" w:hanging="255"/>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capital;</w:t>
      </w:r>
    </w:p>
    <w:p>
      <w:pPr>
        <w:spacing w:after="0" w:line="225" w:lineRule="exact"/>
        <w:rPr>
          <w:rFonts w:ascii="Arial" w:cs="Arial" w:eastAsia="Arial" w:hAnsi="Arial"/>
          <w:sz w:val="18"/>
          <w:szCs w:val="18"/>
          <w:color w:val="auto"/>
        </w:rPr>
      </w:pPr>
    </w:p>
    <w:p>
      <w:pPr>
        <w:ind w:left="520" w:hanging="255"/>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exposure to visibility from the public markets;</w:t>
      </w:r>
    </w:p>
    <w:p>
      <w:pPr>
        <w:spacing w:after="0" w:line="225" w:lineRule="exact"/>
        <w:rPr>
          <w:rFonts w:ascii="Arial" w:cs="Arial" w:eastAsia="Arial" w:hAnsi="Arial"/>
          <w:sz w:val="18"/>
          <w:szCs w:val="18"/>
          <w:color w:val="auto"/>
        </w:rPr>
      </w:pPr>
    </w:p>
    <w:p>
      <w:pPr>
        <w:ind w:left="520" w:hanging="255"/>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talent recruiting;</w:t>
      </w:r>
    </w:p>
    <w:p>
      <w:pPr>
        <w:spacing w:after="0" w:line="225" w:lineRule="exact"/>
        <w:rPr>
          <w:rFonts w:ascii="Arial" w:cs="Arial" w:eastAsia="Arial" w:hAnsi="Arial"/>
          <w:sz w:val="18"/>
          <w:szCs w:val="18"/>
          <w:color w:val="auto"/>
        </w:rPr>
      </w:pPr>
    </w:p>
    <w:p>
      <w:pPr>
        <w:ind w:left="520" w:hanging="255"/>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rebranding; and</w:t>
      </w:r>
    </w:p>
    <w:p>
      <w:pPr>
        <w:spacing w:after="0" w:line="225" w:lineRule="exact"/>
        <w:rPr>
          <w:rFonts w:ascii="Arial" w:cs="Arial" w:eastAsia="Arial" w:hAnsi="Arial"/>
          <w:sz w:val="18"/>
          <w:szCs w:val="18"/>
          <w:color w:val="auto"/>
        </w:rPr>
      </w:pPr>
    </w:p>
    <w:p>
      <w:pPr>
        <w:ind w:left="520" w:hanging="255"/>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implementation of best practices.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management team is committed to executing on our strategy. Our focus is on travel, health and wellness, and technology. We limit our scope by only looking at companies with a clear path for growth.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four operating segments:</w:t>
      </w:r>
    </w:p>
    <w:p>
      <w:pPr>
        <w:spacing w:after="0" w:line="225" w:lineRule="exact"/>
        <w:rPr>
          <w:sz w:val="20"/>
          <w:szCs w:val="20"/>
          <w:color w:val="auto"/>
        </w:rPr>
      </w:pPr>
    </w:p>
    <w:p>
      <w:pPr>
        <w:ind w:left="520" w:hanging="255"/>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XpresSpa</w:t>
      </w:r>
    </w:p>
    <w:p>
      <w:pPr>
        <w:spacing w:after="0" w:line="225" w:lineRule="exact"/>
        <w:rPr>
          <w:rFonts w:ascii="Arial" w:cs="Arial" w:eastAsia="Arial" w:hAnsi="Arial"/>
          <w:sz w:val="18"/>
          <w:szCs w:val="18"/>
          <w:color w:val="auto"/>
        </w:rPr>
      </w:pPr>
    </w:p>
    <w:p>
      <w:pPr>
        <w:ind w:left="520" w:hanging="255"/>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Group Mobile</w:t>
      </w:r>
    </w:p>
    <w:p>
      <w:pPr>
        <w:spacing w:after="0" w:line="225" w:lineRule="exact"/>
        <w:rPr>
          <w:rFonts w:ascii="Arial" w:cs="Arial" w:eastAsia="Arial" w:hAnsi="Arial"/>
          <w:sz w:val="18"/>
          <w:szCs w:val="18"/>
          <w:color w:val="auto"/>
        </w:rPr>
      </w:pPr>
    </w:p>
    <w:p>
      <w:pPr>
        <w:ind w:left="520" w:hanging="255"/>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FLI Charge</w:t>
      </w:r>
    </w:p>
    <w:p>
      <w:pPr>
        <w:spacing w:after="0" w:line="225" w:lineRule="exact"/>
        <w:rPr>
          <w:rFonts w:ascii="Arial" w:cs="Arial" w:eastAsia="Arial" w:hAnsi="Arial"/>
          <w:sz w:val="18"/>
          <w:szCs w:val="18"/>
          <w:color w:val="auto"/>
        </w:rPr>
      </w:pPr>
    </w:p>
    <w:p>
      <w:pPr>
        <w:ind w:left="520" w:hanging="255"/>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Strategy and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acquired XpresSpa on December 23, 2016. XpresSpa is a leading airport retailer of spa services and related products. It is a well-recognized and popular airport spa brand with approximately 50% market share in the United States and nearly three times the number of domestic locations as its closest competitor. It provides nearly 700,000 services per year. As of December 31, 2016, XpresSpa operated 53 total locations in 40 terminals and 22 airports in three countries, the United States, Netherlands, and United Arab Emirates. XpresSpa also sells wellness and travel products through its internet site, www.xpresspa.com. Key services and products include:</w:t>
      </w:r>
    </w:p>
    <w:p>
      <w:pPr>
        <w:spacing w:after="0" w:line="188" w:lineRule="exact"/>
        <w:rPr>
          <w:sz w:val="20"/>
          <w:szCs w:val="20"/>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massage services for the neck, back, feet and whole body;</w:t>
      </w:r>
    </w:p>
    <w:p>
      <w:pPr>
        <w:spacing w:after="0" w:line="225" w:lineRule="exact"/>
        <w:rPr>
          <w:rFonts w:ascii="Arial" w:cs="Arial" w:eastAsia="Arial" w:hAnsi="Arial"/>
          <w:sz w:val="18"/>
          <w:szCs w:val="18"/>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nail care, such as pedicures, manicures and polish changes;</w:t>
      </w:r>
    </w:p>
    <w:p>
      <w:pPr>
        <w:spacing w:after="0" w:line="225" w:lineRule="exact"/>
        <w:rPr>
          <w:rFonts w:ascii="Arial" w:cs="Arial" w:eastAsia="Arial" w:hAnsi="Arial"/>
          <w:sz w:val="18"/>
          <w:szCs w:val="18"/>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travel products such as neck pillows, blankets, massage tools and eye masks.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t>For over a decade, increased security requirements have led travelers to spend more time at the airport. In addition, in anticipation of the long and often stressful security lines, travelers allow for more time to get through security and, as a result, often experience increased downtime prior to boarding. Consequentially, travelers at large airport hubs spend approximately 75 minutes in the terminal after passing through security.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was developed to address the stress and idle time spent at the airport, allowing travelers to spend this time productively, by relaxing and focusing on personal care and wellness. We believe that XpresSpa is well positioned to benefit from consumers’ growing interest in health and wellness and increasing demand for spa services and related wellness products.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 confluence of microeconomic events has created favorable conditions for the expansion of retail concepts at airports, in particular, retail concepts that attract higher spending from air travelers. The competition for airplane landings has forced airports to lower landing fees, which in turn has necessitated augmenting their retail offerings to offset budget shortfalls. Infrastructure projects at airports across the country, again intended to make an airport more desirable to airlines, require funding from bond issuances that in turn rely upon, in part, the expected minimum rent guarantees and expected income from concessionaires.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Equally as important to the industry growth is XpresSpa’s flexible retail format. XpresSpa opens multiple locations annually, which have ranged in size from 300 square feet to 3,000 square feet, with a typical size of 1,000 to 1,200 square feet. XpresSpa is able to adapt its operating model to almost any size location available in space constrained airports. This increased flexibility compared to other retail concepts allows XpresSpa to operate multiple stores within an airport, from which it enjoys synergies due to shared labor between stores.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XpresSpa’s total revenues have increased 49% from approximately $29,353,000 in 2012 to $43,820,000 in 2016, largely as a result of the growth in the number of spas, from 28 in January 2012 to 53 in December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117475</wp:posOffset>
            </wp:positionV>
            <wp:extent cx="4913630" cy="3095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13630" cy="309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spacing w:after="0" w:line="302" w:lineRule="auto"/>
        <w:rPr>
          <w:sz w:val="20"/>
          <w:szCs w:val="20"/>
          <w:color w:val="auto"/>
        </w:rPr>
      </w:pPr>
      <w:r>
        <w:rPr>
          <w:rFonts w:ascii="Arial" w:cs="Arial" w:eastAsia="Arial" w:hAnsi="Arial"/>
          <w:sz w:val="16"/>
          <w:szCs w:val="16"/>
          <w:color w:val="auto"/>
        </w:rPr>
        <w:t>XpresSpa regularly measures comparable store sales, which it defines as current period sales from stores opened more than 12 months compared to those same stores’ sales in the prior year period (“Comp Store Sales”). The measurement of Comp Store Sales on a daily, weekly, monthly and year-to-date basis provides an additional perspective on XpresSpa’s total sales growth when considering the influence of new unit contribution. A reconciliation between Comp Store Sales, which is a non-GAAP measure commonly used in the retail industry, and total revenue as reported on the financial statements is presented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 Store Sales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21,461</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26,569</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34,060</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Non-Comp Store Sales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7,892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7,326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5,906</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4,783</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4,877</w:t>
            </w:r>
          </w:p>
        </w:tc>
      </w:tr>
      <w:tr>
        <w:trPr>
          <w:trHeight w:val="210"/>
        </w:trPr>
        <w:tc>
          <w:tcPr>
            <w:tcW w:w="4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29,353</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33,895</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37,347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38,843</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XpresSpa believes that its operating metrics represent an attractive return on invested capital and, as a result, is pursuing new locations at airports and terminals around the country. Historically, XpresSpa has won approximately four out of every five requests for proposal (“RFP”) in which it has participated.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Group Mobile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acquired Group Mobile on October 15, 2015. Group Mobile provides total hardware solutions, including rugged laptops, tablets, and handheld computers. Group Mobile also markets rugged mobile printers, vehicle computer docking and mounting gear, power accessories, wireless communication products, antennas, carrying cases and other peripherals, accessories and add-ons needed to maximize productivity in a mobile- or field-computing environment. Group Mobile’s professional service offerings are evolving into project lifecycle services including technology consultations, development and deployment, project and asset management, equipment installation, break-fix, hardware service technical support, 24-7 helpdesk and more.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Group Mobile is aggressively pursuing sales of Law Enforcement In-Vehicle “Video and Body-Worn” camera solutions to meet the complex mobile technology demands of thousands of law enforcement agencies and officers in the United States market. Key to the Group Mobile long-term strategy is the complete professional services, post deployment services and lifecycle management of Group Mobile offerings to bring stability to the customer mobile technology platforms.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Group Mobile purchases rugged mobile computing equipment and complementary products from its primary distribution and manufacturing partners and sells them to enterprises, resellers, and retail customers. Our primary customers range from corporations to local governments, emergency first responders and healthcare organizations. We believe that the market for rugged mobile computing products is trending towards an increase in the volume of unit sales combined with declining unit prices as the business transitions from primarily being comprised of laptops to one primarily comprised of rugged tablets. As this transition has occurred, Group Mobile is seeing shortened product life cycles and industry specific devices for segments such as healthcare. Group Mobile sets sale prices based on the market supply and demand characteristics for each particular product. Group Mobile is highly dependent on the end-market demand for rugged mobile computing products, which is influenced by many factors including the introduction of new IT products by Original Equipment Manufacturers (“OEM”), replacement cycles for existing rugged mobile computing products, overall economic growth, local and state budgets, and general business activity.</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Product costs represent the single largest expense and product inventory is one of the largest working capital investments for Group Mobile. Group Mobile’s primary suppliers include Synnex Corporation, Ingram Micro Inc., Xplore Technologies Corporation, and Motion Computing, which, combined, represent approximately 81% of Group Mobile’s inventory purchases. We have reseller agreements with most of our OEM and distribution partners. These agreements usually provide for nonexclusive resale and distribution rights. The agreements are generally short-term, subject to periodic renewal, and often contain provisions permitting termination by either our supplier or us without cause upon relatively short notice. Furthermore, product procurement from the OEM suppliers is a highly complex process and, as such, efficient and effective purchasing operations are critical to Group Mobile’s success.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181818"/>
        </w:rPr>
        <w:t>FLI Charge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FLI Charge is an early stage company that designs, develops, licenses, manufactures and markets power transfer and charging solutions. FLI Charge is currently working with partners in several verticals to bring products to market. These verticals include education, office, hospitality, power tools, automotive and consumer electronics, among others.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FLI Charge ecosystem consists of powered surfaces and enablement chips that seamlessly transfer power to electronic devices. FLI Charge surfaces are connected to a power source or battery. The surfaces have conductive contact strips that provide power and are constantly monitored by control circuitry that immediately halts power transfer if an unapproved load or short-circuit condition is detected. FLI Charge-enabled devices are embedded with the FLI Charge contact enablement that consists of four contact points, known as the FLI Charge “constellation.” The constellation is designed to make an immediate and continuous electrical connection with the contact strips regardless of the device’s position or orientation on the surface. The enablement monitors the power coming from the surface and ensures that the correct amount of power goes to the device. Once an approved FLI Charge device is placed on a surface, power is transferred immediately to charge or power the device.</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There are several competing charging technologies on the market or under development today. The most popular competing technology is inductive wireless charging, in which magnetic induction uses a magnetic coil to create resonance, which can transmit energy over a relatively short distance. The amount of power delivered is a function of the size of the coils, and the coils must be aligned and paired within a typical distance of less than one inch. Products utilizing magnetic induction have been available for 10+ years in products such as rechargeable electronic toothbrushes and pace makers. The leading inductive technologies deliver a maximum of 20 watts. Other competing technologies include magnetic resonance, RF harvesting, laser and ultrasound.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FLI Charge launched its consumer product line on Indiegogo, a crowdfunding platform, on June 15, 2016; the campaign was completed on August 15,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FLI Charge delivered products to the participants in the fourth quarter of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81818"/>
        </w:rPr>
        <w:t>Intellectual Property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intellectual property operating segment is engaged in the innovation, development and monetization of intellectual property. Our portfolio consists of patents and patent applications covering ad-insertion, wireless power, and mobile technologies.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currently focused on monetizing our technology portfolio through a variety of value enhancing initiatives including, but not limited to, licensing, litigation and strategic partnerships. We are currently asserting patents in litigation related to ad-insertion and remote monitoring.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181818"/>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XpresSpa Acquisition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August 8, 2016, we signed an agreement to acquire XpresSpa. </w:t>
      </w:r>
      <w:r>
        <w:rPr>
          <w:rFonts w:ascii="Arial" w:cs="Arial" w:eastAsia="Arial" w:hAnsi="Arial"/>
          <w:sz w:val="18"/>
          <w:szCs w:val="18"/>
          <w:color w:val="181818"/>
        </w:rPr>
        <w:t>On December 23, 2016, we completed the acquisition of XpresSpa for a total purchase</w:t>
      </w:r>
      <w:r>
        <w:rPr>
          <w:rFonts w:ascii="Arial" w:cs="Arial" w:eastAsia="Arial" w:hAnsi="Arial"/>
          <w:sz w:val="18"/>
          <w:szCs w:val="18"/>
          <w:color w:val="auto"/>
        </w:rPr>
        <w:t xml:space="preserve"> </w:t>
      </w:r>
      <w:r>
        <w:rPr>
          <w:rFonts w:ascii="Arial" w:cs="Arial" w:eastAsia="Arial" w:hAnsi="Arial"/>
          <w:sz w:val="18"/>
          <w:szCs w:val="18"/>
          <w:color w:val="181818"/>
        </w:rPr>
        <w:t>consideration of $37,400,000, which includes:</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181818"/>
        </w:rPr>
      </w:pPr>
      <w:r>
        <w:rPr>
          <w:rFonts w:ascii="Arial" w:cs="Arial" w:eastAsia="Arial" w:hAnsi="Arial"/>
          <w:sz w:val="18"/>
          <w:szCs w:val="18"/>
          <w:color w:val="181818"/>
        </w:rPr>
        <w:t>$1,734,000 in cash which was invested on August 8, 2016.</w:t>
      </w:r>
    </w:p>
    <w:p>
      <w:pPr>
        <w:spacing w:after="0" w:line="225" w:lineRule="exact"/>
        <w:rPr>
          <w:rFonts w:ascii="Arial" w:cs="Arial" w:eastAsia="Arial" w:hAnsi="Arial"/>
          <w:sz w:val="18"/>
          <w:szCs w:val="18"/>
          <w:color w:val="181818"/>
        </w:rPr>
      </w:pPr>
    </w:p>
    <w:p>
      <w:pPr>
        <w:ind w:left="660" w:hanging="328"/>
        <w:spacing w:after="0"/>
        <w:tabs>
          <w:tab w:leader="none" w:pos="660" w:val="left"/>
        </w:tabs>
        <w:numPr>
          <w:ilvl w:val="0"/>
          <w:numId w:val="7"/>
        </w:numPr>
        <w:rPr>
          <w:rFonts w:ascii="Arial" w:cs="Arial" w:eastAsia="Arial" w:hAnsi="Arial"/>
          <w:sz w:val="18"/>
          <w:szCs w:val="18"/>
          <w:color w:val="181818"/>
        </w:rPr>
      </w:pPr>
      <w:r>
        <w:rPr>
          <w:rFonts w:ascii="Arial" w:cs="Arial" w:eastAsia="Arial" w:hAnsi="Arial"/>
          <w:sz w:val="18"/>
          <w:szCs w:val="18"/>
          <w:color w:val="181818"/>
        </w:rPr>
        <w:t>2,500,000 shares of FORM common stock, par value $0.01 per share (“FORM Common Stock”).</w:t>
      </w:r>
    </w:p>
    <w:p>
      <w:pPr>
        <w:spacing w:after="0" w:line="225" w:lineRule="exact"/>
        <w:rPr>
          <w:rFonts w:ascii="Arial" w:cs="Arial" w:eastAsia="Arial" w:hAnsi="Arial"/>
          <w:sz w:val="18"/>
          <w:szCs w:val="18"/>
          <w:color w:val="181818"/>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494,792 shares of our newly designated Series D Convertible Preferred Stock, par value $0.01 per share, (“FORM Preferred Stock”) with an aggregate initial liquidation preference of $23,750,000.</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ind w:left="660"/>
        <w:spacing w:after="0" w:line="257" w:lineRule="auto"/>
        <w:rPr>
          <w:sz w:val="20"/>
          <w:szCs w:val="20"/>
          <w:color w:val="auto"/>
        </w:rPr>
      </w:pPr>
      <w:r>
        <w:rPr>
          <w:rFonts w:ascii="Arial" w:cs="Arial" w:eastAsia="Arial" w:hAnsi="Arial"/>
          <w:sz w:val="18"/>
          <w:szCs w:val="18"/>
          <w:color w:val="auto"/>
        </w:rPr>
        <w:t>Pursuant to the terms of the agreement governing the XpresSpa acquisition, in February 2017, in view of unexpected expenses, the parties mutually agreed to reduce the purchase price consideration and, as a result, the total number of shares of FORM Preferred Stock was decreased from 494,792 shares to 491,427 shares with an aggregate initial liquidation preference of $23,588,000, which are initially convertible into 3,931,416 shares of FORM Common Stock, at a conversion price of $6.00 per share. Each holder of FORM Preferred Stock shall be entitled to vote on an as converted basis.</w:t>
      </w:r>
    </w:p>
    <w:p>
      <w:pPr>
        <w:spacing w:after="0" w:line="188"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Five-year warrants to purchase 2,500,000 shares of FORM Common Stock, at an exercise price of $3.00 per share, each subject to adjustment in the event of a stock split, dividend or similar events.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230,208 shares of FORM Preferred Stock, with an estimated fair value of $11,050,000, were placed into an escrow that will be subject to release over an 18 month period once certain conditions are satisfied. The escrow will be used to obtain necessary lease consents from the airports and to cover potential liabilities that may arise after the acquisition, but pertain to the activities before the acquisition.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FORM Preferred Stock is senior to the FORM Common Stock and the terms of the FORM Preferred Stock contain no restrictions on our ability to issue additional senior preferred securities or our ability to issue additional preferred securities in the future. We have the right, but not the obligation, upon ten trading days’ notice to convert the outstanding shares of FORM Preferred Stock into FORM Common Stock at the then applicable conversion ratio, at any time or from time to time, if the volume weighted average price per share of the FORM Common Stock exceeds $9.00 for over any 20 days in a 30 consecutive trading day period. The term of the FORM Preferred Stock is seven years, after which time we can repay the holders in shares of FORM Common Stock or cash at our election. If we elect to make a payment, or any portion thereof, in shares of FORM Common Stock, the number of shares deliverable (the “Base Shares”) will be based on the volume weighted average price per share of the FORM Common Stock for the 30 trading days prior to the date of calculation (the “Base Price”) plus an additional number of shares of FORM Common Stock (the “Premium Shares”), calculated as follows: (i) if the Base Price is greater than $9.00, no Premium Shares shall be issued, (ii) if the Base Price is greater than $7.00 and equal to or less than $9.00, an additional number of shares equal to 5% of the Base Shares shall be issued, (iii) if the Base Price is greater than $6.00 and equal to or less than $7.00, an additional number of shares equal to 10% of the Base Shares shall be issued, (iv) if the Base Price is greater than $5.00 and equal to or less than $6.00, an additional number of shares equal to 20% of the Base Shares shall be issued and (v) if the Base Price is less than or equal to $5.00, an additional number of shares equal to 25% of the Base Shares shall be issued. The FORM Preferred Stock will accrue interest at 9% per annum.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Assignment of Infrastructure Patent Portfolio</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5, 2016, we entered into an agreement with Nokia Corporation (“Nokia”) to assign Nokia rights related to certain patents previously purchased from Nokia. The carrying value of the patents assigned to Nokia prior to the agreement was $1,186,000, which offset the $1,750,000 of royalty payable and resulted in a gain of $564,000 on the disposal of assets, which is included in general and administrative expense in the consolidated statements of operations and comprehensive loss. We retained selected patents previously purchased from Nokia with a carrying value of $50,000 as of December 31, 2016 that are no longer subject to any royalty payments to Nokia.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Senior Secured Notes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2016, we no longer had an outstanding balance for our Senior Secured Convertible Notes (the “Notes”), as the Notes were repaid in full during the year. The details of our significant transactions during 2016 pertaining to the Notes are described below.</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9, 2016, we and the holders (the “Investors”) of our $12,500,000 Notes, which we originally issued in a registered direct offering on May 4, 2015, entered into an exchange note agreement (the “Exchange Note Agreement”). Pursuant to the Exchange Note Agreement, we issued to the Investors an aggregate of 703,644 shares of our common stock, par value $0.01 per share, in exchange for the reduction of $1,267,000 of the outstanding aggregate principal amount of the Notes and $49,000 of accrued interest. As a result, the outstanding aggregate principal amount under the Notes was reduced from $3,016,000 to $1,749,000 as of March 9, 2016.</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spacing w:after="0" w:line="271" w:lineRule="auto"/>
        <w:rPr>
          <w:sz w:val="20"/>
          <w:szCs w:val="20"/>
          <w:color w:val="auto"/>
        </w:rPr>
      </w:pPr>
      <w:r>
        <w:rPr>
          <w:rFonts w:ascii="Arial" w:cs="Arial" w:eastAsia="Arial" w:hAnsi="Arial"/>
          <w:sz w:val="17"/>
          <w:szCs w:val="17"/>
          <w:color w:val="auto"/>
        </w:rPr>
        <w:t>In addition, on March 9, 2016, with the consent of each of the Investors, we agreed to amend the Notes. Pursuant to the Amended and Restated Senior Secured Notes (the “Amended Notes”) and the Indenture dated May 4, 2015, as supplemented by a First Supplemental Indenture dated May 4, 2015 and further supplemented by a Second Supplemental Indenture (the “Second Supplemental Indenture”) dated March 9, 2016: (i) the Amended Notes are no longer convertible into shares of our common stock and are payable by us on the Maturity Date (as defined below) in cash only, (ii) the Maturity Date of the Amended Notes was extended to June 30, 2017 (the “Maturity Date”), (iii) we discontinued the payment of principal prior to the Maturity Date (subject to certain exceptions), (iv) the interest rate increased from 8% to 10% per annum and accrues on the outstanding aggregate principal amount of the Amended Notes, payable monthly, and (v) we will pay to the Investors on the Maturity Date 102% of the outstanding aggregate principal amount of the Amended Notes. We also agreed to maintain a cash balance (including cash equivalents) of not less than $2,900,000.</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agreed to reduce the exercise price of the warrants to purchase an aggregate of 537,500 shares of our common stock pursuant to the initial agreement (the “May 2015 Warrants”) from $10.00 to $3.00 per share and we agreed to remove from the May 2015 Warrants certain anti-dilution features. Other terms of the May 2015 Warrants remained the same. Furthermore, in connection with the Amended Notes, we paid a restructuring fee of $50,000 to the Investors.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 2016, we repaid in full the Amended Notes that were due on June 30, 2017, including a 15% fee for early repayment. We used an aggregate of $2,011,000 of cash on hand for repayment of the Amended Notes. As a result of the repayment in full of the Amended Notes, all liens on our assets, including intellectual property, were released by the Investors.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Impairment of Patents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181818"/>
        </w:rPr>
        <w:t>Our name change and repositioning as a holding company was deemed a triggering event, which required our patent assets to be tested for impairment. In performing this impairment test, we determined that the patent portfolios, which together represent an asset group, were subject to impairment testing. In the first step of the impairment test, we utilized our projections of future undiscounted cash flows based on our existing plans for the patents. As a result, it was determined that our projections of future undiscounted cash flows were less than the carrying value of the asset group. Accordingly, we performed the second step of the impairment test to measure the potential impairment by calculating the asset group’s fair value as of May 6, 2016. As a result, following amortization for the month of April, we recorded an impairment charge of $11,937,000, which resulted in a new carrying value of $1,526,000 on May 6, 2016. Following the impairment, we reevaluated the remaining useful life of the patent assets and concluded that there were no changes.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Stockholder Rights Plan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March 18, 2016, we announced that our Board of Directors adopted a stockholder rights plan in the form of a Section 382 Rights Agreement designed to preserve our tax assets. As a part of the plan, our Board of Directors declared a dividend of one preferred-share-purchase right for each share of our common stock outstanding as of March 29, 2016. Effective on March 18, 2016, if any group or person acquires 4.99% or more of our outstanding shares of common stock, or if a group or person that already owns 4.99% or more of our common stock acquires additional shares representing 0.5% or more of our common stock, then, subject to certain exceptions, there would be a triggering event under the plan. The rights would then separate from our common stock and would be adjusted to become exercisable to purchase shares of our common stock having a market value equal to twice the purchase price of $9.50, resulting in significant dilution in the ownership interest of the acquiring person or group. Our Board of Directors has the discretion to exempt any acquisition of our common stock from the provisions of the plan and has the ability to terminate the plan prior to a triggering event. In connection with this plan, we filed a Certificate of Designation of Series C Junior Preferred Stock with the Secretary of State of Delaware on March 18, 2016.</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181818"/>
        </w:rPr>
        <w:t>Reverse Stock Split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noted, the information contained in these consolidated financial statements gives effect to a one-for-ten reverse stock split of our common stock effected on November 27, 2015 (the “Reverse Stock Split”) on a retroactive basis for all periods presented</w:t>
      </w:r>
      <w:r>
        <w:rPr>
          <w:rFonts w:ascii="Arial" w:cs="Arial" w:eastAsia="Arial" w:hAnsi="Arial"/>
          <w:sz w:val="18"/>
          <w:szCs w:val="18"/>
          <w:i w:val="1"/>
          <w:iCs w:val="1"/>
          <w:color w:val="181818"/>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Each of our four reporting segments operates in different competitive environments.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XpresSpa operates 53 locations, which includes 49 domestic locations and four international locations. Our domestic units operate within many of the largest and most heavily trafficked airports in the United States. The competitive landscape for wellness service providers in airports consists of approximately 110 spas across North America. XpresSpa’s 49 domestic units represent approximately 45% of the total North American market. The balance of the North American market is highly fragmented and is represented largely by small, privately-owned entities that operate one or two locations in a single airport. Only three other market participants operate 10 or more airport locations in the United States. The largest domestic competitor operates 18 locations in eight airports. Outside of North America, this same competitor operates 18 locations in seven international airports.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Group Mobile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rugged devices reselling business is regionally focused with the majority of our customers having direct relationships with local sales staff. Most competitors are private companies that have limited infrastructure. We believe that our key competitive advantages are knowledge, service and breadth of products relative to these competitors. As we grow the business, we also believe that we will be able to further improve our service and overall shopping experience.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FLI Charge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There are several competing wire-free power and charging technologies on the market or under development today. The most popular competing technology is inductive wireless charging, in which magnetic induction uses a magnetic coil to create resonance, which can transmit energy over very short distances. Power is delivered as a function of coil size, and coils must be directly paired within a typical distance of less than one inch. Products utilizing magnetic induction have been available for 10+ years and include rechargeable electronic toothbrushes and pace makers. Other competing technologies include magnetic resonance, RF harvesting, laser and ultrasound. Most competitors utilize these competing technologies and not our technology.</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compared to each of the competing wireless technologies above, we believe that our conductive technology exhibits many competitive advantages including:</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charge rates/efficiency – FLI Charge pads charge devices nearly as fast as plugging them into a wall outlet;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multiple devices – FLI Charge pads can charge or power multiple devices at the same time without reducing the charging speed;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safety – FLI Charge’s technology is as safe as plugging devices into a wall outlet;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maximum power – FLI Charge pads can supply as much as 150 watts of power, which is enough to charge or power devices with relatively high power requirements such as power tool batteries and flat screen monitors;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positioning freedom – FLI Charge’s technology allows for devices to be placed in any orientation, anywhere on the pad, without sacrificing any charging speed;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compatibility – all FLI Charge enabled electronic devices are compatible with all FLI Charge pads.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After a period of intense competition from public and private companies for the acquisition of intellectual property assets, prices have dropped substantially. Due to the many patent sales and divestments over the past few years, many companies continue to seek to monetize intellectual property by licensing their patents to companies in a number of technology sectors. This has occurred in an increasingly challenging and changing legal environment for monetizing patents. Relatively new procedures at the United States Patent and Trademark Office as well as the anticipation of the Unified European Patent Court have created uncertainty as to the value of patent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81818"/>
        </w:rPr>
        <w:t>As of March 15, 2017, we and our subsidiaries had 673 full-time and 90 part-time employees. XpresSpa had 58 full-time employees in San Francisco International Airport, who are represented by a labor union and are covered by a collective bargaining agreement. XpresSpa had 25 full-time employees in Los Angeles International Airport, who are represented by a labor union and, starting in March 2017, will be covered by a collective bargaining agreement. We consider our relationships with our employees to be good.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Company</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were incorporated in Delaware as a corporation on January 9, 2006 and completed an initial public offering in June 2010. On May 6, 2016, we changed our name to FORM Holdings Corp. from Vringo Inc. and concurrently announced our repositioning as a holding company of small and middle market growth companies. Our common stock, par value $0.01 per share, which was previously listed on The NASDAQ Capital Market under the trading symbol “VRNG,”</w:t>
      </w:r>
    </w:p>
    <w:p>
      <w:pPr>
        <w:jc w:val="both"/>
        <w:spacing w:after="0" w:line="269" w:lineRule="auto"/>
        <w:rPr>
          <w:sz w:val="20"/>
          <w:szCs w:val="20"/>
          <w:color w:val="auto"/>
        </w:rPr>
      </w:pPr>
      <w:r>
        <w:rPr>
          <w:rFonts w:ascii="Arial" w:cs="Arial" w:eastAsia="Arial" w:hAnsi="Arial"/>
          <w:sz w:val="16"/>
          <w:szCs w:val="16"/>
          <w:color w:val="auto"/>
        </w:rPr>
        <w:t>has been listed under the trading symbol “FH” since May 9, 2016. Our principal executive offices are located at 780 Third Avenue,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10017. Our telephone number is (212) 309-7549 and our website address is </w:t>
      </w:r>
      <w:r>
        <w:rPr>
          <w:rFonts w:ascii="Arial" w:cs="Arial" w:eastAsia="Arial" w:hAnsi="Arial"/>
          <w:sz w:val="16"/>
          <w:szCs w:val="16"/>
          <w:i w:val="1"/>
          <w:iCs w:val="1"/>
          <w:u w:val="single" w:color="auto"/>
          <w:color w:val="auto"/>
        </w:rPr>
        <w:t>www.formholdings.com</w:t>
      </w:r>
      <w:r>
        <w:rPr>
          <w:rFonts w:ascii="Arial" w:cs="Arial" w:eastAsia="Arial" w:hAnsi="Arial"/>
          <w:sz w:val="16"/>
          <w:szCs w:val="16"/>
          <w:color w:val="auto"/>
        </w:rPr>
        <w:t xml:space="preserve">. We also operate the following websites: </w:t>
      </w:r>
      <w:r>
        <w:rPr>
          <w:rFonts w:ascii="Arial" w:cs="Arial" w:eastAsia="Arial" w:hAnsi="Arial"/>
          <w:sz w:val="16"/>
          <w:szCs w:val="16"/>
          <w:i w:val="1"/>
          <w:iCs w:val="1"/>
          <w:u w:val="single" w:color="auto"/>
          <w:color w:val="auto"/>
        </w:rPr>
        <w:t>www.xpresspa.com</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www.groupmobile.com</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www.flicharge.com</w:t>
      </w:r>
      <w:r>
        <w:rPr>
          <w:rFonts w:ascii="Arial" w:cs="Arial" w:eastAsia="Arial" w:hAnsi="Arial"/>
          <w:sz w:val="16"/>
          <w:szCs w:val="16"/>
          <w:color w:val="auto"/>
        </w:rPr>
        <w:t>. References in this Annual Report on Form 10-K to these website addresses do not</w:t>
      </w:r>
      <w:r>
        <w:rPr>
          <w:rFonts w:ascii="Arial" w:cs="Arial" w:eastAsia="Arial" w:hAnsi="Arial"/>
          <w:sz w:val="16"/>
          <w:szCs w:val="16"/>
          <w:i w:val="1"/>
          <w:iCs w:val="1"/>
          <w:color w:val="auto"/>
        </w:rPr>
        <w:t xml:space="preserve"> </w:t>
      </w:r>
      <w:r>
        <w:rPr>
          <w:rFonts w:ascii="Arial" w:cs="Arial" w:eastAsia="Arial" w:hAnsi="Arial"/>
          <w:sz w:val="16"/>
          <w:szCs w:val="16"/>
          <w:color w:val="auto"/>
        </w:rPr>
        <w:t>constitute incorporation by reference of the information contained on the website. We make our filings with the Securities and Exchange Commission, or the SEC, including our annual reports on Form 10-K, quarterly reports on Form 10-Q, current reports on Form 8-K, other reports filed or furnished pursuant to Section 13(a) or 15(d) of the Exchange Act, and amendments to the foregoing reports, available free of charge on or through our website as soon as reasonably practicable after we file these reports with, or furnish such reports to, the SEC. In addition, we post the following information on our website:</w:t>
      </w:r>
    </w:p>
    <w:p>
      <w:pPr>
        <w:spacing w:after="0" w:line="18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corporate code of conduct and our insider trading compliance manual;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charters for our audit committee, compensation committee, and nominating and corporate governance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public may read and copy any materials that we file with the SEC at the SEC’s Public Reference Room at 100 F Street, NE, Washington, D.C. 20549. The public may obtain information on the operation of the Public Reference Room by calling the SEC at 1-800-SEC-0330. Also, the SEC maintains an Internet website that contains reports, proxy and information statements, and other information regarding issuers, including us, that file electronically with the SEC. The public can obtain any documents that we file with the SEC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Our business, financial condition, results of operations and the trading price of our common stock could be materially adversely affected by any of the following risks as well as the other risks highlighted elsewhere in this Annual Report on Form 10-K. Additional risks and uncertainties not presently known to us or that we currently deem immaterial also may materially affect our business, financial condition and results of operations.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raise additional capital. Moreover, additional financing may have an adverse effect on the value of the equity instruments held by our stockholders.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choose to raise additional funds in connection with any potential acquisition of operating businesses or other assets. In addition, we may also need additional funds to respond to business opportunities and challenges, including our ongoing operating expenses, protection of our assets, development of new lines of business and enhancement of our operating infrastructure. While we may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Global economic conditions may cause counterparties to our negotiations to delay entering into licensing agreements, product purchase agreements or other business arrangements, which could adversely affect our business, financial condition and operating results.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plan depends significantly on worldwide economic conditions, and the United States and world economies have recently experienced fluctuating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to enter into revenue generating agreements in a timely manner. Entering into such agreements is critical to our business plan, and our failure to do so could cause material harm to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December 31, 2016, we had federal net operating loss carryforwards (“NOL”s) of $138,915,000 which expire 20 years from the respective tax years to which they relate. Our ability to utilize our NOLs may be limited under Section 382 of the Internal Revenue Code. The limitations apply if an ownership change, as defined by Section 382, occurs. Generally, an ownership change occurs when certain shareholders increase their aggregate ownership by more than 50 percentage points over their lowest ownership percentage in a testing period (typically three years). Additionally, United States tax laws limit the time during which these carryforwards may be utilized against future taxes. As a result, we may not be able to take full advantage of these carryforwards for federal and state tax purposes. Future changes in stock ownership may also trigger an ownership change and, consequently, a Section 382 limitation.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ind w:left="3420"/>
        <w:spacing w:after="0"/>
        <w:rPr>
          <w:sz w:val="20"/>
          <w:szCs w:val="20"/>
          <w:color w:val="auto"/>
        </w:rPr>
      </w:pPr>
      <w:r>
        <w:rPr>
          <w:rFonts w:ascii="Arial" w:cs="Arial" w:eastAsia="Arial" w:hAnsi="Arial"/>
          <w:sz w:val="18"/>
          <w:szCs w:val="18"/>
          <w:b w:val="1"/>
          <w:bCs w:val="1"/>
          <w:color w:val="auto"/>
        </w:rPr>
        <w:t>Risks Related to our Merger with XpresSpa (the “Merger”)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potential value and benefits created by the Merger.</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success of the Merger will depend, in part, on our ability to realize the expected potential value and benefits created from integrating our existing businesses with XpresSpa’s business, which includes the maximization of the economic benefits of our strategic vision and plans, cash balances (which, in the case of XpresSpa, would be used for the build-out of new airport locations), financial reporting and analysis functions and legal expertise. The integration process may be complex, costly, and time-consuming. The difficulties of integrating the operations of XpresSpa’s business could include, among others:</w:t>
      </w:r>
    </w:p>
    <w:p>
      <w:pPr>
        <w:spacing w:after="0" w:line="15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implement our business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issues in integrating the business of both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key employees with knowledge of our or XpresSpa’s historical business and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unanticipated issues, expenses, or liabilities that could impact, among other things, our ability to realize any expected benefits on a timely basis, or at all.</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may not accomplish the integration of XpresSpa’s business smoothly, successfully, or within the anticipated costs or time frame. The diversion of the attention of management from our current operations to the integration effort and any difficulties encountered in combining businesses could prevent us from realizing the full expected potential value and benefits to result from the Merger and could adversely affect our business. In addition, the integration efforts could divert our and XpresSpa’s focus and resources from other strategic opportunities and operational matters during the integration process. We are dependent on certain key personnel, and the loss of these key personnel could have a material adverse effect on our business, financial condition and results of operations. Our success and future prospects largely depend on the skills, experience and efforts of our and XpresSpa’s key personnel, including Andrew D. Perlman, our current Chief Executive Officer and Director, and Edward Jankowski, XpresSpa’s Chief Executive Officer. The loss of Mr. Perlman or Mr. Jankowski or other of our or XpresSpa’s executives, or our failure to retain other key personnel, would jeopardize our ability to execute our strategic plan and materially harm our business.</w:t>
      </w:r>
    </w:p>
    <w:p>
      <w:pPr>
        <w:spacing w:after="0" w:line="18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success will depend in part on relationships with third parties, which relationships may be affected by third-party preferences or public attitudes about the Merger. Any adverse changes in these relationships could adversely affect our business, financial condition, or results of operations.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is dependent on our ability to maintain and renew our and XpresSpa’s business relationships and to establish new business relationships. There can be no assurance that our management will be able to maintain such business relationships, or enter into or maintain new business contracts and other business relationships, on acceptable terms, if at all. The failure to maintain important business relationships could have a material adverse effect on our business, financial condition, or results of operations.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Our business and financial condition could be constrained by XpresSpa’s outstanding debt.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XpresSpa is obligated under the Senior Secured Note payable to Rockmore Investment Master Fund Ltd. (“Rockmore”), a related party, which has an outstanding balance of approximately $6,500,000, with a maturity date of May 1, 2018, with an additional one-year extension if both we and Rockmore consent to such extension. The Senior Secured Note accrues interest of 11.24% per annum. XpresSpa has granted Rockmore a security interest in all of its tangible and intangible personal property to secure its obligations under the Senior Secured Note. After the completion of the Merger the debt remains outstanding as an obligation of XpresSpa, but is guaranteed by us.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Material weaknesses may exist when we report on the effectiveness of our internal controls over financial reporting for purposes of our reporting requirements.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the Merger, XpresSpa, as a private company, was not subject to Sarbanes-Oxley Act of 2002 (“Sarbanes-Oxley”). Therefore, XpresSpa’s management and independent auditors were not required to perform an evaluation of XpresSpa’s internal controls over financial reporting as of December 31, 2015 in accordance with the provisions of Sarbanes-Oxley. We are required to provide management’s report on internal control over financial reporting in our Annual Report on Form 10-K, as required by Section 404 of Sarbanes-Oxley. We have not yet assessed the effectiveness of the internal controls for XpresSpa; however, we are not currently aware of any negative indicators.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Because the lack of a public market for XpresSpa’s units makes it difficult to evaluate the fairness of the Merger, XpresSpa’s equity holders may have received or receive consideration in the Merger that is greater than or less than the fair market value of XpresSpa’s units.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outstanding equity of XpresSpa is privately held and is not traded in any public market. The lack of a public market makes it difficult to determine the fair market value of XpresSpa. Since the amount of our common stock, preferred stock and warrants to be issued to XpresSpa’s equity holders was determined based on negotiations between the parties, it is possible that the value of our common stock, preferred stock and warrants issued or to be issued in connection with the Merger will be greater than the fair market value of XpresSpa. Alternatively, it is possible that the value of the shares of our common stock, preferred stock and warrants issued or to be issued in connection with the Merger will be less than the fair market value of XpresSpa.</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issuance of our securities to XpresSpa equity holders in connection with the Merger diluted the voting power of our current stockholders.</w:t>
      </w:r>
    </w:p>
    <w:p>
      <w:pPr>
        <w:spacing w:after="0" w:line="2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the terms of the Merger Agreement, we issued to XpresSpa unit holders shares of our common stock and warrants to purchase shares of our common stock, and have issued shares of our preferred stock thereto. Without taking into account any shares of our common stock held by XpresSpa equity holders prior to the completion of the Merger but assuming that all shares held in escrow are released to the former equity holders of XpresSpa, the former equity holders of XpresSpa own approximately 18% of our outstanding common stock (or 33% of our outstanding common stock calculated on a fully diluted basis) and our stockholders prior to the Merger own approximately 82% of our outstanding common stock (or 67% of our outstanding common stock calculated on a fully diluted basis). In addition, the holders of our preferred stock have certain voting rights as specified in the Certificate of Designation of Preferences, Rights and Limitations of FORM Preferred Stock. Accordingly, the issuance of shares of our common stock and our preferred stock to XpresSpa equity holders in connection with the Merger reduced the relative voting power of each share of our common stock held by our current stockholders.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b w:val="1"/>
          <w:bCs w:val="1"/>
          <w:i w:val="1"/>
          <w:iCs w:val="1"/>
          <w:color w:val="auto"/>
        </w:rPr>
        <w:t>If we exercise the option to repay the preferred stock issued in connection with the Merger in stock rather than cash, such repayment may result in the issuance of a large number of shares of common stock which may have a negative effect on the trading price of our common stock as well as a dilutive effect.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the terms of the FORM Preferred Stock issued in connection with the Merger, on the seven-year anniversary of the initial issuance date of the shares of FORM Preferred Stock, December 23, 2024, we may repay each share of FORM Preferred Stock, at our option, in cash, by delivery of shares of common stock or through any combination thereof. If we elect to make a payment, or any portion thereof, in shares of common stock, the number of shares deliverable (the “Base Shares”) will be based on the volume weighted average price per share of our common stock for the thirty trading days prior to the date of calculation (the “Base Price”) plus an additional number of shares of common stock (the “Premium Shares”), calculated as follows: (i) if the Base Price is greater than $9.00, no Premium Shares shall be issued, (ii) if the Base Price is greater than $7.00 and equal to or less than $9.00, an additional number of shares equal to 5% of the Base Shares shall be issued, (iii) if the Base Price is greater than $6.00 and equal to or less than $7.00, an additional number of shares equal to 10% of the Base Shares shall be issued, (iv) if the Base Price is greater than $5.00 and equal to or less than $6.00, an additional number of shares equal to 20% of the Base Shares shall be issued and (v) if the Base Price is less than or equal to $5.00, an additional number of shares equal to 25% of the Base Shares shall be issued. Accordingly, if the volume weighted average price per share of our common stock is below $9.00 per share as of the time of repayment and we exercise the option to make such repayment in shares of our common stock, a large number of shares of our common stock may be issued to the holders of the FORM Preferred Stock upon maturity which may have a negative effect on the trading price of our common stock. At the seven year maturity date of the FORM Preferred Stock (which shall be the date that is seven years from the closing date of the Merger), we, at our election, may decide to issue shares of our common stock based on the formula set forth above or to re-pay in cash all or any portion of the FORM Preferred Stock.</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23, 2023, upon the maturity of the FORM Preferred Stock, when determining whether to repay the FORM Preferred Stock in cash or shares of common stock, we expect to consider a number of factors, including our cash position, the price of our common stock and our capital structure at such time. Because we do not have to make a determination as to which option to elect until 2023, it is impossible to predict whether it is more or less likely to repay in cash, stock or a portion of each.</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price of our common stock after the Merger may be affected by factors different from those which affected our shares prior to the Merger.</w:t>
      </w:r>
    </w:p>
    <w:p>
      <w:pPr>
        <w:spacing w:after="0" w:line="2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business differs from the business of XpresSpa and, accordingly, our results of operations and the trading price of our common stock following the completion of the Merger may be significantly affected by factors different from those that affected our independent results of operations, as we now conduct activities not undertaken by us prior to the Merger.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b w:val="1"/>
          <w:bCs w:val="1"/>
          <w:i w:val="1"/>
          <w:iCs w:val="1"/>
          <w:color w:val="auto"/>
        </w:rPr>
        <w:t>If any of the events described in ‘‘Risks Related to our Merger with XpresSpa or ‘‘Risks Related to our Business Operations’’ regarding XpresSpa occur, those events could cause the potential benefits of the Merger not to be realized.</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Following the completion of the Merger, our current executive officers and certain XpresSpa executive officers and our directors and certain XpresSpa directors direct our business and operations. Additionally, XpresSpa’s business is expected to be an important part of our business following the Merger. As a result, the risks described below in the sections entitled ‘‘Risks Related to our Merger with XpresSpa” or “Risks Related to our Business Operations” regarding XpresSpa herein are among our significant risks. To the extent any of the events described below in either section occur, those events could cause the potential benefits of the Merger not to be realized and the market price of our common stock to decline.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Future acquisitions or business opportunities could involve unknown risks that could harm our business and adversely affect our financial condition and results of operations.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strive to be a diversified holding company that owns interests in a number of different businesses. We have in the past, and may in the future, acquire businesses or make investments, directly or indirectly through our subsidiaries, that involve unknown risks, some of which will be particular to the industry in which the investment or acquisition targets operate, including risks in industries with which we are not familiar or experienced. Although we intend to conduct appropriate business, financial and legal due diligence in connection with the evaluation of future investment or acquisition opportunities, there can be no assurance that our due diligence investigations will identify every matter that could have a material adverse effect on us. We may be unable to adequately address the financial, legal and operational risks raised by such investments or acquisitions, especially if we are unfamiliar with the relevant industry. The realization of any unknown risks could expose us to unanticipated costs and liabilities and prevent or limit us from realizing the projected benefits of the investments or acquisitions, which could adversely affect our financial condition, liquidity, results of operations, and trading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identifying suitable acquisition candidates, which may negatively impact our growth strategy.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can be no assurance given that we will be able to implement our strategy and identify suitable acquisition candidates or consummate future acquisitions on acceptable terms. Our failure to successfully identify suitable acquisition candidates or consummate future acquisitions on acceptable terms could have an adverse effect on our prospects, business activities, cash flow, financial condition, results of operations and stock price.</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Anti-takeover provisions of Delaware law, provisions in our charter and bylaws and our stockholder rights plan could prevent or frustrate attempts by stockholders to change our board of directors or current management and could make a third-party acquisition of control of us difficult.</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a Delaware corporation and, as such, certain provisions of Delaware law could prevent or frustrate attempts by stockholders to change the board of directors or current management, or could delay, discourage or make more difficult a third-party acquisition of control of us, even if the change in control would be beneficial to stockholders or the stockholders regard it as such. We are subject to the provisions of Section 203 of the DGCL, which prohibits certain “business combination” transactions (as defined in Section 203) with an “interested stockholder” (defined in Section 203 as a 15% or greater stockholder) for a period of three years after a stockholder becomes an “interested stockholder,” unless the attaining of “interested stockholder” status or the transaction is pre-approved by our Board of Directors, the transaction results in the attainment of at least an 85% ownership level by an acquirer or the transaction is later approved by our Board of Directors and by our stockholders by at least a 66 2/3 percent vote of our stockholders other than the “interested stockholder,” each as specifically provided in Section 203. We have also adopted a shareholder rights plan in the form of the Rights Agreement, designed to help protect and preserve our substantial tax attributes primarily associated with our NOLs and research tax credits under Sections 382 and 383 of the Internal Revenue Code and related United States Treasury regulations. Although this is not the purpose of the Rights Agreement, it could have the effect of making it uneconomical for a third party to acquire us on a hostile basis.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These provisions of the DGCL, our certificate of incorporation and bylaws, and the Rights Agreement may delay, discourage or make more difficult certain types of transactions in which our stockholders might otherwise receive a premium for their shares over the current market price, and might limit the ability of our stockholders to approve transactions that they think may be in their best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confidential information may be disclosed by other parties.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and/or to our disadvantage including in legal proceedings in which we are involved. Our ability to act against such third parties may be limited, as we may not be in privity of contract with such third parties.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and our subsidiaries have been, are, and may become involved in litigation that could divert management’s attention and harm our businesses.</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Litigation often is expensive and diverts management’s attention and resources, which could adversely affect our businesses. We may be exposed to claims against us even if no wrongdoing has occurred. Responding to such claims, regardless of their merit, can be time-consuming, costly to defend, disruptive to our management’s attention and to our resources, damaging to our reputation and brand, and may cause us to incur significant expenses. Even if we are indemnified against such costs, the indemnifying party may be unable to uphold its contractual obligations.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XpresSpa is reliant on international and domestic airplane travel, and the time that airline passengers spend in United States airports post-security. A decrease in airline travel, a decrease in the desire of customers to buy spa services and products, or decreased time spent in airports would negatively impact XpresSpa’s revenues.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XpresSpa depends upon a large number of airplane travelers with the psychographic propensity for health and wellness, and in particular spa treatments and products, spending significant time post-Transportation Security Administration (“TSA”) security clearance check points.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number of airline travelers in the United States decreases, if the time that these travelers spend post-TSA security decreases, and/or if travelers ability or willingness to pay for XpresSpa’s products and services diminishes, this could have an adverse effect on XpresSpa’s growth, business activities, cash flow, financial condition and results of operations. Some reasons for these events could include:</w:t>
      </w:r>
    </w:p>
    <w:p>
      <w:pPr>
        <w:spacing w:after="0" w:line="181"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terrorist activities impacting either domestic or international travel through airports where XpresSpa operates, causing fear of flying, flight cancellations, or an economic downturn;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in business spending that impacts business travel, such as a recession;</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in consumer spending that impacts United States leisure travel, such as a recession or a stock market downturn or a change in consumer lending regulations impacting available credit for leisure travel;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airfare prices that impacts the willingness of United States air travelers to fly, such as an increase in oil prices or heightened taxation from federal or other aviation authorities;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airplane accident rates, causing United States travelers to decrease the amount that they fly;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scientific studies that malign the use of spa services or the products used in spa services, such as the impact of certain chemicals and procedures on health and wellness; or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streamlined TSA security screening checkpoints, which could decrease the wait time at checkpoints and therefore the time air travelers budget for spending time at the airport.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operating results may fluctuate significantly due to certain factors, some of which are beyond its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XpresSpa’s operating results may fluctuate from period to period significantly because of several factors, including:</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size of new unit openings, particularly the launch of new terminals;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passenger traffic and seasonality of air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price and availability of supplies;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macroeconomic conditions, both nationally and locally;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consumer preferences and competitive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to new markets and new locations;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infrastructure costs including those costs associated with the build-out of new concession locations and renovating existing concession locations.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XpresSpa’s operating results may fluctuate significantly as a result of the factors discussed above. Accordingly, results for any period are not necessarily indicative of results to be expected for any other period or for any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expansion into new airports may present increased risks due to its unfamiliarity with those areas.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XpresSpa’s growth strategy depends upon expanding into markets where it has little or no meaningful operating experience. Those locations may have demographic characteristics, consumer tastes and discretionary spending patterns that are different from those in the markets where its existing operations are located. As a result, new airport terminal operations may be less successful than its concession locations in its current airport terminals. XpresSpa may find it more difficult in new markets to hire, motivate and keep qualified employees who can project its vision, passion and culture. XpresSpa may also be unfamiliar with local laws, regulations and administrative procedures, including the procurement of spa services retail licenses, in new markets which could delay the build-out of new concession locations and prevent it from achieving its target revenues on a timely basis. Operations in new markets may also have lower average revenues or enplanements than in the markets where XpresSpa currently operates. Operations in new markets may also take longer to ramp up and reach expected sales and profit levels, and may never do so, thereby negatively affecting XpresSpa’s results of operations.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XpresSpa currently relies on a skilled, licensed labor force to provide spa services, and the supply of this labor force is finite. If XpresSpa cannot hire adequate staff for its locations, it will not be able to operate.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XpresSpa has approximately 720 employees in its locations. Excluding some dedicated retail staff, the majority of these employees are licensed to perform spa services, and hold such licenses as masseuses, nail technicians, aestheticians, barbers and master barbers. The demand for these licensed technicians has been increasing as more consumers gravitate to health and wellness treatments such as spa services. XpresSpa competes not only with other airport-based spa companies but with spa companies outside of the airport for this skilled labor force. In addition, all staff hired by XpresSpa must pass the background checks and security clearances necessary to work in airport locations. If XpresSpa is unable to attract and retain qualified staff to work in its airport locations, its ability to operate will be impacted negatively.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XpresSpa’s labor force could unionize, putting upward pressure on labor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two XpresSpa locations have a labor force which is unionized. Major players in labor organization, and in particular “Unite Here!” which represents 33,000 employees in the airport concessions and airline catering industries, could target XpresSpa locations for its unionization efforts. In the event of the successful unionization of all of XpresSpa’s labor force, XpresSpa would likely incur additional costs in the form of higher wages, more benefits such as vacation and sick leave, and potentially also higher health care insurance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 competes for new locations in airports, and may not be able to secure new locations.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XpresSpa participates in the highly competitive and lucrative airport concessions industry, and as a result competes for retail leases with a variety of larger, better capitalized concessions companies as well as smaller, mid-tier and single unit operators. Frequently, an airport includes a spa concept within its retail product set and, in those instances, XpresSpa competes primarily with BeRelax, Terminal Getaway, Massage Bar and 10 Minute Manicure.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leases may be terminated, either for convenience by the landlord or as a result of an XpresSpa default.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has store locations and kiosks in a number of airports in which the landlord, with prior written notice to XpresSpa, can terminate XpresSpa’s lease, including for convenience or as necessary for airport purposes or operations. If a landlord elects to terminate a lease at an airport, XpresSpa may have to shut down one or more store locations at that airport.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XpresSpa leases have numerous provisions governing the operation of XpresSpa’s stores. Violation of one or more of these provisions, even unintentionally, may result in the landlord finding that XpresSpa is in default of the lease. Violation of lease provisions may result in fines and, in some cases, termination of a lease.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XpresSpa’s ability to operate depends on the traffic patterns of the terminals in which it operates, and the cessation or disruption of air traveler traffic in these terminals would negatively impact XpresSpa’s addressable market.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depends on a high volume of air travelers in its terminals. It is possible that a terminal in which XpresSpa operates could become subject to a lower volume of air travelers, which would significantly impact traffic near and around XpresSpa locations and therefore its total addressable market. Lower volume in a terminal could be caused by:</w:t>
      </w:r>
    </w:p>
    <w:p>
      <w:pPr>
        <w:spacing w:after="0" w:line="181" w:lineRule="exact"/>
        <w:rPr>
          <w:sz w:val="20"/>
          <w:szCs w:val="20"/>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terminal construction that results in the temporary or permanent closure of a unit, or adversely impacts the volume or pattern of traffic flows within an airport;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airline utilizing an airport in which XpresSpa operates could abandon that airport or an individual terminal in favor of other airports or terminals, or because it is contracting operations; or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weather conditions could cause damage to the terminal or airport in which XpresSpa operates, resulting in the temporary or permanent closure of a unit.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minimum airport concession disadvantaged business enterprise participation goals and requirements could lead to lost business opportunities or the loss of existing business.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number of XpresSpa’s leases contain minimum Airport Concession Disadvantaged Business Enterprise (“ACDBE”) participation requirements, and bidding on or submitting proposals for new concession contracts often requires that XpresSpa meets or uses good faith efforts to meet certain minimum ACDBE participation requirements. If XpresSpa fails to comply with the minimum ACDBE participation requirements, XpresSpa may be held responsible for a breach of contract, which could result in the termination of a lease and impairment of XpresSpa’s ability to bid on or obtain future concession contracts. To the extent that XpresSpa leases are terminated and XpresSpa is required to shut down one or more store locations, there could be a material adverse impact to its business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minimum wage increases would negatively impact XpresSpa’s cost of labor.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XpresSpa compensates its licensed technicians via a formula that includes commissions. As a result, an increase in the minimum wage would increase XpresSpa’s cost of labor.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XpresSpa is unable to protect its customers’ credit card data and other personal information, XpresSpa could be exposed to data loss, litigation and liability, and its reputation could be significantly harmed.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Privacy protection is increasingly demanding, and the use of electronic payment methods and collection of other personal information, including order history, travel history and other preferences, exposes XpresSpa to increased risk of privacy and/or security breaches as well as other risks. The majority of XpresSpa’s sales are by credit or debit cards. Additionally, XpresSpa collects and stores personal information from individuals, including its customers and employees.</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XpresSpa may experience security breaches in which credit and debit card information or other personal information is stolen in the future. Although XpresSpa uses secure private networks to transmit confidential information, third parties may have the technology or know-how to breach the security of the customer information transmitted in connection with credit and debit card sales, and its security measures and those of technology vendors may not effectively prohibit others from obtaining improper access to this information. The techniques used to obtain unauthorized access, disable or degrade service, or sabotage systems change frequently and are often difficult to detect for long periods of time, which may cause a breach to go undetected for an extensive period of time. Advances in computer and software capabilities, new tools, and other developments may increase the risk of such a breach. Further, the systems currently used for transmission and approval of electronic payment transactions, and the technology utilized in electronic payments themselves, all of which can put electronic payment at risk, are determined and controlled by the payment card industry, not by XpresSpa. In addition, contractors, or third parties with whom XpresSpa does business or to whom XpresSpa outsources business operations may attempt to circumvent its security measures in order to misappropriate such information, and may purposefully or inadvertently cause a breach involving such information. If a person is able to circumvent XpresSpa’s security measures or those of third parties, he or she could destroy or steal valuable information or disrupt XpresSpa’s operations. XpresSpa may become subject to claims for purportedly fraudulent transactions arising out of the actual or alleged theft of credit or debit card information, and XpresSpa may also be subject to lawsuits or other proceedings relating to these types of incidents. Any such claim or proceeding could cause XpresSpa to incur significant unplanned expenses, which could have an adverse effect on its business or results of operations. Further, adverse publicity resulting from these allegations could significantly harm its reputation and may have a material adverse effect on it. Although XpresSpa carries cyber liability insurance to protect against these risks, there can be no assurance that such insurance will provide adequate levels of coverage against all potential claims.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social media regarding XpresSpa could result in decreased revenues and impact XpresSpa’s ability to recruit workers.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XpresSpa’s affinity among consumers is highly dependent on their positive feelings about the brand, its customer service and the range and quality of services and products that it offers. A negative customer experience that is posted to social media outlets and is distributed virally could tarnish XpresSpa’s brand and its customers may opt to no longer engage with the brand.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8"/>
          <w:szCs w:val="18"/>
          <w:b w:val="1"/>
          <w:bCs w:val="1"/>
          <w:i w:val="1"/>
          <w:iCs w:val="1"/>
          <w:color w:val="auto"/>
        </w:rPr>
        <w:t>XpresSpa employs people in multiple different jurisdictions, and the employment laws of those jurisdictions are subject to change. In addition, its services are regulated through government-issued operating licenses. Noncompliance with applicable laws could result in employee lawsuits or legal action taken by government authorities.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must comply with a variety of employment and business practices laws across the United States, Netherlands, and United Arab Emirates. XpresSpa monitors the laws governing its activities, but in the event it does not become aware of a new regulation or fails to comply with a regulation, it could be subject to disciplinary action by governing bodies and potentially employee lawsuits.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XpresSpa is not currently cash flow positive, and will depend on funding from us to open new locations. In the event that capital is unavailable from us, XpresSpa will not be able to open new locations.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Throughout its operating history, XpresSpa has not generated sufficient cash from operations to fund its new store development. As a result, it will be dependent upon us to fund its new location growth until such time as it can produce enough cash to profitably fund its own location growth.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 sources, develops and sells products that may result in product liability defense costs and product liability payments.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ingredients in XpresSpa’s products contain ingredients that are deemed to be safe by the United States Federal Drug Administration and the Federal Food, Drug and Cosmetics Act. However, there is no guarantee that these ingredients will not cause adverse health effects to some consumers given the wide range of ingredients and allergies amongst the general population. XpresSpa may face substantial product liability exposure for products it sells to the general public or that is uses in its services. Product liability claims, regardless of their merits, could be costly and divert management’s attention, and adversely affect XpresSpa’s reputation and the demand for its products and services. XpresSpa to date has not been named as a defendant in any product liability action.</w:t>
      </w:r>
    </w:p>
    <w:p>
      <w:pPr>
        <w:spacing w:after="0" w:line="15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The mobile and/or rugged computing industry is characterized by rapid technological change, and the success of Group Mobile depends upon the frequent enhancement of existing products and services and timely introduction of new products and services that meet Group Mobile’s customers’ needs.</w:t>
      </w:r>
    </w:p>
    <w:p>
      <w:pPr>
        <w:spacing w:after="0" w:line="10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Customer requirements for mobile computing products and services are rapidly evolving and technological changes in the industry occur rapidly. To keep up with new customer requirements and distinguish Group Mobile from its competitors in the business of reselling rugged devices, Group Mobile must frequently introduce new products and services and enhancements of existing products and services. Enhancing existing products and services and developing new products and services is a complex and uncertain process. Furthermore, Group Mobile may not be able to launch new or improved products or services before its competition launches comparable products or services. Any of these factors could cause Group Mobile’s business or results of operations to suffer.</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Group Mobile depends on a small number of OEMs to supply the products and services that it sells and the loss of, or a material change in, a business relationship with a major OEM supplier, could adversely affect our operations, cash flow, and financial position.</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Group Mobile’s future success is highly dependent on its relationships with a small number of OEM suppliers. Group Mobile’s primary suppliers include Synnex Corporation, Ingram Micro Inc., Xplore Technologies Corporation, and Motion Computing, which combined represent approximately 81% of Group Mobile’s inventory purchases. OEM supplier agreements typically are short-term and may be terminated without cause upon short notice. The loss or deterioration of our relationship with any of our major OEM suppliers, the authorization by OEM suppliers of additional distributors, the sale of products by OEM suppliers directly to our reseller and retail customers and end-users, or our failure to establish relationships with new OEM suppliers or to expand the distribution and supply chain services that we provide OEM suppliers could adversely affect our operations, cash flows, and financial position. In addition, OEM suppliers may face liquidity or solvency issues that in turn could negatively affect our operations, cash flows, and financial position.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Group Mobile’s and FLI Charge’s businesses depend upon their ability to keep pace with the latest technological changes and their failure to do so could make Group Mobile and FLI Charge less competitive in their respective industries.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market for Group Mobile’s and FLI Charge’s products and services is characterized by rapid change and technological change, frequent new product innovations, changes in customer requirements and expectations and evolving industry standards. Products using new technologies or emerging industry standards could make Group Mobile’s and FLI Charge’s products and services less attractive. Furthermore, Group Mobile’s and FLI Charge’s competitors may have access to technology not available to Group Mobile and FLI Charge, which may enable them to produce products of greater interest to consumers or at a more competitive cost. Failure to respond in a timely and cost-effective way to these technological developments may result in serious harm to Group Mobile’s and FLI Charge’s businesses and operating results. As a result, Group Mobile’s and FLI Charge’s success will depend, in part, on their ability to develop and market product and service offerings that respond in a timely manner to the technological advances available to Group Mobile’s and FLI Charge’s customers, evolving industry standards and changing preferences.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FLI Charge successfully commercially launches a product, and its product does not achieve widespread market acceptance, it will not be able to generate the revenue necessary to support its business.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Achieving acceptance of a wire-free recharging system as a preferred method to recharge fixed and mobile electronic devices will be crucial to FLI Charge’s continued success. Consumers and commercial customers will not begin to use or increase the use of FLI Charge’s product unless they agree that the convenience of its solution would be worth the additional expense of purchasing the FLI Charge system. FLI Charge has no history of marketing any product and it and its commercialization partners may fail to generate significant interest in the initial commercial products or any other product it or its partners may develop. These and other factors, including the following factors, may affect the rate and level of the market acceptance:</w:t>
      </w:r>
    </w:p>
    <w:p>
      <w:pPr>
        <w:spacing w:after="0" w:line="17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its products’ price relative to other products or competing methods of recharging;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its sales and marketing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support and rate of acceptance of its technology and solutions including with its joint development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perception by both individual and enterprise users of its system’s convenience, safety and efficiency;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press and blog coverage, social media coverage, and other publicity and public relations;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developments related to marketing its products or their inclusion in others’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FLI Charge is unable to achieve or maintain market acceptance, its business would be significantly harmed.</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The consumer electronics and mobile computing industries are subject to intense competition and rapid technological change, which may result in products or new solutions that are superior to FLI Charge’s technology under development or other future products it may bring to market from time to time. If FLI Charge is unable to anticipate or keep pace with changes in the marketplace and the direction of technological innovation and customer demands, its products may become less useful or obsolete and its operating results will suffer.</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consumer electronics and mobile computing industries in general and the power, recharging and alternative recharging segments of that industry in particular are subject to intense and increasing competition and rapidly evolving technologies. Because FLI Charge’s products are expected to have long development cycles, it must anticipate changes in the marketplace and the direction of technological innovation and customer demands. To compete successfully, it will need to demonstrate the advantages of its products and technologies over well-established alternative solutions, products and technologies, as well as newer methods of power delivery and convince consumers and enterprises of the advantages of its products and technologies.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FLI Charge intends to pursue licensing of its wire-free charging technology as a means of commercialization but it may not be able to secure advantageous license agreements.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FLI Charge is pursuing the licensing of its wire-free technology as a means of commercialization. There can be no assurance that it will be able to achieve partnerships and reach licensing arrangements. Furthermore, the timing and volume of revenue earned from license agreements will be outside of FLI Charge’s control.</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Group Mobile and FLI Charge could become subject to product liability claims, product recalls, warranty claims, and other potential liability risks that could be expensive, divert management’s attention and harm their businesses.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nature of Group Mobile’s and FLI Charge’s businesses exposes them to potential liability risks that are inherent in the marketing and sale of products used by consumers. Group Mobile or FLI Charge may be held liable if their technology under development now or in the future causes injury or death or is found otherwise unsuitable during usage. Group Mobile’s and FLI Charge’s technology incorporates sophisticated components and computer software. Complex software can contain errors, particularly when first introduced. In addition, new products or enhancements may contain undetected errors or performance problems that, despite testing, are discovered only after installation. In addition, if a product sold by Group Mobile or FLI Charge is defective, whether due to design or manufacturing defects, improper use of the product or other reasons, they or their strategic partners may be required to notify regulatory authorities and/or to recall the product. A required notification to a regulatory authority or recall could result in an investigation by regulatory authorities of their products, which could in turn result in required recalls, restrictions on the sale of the products or other penalties. The adverse publicity resulting from any of these actions could adversely affect the perception of their customers and potential customers. These investigations or recalls, especially if accompanied by unfavorable publicity, could result in substantial costs, loss of revenue and damage to their reputation, each of which would harm their businesses.</w:t>
      </w:r>
    </w:p>
    <w:p>
      <w:pPr>
        <w:spacing w:after="0" w:line="193"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We have commenced legal proceedings and/or licensing discussions with security, content distribution and/or telecommunications companies. We expect proceedings to be time-consuming, which may adversely affect our ability to operate our business. We expect that licensing discussions may be time consuming and may either, absent any litigation we initiate, fail to lead to a license, or may result in litigations commenced by the potential licensee.</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license or otherwise monetize the patent assets that we own, we have commenced legal proceedings and/or attempted to commence licensing discussions with a number of companies, during the course of which we allege that such companies infringe one or more of our patents. The future viability of our licensing program is highly dependent on the outcome of these discussions, and there is a risk that we may be unable to achieve the results we desire from such negotiations and be forced either to accept minimal royalties or commence litigations against the alleged infringer. In addition, the recipients of our licensing overtures have substantially more resources than we do, which could make our licensing efforts more difficult. Furthermore, due to changes in the approach to patent laws around the world it has become much easier for potential licensees to commence proceedings to revoke or otherwise nullify our patents in lieu of engaging in bona fide licensing discussions. There is a real risk that any potential licensee we approach would rather commence proceedings to revoke our patents than engage in any licensing discussions whatsoever.</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anticipate that any legal proceedings could continue for several years. While we endeavor, where possible, to engage counsel on a full or partial contingency basis, proceedings may commence that fall outside of contingency arrangements with counsel and may require significant expenditures for legal fees and other expenses. Disputes regarding the assertion of patents and other intellectual property rights are highly complex and technical. Once initiated, we may be forced to litigate against other parties in addition to the originally named defendants. Our adversaries may allege defenses and/or file counterclaims for, among other things, revocation of our patents or file collateral litigations in an effort to avoid or limit liability and damages for patent infringement. If such actions by our adversaries are successful, they may preclude our ability to derive licensing revenue from the patents being asserted.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ind w:right="20"/>
        <w:spacing w:after="0" w:line="277" w:lineRule="auto"/>
        <w:rPr>
          <w:sz w:val="20"/>
          <w:szCs w:val="20"/>
          <w:color w:val="auto"/>
        </w:rPr>
      </w:pPr>
      <w:r>
        <w:rPr>
          <w:rFonts w:ascii="Arial" w:cs="Arial" w:eastAsia="Arial" w:hAnsi="Arial"/>
          <w:sz w:val="18"/>
          <w:szCs w:val="18"/>
          <w:color w:val="auto"/>
        </w:rPr>
        <w:t>There is a risk that we may be unable to achieve the results we desire from such litigation, which may harm our business. In addition, the defendants in these litigations have substantially more resources than we do, which could make our litigation efforts more difficult.</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There is a risk that a court will find our patents invalid, not infringed or unenforceable and/or that the USPTO or other relevant patent offices in various countries will either invalidate the patents or materially narrow the scope of their claims during the course of a reexamination, opposition or other such proceeding. In addition, even with a positive trial court verdict, the patents may be invalidated, found not infringed or rendered unenforceable on appeal. This risk may occur either presently or from time to time in connection with future litigations we may bring.</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 litigation is inherently risky and the outcome is uncertain. Some of the parties that we believe infringe on our patents are large and well-financed companies with substantially greater resources than ours. We believe that these parties may devote a substantial amount of resources in an attempt to avoid or limit a finding that they are liable for infringing on our patents or, in the event liability is found, to avoid or limit the amount of associated damages. In addition, there is a risk that these parties may file reexaminations or other proceedings with the USPTO or other government agencies in the United States or abroad in an attempt to invalidate, narrow the scope or render unenforceable the patents we own. In addition, as part of our ongoing legal proceedings, the validity and/or enforceability of our patents-in-suit is often challenged in a court or an administrative proceeding.</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successfully monetize our patents and, thus, we may fail to realize all of the anticipated benefits of acquisitions from third parties.</w:t>
      </w:r>
    </w:p>
    <w:p>
      <w:pPr>
        <w:spacing w:after="0" w:line="2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assurance that we will be able to successfully monetize the patent portfolios that we acquired from third parties. The patents we acquired could fail to produce anticipated benefits, or could have other adverse effects that we currently do not foresee.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acquisition of a patent portfolio is subject to a number of risks, including, but not limited to the following:</w:t>
      </w:r>
    </w:p>
    <w:p>
      <w:pPr>
        <w:spacing w:after="0" w:line="225" w:lineRule="exact"/>
        <w:rPr>
          <w:sz w:val="20"/>
          <w:szCs w:val="20"/>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There is a significant time lag between acquiring a patent portfolio and recognizing revenue from those patent assets, if at all. During that time lag, material costs are likely to be incurred that would have a negative effect on our results of operations, cash flows and financial position.</w:t>
      </w:r>
    </w:p>
    <w:p>
      <w:pPr>
        <w:spacing w:after="0" w:line="146"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integration of a patent portfolio is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Therefore, there is no assurance that we will be able to monetize an acquired patent portfolio and recoup our investment.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harm our business and operating results.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Intellectual property is the subject of intense scrutiny by the courts, legislatures and executive branches of governments around the world. Various patent offices, governments or intergovernmental bodies may implement new legislation, regulations or rulings that impact the patent enforcement process or the rights of patent holders and such changes could negatively affect licensing efforts and/or litigations.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spacing w:after="0" w:line="308" w:lineRule="auto"/>
        <w:rPr>
          <w:sz w:val="20"/>
          <w:szCs w:val="20"/>
          <w:color w:val="auto"/>
        </w:rPr>
      </w:pPr>
      <w:r>
        <w:rPr>
          <w:rFonts w:ascii="Arial" w:cs="Arial" w:eastAsia="Arial" w:hAnsi="Arial"/>
          <w:sz w:val="17"/>
          <w:szCs w:val="17"/>
          <w:b w:val="1"/>
          <w:bCs w:val="1"/>
          <w:i w:val="1"/>
          <w:iCs w:val="1"/>
          <w:color w:val="auto"/>
        </w:rPr>
        <w:t>We may seek to internally develop new inventions and intellectual property, which would take time and would be costly. Moreover, the failure to obtain or maintain intellectual property rights for such inventions would lead to the loss of our investments in such activities.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Part of our business may include the internal development of new inventions or intellectual property that we may seek to monetize. However, this aspect of our business would likely require significant capital and would take time to achieve. Such activities could also distract our management team from our present business initiatives, which could have a material and adverse effect on our business. There is also the risk that our initiatives in this regard would not yield any viable new inventions or technology, which would lead to a loss of our investments in time and resources in such activities.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cannot be certain that patents will be issued as a result of any future applications, or that any of our patents, once issued, will provide us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we cannot be certain that we will be the first to make our additional new inventions or to file patent applications covering those inventions. It is also possible that others may have obtained or may obtain issued patents that could prevent us from commercializing our products or services or require us to obtain licenses requiring the payment of significant fees or royalties in order to enable us to conduct our business. As to those patents that we may license or monetize, our rights will depend on maintaining our obligations to the third parties under the applicable license agreement, and we may be unable to do so. Our failure to obtain or maintain intellectual property rights for our inventions would lead to the loss of our investments in such activities, which would have a material and adverse effect on our company.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Moreover, patent application delays could cause delays in recognizing revenue from our internally generated patents and could cause us to miss opportunities to license patents before other competing technologies are developed or introduced into the market.</w:t>
      </w:r>
    </w:p>
    <w:p>
      <w:pPr>
        <w:spacing w:after="0" w:line="166"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Risks Related to our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prices can be volatile, and this volatility may depress the price of our common stock.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stock market has experienced significant price and volume fluctuations, which have affected the market price of many companies in ways that may have been unrelated to those companies’ operating performance. Furthermore, we believe that our stock price may reflect certain future growth and profitability expectations. If we fail to meet these expectations, then our stock price may significantly decline, which could have an adverse impact on investor confidence. We believe that various factors may cause the market price of our common stock to fluctuate, perhaps substantially, including, among others, the following:</w:t>
      </w:r>
    </w:p>
    <w:p>
      <w:pPr>
        <w:spacing w:after="0" w:line="154" w:lineRule="exact"/>
        <w:rPr>
          <w:sz w:val="20"/>
          <w:szCs w:val="20"/>
          <w:color w:val="auto"/>
        </w:rPr>
      </w:pPr>
    </w:p>
    <w:p>
      <w:pPr>
        <w:ind w:left="700" w:hanging="341"/>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additions to or departures of our key personnel;</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of innovations by us or our competitors;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strategic partnerships, capital commitments, or new technologies;</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or disputes concerning our patents and efforts in licensing and/or enforcing our patents;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ind w:left="700" w:hanging="341"/>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 and</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Future sales of our shares of common stock by our stockholders could cause the market price of our common stock to drop significantly, even if our business is otherwise performing well.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30, 2017, we have 19,198,454 shares of common stock issued and outstanding, excluding shares of common stock issuable upon exercise of warrants, options or restricted stock units. As shares saleable under Rule 144 are sold or as restrictions on resale lapse, the market price of our common stock could drop significantly if the holders of shares of restricted stock sell them or are perceived by the market as intending to sell them. This decline in our stock price could occur even if our business is otherwise performing well.</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Ownership of our common stock may be highly concentrated, and it may prevent our existing stockholders from influencing significant corporate decisions and may result in conflicts of interest that could cause our stock price to decline.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and XpresSpa’s executive officers and directors continuing with us beneficially own or control approximately 38% of our common stock on a fully diluted basis. Accordingly, these executive officers and directors, acting individually or as a group, have substantial influence over the outcome of a corporate action requiring stockholder approval, including the election of directors, any merger, consolidation or sale of all or substantially all of our assets or any other significant corporate transaction. These stockholders may also exert influence in delaying or preventing a change in control of us, even if such change in control would benefit our other stockholders. In addition, the significant concentration of stock ownership may adversely affect the market value of our common stock due to investors’ perception that conflicts of interest may exist or arise.</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exercise of a substantial number of warrants or options by our security holders may have an adverse effect on the market price of our common stock.</w:t>
      </w:r>
    </w:p>
    <w:p>
      <w:pPr>
        <w:spacing w:after="0" w:line="26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Should our warrants outstanding as of March 30, 2017 be exercised, there would be an additional 3,506,679 shares of common stock eligible for trading in the public market. The incentive equity instruments granted to our management, employees, directors and consultants are subject to acceleration of vesting of 75% and 100% (according to the agreement signed with each grantee) upon a subsequent change of control. Such securities, if exercised, will increase the number of issued and outstanding shares of our common stock. Therefore, the sale of the shares of common stock underlying the warrants and options could have an adverse effect on the market price for our securities and/or on our ability to obtain future financing.</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 current plans to pay dividends on our common stock, and our investors may not receive funds without selling their common stock.</w:t>
      </w:r>
    </w:p>
    <w:p>
      <w:pPr>
        <w:spacing w:after="0" w:line="2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not declared or paid any cash dividends on our common stock, nor do we expect to pay any cash dividends on our common stock for the foreseeable future. Investors seeking cash dividends should not invest in our common stock for that purpose. We currently intend to retain any additional future earnings to finance our operations and growth and, therefore, we have no plans to pay cash dividends on our common stock at this time.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Accordingly, our investors may have to sell some or all of their common stock in order to generate cash from your investment. You may not receive a gain on your investment when you sell our common stock and may lose the entire amount of your investment.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30, 2017, XpresSpa had 53 company-operated stores in the United States, Netherlands, and United Arab Emirates. All of the stores are located in airports and are leased, typically with one or two renewal options after the initial term. Economic terms vary by type and location of store and, on average, the lease terms are 5-8 years.</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Our New York office, which serves as our corporate office, as well as XpresSpa’s and FLI Charge’s offices, is located at 780 Third Avenue,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The annual rental fee for this space is approximately $403,000 and the lease expires in October 2019. Our Group Mobile office is located at 5590 W. Chandler Blvd, Ste. 3, Chandler, Arizona. The annual rental fee for this space is approximately $73,000 for the first year with a price escalation each year through the remainder of the lease. The current lease, which originally was due to expire on June 30, 2016, was amended in February 2016 and extended until July 31, 2019. We believe that our facilities are adequate to accommodate our business needs.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Cordial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October 2014, our wholly owned-subsidiary, XpresSpa, terminated its former ACDBE partner, Cordial Endeavor Concessions of Atlanta, LLC (“Cordial”), in its Atlanta Terminal A (and future Terminals D, E and F) store locations.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Cordial filed a series of complaints with the City of Atlanta, both before and after the termination, in which Cordial alleged, among other things, that the termination was not valid and that XpresSpa unlawfully retaliated against Cordial when Cordial raised concerns about the joint venture. In response to the numerous complaints it received from Cordial, the City of Atlanta required the parties to engage in two mediations.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After the termination of the relationship with Cordial, XpresSpa sought to substitute two new ACDBE partners in place of Cordial.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2015, Cordial filed a complaint with the United States Federal Aviation Administration (“FAA”), which oversees the City of Atlanta with regard to airport ACDBE programs, and, in December 2015, the FAA instructed that the City of Atlanta review XpresSpa’s request to substitute new partners in lieu of Cordial and Cordial’s claims of retaliation.</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response to the FAA instruction, pursuant to a corrective action plan approved by the FAA, the City of Atlanta held two hearings on February 16 and 26, 2016 and ruled in favor of XpresSpa on both issues. Cordial submitted a further complaint to the FAA claiming that the City of Atlanta was biased against Cordial and that the City of Atlanta’s decision was wrong. In August 2016, the parties met with the FAA. On October 4, 2016, the FAA sent a letter to the City of Atlanta directing that the City of Atlanta retract previous findings on Cordial’s allegations and engage an independent third party to investigate issues previously decided by Atlanta. The FAA also directed that Atlanta determine monies potentially due to Cordial.</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3, 2017, XpresSpa filed a lawsuit in the Supreme Court of the State of New York, County of New York against Cordial and several related parties (“Cordial Defendants”) alleging breach of contract, unjust enrichment, breach of fiduciary duty, fraudulent inducement, fraudulent concealment, tortious interference, and breach of good faith and fair dealing (the “Cordial Litigation”). On February 21, 2017, the Cordial Defendants filed a motion to dismiss. On March 3, 2017, XpresSpa filed a first amended complaint against the Cordial Defendants.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both"/>
        <w:spacing w:after="0" w:line="257" w:lineRule="auto"/>
        <w:rPr>
          <w:sz w:val="20"/>
          <w:szCs w:val="20"/>
          <w:color w:val="auto"/>
        </w:rPr>
      </w:pPr>
      <w:r>
        <w:rPr>
          <w:rFonts w:ascii="Arial" w:cs="Arial" w:eastAsia="Arial" w:hAnsi="Arial"/>
          <w:sz w:val="18"/>
          <w:szCs w:val="18"/>
          <w:color w:val="auto"/>
        </w:rPr>
        <w:t>In addition, on January 4, 2017, XpresSpa filed a lawsuit in the United States District Court for the Southern District of New York against its former attorney, Kevin Ross, and his law firm (“Ross Defendants”) alleging malpractice, unjust enrichment, breach of fiduciary duty, fraudulent inducement, fraudulent concealment, tortious interference, and promissory estoppel (the “Ross Litigation”). On March 2, 2017, the Ross Defendants filed a letter with the court requesting a pre-motion conference in anticipation of the defendants’ filing of a motion to dismiss. On March 17, 2017, XpresSpa filed a First Amended Complaint against the defendants.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Both the Cordial Litigation and Ross Litigation are pending before the respective courts; no schedule has been set in either matter.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2017, Cordial filed a Part 16 complaint with the FAA. On March 7, 2017, the FAA held that XpresSpa has not been named in Cordial’s complaint, and is not a proper respondent.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re Chen et al.</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March 2015, four former XpresSpa employees who worked at XpresSpa locations in John F. Kennedy International Airport and LaGuardia Airport filed a putative class and collective action wage-hour litigation in the United States District Court, Eastern District of New York. </w:t>
      </w:r>
      <w:r>
        <w:rPr>
          <w:rFonts w:ascii="Arial" w:cs="Arial" w:eastAsia="Arial" w:hAnsi="Arial"/>
          <w:sz w:val="16"/>
          <w:szCs w:val="16"/>
          <w:i w:val="1"/>
          <w:iCs w:val="1"/>
          <w:color w:val="auto"/>
        </w:rPr>
        <w:t>In re Chen et al.</w:t>
      </w:r>
      <w:r>
        <w:rPr>
          <w:rFonts w:ascii="Arial" w:cs="Arial" w:eastAsia="Arial" w:hAnsi="Arial"/>
          <w:sz w:val="16"/>
          <w:szCs w:val="16"/>
          <w:color w:val="auto"/>
        </w:rPr>
        <w:t>, CV 15-1347 (E.D.N.Y.). Plaintiffs claim that they and other spa technicians around the country were misclassified as exempt commissioned salespersons under Section 7(i) of the federal Fair Labor Standards Act (“FLSA”). Plaintiffs also assert class claims for unpaid overtime on behalf of New York spa technicians under the New York Labor Law, and discriminatory employment practices under New York State and City laws. On July 1, 2015, the plaintiffs moved to have the court authorize notice of the FLSA misclassification claim sent to all employees in the spa technician job classification at XpresSpa locations around the country in the last three years. Defendants opposed the motion. On February 16, 2016, the Magistrate Judge assigned to the case issued a Report &amp; Recommendation, recommending that the District Court Judge grant the plaintiffs’ motion. On March 1, 2016, the defendants filed Opposition to the Magistrate Judge’s Report</w:t>
      </w:r>
    </w:p>
    <w:p>
      <w:pPr>
        <w:spacing w:after="0" w:line="1" w:lineRule="exact"/>
        <w:rPr>
          <w:sz w:val="20"/>
          <w:szCs w:val="20"/>
          <w:color w:val="auto"/>
        </w:rPr>
      </w:pPr>
    </w:p>
    <w:p>
      <w:pPr>
        <w:jc w:val="both"/>
        <w:ind w:firstLine="8"/>
        <w:spacing w:after="0" w:line="255" w:lineRule="auto"/>
        <w:tabs>
          <w:tab w:leader="none" w:pos="194"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Recommendation, arguing that the District Court Judge should reject the Magistrate Judge’s findings. On September 23, 2016, the court ruled in favor of the plaintiffs and conditionally certified the class. The parties held a mediation on February 28, 2017 and reached an agreement on a settlement in principle. The parties are in the process of finalizing the settlement documents.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Amiral</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July 2016, Amiral Holdings SAS (“Amiral”) brought a preliminary relief proceeding in Amsterdam against XpresSpa Europe B.V. by filing a Petition for Prejudgment Attachment of Assets of a Debtor Not Domiciled in the Netherlands. This proceeding relates to the proposed acquisition by Amiral of XpresSpa Europe B.V., which owns XpresSpa’s Amsterdam and Dubai locations, from XpresSpa International Holdings LLC (“XpresSpa International”). In its petition, Amiral sought to seize the shares in XpresSpa Europe B.V. On a preliminary basis, the District Court in Amsterdam granted the petition without hearing from XpresSpa International. On July 29, 2016, Amiral levied a preservative attachment over the shares in XpresSpa Europe B.V. stating that it intended to bring a suit against XpresSpa International to continue the negotiations, complete the transaction and transfer the shares in XpresSpa Europe B.V. to Amiral. Amiral had to initiate an action against XpresSpa International within forty-two days after the attachment was levied, failing which the seizure would automatically expire. On September 1, 2016, the District Court in Amsterdam granted Amiral an extension to file an action. On October 6, 2016, Amiral filed a request for arbitration with the Nederlands Arbitrage Instituut (NAI) in the Netherlands against XpresSpa International related to the alleged transfer of the shares of XpresSpa Europe B.V. to Amiral. On October 7, 2016, Amiral also initiated proceedings before the Dutch court to the same effect for the event that an arbitration agreement is held to be lacking.</w:t>
      </w:r>
    </w:p>
    <w:p>
      <w:pPr>
        <w:spacing w:after="0" w:line="18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addition, in August 2016, Amiral filed a complaint for breach of contract against XpresSpa related to a potential strategic transaction between Amiral and XpresSpa. Amiral Holdings SAS v. XpresSpa Holdings LLC et al., Supreme Court of the State of New York, County of New York (“Supreme Court”) (Index No. 654051/2016). Among other things, Amiral sought specific performance relating to the contract; an injunction prohibiting the defendants from entering into or consummating a competing transaction; and a declaration with respect to Amiral’s right of first refusal and certain related matters. On October 4, 2016, Amiral filed an amended complaint and motion for a preliminary injunction. On October 14, 2016, XpresSpa filed its response to Amiral’s motion and, on October 20, 2016, Amiral filed a reply brief. A hearing on the preliminary injunction motion was held on November 18, 2016 and the Supreme Court denied Amiral’s motion. Amiral appealed the Supreme Court’s decision and, on November 23, 2016, the Supreme Court of the State of New York, Appellate</w:t>
      </w:r>
    </w:p>
    <w:p>
      <w:pPr>
        <w:spacing w:after="0" w:line="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Division,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Department (“Appellate Division”) issued a temporary restraining order enjoining XpresSpa and Mistral Equity Partners, the then-majority owner of XpresSpa, from closing our proposed merger. On December 15, 2016, the Appellate Division ordered that the appeal of the Supreme Court’s order be heard during the Supreme Court’s April term, resulting in a de facto extension of the injunction until the appeal could be heard. As a condition to the injunction, the Appellate Division ordered Amiral to extend a bridge loan to XpresSpa to fund its operations during the pendency of the appeal, and to post an undertaking. On December 22, 2016, Amiral informed XpresSpa that it would not extend the court-ordered amounts. As such, on December 23, 2016, we and XpresSpa closed our previously-announced merger.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On December 7, 2016, we filed a lawsuit against Amiral and several additional related parties in the United States District Court for the Southern District of New York, alleging breach of contract and tortious interference.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2017, the parties resolved their disputes and have dismissed and/or withdrawn all actions against each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related complaints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three complaints filed against XpresSpa with the Equal Employment Opportunity Commission for unlawful termination of employment and discriminatory employment practices. At this time we do not believe that the outcome of these matters, individually or in the aggregate, would have a material adverse effect on our business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March 2016, we settled all disputes and ended all litigations with ASUSTeK Computer Inc. and its subsidiaries (collectively, “ASUS”). Google, Inc., who intervened as a party in our litigation against ASUS in India, and the parties have withdrawn their respective outstanding claims against each other.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Content distribution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2012, we purchased a portfolio of patents invented by Tayo Akadiri relating to content distribution. The portfolio includes seven patents as well as several pending patent applications. As one of the means of realizing the value of these patents, on October 20, 2015, Quantum Stream Inc. (“Quantum Stream”), one of our subsidiaries, filed a lawsuit against DirecTV, LLC in the United States District Court for the Southern District of New York, alleging patent infringement. During the third quarter of 2016, the parties resolved the litigation, and the lawsuit has been dismissed.</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November 4, 2016, Quantum Stream filed a lawsuit against Cablevision Systems Corp. and several additional related parties in the United States District Court for the Southern District of New York, alleging patent infringement. The lawsuit was dismissed without prejudice during the first quarter of 2017.</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8, 2017, Quantum Stream filed a lawsuit against Charter Communications, Inc. and several additional related parties in the United States District Court for the Southern District of New York, alleging patent infringement. No schedule has been set in this case.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Remote monitoring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9, 2015, Iron Gate Security, Inc. (“Iron Gate”), one of our subsidiaries, filed a lawsuit against Lowe’s Companies, Inc. in the United States District Court for the Southern District of New York, alleging patent infringement. During the fourth quarter of 2016, the parties resolved the litigation, and the lawsuit has been dismissed.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15, 2016, Iron Gate filed a lawsuit against Logitech Inc. in the United States District Court for the Southern District of New York, alleging patent infringement. During the first quarter of 2017, the parties resolved the litigation, and the lawsuit has been dismissed.</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March 8, 2017, our wholly-owned subsidiary, Quantum Stream filed a lawsuit against Charter Communications, Inc. and several additional related parties in the United States District Court for the Southern District of New York, alleging patent infringement. No schedule has been set in this case.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15, 2017, our wholly-owned subsidiary, Iron Gate Security, Inc., filed a lawsuit against Vivint, Inc., in the United States District Court for the Southern District of New York, alleging patent infringement. No schedule has been set in this case.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Corporate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Mason Chu</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December 31, 2015, Mason Chu filed a lawsuit against us and our directors, alleging that the defendants breached their fiduciary duty to FORM and our stockholders. On January 26, 2016, our Board of Directors resolved that it is in our best interests and those of our stockholders that Article Five of our Amended and Restated Certificate of Incorporation (the "Certificate of Incorporation") be amended. The parties resolved the litigation in March 2017.</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With respect to our outstanding legal matters, based on our current knowledge, we believe that the amount or range of a potential loss will not, either individually or in the aggregate, have a material adverse effect on our business, consolidated financial position, results of operations or cash flows. However, the outcome of such legal matters is inherently unpredictable and subject to significant uncertainties. We evaluated the matters described above, and assessed the probability and likelihood of the occurrence of liability. Based on our estimates, we recorded $671,000, which is included in accounts payable, accrued expenses, and other current liabilities in the consolidated balance sheet as of December 31,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the event that an action is brought against us or one of our subsidiaries, we will investigate the allegation and vigorously defend ourselves.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par value $0.01 per share, which was previously listed on the NASDAQ Capital Market under the trading symbol “VRNG,” has been listed under the trading symbol “FH” since May 9, 2016. The following table sets forth, for the periods indicated, the high and low sales prices for our common stock as reported by the NASDAQ Capital Market, with prices prior to November 27, 2015 adjusted to account for our 1-for-10 reverse stock split that occurred on that date: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High</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Low</w:t>
            </w:r>
          </w:p>
        </w:tc>
      </w:tr>
      <w:tr>
        <w:trPr>
          <w:trHeight w:val="210"/>
        </w:trPr>
        <w:tc>
          <w:tcPr>
            <w:tcW w:w="8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First quarter</w:t>
            </w:r>
          </w:p>
        </w:tc>
        <w:tc>
          <w:tcPr>
            <w:tcW w:w="820" w:type="dxa"/>
            <w:vAlign w:val="bottom"/>
          </w:tcPr>
          <w:p>
            <w:pPr>
              <w:jc w:val="right"/>
              <w:ind w:right="66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2.80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2.47</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Third quarter</w:t>
            </w:r>
          </w:p>
        </w:tc>
        <w:tc>
          <w:tcPr>
            <w:tcW w:w="8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2.90</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4.05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r>
      <w:tr>
        <w:trPr>
          <w:trHeight w:val="446"/>
        </w:trPr>
        <w:tc>
          <w:tcPr>
            <w:tcW w:w="8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High</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Low</w:t>
            </w:r>
          </w:p>
        </w:tc>
      </w:tr>
      <w:tr>
        <w:trPr>
          <w:trHeight w:val="210"/>
        </w:trPr>
        <w:tc>
          <w:tcPr>
            <w:tcW w:w="8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2015</w:t>
            </w: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First quarter</w:t>
            </w:r>
          </w:p>
        </w:tc>
        <w:tc>
          <w:tcPr>
            <w:tcW w:w="820" w:type="dxa"/>
            <w:vAlign w:val="bottom"/>
          </w:tcPr>
          <w:p>
            <w:pPr>
              <w:jc w:val="right"/>
              <w:ind w:right="66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9.80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7.70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Third quarter</w:t>
            </w:r>
          </w:p>
        </w:tc>
        <w:tc>
          <w:tcPr>
            <w:tcW w:w="8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7.40</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6.00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June 21, 2015, our publicly traded warrants to purchase 478,400 shares of common stock at an exercise price of $50.60, then listed on the NASDAQ Capital Market under the symbol “VRNGW,” expired.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30, 2017, we have 47 stockholders of record of the 19,198,454 outstanding shares of our common stock. This does not reflect persons or entities that hold their stock in nominee or "street" name through various brokerage firms.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Policy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do not anticipate paying any cash dividends on our capital stock in the foreseeable future. We currently intend to retain future earnings, if any, to finance our operations and to expand our business. Any future determination to pay cash dividends will be at the discretion of our Board of Directors and will be dependent upon our financial condition, operating results, capital requirements and other factors that our Board of Directors considers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Unregistered Sales of Equity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 2017, we completed the acquisition of Excalibur Integrated Systems, Inc. (“Excalibur”). In consideration for the acquisition, we issued to the sellers an aggregate of 888,573 unregistered shares of our common stock, par value $0.01 per share.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acquisition of XpresSpa, on August 8, 2016 we issued 750,574 unregistered shares of our common stock to certain holders of XpresSpa, at a purchase price of $2.31 per share, for a total amount of $1,734,000.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issuances of shares of our common stock were made in reliance on the exemption from registration contained in Section 4(a)(2) of the Securities Act of 1933,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as we are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and is qualified in its entirety by, our consolidated financial statements (including notes to the consolidated financial statements) and the other consolidated financial information appearing elsewhere in this Annual Report on Form 10-K. In addition to historical financial information, the following discussion contains forward-looking statements that reflect our plans, estimates and beliefs. Some of the information contained in this discussion and analysis, including information with respect to our plans and strategy for our business, includes forward-looking statements that involve risks and uncertainties. Actual results and timing of events could differ materially from the results described in or implied by the forward-looking statements contained in the following discussion and analysis.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FORM Holdings Corp (“FORM” or the “Company”) focuses on acquiring and building companies that would benefit from:</w:t>
      </w:r>
    </w:p>
    <w:p>
      <w:pPr>
        <w:spacing w:after="0" w:line="225" w:lineRule="exact"/>
        <w:rPr>
          <w:sz w:val="20"/>
          <w:szCs w:val="20"/>
          <w:color w:val="auto"/>
        </w:rPr>
      </w:pPr>
    </w:p>
    <w:p>
      <w:pPr>
        <w:ind w:left="520" w:hanging="255"/>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capital;</w:t>
      </w:r>
    </w:p>
    <w:p>
      <w:pPr>
        <w:spacing w:after="0" w:line="225" w:lineRule="exact"/>
        <w:rPr>
          <w:rFonts w:ascii="Arial" w:cs="Arial" w:eastAsia="Arial" w:hAnsi="Arial"/>
          <w:sz w:val="18"/>
          <w:szCs w:val="18"/>
          <w:color w:val="auto"/>
        </w:rPr>
      </w:pPr>
    </w:p>
    <w:p>
      <w:pPr>
        <w:ind w:left="520" w:hanging="255"/>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exposure to visibility from the public markets;</w:t>
      </w:r>
    </w:p>
    <w:p>
      <w:pPr>
        <w:spacing w:after="0" w:line="225" w:lineRule="exact"/>
        <w:rPr>
          <w:rFonts w:ascii="Arial" w:cs="Arial" w:eastAsia="Arial" w:hAnsi="Arial"/>
          <w:sz w:val="18"/>
          <w:szCs w:val="18"/>
          <w:color w:val="auto"/>
        </w:rPr>
      </w:pPr>
    </w:p>
    <w:p>
      <w:pPr>
        <w:ind w:left="520" w:hanging="255"/>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talent recruiting;</w:t>
      </w:r>
    </w:p>
    <w:p>
      <w:pPr>
        <w:spacing w:after="0" w:line="225" w:lineRule="exact"/>
        <w:rPr>
          <w:rFonts w:ascii="Arial" w:cs="Arial" w:eastAsia="Arial" w:hAnsi="Arial"/>
          <w:sz w:val="18"/>
          <w:szCs w:val="18"/>
          <w:color w:val="auto"/>
        </w:rPr>
      </w:pPr>
    </w:p>
    <w:p>
      <w:pPr>
        <w:ind w:left="520" w:hanging="255"/>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rebranding; and</w:t>
      </w:r>
    </w:p>
    <w:p>
      <w:pPr>
        <w:spacing w:after="0" w:line="225" w:lineRule="exact"/>
        <w:rPr>
          <w:rFonts w:ascii="Arial" w:cs="Arial" w:eastAsia="Arial" w:hAnsi="Arial"/>
          <w:sz w:val="18"/>
          <w:szCs w:val="18"/>
          <w:color w:val="auto"/>
        </w:rPr>
      </w:pPr>
    </w:p>
    <w:p>
      <w:pPr>
        <w:ind w:left="520" w:hanging="255"/>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implementation of best practices.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management team is committed to executing on our strategy. Our focus is on travel, health and wellness, and technology. We limit our scope by only looking at companies with a clear path for growth.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6, 2016, we changed our name to FORM Holdings Corp. from Vringo Inc. and concurrently announced our repositioning as a holding company of small and middle market growth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currently operate in four operating segments: XpresSpa, Group Mobile, FLI Charge and intellectual property.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 and Outlook</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XpresSpa is a leading airport retailer of spa services and related products. We plan to grow XpresSpa’s 2017 Comp Store Sales as compared to 2016. In the longer term, we expect to double the number of XpresSpa locations. Group Mobile is a supplier of built-to-order rugged computers, mobile devices and accessories. We plan to increase Group Mobile’s revenue, which we believe can be achieved by adding new products, exploring new distribution verticals, such as military and government, and increasing the sales team’s geographic coverage. FLI Charge is an early stage company that designs, develops, licenses, manufactures and markets power transfer and charging solutions. FLI Charge is currently working with partners in several verticals to bring products to market. These verticals include education, office, hospitality, power tools, automotive and consumer electronics, among others. Our intellectual property operating segment is engaged in the innovation, development and monetization of intellectual property. Our strategy for our intellectual property operating segment is to continue to monetize our existing portfolio of intellectual property through licensing and strategic partnerships.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 from the sale of XpresSpa products and services at the point of sale, net of discounts and applicable sales taxes. Revenues from the XpresSpa wholesale and e-commerce businesses are recorded at the time goods are shipped. We exclude all sales taxes assessed to our customers. Sales taxes assessed on revenues are included in accounts payable, accrued expenses and other current liabilities in the consolidated balance sheets until remitted to the state agencies.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record revenue from the product sales of Group Mobile and FLI Charge when title and risk of loss are passed to the customer, there is persuasive evidence of an arrangement for sale, delivery has occurred, the sales price is fixed or determinable, and collectability is reasonably assured. Our shipping terms typically specify F.O.B. destination, at which time title and risk of loss have passed to the customer. At the time of sale of hardware products, we record an estimate for sales returns and allowances based on historical experience. Hardware products sold by us are warranted by the vendor.</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Group Mobile uses drop-shipment arrangements with many of its hardware vendors and suppliers to deliver products directly to customers. Revenue for drop-shipment arrangements is recorded on a gross basis upon delivery to the customer with contract terms that typically specify F.O.B. destination. Revenue is recognized on a gross basis as Group Mobile is the principal in the transaction as the primary obligor in the arrangement, assumes the inventory risk if the product is returned by the customer, sets the price of the product to the customer, assumes credit risk for the amounts invoiced, and works closely with the customers to determine their hardware specifications.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Freight billed to customers is recognized as net product revenue and the related freight costs as a cost of goods sold.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revenue includes (i) payments received from customers in advance of providing products and services and (ii) amounts deferred if other conditions of revenue recognition have not been met. We account for funds raised from crowdfunding campaigns and pre-sales as deferred revenue until the product is delivered to customers.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Revenue from patent licensing is recognized if collectability is reasonably assured, persuasive evidence of an arrangement exists, the sales price is fixed or determinable and delivery of the service has been rendered. Currently, revenue arrangements related to intellectual property provide for the payment of contractually determined fees and other consideration for the grant of certain intellectual property rights related to our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we have no further obligation with respect to the grant of the non-exclusive retroactive and future licenses, covenants-not-to-sue, releases, and other deliverables, including no express or implied obligation on our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upon receipt of the upfront fee, and when all other revenue recognition criteria have been met.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Intellectual property costs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Intellectual property costs mainly include expenses incurred in connection with our patent licensing and enforcement activities, patent-related legal expenses paid to external patent counsel (including contingent legal fees), licensing and enforcement related research, consulting and other expenses paid to third parties, as well as related internal payroll expenses and stock-based compensation. In addition, amounts received by us for reimbursements of legal fees in connection with our litigation campaigns are recorded in intellectual property costs as an offset to legal expense.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Also included in intellectual property costs are royalties owed to previous owners of our intellectual property assets. The royalties fluctuate period to period, based on the amount of licensing revenue we recognize each period, the terms and conditions of agreements executed each period and the mix of specific patent portfolios with varying economic terms and obligations generating revenues each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amortization and impairment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Property and equipment is stated at cost, net of accumulated depreciation. Depreciation is calculated on a straight-line basis over the estimated useful lives of the assets. The useful lives of our property and equipment is based on estimates of the period over which we expect the assets to be of economic benefit to us. Leasehold improvements are amortized over the shorter of the useful life of the asset or the term of the lease.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of our acquired patent portfolios and other intangible assets are recognized on a straight-line basis over the remaining useful life of the intangible assets (i.e., through the expiration date of the patent). Impairment charges related to our acquired intangible assets are recorded when an impairment indicator exists and the carrying amount of the related asset exceeds its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General and administrative expenses include management and administrative personnel, public and investor relations, overhead/office costs, insurance and various other professional fees, as well as sales and marketing costs, product development costs and stock-based compensation.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Non-operating income (expense) includes transaction gains (losses) from foreign exchange rate differences, bank charges, deposits, interest related to outstanding debt, as well as fair value adjustments related to our derivative warrant liabilities and conversion feature of debt. The value of such derivative liabilities is highly influenced by assumptions used in its valuation, as well as by our stock price as of the period end (revaluation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2016, deferred tax assets generated from our activities in the United States were offset by a valuation allowance because realization depends on generating future taxable income, which, in our estimation, is not more likely than not to be generated before such net operating loss carryforwards expire.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Operating segments are defined as components of an enterprise about which separate financial information is available that is regularly evaluated by the enterprise’s chief operating decision maker (“CODM”) in deciding how to allocate resources and in assessing performance. We conduct our business through four operating segments, which are also our reportable segments: XpresSpa, </w:t>
      </w:r>
      <w:r>
        <w:rPr>
          <w:rFonts w:ascii="Arial" w:cs="Arial" w:eastAsia="Arial" w:hAnsi="Arial"/>
          <w:sz w:val="18"/>
          <w:szCs w:val="18"/>
          <w:color w:val="181818"/>
        </w:rPr>
        <w:t>Group Mobile, FLI Charge, and intellectual property</w:t>
      </w:r>
      <w:r>
        <w:rPr>
          <w:rFonts w:ascii="Arial" w:cs="Arial" w:eastAsia="Arial" w:hAnsi="Arial"/>
          <w:sz w:val="18"/>
          <w:szCs w:val="18"/>
          <w:color w:val="auto"/>
        </w:rPr>
        <w:t>. It should be noted that the segment reporting for XpresSpa only covers the period following the closing of the acquisition of XpresSpa on December 23, 2016 through our fiscal year end on December 31, 2016.</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8"/>
          <w:szCs w:val="18"/>
          <w:color w:val="auto"/>
        </w:rPr>
        <w:t>Organizing our business through four operating segments allows us to align our resources and manage the operations. We determine our operating segments based on a number of factors our management uses to evaluate and run our business operations, including similarities of customers, products and technology. Our Chief Executive Officer is our CODM, who regularly reviews operating segment revenue and operating income (loss) when assessing financial results of operating segments and allocating resources.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measure the performance of our operating segments based upon operating segment revenue and operating income (loss). Operating segment operating income (loss) includes revenue and expenses incurred directly by the operating segment, including material cost of goods sold, intellectual property costs, and selling, marketing, and general and administrative costs. General and administrative costs are allocated amongst the operating segments and non-operating corporate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to the year ended December 31,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generate revenue through each of our four operating segments: XpresSpa, </w:t>
      </w:r>
      <w:r>
        <w:rPr>
          <w:rFonts w:ascii="Arial" w:cs="Arial" w:eastAsia="Arial" w:hAnsi="Arial"/>
          <w:sz w:val="18"/>
          <w:szCs w:val="18"/>
          <w:color w:val="181818"/>
        </w:rPr>
        <w:t>Group Mobile, FLI Charge, and intellectual property</w:t>
      </w:r>
      <w:r>
        <w:rPr>
          <w:rFonts w:ascii="Arial" w:cs="Arial" w:eastAsia="Arial" w:hAnsi="Arial"/>
          <w:sz w:val="18"/>
          <w:szCs w:val="18"/>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XpresSpa</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811,000</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Group Mobile</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6,638,000</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935,000</w:t>
            </w: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5,703,000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FLI Charge</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348,000</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Intellectual property</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11,175,000</w:t>
            </w:r>
          </w:p>
        </w:tc>
        <w:tc>
          <w:tcPr>
            <w:tcW w:w="2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21,750,000</w:t>
            </w: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9"/>
              </w:rPr>
              <w:t>(10,575,000)</w:t>
            </w:r>
          </w:p>
        </w:tc>
      </w:tr>
      <w:tr>
        <w:trPr>
          <w:trHeight w:val="223"/>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18,974,000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22,687,000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year ended December 31, 2016, we recorded total revenue of $18,974,000, which represents a decrease of $3,713,000 as compared to $22,687,000 recorded in the year ended December 31, 2015. The decrease was mainly attributable to a $10,575,000 year-over-year decrease in revenue from our intellectual property segment. Our other operating segments all experienced growth in their respective revenues, with XpresSpa recognizing $811,000 for the period following its acquisition on December 23, 2016, Group Mobile recognizing $6,638,000, and FLI Charge recognizing $350,000. We did not recognize any revenue generated by XpresSpa prior to its acquisition on December 23, 2016 or by Group Mobile and FLI Charge prior to IDG’s acquisition on October 15, 2015. Revenue during the year ended December 31, 2015 of $21,750,000 for our intellectual property segment was mainly due to a one-time payment received in connection with a license and settlement agreement with ZTE.</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plan to grow XpresSpa’s revenue through a combination of Comp Store Sales increases and the addition of new locations. We believe that growth in Group Mobile’s revenue can be achieved by adding new products, exploring new distribution verticals, such as military and government, and increasing the sales team’s geographic coverage. In addition, we plan to enhance our intellectual property rights around our FLI Charge technology and products. FLI Charge plans to strengthen and develop partnerships in numerous markets including automotive, education, office, healthcare, power tools and vaporizers. We intend to continue to monetize our existing portfolio of intellectual property through licensing and strategic partnerships.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Cost of goods sold</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140" w:type="dxa"/>
            <w:vAlign w:val="bottom"/>
            <w:gridSpan w:val="4"/>
          </w:tcPr>
          <w:p>
            <w:pPr>
              <w:spacing w:after="0"/>
              <w:rPr>
                <w:sz w:val="20"/>
                <w:szCs w:val="20"/>
                <w:color w:val="auto"/>
              </w:rPr>
            </w:pPr>
            <w:r>
              <w:rPr>
                <w:rFonts w:ascii="Arial" w:cs="Arial" w:eastAsia="Arial" w:hAnsi="Arial"/>
                <w:sz w:val="18"/>
                <w:szCs w:val="18"/>
                <w:color w:val="auto"/>
                <w:w w:val="95"/>
              </w:rPr>
              <w:t xml:space="preserve">We incur cost of goods sold in three of our operating segments: XpresSpa, </w:t>
            </w:r>
            <w:r>
              <w:rPr>
                <w:rFonts w:ascii="Arial" w:cs="Arial" w:eastAsia="Arial" w:hAnsi="Arial"/>
                <w:sz w:val="18"/>
                <w:szCs w:val="18"/>
                <w:color w:val="181818"/>
                <w:w w:val="95"/>
              </w:rPr>
              <w:t>Group Mobile, and FLI Charge</w:t>
            </w:r>
            <w:r>
              <w:rPr>
                <w:rFonts w:ascii="Arial" w:cs="Arial" w:eastAsia="Arial" w:hAnsi="Arial"/>
                <w:sz w:val="18"/>
                <w:szCs w:val="18"/>
                <w:color w:val="auto"/>
                <w:w w:val="95"/>
              </w:rPr>
              <w:t>.</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6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color w:val="auto"/>
                <w:w w:val="88"/>
              </w:rPr>
              <w:t>Year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6,485,000</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5,685,000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year ended December 31, 2016, we recorded total cost of goods sold of $6,485,000. These mainly represent the cost of products and services sold by our operating segments broken out as follows: $404,000 attributed to XpresSpa for the period following its acquisition on December 23, 2016, $5,880,000 attributed to Group Mobile, and $201,000 attributed to FLI Charge. We did not recognize any cost of goods sold generated by XpresSpa prior to its acquisition on December 23, 2016 or by Group Mobile and FLI Charge prior to IDG’s acquisition on October 15, 2015. We expect to recognize significantly higher cost of goods sold in 2017 as we will incur a full year of operating results related to our XpresSpa acquisition, which closed prior to year-end 2016.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Intellectual property costs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rPr>
              <w:t>Intellectual property costs relate to our intellectual property operating segment.</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6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color w:val="auto"/>
                <w:w w:val="88"/>
              </w:rPr>
              <w:t>Year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Intellectual property costs</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6,334,000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18,553,000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9"/>
              </w:rPr>
              <w:t>(12,219,000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2016, our costs related to intellectual property were $6,334,000, which represents a decrease of $12,219,000 (or 65.9%) from intellectual property costs recorded for the year ended December 31, 2015. This decrease was primarily due to the timing and nature of consulting and patent litigation costs related to legal proceedings against ZTE and ASUS, especially as costs pertaining to our ZTE campaign declined significantly following the execution of the confidential settlement and license agreement in December 2015.</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Included in the intellectual property costs during the year ended December 31, 2016 is royalty expense of $3,730,000, as compared to $390,000 for the year ended December 31, 2015, which relates to the royalties owed to the former owners of our patent portfolios, for which license and settlement agreements were entered into during the corresponding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our intellectual property costs will continue to decrease over time. This is mainly attributable to the agreement entered into with Nokia in December 2016, for which a majority of our patent assets were assigned to Nokia. The patents that we retained are no longer subject to any royalty payments to Nokia.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Depreciation, amortization, and impairment</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8"/>
                <w:szCs w:val="18"/>
                <w:color w:val="auto"/>
                <w:w w:val="88"/>
              </w:rPr>
              <w:t>Year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amortization, and impairment</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13,782,000</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3,516,000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10,266,000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2016, depreciation, amortization and impairment expenses totaled $13,782,000, which represents an increase of $10,266,000 compared to the depreciation and amortization expense of $3,516,000 recorded during the year ended December 31, 2015. There was no impairment expense recorded during the year ended December 31, 2015. The increase was mainly due to the impairment of our patent asset group during 2016.</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both"/>
        <w:spacing w:after="0" w:line="288" w:lineRule="auto"/>
        <w:rPr>
          <w:sz w:val="20"/>
          <w:szCs w:val="20"/>
          <w:color w:val="auto"/>
        </w:rPr>
      </w:pPr>
      <w:r>
        <w:rPr>
          <w:rFonts w:ascii="Arial" w:cs="Arial" w:eastAsia="Arial" w:hAnsi="Arial"/>
          <w:sz w:val="16"/>
          <w:szCs w:val="16"/>
          <w:color w:val="181818"/>
        </w:rPr>
        <w:t>During the year ended December 31, 2016, we determined that there were impairment indicators related to certain of our patents. A significant factor considered when making this determination occurred on May 6, 2016, when we changed the name of our company from “Vringo, Inc.” to “FORM Holdings Corp.” and concurrently announced our repositioning as a holding company of small and middle market growth companies. We concluded that this factor was deemed a “triggering” event, which required the related patent assets to be tested for impairment. In performing this impairment test, we determined that the patent portfolios, which together represent an asset group, were subject to impairment testing. In the first step of the impairment test, we utilized our projections of future undiscounted cash flows based on our existing plans for the patents. As a result, it was determined that our projections of future undiscounted cash flows were less than the carrying value of the asset group. Accordingly, we performed the second step of the impairment test to measure the potential impairment by calculating the asset group’s fair value as of May 6, 2016. As a result, following amortization for the month of April, we recorded an impairment charge of $11,937,000, or 88.7% of the carrying value of the patents prior to impairment, which resulted in a new carrying value of $1,526,000 on May 6, 2016. Following the impairment, we reevaluated the remaining useful life and concluded that there were no changes.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8"/>
                <w:szCs w:val="18"/>
                <w:color w:val="auto"/>
                <w:w w:val="88"/>
              </w:rPr>
              <w:t>Year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14,790,000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10,162,000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2016, general and administrative expenses increased by $4,628,000 (or 45.5%), to $14,790,000, compared to $10,162,000 that was recorded during year ended December 31, 2015. The overall increase was primarily due to the following key factors: (i) merger and acquisition costs related to our acquisition of XpresSpa, (ii) increased general and administrative costs associated with Group Mobile and FLI Charge, which we acquired on October 15, 2015 and, as such, had only two and a half months’ worth of general and administrative expenses for the year ended December 31, 2015 and (iii) general and administrative expenses for XpresSpa, which we acquired on December 23, 2016, from the date of the acquisition until December 31, 2016.</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relation to our acquisition of XpresSpa, we incurred $1,353,000 of expenses related to the transaction, including legal costs, financial and legal diligence, tax accounting, and valuation. Going forward, we expect our merger and acquisition related costs to decline.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Following our acquisition of Group Mobile and FLI Charge in October 2015, we significantly expanded our workforce throughout 2016. We incurred an increase in salaries and benefits due to the expanded workforce of the additional operating segments, advertising and marketing costs for the respective product lines, and product development costs as FLI Charge continued to develop and improve its product line. We incurred general and administrative expenses for Group Mobile and FLI Charge of $5,019,000 during 2016 as compared to $529,000 following our acquisition of IDG in 2015.</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our acquisition of XpresSpa, we incurred approximately $445,000 of general and administrative expenses during the period from the closing of the acquisition on December 23, 2016 until December 31, 2016. These costs mainly relate to rent and payroll expenses.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These increases in general and administrative expenses were offset by significant decreases in stock-based compensation expense, which resulted from equity awards granted in 2012 and 2013 becoming fully vested during the latter half of 2015, as well as insurance, accounting, and audit fees.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expectations are that our general and administrative expenses will increase, as we assume a full year’s worth of general and administrative expenses for XpresSpa; however, our expectation is that this increase will be offset by significant savings as we leverage synergies between our segments to maximize value.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Non-operating expense, net</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ind w:left="820"/>
              <w:spacing w:after="0"/>
              <w:rPr>
                <w:sz w:val="20"/>
                <w:szCs w:val="20"/>
                <w:color w:val="auto"/>
              </w:rPr>
            </w:pPr>
            <w:r>
              <w:rPr>
                <w:rFonts w:ascii="Arial" w:cs="Arial" w:eastAsia="Arial" w:hAnsi="Arial"/>
                <w:sz w:val="18"/>
                <w:szCs w:val="18"/>
                <w:color w:val="auto"/>
                <w:w w:val="91"/>
              </w:rPr>
              <w:t>Year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(1,586,000</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(1,780,000</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2016, we recorded net non-operating expense in the amount of $1,586,000 compared to net non-operating expense in the amount of $1,780,000 recorded during the year ended December 31, 2015.</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year ended December 31, 2016, we recorded interest expense of $1,698,000 and a loss on the extinguishment of debt of $472,000 related to our Notes and Amended Notes that were repaid on July 1, 2016. The net non-operating expenses were reduced by a gain of $438,000 on the revaluation of the derivative warrant liabilities related to the Notes and Amended Notes and an additional $146,000 gain mainly attributable to the foreign exchange related to our deposits with courts in foreign jurisdictions prior to them being returned during the first half of 2016.</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2015, we recorded interest expense of $2,594,000 and a loss on the extinguishment of debt of $1,373,000 related to our Notes. There was also an additional loss of $357,000 mainly attributable to the foreign exchange related to our deposits with courts in foreign jurisdictions. The net non-operating expenses were reduced by a gain of $2,544,000 on the revaluation of the derivative warrant liabilities and conversion feature related to the Notes during 2015.</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expect that our non-operating income (expense) will remain highly volatile, and we may choose to fund our operations through additional financing. In particular, non-operating income (expense) will be affected by the adjustments to the fair value of our derivative instruments. Fair value of these derivative instruments depends on a variety of assumptions, such as estimations regarding triggering of down-round protection and estimated future share price. An estimated increase in the price of our common stock increases the value of the warrants and thus results in a loss on our statements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Taxes on Income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2016, our estimated aggregate total net tax loss carryforwards (“NOL”s) were approximately $138,915,000 for United States federal, state and local purposes expiring 20 years from the respective tax years to which they relate. The NOL amounts are presented before Internal Revenue Code, Section 382 limitations (“Section 382”). The Tax Reform Act of 1986 imposed substantial restrictions on the utilization of NOLs and tax credits in the event of an ownership change of a corporation. Thus, our ability to utilize all such NOLs and credit carryforwards may be limited. The NOLs available following our merger completed in 2012 that are not subject to limitation amount to $98,151,000. The remaining NOLs of $39,601,000 are subject to the limitation of Section 382. The annual limitation is approximately $2,000,000.</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filed our tax returns in the United States federal jurisdiction, as well as in various state, local and foreign jurisdictions. We have open tax years for 2012 through 2016. As of December 31, 2016, all tax years for our subsidiary Innovate/Protect are still open.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did not have any material unrecognized tax benefits as of December 31, 2016. We do not expect to record any additional material provisions for unrecognized tax benefits within the next year.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2016, we had a cash balance of $17,910,000, which represents a decrease of $7,041,000 compared to our cash balance as of December 31, 2015. We anticipate that our need for capital will increase as XpresSpa wins RFPs, begins construction on new locations and remodels certain existing locations in order to enhance efficiency and corporate branding. In 2017, XpresSpa plans to open several new locations and is currently working on 25 additional RFPs in which it plans to participate. We don’t expect any significant capital will be needed for our Group Mobile and intellectual property operating segments. We are currently exploring strategic alternatives for FLI Charge to maximize shareholders value, including additional financing and other options.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expenditures during the year ended December 31, 2016 were offset by cash received by our XpresSpa, Group Mobile, FLI Charge and intellectual property operating segments during the normal course of business as well as cash received for refunds of court fees and our deposits with the courts in Germany, Brazil, and Romania.</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average monthly net cash used in operations for the year ended December 31, 2016 was approximately $703,000 compared to average monthly net cash used in operations of approximately $214,000 during the year ended December 31, 2015. This increase in net cash used is driven by the cash spent in our Group Mobile and FLI Charge operations and the significant decrease in revenues from our intellectual property operating segment.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8, 2016, we entered into subscription agreements and received the proceeds from selling 750,574 shares of our unregistered common stock to certain holders of XpresSpa, at a purchase price of $2.31 per share, for an aggregate purchase price of $1,734,000. In addition, on August 8, 2016, we purchased from XpresSpa an aggregate of 1,733,826 of Series C Preferred Units of XpresSpa, at a per unit purchase price of $1.00 per unit, for an aggregate purchase price of $1,734,000.</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 2016, we repaid in full our Amended Notes that were due on June 30, 2017, including a 15% fee for early repayment. We used an aggregate of $2,011,000 of cash on hand for repayment of the Amended Notes. As a result of the repayment in full of the Amended Notes, all liens on our assets, including intellectual property, were released by the Investors.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current operating plans, we expect to have sufficient funds for at least the next 12 months and beyond. In addition, we may choose to raise additional funds in connection with potential acquisitions of operating assets, patent portfolios or other businesses that we may pursue. There can be no assurance, however, that any such opportunities will materialize.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8"/>
                <w:szCs w:val="18"/>
                <w:color w:val="auto"/>
              </w:rPr>
              <w:t>Year ended 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38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(5,870,000)</w:t>
            </w: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0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3,474,000</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(104,000)</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3,578,000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(2,061,000)</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11,597,000</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(13,658,000)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2016, net cash used in operating activities totaled $8,441,000 compared to net cash used in operating activities of $2,571,000 during the year ended December 31, 2015. The increase of cash used in operating activities of $5,870,000 was due to cash used in our daily operations.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18"/>
          <w:szCs w:val="18"/>
          <w:color w:val="auto"/>
        </w:rPr>
        <w:t>Our net cash used in operating activities could increase if we engage in future business development activities. As we expect to move towards greater revenue generation in the future, we expect that these amounts will be offset over time by operating expenses. There is no assurance that our licensing efforts will be successful in the future. Furthermore, there is no guarantee that we will generate sufficient revenue to offset future operating expenses and our ability to raise additional capital may be limited.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2016, net cash provided by investing activities totaled $3,474,000, mainly attributable to the cash acquired as a direct result of the acquisition of XpresSpa as well as from refunds of our deposits with the German, Brazilian and Romanian courts. These proceeds were offset by $641,000 net cash used to acquire property and equipment.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2015, net cash used in investing activities totaled $104,000, which represents deposits we made to a Romanian court to enforce an injunction against ZTE in Romania and a deposit we made in Germany to enforce the review of accounting records, reduced by cash acquired as part of the acquisition of IDG in the fourth quarter of 2015.</w:t>
      </w:r>
    </w:p>
    <w:p>
      <w:pPr>
        <w:spacing w:after="0" w:line="174" w:lineRule="exact"/>
        <w:rPr>
          <w:sz w:val="20"/>
          <w:szCs w:val="20"/>
          <w:color w:val="auto"/>
        </w:rPr>
      </w:pPr>
    </w:p>
    <w:p>
      <w:pPr>
        <w:ind w:right="720"/>
        <w:spacing w:after="0" w:line="251" w:lineRule="auto"/>
        <w:rPr>
          <w:sz w:val="20"/>
          <w:szCs w:val="20"/>
          <w:color w:val="auto"/>
        </w:rPr>
      </w:pPr>
      <w:r>
        <w:rPr>
          <w:rFonts w:ascii="Arial" w:cs="Arial" w:eastAsia="Arial" w:hAnsi="Arial"/>
          <w:sz w:val="22"/>
          <w:szCs w:val="22"/>
          <w:color w:val="auto"/>
        </w:rPr>
        <w:t>We expect that net cash used in investing activities will increase as we intend to continue to acquire and develop supporting infrastructure and systems for our operating segments.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year ended December 31, 2016, net cash used in financing activities totaled $2,061,000, which is comprised of the $2,011,000 net cash used to repay the Amended Notes on July 1, 2016 and $50,000 net cash paid to the Investors related to their expenses incurred as a result of the debt modification.</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2015, we received net proceeds of $12,425,000 from securities purchased in a registered direct offering of $12,500,000 of Notes and warrants to purchase up to 537,500 shares of our common stock This amount was reduced by $218,000 of debt issuance costs that were paid in relation to the agreement and $610,000 of principal repaid in cash during the year.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our issued and outstanding warrants, for which the underlying shares of common stock held by non-affiliates are freely tradable, are currently “out-of-the-money.” Therefore, the potential of additional incoming funds from exercises by our warrant holders is currently very limited. To the extent that any of our issued and outstanding warrants were “in-the-money,” it could be used as a source of additional funding if the warrant holders choose to exercise their warrants for cash.</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may also choose to raise additional funds in connection with any acquisitions of patent portfolios or other assets or other businesses that we may pursue. There can be no assurance, however, that any such opportunity will materialize. Moreover, any such financing would most likely be dilutive to our current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obligations, assets or liabilities that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our significant accounting policies are more fully described in the notes to our audited consolidated financial statements for the year ended December 31, 2016, which appear elsewhere in this Annual Report on Form 10-K, we believe the following accounting policies to be the most critical in understanding the judgments and estimates we used in preparing our consolidated financial statements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 from the sale of XpresSpa products and services at the point of sale, net of discounts and applicable sales taxes. Revenues from the XpresSpa wholesale and e-commerce businesses are recorded at the time goods are shipped. We exclude all sales taxes assessed to our customers. Sales taxes assessed on revenues are included in accounts payable, accrued expenses and other current liabilities in the consolidated balance sheets until remitted to the state agencies.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record revenue from the product sales of Group Mobile and FLI Charge when title and risk of loss are passed to the customer, there is persuasive evidence of an arrangement for sale, delivery has occurred, the sales price is fixed or determinable, and collectability is reasonably assured. Our shipping terms typically specify F.O.B. destination, at which time title and risk of loss have passed to the customer. At the time of sale of hardware products, we record an estimate for sales returns and allowances based on historical experience. Hardware products sold by us are warranted by the vendor.</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Group Mobile uses drop-shipment arrangements with many of its hardware vendors and suppliers to deliver products directly to customers. Revenue for drop-shipment arrangements is recorded on a gross basis upon delivery to the customer with contract terms that typically specify F.O.B. destination. Revenue is recognized on a gross basis as Group Mobile is the principal in the transaction as the primary obligor in the arrangement, assumes the inventory risk if the product is returned by the customer, sets the price of the product to the customer, assumes credit risk for the amounts invoiced, and works closely with the customers to determine their hardware specifications.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Freight billed to customers is recognized as net product revenue and the related freight costs as a cost of goods sold.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revenue includes (i) payments received from customers in advance of providing products and services and (ii) amounts deferred if other conditions of revenue recognition have not been met. We account for funds raised from crowdfunding campaigns and pre-sales as deferred revenue until the product is delivered to customers.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Revenue from patent licensing is recognized if collectability is reasonably assured, persuasive evidence of an arrangement exists, the sales price is fixed or determinable and delivery of the service has been rendered. Currently, revenue arrangements related to intellectual property provide for the payment of contractually determined fees and other consideration for the grant of certain intellectual property rights related to our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we have no further obligation with respect to the grant of the non-exclusive retroactive and future licenses, covenants-not-to-sue, releases, and other deliverables, including no express or implied obligation on our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upon receipt of the upfront fee, and when all other revenue recognition criteria have been met.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is an asset representing the future economic benefits arising from other assets acquired in a business combination that are not individually identified and separately recognized.</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Goodwill is reviewed for impairment at least annually, and when triggering events occur, in accordance with the provisions of Financial Accounting Standards Board (“FASB”) Accounting Standards Codification (“ASC”) </w:t>
      </w:r>
      <w:r>
        <w:rPr>
          <w:rFonts w:ascii="Arial" w:cs="Arial" w:eastAsia="Arial" w:hAnsi="Arial"/>
          <w:sz w:val="17"/>
          <w:szCs w:val="17"/>
          <w:i w:val="1"/>
          <w:iCs w:val="1"/>
          <w:color w:val="auto"/>
        </w:rPr>
        <w:t>Topic 350, Intangibles – Goodwill and Other</w:t>
      </w:r>
      <w:r>
        <w:rPr>
          <w:rFonts w:ascii="Arial" w:cs="Arial" w:eastAsia="Arial" w:hAnsi="Arial"/>
          <w:sz w:val="17"/>
          <w:szCs w:val="17"/>
          <w:color w:val="auto"/>
        </w:rPr>
        <w:t>. We have four reporting units for purposes of evaluating goodwill impairment and perform our annual goodwill impairment test on December 31. We have the option to perform a qualitative assessment to determine if an impairment is more likely than not to have occurred. If we can support the conclusion that it is not more likely than not that the fair value of a reporting unit is less than its carrying amount, then we would not need to perform the two-step impairment test for the reporting unit. If we cannot support such a conclusion or do not elect to perform the qualitative assessment, then the first step of the goodwill impairment test is used to identify potential impairment by comparing the fair value of the reporting unit with its carrying amount, including goodwill.</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fair value of the reporting unit exceeds its carrying value, then the second step of the impairment test (measurement) does not need to be performed. If the fair value of the reporting unit is less than its carrying value, an indication of goodwill impairment exists for the reporting unit and the entity must perform the second step of the impairment test. Under the second step, an impairment loss is recognized for any excess of the carrying amount of the reporting unit’s goodwill over the implied fair value of that goodwill. The implied fair value of goodwill is determined by allocating the fair value of the reporting unit in a manner similar to an acquisition price allocation and the residual fair value after this allocation is the implied fair value of the reporting unit goodwill. A significant amount of judgment is required in performing goodwill impairment tests including estimating the fair value of a reporting unit and the implied fair value of goodwill.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indications of impairment as of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Intangible assets include trade names, customer relationships, and technology, which were acquired as part of the acquisitions of XpresSpa in the fourth quarter of 2016 and IDG in the fourth quarter of 2015, and are recorded based on the estimated fair value in purchase price allocation. Intangible assets also include purchased patents. The intangible assets are amortized over their estimated useful lives, which are periodically evaluated for reasonableness.</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intangible assets are reviewed for impairment whenever events or changes in circumstances indicate that the carrying amount of an asset may not be recoverable. In assessing the recoverability of our intangible assets, we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If these estimates or material related assumptions change in the future, we may be required to record impairment charges related to its intangible assets.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181818"/>
        </w:rPr>
        <w:t>Our name change and repositioning as a holding company was deemed a triggering event, which required our patent assets to be tested for impairment. In performing this impairment test, we determined that the patent portfolios, which together represent an asset group, were subject to impairment testing. In the first step of the impairment test, we utilized our projections of future undiscounted cash flows based on our existing plans for the patents. As a result, it was determined that our projections of future undiscounted cash flows were less than the carrying value of the asset group. Accordingly, we performed the second step of the impairment test to measure the potential impairment by calculating the asset group’s fair value as of May 6, 2016. As a result, following amortization for the month of April, we recorded an impairment charge of $11,937,000, which resulted in a new carrying value of $1,526,000 on May 6, 2016. Following the impairment, we reevaluated the remaining useful life and concluded that there were no changes.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derivative warrant liabilities and conversion feature are measured at fair value. Such liabilities are classified within Level 3 of the fair value hierarchy because they are valued using the Black-Scholes-Merton and the Monte-Carlo models (as these warrants include down-round protection clauses), which utilize significant inputs that are unobservable in the market. The inputs to estimate the fair value of our derivative warrant liabilities and conversion feature are the current market price of our common stock, the exercise price of the warrant and conversion feature, the warrants’ and conversion feature’s remaining expected term, the volatility of our common stock price, our assumptions regarding the probability and timing of a down-round protection triggering event and the risk-free interest rate. The tables below illustrate the unobservable inputs estimated by management on the respective balance sheet dates: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December 31, 2016:</w:t>
            </w: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32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b w:val="1"/>
                <w:bCs w:val="1"/>
                <w:color w:val="auto"/>
              </w:rPr>
              <w:t>Valuation technique</w:t>
            </w:r>
          </w:p>
        </w:tc>
        <w:tc>
          <w:tcPr>
            <w:tcW w:w="10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Unobservable inputs</w:t>
            </w:r>
          </w:p>
        </w:tc>
        <w:tc>
          <w:tcPr>
            <w:tcW w:w="1520" w:type="dxa"/>
            <w:vAlign w:val="bottom"/>
            <w:gridSpan w:val="3"/>
          </w:tcPr>
          <w:p>
            <w:pPr>
              <w:jc w:val="right"/>
              <w:ind w:right="920"/>
              <w:spacing w:after="0"/>
              <w:rPr>
                <w:sz w:val="20"/>
                <w:szCs w:val="20"/>
                <w:color w:val="auto"/>
              </w:rPr>
            </w:pPr>
            <w:r>
              <w:rPr>
                <w:rFonts w:ascii="Arial" w:cs="Arial" w:eastAsia="Arial" w:hAnsi="Arial"/>
                <w:sz w:val="18"/>
                <w:szCs w:val="18"/>
                <w:b w:val="1"/>
                <w:bCs w:val="1"/>
                <w:color w:val="auto"/>
              </w:rPr>
              <w:t>Range</w:t>
            </w:r>
          </w:p>
        </w:tc>
        <w:tc>
          <w:tcPr>
            <w:tcW w:w="0" w:type="dxa"/>
            <w:vAlign w:val="bottom"/>
          </w:tcPr>
          <w:p>
            <w:pPr>
              <w:spacing w:after="0"/>
              <w:rPr>
                <w:sz w:val="1"/>
                <w:szCs w:val="1"/>
                <w:color w:val="auto"/>
              </w:rPr>
            </w:pPr>
          </w:p>
        </w:tc>
      </w:tr>
      <w:tr>
        <w:trPr>
          <w:trHeight w:val="20"/>
        </w:trPr>
        <w:tc>
          <w:tcPr>
            <w:tcW w:w="33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May 2015 Warrants</w:t>
            </w:r>
          </w:p>
        </w:tc>
        <w:tc>
          <w:tcPr>
            <w:tcW w:w="100" w:type="dxa"/>
            <w:vAlign w:val="bottom"/>
            <w:vMerge w:val="continue"/>
            <w:shd w:val="clear" w:color="auto" w:fill="CCEEFF"/>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w:t>
            </w:r>
          </w:p>
        </w:tc>
        <w:tc>
          <w:tcPr>
            <w:tcW w:w="100" w:type="dxa"/>
            <w:vAlign w:val="bottom"/>
            <w:vMerge w:val="continue"/>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Dividend yield</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418"/>
        </w:trPr>
        <w:tc>
          <w:tcPr>
            <w:tcW w:w="3320" w:type="dxa"/>
            <w:vAlign w:val="bottom"/>
          </w:tcPr>
          <w:p>
            <w:pPr>
              <w:spacing w:after="0"/>
              <w:rPr>
                <w:sz w:val="20"/>
                <w:szCs w:val="20"/>
                <w:color w:val="auto"/>
              </w:rPr>
            </w:pPr>
            <w:r>
              <w:rPr>
                <w:rFonts w:ascii="Arial" w:cs="Arial" w:eastAsia="Arial" w:hAnsi="Arial"/>
                <w:sz w:val="18"/>
                <w:szCs w:val="18"/>
                <w:color w:val="auto"/>
              </w:rPr>
              <w:t>December 31, 2015:</w:t>
            </w: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3400" w:type="dxa"/>
            <w:vAlign w:val="bottom"/>
            <w:gridSpan w:val="3"/>
          </w:tcPr>
          <w:p>
            <w:pPr>
              <w:ind w:left="100"/>
              <w:spacing w:after="0"/>
              <w:rPr>
                <w:sz w:val="20"/>
                <w:szCs w:val="20"/>
                <w:color w:val="auto"/>
              </w:rPr>
            </w:pPr>
            <w:r>
              <w:rPr>
                <w:rFonts w:ascii="Arial" w:cs="Arial" w:eastAsia="Arial" w:hAnsi="Arial"/>
                <w:sz w:val="18"/>
                <w:szCs w:val="18"/>
                <w:b w:val="1"/>
                <w:bCs w:val="1"/>
                <w:color w:val="auto"/>
              </w:rPr>
              <w:t>Valuation technique</w:t>
            </w:r>
          </w:p>
        </w:tc>
        <w:tc>
          <w:tcPr>
            <w:tcW w:w="3180" w:type="dxa"/>
            <w:vAlign w:val="bottom"/>
          </w:tcPr>
          <w:p>
            <w:pPr>
              <w:spacing w:after="0"/>
              <w:rPr>
                <w:sz w:val="20"/>
                <w:szCs w:val="20"/>
                <w:color w:val="auto"/>
              </w:rPr>
            </w:pPr>
            <w:r>
              <w:rPr>
                <w:rFonts w:ascii="Arial" w:cs="Arial" w:eastAsia="Arial" w:hAnsi="Arial"/>
                <w:sz w:val="18"/>
                <w:szCs w:val="18"/>
                <w:b w:val="1"/>
                <w:bCs w:val="1"/>
                <w:color w:val="auto"/>
              </w:rPr>
              <w:t>Unobservable inputs</w:t>
            </w:r>
          </w:p>
        </w:tc>
        <w:tc>
          <w:tcPr>
            <w:tcW w:w="780" w:type="dxa"/>
            <w:vAlign w:val="bottom"/>
            <w:gridSpan w:val="2"/>
          </w:tcPr>
          <w:p>
            <w:pPr>
              <w:ind w:left="120"/>
              <w:spacing w:after="0"/>
              <w:rPr>
                <w:sz w:val="20"/>
                <w:szCs w:val="20"/>
                <w:color w:val="auto"/>
              </w:rPr>
            </w:pPr>
            <w:r>
              <w:rPr>
                <w:rFonts w:ascii="Arial" w:cs="Arial" w:eastAsia="Arial" w:hAnsi="Arial"/>
                <w:sz w:val="18"/>
                <w:szCs w:val="18"/>
                <w:b w:val="1"/>
                <w:bCs w:val="1"/>
                <w:color w:val="auto"/>
              </w:rPr>
              <w:t>Range</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Conversion feature</w:t>
            </w:r>
          </w:p>
        </w:tc>
        <w:tc>
          <w:tcPr>
            <w:tcW w:w="100" w:type="dxa"/>
            <w:vAlign w:val="bottom"/>
            <w:vMerge w:val="continue"/>
            <w:shd w:val="clear" w:color="auto" w:fill="CCEEFF"/>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Monte-Carlo model</w:t>
            </w:r>
          </w:p>
        </w:tc>
        <w:tc>
          <w:tcPr>
            <w:tcW w:w="100" w:type="dxa"/>
            <w:vAlign w:val="bottom"/>
            <w:vMerge w:val="continue"/>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Conversion price</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May 2015 Warrants</w:t>
            </w: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rPr>
              <w:t>Black-Scholes-Merton</w:t>
            </w:r>
          </w:p>
        </w:tc>
        <w:tc>
          <w:tcPr>
            <w:tcW w:w="3180" w:type="dxa"/>
            <w:vAlign w:val="bottom"/>
          </w:tcPr>
          <w:p>
            <w:pPr>
              <w:spacing w:after="0"/>
              <w:rPr>
                <w:sz w:val="20"/>
                <w:szCs w:val="20"/>
                <w:color w:val="auto"/>
              </w:rPr>
            </w:pPr>
            <w:r>
              <w:rPr>
                <w:rFonts w:ascii="Arial" w:cs="Arial" w:eastAsia="Arial" w:hAnsi="Arial"/>
                <w:sz w:val="18"/>
                <w:szCs w:val="18"/>
                <w:color w:val="auto"/>
              </w:rPr>
              <w:t>Volatility</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fair value measurements of the derivative warrant liabilities and conversion feature are evaluated by management to ensure that changes are consistent with expectations of management based upon the sensitivity and nature of the related inputs. Significant changes in any of those inputs in isolation can result in a significant change in the fair value measurement. Generally, an increase in the market price of our common stock, an increase in the volatility of our common stock, an increase in the remaining term of the warrants or conversion feature, or an increase of a probability of a down-round triggering event would each result in a directionally similar change in the estimated fair value of our derivative warrant liabilities and conversion feature. Such changes would increase the associated liability while decreases in these assumptions would decrease the associated liability. An increase in the risk-free interest rate or a decrease in the positive differential between the warrants’ or conversion feature’s exercise price and the market price of our common stock would result in a decrease in the estimated fair value measurement of the warrants and conversion feature and thus a decrease in the associated liability. We have not, and do not plan to, declare dividends on our common stock and, as such, there is no change in the estimated fair value of the derivative warrant liabilities and conversion feature due to the dividend assumption. Had we made different assumptions about the inputs noted above, the recorded gain or loss, our net loss and net loss per share amounts could have been significantly different.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Stock-based compensation is recognized as an expense in the accompanying consolidated statements of operations and comprehensive loss and such cost is measured at the grant-date fair value of the equity-settled award. The fair value of stock options is estimated as of the date of grant using the Black-Scholes-Merton option-pricing model. The expense is recognized on a straight-line basis over the requisite service period. We use the simplified method to estimate the expected term of options due to insufficient history and high turnover in the past. The contractual life of options granted under our 2006 and 2012 option plans are 6 and 10 years, respectively. Since our Company lacks sufficient history, expected volatility is estimated based on the average historical volatility of similar entities with publicly traded shares. The risk-free rate for the expected term of the option is based on the United States Treasury yield curve as of the date of grant.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 Tax benefits related to excess deductions on stock-based compensation arrangements are recognized when they reduce taxes payable.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assessing the need for a valuation allowance, we look at cumulative losses in recent years, estimates of future taxable earnings, feasibility of tax planning strategies, the ability to realize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we will be required to adjust the valuation allowance.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Significant judgment is required in evaluating our federal, state and foreign tax positions and in the determination of our tax provision. Despite management's belief that our liability for unrecognized tax benefits is adequate, it is often difficult to predict the final outcome or the timing of the resolution of any particular tax matters. We may adjust these accruals as relevant circumstances evolve, such as guidance from the relevant tax authority, our tax advisors, or resolution of issues in the courts. Our tax expense includes the impact of accrual provisions and changes to accruals that it considers appropriate. These adjustments are recognized as a component of income tax expense entirely in the period in which new information is available. We record interest related to unrecognized tax benefits in interest expense and penalties in the accompanying consolidated statements of operations and comprehensive loss as general and administrative expenses.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Recognized income tax positions are measured at the largest amount that is greater than 50 percent of being realized. Changes in recognition or measurement are reflected in the period in which the change in judgment occurs.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segments are defined as components of an enterprise about which separate financial information is available that is regularly evaluated by the enterprise’s CODM in deciding how to allocate resources and in assessing performance. We conduct our business through four operating segments, which are also our reportable segments: XpresSpa, Group Mobile, FLI Charge, and intellectual property. It should be noted that the segment reporting for XpresSpa only covers the period following the closing of the acquisition of XpresSpa on December 23, 2016 through our fiscal year end on December 31, 2016.</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Organizing our business through four operating segments allows us to align our resources, review and monitor performance, and make operating decisions. We determine our operating segments based on a number of factors our management uses to evaluate and run our business operations, including similarities of customers, products and technology. Our CODM regularly reviews operating segment revenue and operating income (loss) when assessing financial results of operating segments and allocating resources.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measure the performance of our operating segments based upon operating segment revenue and operating income (loss). Operating segment operating income (loss) includes revenue and expenses incurred directly by the operating segment, including material costs, service costs, research and development and selling, marketing, and administrative expenses. Each operating segment records their respective general and administrative costs with the exception of the intellectual property segment, which has minimal general and administrative costs so they are combined with those of the non-operating corporate segment. No revenue from transactions between our operating segments was recorded.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2014-09, Revenue from Contracts with Customers (Topic 606)</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core principle of the new standard is that revenue should be recognized to depict the transfer of promised goods or services to customers in an amount that reflects the consideration to which the entity expects to be entitled in exchange for those goods or services. This guidance was amended in July 2015 and is effective for annual reporting periods beginning after December 15, 2017. We are currently assessing the impact of the adoption on our consolidated financial statements. We expect that the new standard will have an impact on revenue recognition for Group Mobile contracts.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2016-08, Revenue from Contracts with Customers: Principal versus Agent Considerations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2016, the FASB issued ASU No. 2016-08, Revenue from Contracts with Customers: Principal versus Agent Considerations. The amendments are intended to improve the operability and understandability of the implementation guidance on principal versus agent considerations. The effective date for this ASU is the same as the effective date for ASU 2014-09, Revenue from Contracts with Customers. We are currently assessing the potential impact of this ASU on our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2014-15, Presentation of Financial Statements (Topic 205): Going Concern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adopted the standard that provides guidance around management's responsibility to evaluate whether there is substantial doubt about an entity's ability to continue as a going concern and to provide related footnote disclosures. The adoption of this guidance did not have a material effect on our consolidated financial statements.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ASU 2014-16, Derivatives and Hedging (Topic 815): Determining Whether the Host Contract in a Hybrid Financial Instrument Issued in the Form of a Share is More Akin to Debt or to Equity</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adopted the standard that clarifies how current United States GAAP should be interpreted in evaluating the economic characteristics and risks of a host contract in a hybrid financial instrument that is issued in the form of a share. The adoption of this guidance did not have a material effect on our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2015-03, Imputation of Interest (Subtopic 835-30): Simplifying the Presentation of Debt Issuance Costs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adopted guidance on a retrospective basis that requires debt issuance costs related to a recognized debt liability to be presented in the consolidated balance sheets as a deduction from the carrying amount of such debt. Because of this adoption, we reclassified $73 of debt issuance costs as of December 31, 2015 from other current assets to senior secured notes.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ASU No. 2015-11, Inventory (Topic 330): Simplifying the Measurement of Inventory</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standard requires an entity to measure in-scope inventory at the lower of cost and net realizable value. Net realizable value is the estimated selling price in the ordinary course of business, less reasonably predictable costs of completion, disposal and transportation. The new standard is effective for fiscal years and interim periods within those years beginning after December 15, 2016. We do not expect the adoption of this ASU to have a material impact on our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2015-17, Income Taxes (Topic 740): Balance Sheet Classification of Deferred Taxes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standard simplifies the presentation of deferred income taxes by eliminating the separate classification of deferred income tax liabilities and assets into current and noncurrent amounts in the consolidated balance sheet. The amendments in the update require that all deferred tax liabilities and assets be classified as noncurrent in the consolidated balance sheet. The amendments in this update are effective for annual periods beginning after December 15, 2016, and interim periods within those fiscal years and may be applied either prospectively or retrospectively to all periods presented. Early adoption is permitted. We adopted ASU No. 2015-17 prospectively effective December 31, 2016. Adoption of this ASU did not result in any adjustment to the consolidated balance sheet as we record a full valuation allowance of our total deferred tax assets.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2016-01, Financial Instruments – Overall (Topic 825-10): Recognition and Measurement of Financial Assets and Financial Liabilities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standard which amends various aspects of the recognition, measurement, presentation, and disclosure for financial instruments. With respect to our consolidated financial statements, the most significant impact relates to the accounting for equity investments. It will impact the disclosure and presentation of financial assets and liabilities. The amendments in this update are effective for annual reporting periods, and interim periods within those years beginning after December 15, 2017. Early adoption by public entities is permitted only for certain provisions. We are currently in the process of evaluating the impact of the adoption on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2016-02, Leases (Topic 842)</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standard provides new guidance related to accounting for leases and supersedes United States GAAP on lease accounting with the intent to increase transparency. This standard requires operating leases to be recorded on the balance sheet as assets and liabilities, and requires disclosure of key information about leasing arrangements. Leases will be classified as either finance or operating, with classification affecting the pattern of expense recognition in the statement of operations and comprehensive loss. The adoption will require a modified retrospective approach at the beginning of the earliest period presented. The new standard is effective for the fiscal year beginning after December 15, 2018, with early adoption permitted. We are currently in the process of evaluating the impact of the adoption on our consolidated financial statements, but we expect that it will result in a significant increase in our long-term assets and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2016-09, Compensation-Stock Compensation (Topic 718): Improvements to Employee Share-Based Payment Accounting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standard provides new guidance to simplify the accounting for share-based payments and addresses the treatment of income tax consequences including classification of awards as either equity or liabilities, and classification on the statement of cash flows in financing or operating cash flows, respectively. The standard permits us to elect a policy whereby forfeitures are accounted for as they occur rather than on an estimated basis. The new standard is effective for the fiscal year beginning after December 15, 2016, with early adoption permitted. We are currently in the process of evaluating the impact of the adoption on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2016-06, Derivatives and Hedging: Contingent Put and Call Options in Debt Instruments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amendments clarify the steps required to assess whether a call or put option meets the criteria for bifurcation as an embedded derivative. The ASU is effective for fiscal years and interim periods within those years beginning after December 15, 2016. We do not expect the adoption of this ASU to have a material impact on our consolidated financial statements.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ASU No. 2016-13, Financial Instruments - Credit Losses (Topic 326): Measurement of Credit Losses on Financial Instruments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standard changes the impairment model for most financial assets that are measured at amortized cost and certain other instruments, including trade receivables, from an incurred loss model to an expected loss model and adds certain new required disclosures. Under the expected loss model, entities will recognize estimated credit losses to be incurred over the entire contractual term of the instrument rather than delaying recognition of credit losses until it is probable the loss has been incurred. The new standard is effective for the fiscal year beginning after December 15, 2019, with early adoption permitted. We are currently in the process of evaluating the potential impact of the adoption on our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2016-15, Statement of Cash Flows (Topic 230): Classification of Certain Cash Receipts, Cash Payments, and Restricted Stock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standard provides new guidance to help clarify whether certain items should be categorized as operating, investing, or financing in the statement of cash flows. This ASU No. 2016-15 provides guidance on eight specific cash flow issues. The new standard is effective for the fiscal year beginning after December 15, 2017, with early adoption permitted. We are currently in the process of evaluating the potential impact of the adoption on our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2017-01, Business Combinations (Topic 805): Clarifying the Definition of a Business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standard provides new guidance to clarify the definition of a business by providing guidance to assist entities with evaluating whether transactions should be accounted for as acquisitions of assets or businesses. Under the new standard, to classify the acquisition of assets as a business, there must be an input, a substantive process that results in outputs, with outputs being defined as the key elements of the business. If substantially all the fair value of the assets acquired is concentrated in a single identifiable asset or group of similar identifiable assets, this would not qualify as a business. The new standard is effective for the fiscal year beginning after December 15, 2017, with early adoption permitted. We are currently in the process of evaluating the potential impact of the adoption on our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2017-04, Intangibles-Goodwill and Other (Topic 350): Simplifying the Test for Goodwill Impairment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standard provides new guidance to eliminate the requirement to calculate the implied fair value of goodwill, or the Step 2 test, to measure a goodwill impairment charge. Instead, entities will record an impairment charge based on the excess of a reporting unit’s carrying amount over its fair value. The loss recognized should not exceed the total goodwill allocated to the reporting unit. The new standard is effective for the fiscal year beginning after December 15, 2019, with early adoption permitted. We are currently in the process of evaluating the potential impact of the adoption on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as we are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required by this Item are set forth in Item 15 beginning on page F-1 of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after evaluating the effectiveness of our disclosure controls and procedures (as defined in Rules 13a-15(e) and 15d-15(e) of the Securities Exchange Act of 1934, as amended) as of the end of the period covered by this Annual Report on Form 10-K, have concluded that, based on such evaluation,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of such internal control that occurred during the year ended December 31, 2016 that have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 of Management on Internal Control over Financial Reporting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Securities Exchange Act of 1934, as amended.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December 31, 2016 based on the framework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Committee of Sponsoring Organizations of the Treadway Commission.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Based on our assessment, management believes that, as of December 31, 2016 our internal control over financial reporting is effective based on those criteria.</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scope of management's assessment of the effectiveness of internal control over financial reporting includes all of our subsidiaries except XpresSpa. Our consolidated revenue for the year ended December 31, 2016 was $18,974,000, of which XpresSpa represented $811,000, and our total assets as of December 31, 2016 were $82,807,000, of which XpresSpa represented $57,527,000.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called for by this Item may be found in our definitive Proxy Statement in connection with our 2017 Annual Meeting of Stockholders to be filed with the SEC under the captions “Management and Corporate Governance Matters,” “Section 16(a) Beneficial Ownership Reporting Compliance,” and “Code of Conduct and Ethics” is incorporated by reference in this Item 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called for by this Item may be found in our definitive Proxy Statement in connection with our 2017 Annual Meeting of Stockholders to be filed with the SEC under the captions “Executive Officer and Director Compensation” and “Management and Corporate Governance” and is incorporated by reference in this Item 11.</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called for by this Item may be found in our definitive Proxy Statement in connection with our 2017 Annual Meeting of Stockholders to be filed with the SEC under the captions “Security Ownership of Certain Beneficial Owners and Management” and “Equity Compensation Plan Information” and is incorporated by reference in this Item 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called for by this Item may be found in our definitive Proxy Statement in connection with our 2017 Annual Meeting of Stockholders to be filed with the SEC under the captions “Certain Relationships and Related Person Transactions” and “Management and Corporate Governance” and is incorporated by reference in this Item 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called for by this Item may be found in our definitive Proxy Statement in connection with our 2017 Annual Meeting of Stockholders to be filed with the SEC under the caption “Independent Registered Public Accounting Firm” and is incorporated by reference in this Item 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(a)(1) </w:t>
      </w:r>
      <w:r>
        <w:rPr>
          <w:rFonts w:ascii="Arial" w:cs="Arial" w:eastAsia="Arial" w:hAnsi="Arial"/>
          <w:sz w:val="16"/>
          <w:szCs w:val="16"/>
          <w:i w:val="1"/>
          <w:iCs w:val="1"/>
          <w:color w:val="auto"/>
        </w:rPr>
        <w:t>Financial Statements.</w:t>
      </w:r>
      <w:r>
        <w:rPr>
          <w:rFonts w:ascii="Arial" w:cs="Arial" w:eastAsia="Arial" w:hAnsi="Arial"/>
          <w:sz w:val="16"/>
          <w:szCs w:val="16"/>
          <w:color w:val="auto"/>
        </w:rPr>
        <w:t xml:space="preserve"> For the financial statements included in this Annual Report on Form 10-K, see “Index to the Financial Statements” on page F-1.</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xml:space="preserve"> All schedules are omitted because they are not applicable or because the required information is included in the financial statements or notes thereto.</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list of exhibits filed as a part of this Annual Report on Form 10-K is set forth on the Exhibit Index immediately preceding such exhibits and is incorporated by reference in this Item 15(a)(3).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Exhibits</w:t>
      </w:r>
      <w:r>
        <w:rPr>
          <w:rFonts w:ascii="Arial" w:cs="Arial" w:eastAsia="Arial" w:hAnsi="Arial"/>
          <w:sz w:val="18"/>
          <w:szCs w:val="18"/>
          <w:color w:val="auto"/>
        </w:rPr>
        <w:t>. See Exhibit Index.</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FORM Holdings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52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20" w:type="dxa"/>
            <w:vAlign w:val="bottom"/>
            <w:gridSpan w:val="7"/>
            <w:shd w:val="clear" w:color="auto" w:fill="CCEEFF"/>
          </w:tcPr>
          <w:p>
            <w:pPr>
              <w:spacing w:after="0" w:line="136" w:lineRule="exact"/>
              <w:rPr>
                <w:rFonts w:ascii="Arial" w:cs="Arial" w:eastAsia="Arial" w:hAnsi="Arial"/>
                <w:sz w:val="15"/>
                <w:szCs w:val="15"/>
                <w:color w:val="0000EE"/>
              </w:rPr>
            </w:pPr>
            <w:hyperlink w:anchor="page52">
              <w:r>
                <w:rPr>
                  <w:rFonts w:ascii="Arial" w:cs="Arial" w:eastAsia="Arial" w:hAnsi="Arial"/>
                  <w:sz w:val="15"/>
                  <w:szCs w:val="15"/>
                  <w:color w:val="0000EE"/>
                </w:rPr>
                <w:t>Report of Independent Registered Public Accounting Firm</w:t>
              </w:r>
            </w:hyperlink>
          </w:p>
        </w:tc>
        <w:tc>
          <w:tcPr>
            <w:tcW w:w="526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rPr>
              <w:t>F-2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Balance Sheets</w:t>
              </w:r>
            </w:hyperlink>
          </w:p>
        </w:tc>
        <w:tc>
          <w:tcPr>
            <w:tcW w:w="920" w:type="dxa"/>
            <w:vAlign w:val="bottom"/>
            <w:tcBorders>
              <w:top w:val="single" w:sz="8" w:color="CCEEFF"/>
            </w:tcBorders>
            <w:gridSpan w:val="3"/>
          </w:tcPr>
          <w:p>
            <w:pPr>
              <w:spacing w:after="0"/>
              <w:rPr>
                <w:sz w:val="15"/>
                <w:szCs w:val="15"/>
                <w:color w:val="auto"/>
              </w:rPr>
            </w:pPr>
          </w:p>
        </w:tc>
        <w:tc>
          <w:tcPr>
            <w:tcW w:w="526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20" w:type="dxa"/>
            <w:vAlign w:val="bottom"/>
            <w:gridSpan w:val="7"/>
            <w:shd w:val="clear" w:color="auto" w:fill="CCEEFF"/>
          </w:tcPr>
          <w:p>
            <w:pPr>
              <w:spacing w:after="0" w:line="176" w:lineRule="exact"/>
              <w:rPr>
                <w:rFonts w:ascii="Arial" w:cs="Arial" w:eastAsia="Arial" w:hAnsi="Arial"/>
                <w:sz w:val="18"/>
                <w:szCs w:val="18"/>
                <w:color w:val="0000EE"/>
                <w:w w:val="97"/>
              </w:rPr>
            </w:pPr>
            <w:hyperlink w:anchor="page54">
              <w:r>
                <w:rPr>
                  <w:rFonts w:ascii="Arial" w:cs="Arial" w:eastAsia="Arial" w:hAnsi="Arial"/>
                  <w:sz w:val="18"/>
                  <w:szCs w:val="18"/>
                  <w:color w:val="0000EE"/>
                  <w:w w:val="97"/>
                </w:rPr>
                <w:t>Consolidated Statements of Operations and Comprehensive Loss</w:t>
              </w:r>
            </w:hyperlink>
          </w:p>
        </w:tc>
        <w:tc>
          <w:tcPr>
            <w:tcW w:w="526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60" w:type="dxa"/>
            <w:vAlign w:val="bottom"/>
            <w:tcBorders>
              <w:top w:val="single" w:sz="8" w:color="0000EE"/>
            </w:tcBorders>
            <w:gridSpan w:val="6"/>
          </w:tcPr>
          <w:p>
            <w:pPr>
              <w:spacing w:after="0" w:line="176" w:lineRule="exact"/>
              <w:rPr>
                <w:rFonts w:ascii="Arial" w:cs="Arial" w:eastAsia="Arial" w:hAnsi="Arial"/>
                <w:sz w:val="18"/>
                <w:szCs w:val="18"/>
                <w:color w:val="0000EE"/>
                <w:w w:val="95"/>
              </w:rPr>
            </w:pPr>
            <w:hyperlink w:anchor="page55">
              <w:r>
                <w:rPr>
                  <w:rFonts w:ascii="Arial" w:cs="Arial" w:eastAsia="Arial" w:hAnsi="Arial"/>
                  <w:sz w:val="18"/>
                  <w:szCs w:val="18"/>
                  <w:color w:val="0000EE"/>
                  <w:w w:val="95"/>
                </w:rPr>
                <w:t>Consolidated Statements of Changes in Stockholders' Equity</w:t>
              </w:r>
            </w:hyperlink>
          </w:p>
        </w:tc>
        <w:tc>
          <w:tcPr>
            <w:tcW w:w="460" w:type="dxa"/>
            <w:vAlign w:val="bottom"/>
            <w:tcBorders>
              <w:top w:val="single" w:sz="8" w:color="CCEEFF"/>
            </w:tcBorders>
          </w:tcPr>
          <w:p>
            <w:pPr>
              <w:spacing w:after="0"/>
              <w:rPr>
                <w:sz w:val="15"/>
                <w:szCs w:val="15"/>
                <w:color w:val="auto"/>
              </w:rPr>
            </w:pPr>
          </w:p>
        </w:tc>
        <w:tc>
          <w:tcPr>
            <w:tcW w:w="526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Consolidated Statements of Cash Flows</w:t>
              </w:r>
            </w:hyperlink>
          </w:p>
        </w:tc>
        <w:tc>
          <w:tcPr>
            <w:tcW w:w="2260" w:type="dxa"/>
            <w:vAlign w:val="bottom"/>
            <w:tcBorders>
              <w:bottom w:val="single" w:sz="8" w:color="CCEEFF"/>
            </w:tcBorders>
            <w:gridSpan w:val="5"/>
            <w:shd w:val="clear" w:color="auto" w:fill="CCEEFF"/>
          </w:tcPr>
          <w:p>
            <w:pPr>
              <w:spacing w:after="0"/>
              <w:rPr>
                <w:sz w:val="17"/>
                <w:szCs w:val="17"/>
                <w:color w:val="auto"/>
              </w:rPr>
            </w:pPr>
          </w:p>
        </w:tc>
        <w:tc>
          <w:tcPr>
            <w:tcW w:w="5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20" w:type="dxa"/>
            <w:vAlign w:val="bottom"/>
            <w:gridSpan w:val="7"/>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Notes to the Consolidated Financial Statements</w:t>
              </w:r>
            </w:hyperlink>
          </w:p>
        </w:tc>
        <w:tc>
          <w:tcPr>
            <w:tcW w:w="526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3"/>
              </w:rPr>
              <w:t>F-7- F-41</w:t>
            </w: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208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420"/>
          </w:cols>
          <w:pgMar w:left="240" w:top="932"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Holdings Corp.:</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FORM Holdings Corp. and subsidiaries as of December 31, 2016 and 2015, and the related consolidated statements of operations and comprehensive loss, changes in stockholders’ equity and cash flows for the years then ended. FORM Holdings Corp. and subsidiaries’ management is responsible for these consolidated financial statements. Our responsibility is to express an opinion on these consolidated financial statements based on our audits.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FORM Holdings Corp. and subsidiaries are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FORM Holdings Corp. and subsidiaries as of December 31, 2016 and 2015, and the results of their operations and their cash flows for the years then ended,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2017</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FORM Holdings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December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17,910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24,951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Deposits with courts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2,242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16,467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25,166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82,807</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50,459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Derivative warrant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(see Note 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91"/>
              </w:rPr>
              <w:t>Series A Convertible Preferred stock, $0.01 par value per share; 500,000 shares authorized; 6,968 issued and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none outstanding</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Series B Convertible Preferred stock, $0.01 par value per share, 5,000,000 shares authorized; 1,666,667 shares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issued and none outstanding</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96"/>
              </w:rPr>
              <w:t>Series C Junior Preferred stock, $0.01 par value per share; 300,000 shares authorized; none issued and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Series D Convertible Preferred Stock, $0.01 par value per share, 500,000 shares authorized; 491,427 issued</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and outstanding; liquidation value of $23,588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91"/>
              </w:rPr>
              <w:t>Common stock, $0.01 par value per share 150,000,000 shares authorized; 18,304,881 and 13,220,050 shares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issued and outstanding as of December 31, 2016 and 2015, respectively</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280,221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(220,868)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(196,862)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Total stockholders’ equity attributable to the Company</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64,169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82,807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form an integral part of these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FORM Holdings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0" w:type="dxa"/>
            <w:vAlign w:val="bottom"/>
          </w:tcPr>
          <w:p>
            <w:pPr>
              <w:ind w:left="3840"/>
              <w:spacing w:after="0"/>
              <w:rPr>
                <w:sz w:val="20"/>
                <w:szCs w:val="20"/>
                <w:color w:val="auto"/>
              </w:rPr>
            </w:pPr>
            <w:r>
              <w:rPr>
                <w:rFonts w:ascii="Arial" w:cs="Arial" w:eastAsia="Arial" w:hAnsi="Arial"/>
                <w:sz w:val="18"/>
                <w:szCs w:val="18"/>
                <w:b w:val="1"/>
                <w:bCs w:val="1"/>
                <w:color w:val="auto"/>
                <w:w w:val="96"/>
              </w:rPr>
              <w:t>(In thousands, except share and per share data)</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7"/>
          </w:tcPr>
          <w:p>
            <w:pPr>
              <w:jc w:val="right"/>
              <w:ind w:right="460"/>
              <w:spacing w:after="0"/>
              <w:rPr>
                <w:sz w:val="20"/>
                <w:szCs w:val="20"/>
                <w:color w:val="auto"/>
              </w:rPr>
            </w:pPr>
            <w:r>
              <w:rPr>
                <w:rFonts w:ascii="Arial" w:cs="Arial" w:eastAsia="Arial" w:hAnsi="Arial"/>
                <w:sz w:val="18"/>
                <w:szCs w:val="18"/>
                <w:color w:val="auto"/>
                <w:w w:val="93"/>
              </w:rPr>
              <w:t>For the years ended 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Licensing revenue</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11,225</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21,750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Product and service revenue</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7,749</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22,687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6,485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Intellectual property costs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6,334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18,553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amortization and impairment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13,782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14,790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10,162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41,391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(22,417</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(10,344</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 net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Gain on revaluation of warrants and conversion feature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438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Extinguishment of debt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income tax benefit</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(24,003</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net loss</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(24,003</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(11,258</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the Company</w:t>
            </w:r>
          </w:p>
        </w:tc>
        <w:tc>
          <w:tcPr>
            <w:tcW w:w="3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(24,006</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net loss</w:t>
            </w: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(24,003)</w:t>
            </w: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Other comprehensive loss: foreign currency translation</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(11,258</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Basic net loss per share</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0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 net loss per share</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 outstanding during the year**:</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15,167,292</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10,217,734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8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15,167,292</w:t>
            </w:r>
          </w:p>
        </w:tc>
        <w:tc>
          <w:tcPr>
            <w:tcW w:w="2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10,217,734</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Includes stock-based compensation expense, as follows:</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Intellectual property costs</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2,347</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**Adjusted to reflect the impact of the 1:10 reverse stock split that became effective on November 27,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FORM Holdings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128"/>
              <w:spacing w:after="0"/>
              <w:rPr>
                <w:sz w:val="20"/>
                <w:szCs w:val="20"/>
                <w:color w:val="auto"/>
              </w:rPr>
            </w:pPr>
            <w:r>
              <w:rPr>
                <w:rFonts w:ascii="Arial" w:cs="Arial" w:eastAsia="Arial" w:hAnsi="Arial"/>
                <w:sz w:val="14"/>
                <w:szCs w:val="14"/>
                <w:color w:val="auto"/>
                <w:w w:val="93"/>
              </w:rPr>
              <w:t>Accumulated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48"/>
              <w:spacing w:after="0" w:line="149" w:lineRule="exact"/>
              <w:rPr>
                <w:sz w:val="20"/>
                <w:szCs w:val="20"/>
                <w:color w:val="auto"/>
              </w:rPr>
            </w:pPr>
            <w:r>
              <w:rPr>
                <w:rFonts w:ascii="Arial" w:cs="Arial" w:eastAsia="Arial" w:hAnsi="Arial"/>
                <w:sz w:val="14"/>
                <w:szCs w:val="14"/>
                <w:color w:val="auto"/>
                <w:w w:val="91"/>
              </w:rPr>
              <w:t>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Non-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Common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left="68"/>
              <w:spacing w:after="0" w:line="149" w:lineRule="exact"/>
              <w:rPr>
                <w:sz w:val="20"/>
                <w:szCs w:val="20"/>
                <w:color w:val="auto"/>
              </w:rPr>
            </w:pPr>
            <w:r>
              <w:rPr>
                <w:rFonts w:ascii="Arial" w:cs="Arial" w:eastAsia="Arial" w:hAnsi="Arial"/>
                <w:sz w:val="14"/>
                <w:szCs w:val="14"/>
                <w:color w:val="auto"/>
                <w:w w:val="92"/>
              </w:rPr>
              <w:t>Preferred</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paid-</w:t>
            </w:r>
          </w:p>
        </w:tc>
        <w:tc>
          <w:tcPr>
            <w:tcW w:w="1040" w:type="dxa"/>
            <w:vAlign w:val="bottom"/>
            <w:gridSpan w:val="3"/>
          </w:tcPr>
          <w:p>
            <w:pPr>
              <w:jc w:val="right"/>
              <w:ind w:right="148"/>
              <w:spacing w:after="0" w:line="149" w:lineRule="exact"/>
              <w:rPr>
                <w:sz w:val="20"/>
                <w:szCs w:val="20"/>
                <w:color w:val="auto"/>
              </w:rPr>
            </w:pPr>
            <w:r>
              <w:rPr>
                <w:rFonts w:ascii="Arial" w:cs="Arial" w:eastAsia="Arial" w:hAnsi="Arial"/>
                <w:sz w:val="14"/>
                <w:szCs w:val="14"/>
                <w:color w:val="auto"/>
                <w:w w:val="98"/>
              </w:rPr>
              <w:t>Accumulated</w:t>
            </w:r>
          </w:p>
        </w:tc>
        <w:tc>
          <w:tcPr>
            <w:tcW w:w="80" w:type="dxa"/>
            <w:vAlign w:val="bottom"/>
          </w:tcPr>
          <w:p>
            <w:pPr>
              <w:spacing w:after="0"/>
              <w:rPr>
                <w:sz w:val="12"/>
                <w:szCs w:val="12"/>
                <w:color w:val="auto"/>
              </w:rPr>
            </w:pPr>
          </w:p>
        </w:tc>
        <w:tc>
          <w:tcPr>
            <w:tcW w:w="1120" w:type="dxa"/>
            <w:vAlign w:val="bottom"/>
            <w:gridSpan w:val="3"/>
          </w:tcPr>
          <w:p>
            <w:pPr>
              <w:jc w:val="center"/>
              <w:ind w:right="148"/>
              <w:spacing w:after="0" w:line="149" w:lineRule="exact"/>
              <w:rPr>
                <w:sz w:val="20"/>
                <w:szCs w:val="20"/>
                <w:color w:val="auto"/>
              </w:rPr>
            </w:pPr>
            <w:r>
              <w:rPr>
                <w:rFonts w:ascii="Arial" w:cs="Arial" w:eastAsia="Arial" w:hAnsi="Arial"/>
                <w:sz w:val="14"/>
                <w:szCs w:val="14"/>
                <w:color w:val="auto"/>
                <w:w w:val="91"/>
              </w:rPr>
              <w:t>Comprehensive</w:t>
            </w:r>
          </w:p>
        </w:tc>
        <w:tc>
          <w:tcPr>
            <w:tcW w:w="180" w:type="dxa"/>
            <w:vAlign w:val="bottom"/>
          </w:tcPr>
          <w:p>
            <w:pPr>
              <w:spacing w:after="0"/>
              <w:rPr>
                <w:sz w:val="12"/>
                <w:szCs w:val="12"/>
                <w:color w:val="auto"/>
              </w:rPr>
            </w:pPr>
          </w:p>
        </w:tc>
        <w:tc>
          <w:tcPr>
            <w:tcW w:w="9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controlling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left="108"/>
              <w:spacing w:after="0"/>
              <w:rPr>
                <w:sz w:val="20"/>
                <w:szCs w:val="20"/>
                <w:color w:val="auto"/>
              </w:rPr>
            </w:pPr>
            <w:r>
              <w:rPr>
                <w:rFonts w:ascii="Arial" w:cs="Arial" w:eastAsia="Arial" w:hAnsi="Arial"/>
                <w:sz w:val="14"/>
                <w:szCs w:val="14"/>
                <w:color w:val="auto"/>
                <w:w w:val="96"/>
              </w:rPr>
              <w:t>Stock</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8"/>
              </w:rPr>
              <w:t>in capital*</w:t>
            </w:r>
          </w:p>
        </w:tc>
        <w:tc>
          <w:tcPr>
            <w:tcW w:w="180" w:type="dxa"/>
            <w:vAlign w:val="bottom"/>
          </w:tcPr>
          <w:p>
            <w:pPr>
              <w:spacing w:after="0"/>
              <w:rPr>
                <w:sz w:val="14"/>
                <w:szCs w:val="14"/>
                <w:color w:val="auto"/>
              </w:rPr>
            </w:pPr>
          </w:p>
        </w:tc>
        <w:tc>
          <w:tcPr>
            <w:tcW w:w="860" w:type="dxa"/>
            <w:vAlign w:val="bottom"/>
            <w:gridSpan w:val="2"/>
          </w:tcPr>
          <w:p>
            <w:pPr>
              <w:jc w:val="right"/>
              <w:ind w:right="328"/>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08"/>
              <w:spacing w:after="0"/>
              <w:rPr>
                <w:sz w:val="20"/>
                <w:szCs w:val="20"/>
                <w:color w:val="auto"/>
              </w:rPr>
            </w:pPr>
            <w:r>
              <w:rPr>
                <w:rFonts w:ascii="Arial" w:cs="Arial" w:eastAsia="Arial" w:hAnsi="Arial"/>
                <w:sz w:val="14"/>
                <w:szCs w:val="14"/>
                <w:color w:val="auto"/>
                <w:w w:val="94"/>
              </w:rPr>
              <w:t>Loss</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FORM Equity</w:t>
            </w: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Interest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w w:val="94"/>
              </w:rPr>
              <w:t>Total Equity</w:t>
            </w:r>
          </w:p>
        </w:tc>
      </w:tr>
      <w:tr>
        <w:trPr>
          <w:trHeight w:val="142"/>
        </w:trPr>
        <w:tc>
          <w:tcPr>
            <w:tcW w:w="2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December 31, 2014</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568"/>
              <w:spacing w:after="0" w:line="142"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608"/>
              <w:spacing w:after="0" w:line="142"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216,792</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(185,705</w:t>
            </w:r>
          </w:p>
        </w:tc>
        <w:tc>
          <w:tcPr>
            <w:tcW w:w="14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ind w:left="580"/>
              <w:spacing w:after="0" w:line="142"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31,180</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31,180</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10"/>
        </w:trPr>
        <w:tc>
          <w:tcPr>
            <w:tcW w:w="2300" w:type="dxa"/>
            <w:vAlign w:val="bottom"/>
          </w:tcPr>
          <w:p>
            <w:pPr>
              <w:spacing w:after="0" w:line="110" w:lineRule="exact"/>
              <w:rPr>
                <w:sz w:val="20"/>
                <w:szCs w:val="20"/>
                <w:color w:val="auto"/>
              </w:rPr>
            </w:pPr>
            <w:r>
              <w:rPr>
                <w:rFonts w:ascii="Arial" w:cs="Arial" w:eastAsia="Arial" w:hAnsi="Arial"/>
                <w:sz w:val="12"/>
                <w:szCs w:val="12"/>
                <w:color w:val="auto"/>
              </w:rPr>
              <w:t>Reclassification of derivative Reload</w:t>
            </w: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w w:val="97"/>
              </w:rPr>
              <w:t>Warrants and Series 1 Warrants to</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2300" w:type="dxa"/>
            <w:vAlign w:val="bottom"/>
          </w:tcPr>
          <w:p>
            <w:pPr>
              <w:ind w:left="180"/>
              <w:spacing w:after="0"/>
              <w:rPr>
                <w:sz w:val="20"/>
                <w:szCs w:val="20"/>
                <w:color w:val="auto"/>
              </w:rPr>
            </w:pPr>
            <w:r>
              <w:rPr>
                <w:rFonts w:ascii="Arial" w:cs="Arial" w:eastAsia="Arial" w:hAnsi="Arial"/>
                <w:sz w:val="14"/>
                <w:szCs w:val="14"/>
                <w:color w:val="auto"/>
              </w:rPr>
              <w:t>equity warrants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175</w:t>
            </w:r>
          </w:p>
        </w:tc>
        <w:tc>
          <w:tcPr>
            <w:tcW w:w="80" w:type="dxa"/>
            <w:vAlign w:val="bottom"/>
          </w:tcPr>
          <w:p>
            <w:pPr>
              <w:spacing w:after="0"/>
              <w:rPr>
                <w:sz w:val="14"/>
                <w:szCs w:val="14"/>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equity warrants</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114</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114</w:t>
            </w:r>
          </w:p>
        </w:tc>
        <w:tc>
          <w:tcPr>
            <w:tcW w:w="80" w:type="dxa"/>
            <w:vAlign w:val="bottom"/>
            <w:shd w:val="clear" w:color="auto" w:fill="CCEEFF"/>
          </w:tcPr>
          <w:p>
            <w:pPr>
              <w:spacing w:after="0"/>
              <w:rPr>
                <w:sz w:val="12"/>
                <w:szCs w:val="12"/>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Issuance of common stock for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w w:val="99"/>
              </w:rPr>
              <w:t>repayment of convertible debt and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2300" w:type="dxa"/>
            <w:vAlign w:val="bottom"/>
          </w:tcPr>
          <w:p>
            <w:pPr>
              <w:ind w:left="180"/>
              <w:spacing w:after="0"/>
              <w:rPr>
                <w:sz w:val="20"/>
                <w:szCs w:val="20"/>
                <w:color w:val="auto"/>
              </w:rPr>
            </w:pPr>
            <w:r>
              <w:rPr>
                <w:rFonts w:ascii="Arial" w:cs="Arial" w:eastAsia="Arial" w:hAnsi="Arial"/>
                <w:sz w:val="14"/>
                <w:szCs w:val="14"/>
                <w:color w:val="auto"/>
              </w:rPr>
              <w:t>related interest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9,370</w:t>
            </w:r>
          </w:p>
        </w:tc>
        <w:tc>
          <w:tcPr>
            <w:tcW w:w="180" w:type="dxa"/>
            <w:vAlign w:val="bottom"/>
          </w:tcPr>
          <w:p>
            <w:pPr>
              <w:spacing w:after="0"/>
              <w:rPr>
                <w:sz w:val="14"/>
                <w:szCs w:val="14"/>
                <w:color w:val="auto"/>
              </w:rPr>
            </w:pPr>
          </w:p>
        </w:tc>
        <w:tc>
          <w:tcPr>
            <w:tcW w:w="8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9,391</w:t>
            </w: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9,391</w:t>
            </w:r>
          </w:p>
        </w:tc>
        <w:tc>
          <w:tcPr>
            <w:tcW w:w="8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for</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IDG</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5,731</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5,749</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5,850</w:t>
            </w:r>
          </w:p>
        </w:tc>
        <w:tc>
          <w:tcPr>
            <w:tcW w:w="80" w:type="dxa"/>
            <w:vAlign w:val="bottom"/>
            <w:shd w:val="clear" w:color="auto" w:fill="CCEEFF"/>
          </w:tcPr>
          <w:p>
            <w:pPr>
              <w:spacing w:after="0"/>
              <w:rPr>
                <w:sz w:val="14"/>
                <w:szCs w:val="14"/>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5,064</w:t>
            </w:r>
          </w:p>
        </w:tc>
        <w:tc>
          <w:tcPr>
            <w:tcW w:w="180" w:type="dxa"/>
            <w:vAlign w:val="bottom"/>
          </w:tcPr>
          <w:p>
            <w:pPr>
              <w:spacing w:after="0"/>
              <w:rPr>
                <w:sz w:val="12"/>
                <w:szCs w:val="12"/>
                <w:color w:val="auto"/>
              </w:rPr>
            </w:pPr>
          </w:p>
        </w:tc>
        <w:tc>
          <w:tcPr>
            <w:tcW w:w="8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5,064</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5,064</w:t>
            </w:r>
          </w:p>
        </w:tc>
        <w:tc>
          <w:tcPr>
            <w:tcW w:w="80" w:type="dxa"/>
            <w:vAlign w:val="bottom"/>
          </w:tcPr>
          <w:p>
            <w:pPr>
              <w:spacing w:after="0"/>
              <w:rPr>
                <w:sz w:val="12"/>
                <w:szCs w:val="12"/>
                <w:color w:val="auto"/>
              </w:rPr>
            </w:pPr>
          </w:p>
        </w:tc>
      </w:tr>
      <w:tr>
        <w:trPr>
          <w:trHeight w:val="162"/>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Net loss for the year</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(11,157)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(11,157)</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(11,258)</w:t>
            </w:r>
          </w:p>
        </w:tc>
      </w:tr>
      <w:tr>
        <w:trPr>
          <w:trHeight w:val="142"/>
        </w:trPr>
        <w:tc>
          <w:tcPr>
            <w:tcW w:w="23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Balance as of December 31, 2015</w:t>
            </w:r>
          </w:p>
        </w:tc>
        <w:tc>
          <w:tcPr>
            <w:tcW w:w="1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132</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237,246</w:t>
            </w:r>
          </w:p>
        </w:tc>
        <w:tc>
          <w:tcPr>
            <w:tcW w:w="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(196,862</w:t>
            </w:r>
          </w:p>
        </w:tc>
        <w:tc>
          <w:tcPr>
            <w:tcW w:w="140" w:type="dxa"/>
            <w:vAlign w:val="bottom"/>
            <w:tcBorders>
              <w:bottom w:val="single" w:sz="8" w:color="CCEEFF"/>
            </w:tcBorders>
          </w:tcPr>
          <w:p>
            <w:pPr>
              <w:jc w:val="right"/>
              <w:ind w:right="8"/>
              <w:spacing w:after="0" w:line="142" w:lineRule="exact"/>
              <w:rPr>
                <w:sz w:val="20"/>
                <w:szCs w:val="20"/>
                <w:color w:val="auto"/>
              </w:rPr>
            </w:pPr>
            <w:r>
              <w:rPr>
                <w:rFonts w:ascii="Arial" w:cs="Arial" w:eastAsia="Arial" w:hAnsi="Arial"/>
                <w:sz w:val="14"/>
                <w:szCs w:val="14"/>
                <w:color w:val="auto"/>
                <w:w w:val="84"/>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580"/>
              <w:spacing w:after="0" w:line="142" w:lineRule="exact"/>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40,516</w:t>
            </w: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40,516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10"/>
        </w:trPr>
        <w:tc>
          <w:tcPr>
            <w:tcW w:w="230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Vesting of restricted stock units</w:t>
            </w: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67"/>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(“RSUs”)</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4,770</w:t>
            </w:r>
          </w:p>
        </w:tc>
        <w:tc>
          <w:tcPr>
            <w:tcW w:w="180" w:type="dxa"/>
            <w:vAlign w:val="bottom"/>
          </w:tcPr>
          <w:p>
            <w:pPr>
              <w:spacing w:after="0"/>
              <w:rPr>
                <w:sz w:val="12"/>
                <w:szCs w:val="12"/>
                <w:color w:val="auto"/>
              </w:rPr>
            </w:pPr>
          </w:p>
        </w:tc>
        <w:tc>
          <w:tcPr>
            <w:tcW w:w="8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4,795</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4,795</w:t>
            </w:r>
          </w:p>
        </w:tc>
        <w:tc>
          <w:tcPr>
            <w:tcW w:w="80" w:type="dxa"/>
            <w:vAlign w:val="bottom"/>
          </w:tcPr>
          <w:p>
            <w:pPr>
              <w:spacing w:after="0"/>
              <w:rPr>
                <w:sz w:val="12"/>
                <w:szCs w:val="12"/>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Equity warrants issued for acquisition</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 XpresSpa</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2,689</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2,689</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2,689</w:t>
            </w:r>
          </w:p>
        </w:tc>
        <w:tc>
          <w:tcPr>
            <w:tcW w:w="8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Shares of common stock issued for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300" w:type="dxa"/>
            <w:vAlign w:val="bottom"/>
          </w:tcPr>
          <w:p>
            <w:pPr>
              <w:ind w:left="180"/>
              <w:spacing w:after="0"/>
              <w:rPr>
                <w:sz w:val="20"/>
                <w:szCs w:val="20"/>
                <w:color w:val="auto"/>
              </w:rPr>
            </w:pPr>
            <w:r>
              <w:rPr>
                <w:rFonts w:ascii="Arial" w:cs="Arial" w:eastAsia="Arial" w:hAnsi="Arial"/>
                <w:sz w:val="14"/>
                <w:szCs w:val="14"/>
                <w:color w:val="auto"/>
              </w:rPr>
              <w:t>acquisition of XpresSpa</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5,200</w:t>
            </w:r>
          </w:p>
        </w:tc>
        <w:tc>
          <w:tcPr>
            <w:tcW w:w="180" w:type="dxa"/>
            <w:vAlign w:val="bottom"/>
          </w:tcPr>
          <w:p>
            <w:pPr>
              <w:spacing w:after="0"/>
              <w:rPr>
                <w:sz w:val="14"/>
                <w:szCs w:val="14"/>
                <w:color w:val="auto"/>
              </w:rPr>
            </w:pPr>
          </w:p>
        </w:tc>
        <w:tc>
          <w:tcPr>
            <w:tcW w:w="8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5,225</w:t>
            </w: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5,225</w:t>
            </w:r>
          </w:p>
        </w:tc>
        <w:tc>
          <w:tcPr>
            <w:tcW w:w="8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Shares of preferred stock issued for</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XpresSpa</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27,747</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27,752</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27,752</w:t>
            </w:r>
          </w:p>
        </w:tc>
        <w:tc>
          <w:tcPr>
            <w:tcW w:w="80" w:type="dxa"/>
            <w:vAlign w:val="bottom"/>
            <w:shd w:val="clear" w:color="auto" w:fill="CCEEFF"/>
          </w:tcPr>
          <w:p>
            <w:pPr>
              <w:spacing w:after="0"/>
              <w:rPr>
                <w:sz w:val="14"/>
                <w:szCs w:val="14"/>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2,570</w:t>
            </w:r>
          </w:p>
        </w:tc>
        <w:tc>
          <w:tcPr>
            <w:tcW w:w="180" w:type="dxa"/>
            <w:vAlign w:val="bottom"/>
          </w:tcPr>
          <w:p>
            <w:pPr>
              <w:spacing w:after="0"/>
              <w:rPr>
                <w:sz w:val="12"/>
                <w:szCs w:val="12"/>
                <w:color w:val="auto"/>
              </w:rPr>
            </w:pPr>
          </w:p>
        </w:tc>
        <w:tc>
          <w:tcPr>
            <w:tcW w:w="8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2,570</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2,570</w:t>
            </w:r>
          </w:p>
        </w:tc>
        <w:tc>
          <w:tcPr>
            <w:tcW w:w="80" w:type="dxa"/>
            <w:vAlign w:val="bottom"/>
          </w:tcPr>
          <w:p>
            <w:pPr>
              <w:spacing w:after="0"/>
              <w:rPr>
                <w:sz w:val="12"/>
                <w:szCs w:val="12"/>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for the year</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(24,006)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(24,006)</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(24,003)</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(13)</w:t>
            </w:r>
          </w:p>
        </w:tc>
        <w:tc>
          <w:tcPr>
            <w:tcW w:w="1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(13)</w:t>
            </w:r>
          </w:p>
        </w:tc>
      </w:tr>
      <w:tr>
        <w:trPr>
          <w:trHeight w:val="162"/>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Noncontrolling interests</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4,638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4,638</w:t>
            </w:r>
          </w:p>
        </w:tc>
        <w:tc>
          <w:tcPr>
            <w:tcW w:w="80" w:type="dxa"/>
            <w:vAlign w:val="bottom"/>
            <w:shd w:val="clear" w:color="auto" w:fill="CCEEFF"/>
          </w:tcPr>
          <w:p>
            <w:pPr>
              <w:spacing w:after="0"/>
              <w:rPr>
                <w:sz w:val="14"/>
                <w:szCs w:val="14"/>
                <w:color w:val="auto"/>
              </w:rPr>
            </w:pPr>
          </w:p>
        </w:tc>
      </w:tr>
      <w:tr>
        <w:trPr>
          <w:trHeight w:val="156"/>
        </w:trPr>
        <w:tc>
          <w:tcPr>
            <w:tcW w:w="230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as of December 31, 2016</w:t>
            </w:r>
          </w:p>
        </w:tc>
        <w:tc>
          <w:tcPr>
            <w:tcW w:w="12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183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280,221</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(220,868</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ind w:left="540"/>
              <w:spacing w:after="0" w:line="155" w:lineRule="exact"/>
              <w:rPr>
                <w:sz w:val="20"/>
                <w:szCs w:val="20"/>
                <w:color w:val="auto"/>
              </w:rPr>
            </w:pPr>
            <w:r>
              <w:rPr>
                <w:rFonts w:ascii="Arial" w:cs="Arial" w:eastAsia="Arial" w:hAnsi="Arial"/>
                <w:sz w:val="14"/>
                <w:szCs w:val="14"/>
                <w:color w:val="auto"/>
                <w:w w:val="78"/>
              </w:rPr>
              <w:t>(13</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59,528</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4,641</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64,169</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*Adjusted to reflect the impact of the 1:10 reverse stock split that became effective on November 27,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FORM Holdings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4"/>
          </w:tcPr>
          <w:p>
            <w:pPr>
              <w:jc w:val="right"/>
              <w:ind w:right="70"/>
              <w:spacing w:after="0"/>
              <w:rPr>
                <w:sz w:val="20"/>
                <w:szCs w:val="20"/>
                <w:color w:val="auto"/>
              </w:rPr>
            </w:pPr>
            <w:r>
              <w:rPr>
                <w:rFonts w:ascii="Arial" w:cs="Arial" w:eastAsia="Arial" w:hAnsi="Arial"/>
                <w:sz w:val="18"/>
                <w:szCs w:val="18"/>
                <w:color w:val="auto"/>
              </w:rPr>
              <w:t>For the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jc w:val="right"/>
              <w:ind w:right="440"/>
              <w:spacing w:after="0"/>
              <w:rPr>
                <w:sz w:val="20"/>
                <w:szCs w:val="20"/>
                <w:color w:val="auto"/>
              </w:rPr>
            </w:pPr>
            <w:r>
              <w:rPr>
                <w:rFonts w:ascii="Arial" w:cs="Arial" w:eastAsia="Arial" w:hAnsi="Arial"/>
                <w:sz w:val="18"/>
                <w:szCs w:val="18"/>
                <w:color w:val="auto"/>
                <w:w w:val="93"/>
              </w:rPr>
              <w:t>years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Consolidated net loss</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(24,003)</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consolidated net loss to net cash used in operating activities: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11,937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tax assets and liabilities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Amortization of debt discount and debt issuance costs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1,871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Issuance of warrants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Issuance of shares of common stock related to the acquisition of IDG</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of common stock for services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Royalties settled by disposal of assets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1,750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assets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Change in fair value of derivative warrant liabilities and conversion feature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Exchange rate loss, net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rPr>
              <w:t>Changes in assets and liabilities net of effects of acquisition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Increase in accounts receivable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Decrease (increase) in inventory</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Increase in other current assets and other assets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Increase (decrease) in accounts payable, accrued expenses and other current liabilities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(2,912)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deferred revenue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Decrease in other liabilities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property and equipment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20" w:type="dxa"/>
            <w:vAlign w:val="bottom"/>
          </w:tcPr>
          <w:p>
            <w:pPr>
              <w:spacing w:after="0" w:line="256" w:lineRule="exact"/>
              <w:rPr>
                <w:sz w:val="20"/>
                <w:szCs w:val="20"/>
                <w:color w:val="auto"/>
              </w:rPr>
            </w:pPr>
            <w:r>
              <w:rPr>
                <w:rFonts w:ascii="Arial" w:cs="Arial" w:eastAsia="Arial" w:hAnsi="Arial"/>
                <w:sz w:val="18"/>
                <w:szCs w:val="18"/>
                <w:color w:val="auto"/>
              </w:rPr>
              <w:t>Cash acquired as part of acquisition</w:t>
            </w:r>
            <w:r>
              <w:rPr>
                <w:rFonts w:ascii="Arial" w:cs="Arial" w:eastAsia="Arial" w:hAnsi="Arial"/>
                <w:sz w:val="29"/>
                <w:szCs w:val="29"/>
                <w:color w:val="auto"/>
                <w:vertAlign w:val="superscript"/>
              </w:rPr>
              <w:t>(1)</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2,114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deposits</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2,001</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Net proceeds from senior secured convertible notes and warrants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Repayment of notes payable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Debt issuance costs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Cash and cash equivalents at beginning of the year</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24,951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the year</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paid during the year for</w:t>
            </w: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Change in classification of derivative warrant liabilities into equity warrants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Issuance of common stock to repay debt and interest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Debt discount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Issuance of common stock, preferred stock and warrants for the acquisition of XpresSpa</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35,666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rPr>
              <w:t>(1)Cash acquired as part of acquisition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(excluding cash and cash equivalents)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(638)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(13,620)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(20,303)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Security deposits for leases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Cash paid and fair value of FORM equity issued ($37,400 on December 23, 2016, $262 on December 28, 2015 and</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$5,571 on October 15, 2015)</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37,400</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4,638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ectPr>
          <w:pgSz w:w="11900" w:h="16838" w:orient="portrait"/>
          <w:cols w:equalWidth="0" w:num="1">
            <w:col w:w="11420"/>
          </w:cols>
          <w:pgMar w:left="240" w:top="904" w:right="239" w:bottom="86" w:gutter="0" w:footer="0" w:header="0"/>
        </w:sectPr>
      </w:pPr>
    </w:p>
    <w:bookmarkStart w:id="56" w:name="page57"/>
    <w:bookmarkEnd w:id="56"/>
    <w:p>
      <w:pPr>
        <w:jc w:val="center"/>
        <w:ind w:right="-20"/>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36830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FORM Holdings Corp.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 Holdings Corp (“FORM” or the “Company”) focuses on acquiring and building companies that would benefit from:</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exposure to visibility from the public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talent recruiting;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rebranding;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implementation of best practices.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management team is committed to executing on its strategy. The Company’s focus is on travel, health and wellness, and technology. The Company limits its scope by only looking at companies with a clear path for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has four operating segments:</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XpresSpa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Group Mobile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FLI Charge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23, 2016, the Company completed the acquisition of XpresSpa Holdings LLC (“XpresSpa) for a total consideration of $37,400, which represents the fair value of the Company’s securities issued to the former unitholders of XpresSpa. XpresSpa is a leading airport retailer of spa services and related products.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jc w:val="both"/>
        <w:spacing w:after="0" w:line="259" w:lineRule="auto"/>
        <w:rPr>
          <w:sz w:val="20"/>
          <w:szCs w:val="20"/>
          <w:color w:val="auto"/>
        </w:rPr>
      </w:pPr>
      <w:r>
        <w:rPr>
          <w:rFonts w:ascii="Arial" w:cs="Arial" w:eastAsia="Arial" w:hAnsi="Arial"/>
          <w:sz w:val="18"/>
          <w:szCs w:val="18"/>
          <w:color w:val="auto"/>
        </w:rPr>
        <w:t>Group Mobile provides total hardware solutions, including rugged laptops, tablets, and handheld computers. Group Mobile also markets rugged mobile printers, vehicle computer docking and mounting gear, power accessories, wireless communication products, antennas, carrying cases and other peripherals, accessories and add-ons needed to maximize productivity in a mobile- or field-computing environment. In addition, Group Mobile specializes in high-quality customer service and support for those products.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FLI Charge owns a patented conductive wireless charging technology and focuses on the development and commercialization of its technology through the direct-to-consumer sale of conductive charging pads, phone cases, charging adaptors and other enablements, as well as partnerships and licensing agreements in various industries. FLI Charge is currently working with partners to implement FLI Charge technology in various fields such as furniture and automotive. FLI Charge’s business model is based on manufacturing and commercializing its own conductive charging pads, phone cases, charging adaptors and other enablements as well as licensing its technology in exchange for recurring licensing revenue.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intellectual property operating segment is focused on the innovation, development and monetization of intellectual property. The Company’s portfolio consists of over 75 patents and patent applications which were purchased from third parties and internally developed covering a range of technologies including telecom infrastructure, mobile devices, remote monitoring and ad-insertion.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December 31, 2013, the Company operated a global platform for the distribution of mobile social applications and services. On February 18, 2014, the Company sold its mobile social application business to InfoMedia Services Limited (“InfoMedia”), receiving an 8.25% ownership interest in InfoMedia as consideration and a seat on the board of directors of InfoMedia. As part of the transaction, the Company has the opportunity to license certain intellectual property assets and work with InfoMedia to identify and protect new intellectual property.</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6, 2016, the Company changed its name to FORM Holdings Corp. from Vringo Inc. and concurrently announced its repositioning as a holding company of small and middle market growth companies. The Company’s common stock, par value $0.01 per share, which was previously listed on the NASDAQ Capital Market under the trading symbol “VRNG,” has been listed under the trading symbol “FH” since May 9,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Each of the Company’s operating segments are described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XpresSpa is a leading airport retailer of spa services and related products. As of December 31, 2016, XpresSpa operated 53 total locations in 40 terminals and 22 airports in three countries. Services and products include:</w:t>
      </w:r>
    </w:p>
    <w:p>
      <w:pPr>
        <w:spacing w:after="0" w:line="1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massage services for the neck, back, feet and whole body;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nail care, such as pedicures, manicures and polish changes;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travel products such as neck pillows, blankets, massage tools and eye masks.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over a decade, increased security requirements have led travelers to spend more time at the airport. In addition, in anticipation of the long and often stressful security lines, travelers allow for more time to get through security and, as a result, often experience increased downtime prior to boarding. Consequentially, travelers at large airport hubs spend approximately 75 minutes in the terminal after passing through security.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was developed to address the stress and idle time spent at the airport, allowing travelers to spend this time productively, by relaxing and focusing on personal care and wellness. XpresSpa is well positioned to benefit from consumers’ growing interest in health and wellness and increasing demand for spa services and related wellness products.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 confluence of microeconomic events has created favorable conditions for the expansion of retail concepts at airports, in particular retail concepts that attract higher spending from air travelers. The competition for airplane landings has forced airports to lower landing fees, which in turn has necessitated augmenting their retail offerings to offset budget shortfalls. Infrastructure projects at airports across the country, again intended to make an airport more desirable to airlines, require funding from bond issuances that in turn rely upon, in part, the expected minimum rent guarantees and expected income from concessionaires.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jc w:val="both"/>
        <w:spacing w:after="0" w:line="259" w:lineRule="auto"/>
        <w:rPr>
          <w:sz w:val="20"/>
          <w:szCs w:val="20"/>
          <w:color w:val="auto"/>
        </w:rPr>
      </w:pPr>
      <w:r>
        <w:rPr>
          <w:rFonts w:ascii="Arial" w:cs="Arial" w:eastAsia="Arial" w:hAnsi="Arial"/>
          <w:sz w:val="18"/>
          <w:szCs w:val="18"/>
          <w:color w:val="auto"/>
        </w:rPr>
        <w:t>Equally as important to the industry growth is XpresSpa’s flexible retail format. XpresSpa opens multiple locations annually, which have ranged in size from 300 square feet to 3,000 square feet, with a typical size of 1,000 to 1,200 square feet. XpresSpa is able to adapt its operating model to almost any size location available in space constrained airports. This increased flexibility compared to other retail concepts allows XpresSpa to operate multiple stores within an airport, from which it enjoys synergies due to shared labor between stores.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Mobile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Group Mobile provides total hardware solutions, including rugged laptops, tablets and handheld computers. Group Mobile also markets rugged mobile printers, vehicle computer docking and mounting gear, power accessories, wireless communication products, antennas, carrying cases, and other peripherals, accessories and add-ons needed to maximize productivity in a mobile- or field-computing environment. Group Mobile’s professional service offerings are evolving into project lifecycle services including technology consultations, development and deployment, project and asset management, equipment installation, break-fix, hardware service technical support, 24-7 helpdesk and more.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Group Mobile is aggressively pursuing sales of Law Enforcement In-Vehicle “Video and Body-Worn” camera solutions to meet the complex mobile technology demands of thousands of law enforcement agencies and officers in the United States market. Key to the Group Mobile long-term strategy is the complete professional services, post deployment services and lifecycle management of Group Mobile offerings to bring stability to the customer mobile technology platforms.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Group Mobile purchases rugged mobile computing equipment and complementary products from its primary distribution and manufacturing partners and sells them to enterprises, resellers, and retail customers. Group Mobile’s primary customers range from corporations to local governments, emergency first responders and healthcare organizations. The market for rugged mobile computing products is trending towards an increase in the volume of unit sales combined with declining unit prices as the business transitions from primarily being comprised of laptops to one primarily comprised of rugged tablets. As this transition has occurred, Group Mobile is seeing shortened product life cycles and industry specific devices for segments such as healthcare. Group Mobile sets sale prices based on the market supply and demand characteristics for each particular product. Group Mobile is highly dependent on the end-market demand for rugged mobile computing products, which is influenced by many factors, including the introduction of new IT products by Original Equipment Manufacturers (“OEM”), replacement cycles for existing rugged mobile computing products, overall economic growth, local and state budgets, and general business activity.</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costs represent Group Mobile’s single largest expense and product inventory is one of the largest working capital investments for Group Mobile. Group Mobile’s primary suppliers include Synnex Corporation, Ingram Micro Inc., Xplore Technologies Corporation, and Motion Computing, which, combined, represent approximately 81% of Group Mobile’s inventory purchases. Group Mobile has reseller agreements with most of its OEM and distribution partners. These agreements usually provide for nonexclusive resale and distribution rights. The agreements are generally short-term, subject to periodic renewal, and often contain provisions permitting termination by either Group Mobile or the supplier without cause upon relatively short notice. Furthermore, product procurement from the OEM suppliers is a highly complex process and, as such, efficient and effective purchasing operations are critical to Group Mobile’s success.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FLI Charge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FLI Charge is an early stage company that designs, develops, licenses, manufactures and markets power transfer and charging solutions. FLI Charge is currently working with partners in several verticals to bring products to market. These verticals include education, office, hospitality, power tools, automotive and consumer electronics, among others.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FLI Charge ecosystem consists of powered surfaces and enablement chips that seamlessly transfer power to electronic devices. FLI Charge surfaces are connected to a power source or battery. The surfaces have conductive contact strips that provide power and are constantly monitored by control circuitry that immediately halts power transfer if an unapproved load or short-circuit condition is detected. FLI Charge-enabled devices are embedded with the FLI Charge contact enablement that consists of four contact points, known as the FLI Charge “constellation.” The constellation is designed to make an immediate and continuous electrical connection with the contact strips regardless of the device’s position or orientation on the surface. The enablement monitors the power coming from the surface and ensures that the correct amount of power goes to the device. Once an approved FLI Charge device is placed on a surface, power is transferred immediately to charge or power the device.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FLI Charge launched its consumer product line on Indiegogo, a crowdfunding platform, on June 15, 2016; the campaign was completed on August 15,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FLI Charge delivered products to the participants in the fourth quarter of 2016.</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intellectual property operating segment is focused on the innovation, development and monetization of intellectual property. The Company’s portfolio consists of over 75 patents and patent applications purchased from third parties and internally developed covering a range of technologies including telecom infrastructure, mobile devices, remote monitoring and ad-insertion.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currently focused on monetizing its technology portfolio through a variety of value enhancing initiatives including, but not limited to, licensing, litigation and strategic partnerships.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181818"/>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XpresSpa Acquisition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August 8, 2016, the Company signed an agreement to acquire XpresSpa. </w:t>
      </w:r>
      <w:r>
        <w:rPr>
          <w:rFonts w:ascii="Arial" w:cs="Arial" w:eastAsia="Arial" w:hAnsi="Arial"/>
          <w:sz w:val="18"/>
          <w:szCs w:val="18"/>
          <w:color w:val="181818"/>
        </w:rPr>
        <w:t>On December 23, 2016,</w:t>
      </w:r>
      <w:r>
        <w:rPr>
          <w:rFonts w:ascii="Arial" w:cs="Arial" w:eastAsia="Arial" w:hAnsi="Arial"/>
          <w:sz w:val="18"/>
          <w:szCs w:val="18"/>
          <w:color w:val="auto"/>
        </w:rPr>
        <w:t xml:space="preserve"> the Company </w:t>
      </w:r>
      <w:r>
        <w:rPr>
          <w:rFonts w:ascii="Arial" w:cs="Arial" w:eastAsia="Arial" w:hAnsi="Arial"/>
          <w:sz w:val="18"/>
          <w:szCs w:val="18"/>
          <w:color w:val="181818"/>
        </w:rPr>
        <w:t>completed the acquisition of XpresSpa for</w:t>
      </w:r>
      <w:r>
        <w:rPr>
          <w:rFonts w:ascii="Arial" w:cs="Arial" w:eastAsia="Arial" w:hAnsi="Arial"/>
          <w:sz w:val="18"/>
          <w:szCs w:val="18"/>
          <w:color w:val="auto"/>
        </w:rPr>
        <w:t xml:space="preserve"> </w:t>
      </w:r>
      <w:r>
        <w:rPr>
          <w:rFonts w:ascii="Arial" w:cs="Arial" w:eastAsia="Arial" w:hAnsi="Arial"/>
          <w:sz w:val="18"/>
          <w:szCs w:val="18"/>
          <w:color w:val="181818"/>
        </w:rPr>
        <w:t>a total purchase consideration of $37,400, which includes:</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181818"/>
        </w:rPr>
      </w:pPr>
      <w:r>
        <w:rPr>
          <w:rFonts w:ascii="Arial" w:cs="Arial" w:eastAsia="Arial" w:hAnsi="Arial"/>
          <w:sz w:val="18"/>
          <w:szCs w:val="18"/>
          <w:color w:val="181818"/>
        </w:rPr>
        <w:t>$1,734 in cash which was invested on August 8, 2016.</w:t>
      </w:r>
    </w:p>
    <w:p>
      <w:pPr>
        <w:spacing w:after="0" w:line="225" w:lineRule="exact"/>
        <w:rPr>
          <w:rFonts w:ascii="Arial" w:cs="Arial" w:eastAsia="Arial" w:hAnsi="Arial"/>
          <w:sz w:val="18"/>
          <w:szCs w:val="18"/>
          <w:color w:val="181818"/>
        </w:rPr>
      </w:pPr>
    </w:p>
    <w:p>
      <w:pPr>
        <w:ind w:left="660" w:hanging="328"/>
        <w:spacing w:after="0"/>
        <w:tabs>
          <w:tab w:leader="none" w:pos="660" w:val="left"/>
        </w:tabs>
        <w:numPr>
          <w:ilvl w:val="0"/>
          <w:numId w:val="26"/>
        </w:numPr>
        <w:rPr>
          <w:rFonts w:ascii="Arial" w:cs="Arial" w:eastAsia="Arial" w:hAnsi="Arial"/>
          <w:sz w:val="18"/>
          <w:szCs w:val="18"/>
          <w:color w:val="181818"/>
        </w:rPr>
      </w:pPr>
      <w:r>
        <w:rPr>
          <w:rFonts w:ascii="Arial" w:cs="Arial" w:eastAsia="Arial" w:hAnsi="Arial"/>
          <w:sz w:val="18"/>
          <w:szCs w:val="18"/>
          <w:color w:val="181818"/>
        </w:rPr>
        <w:t>2,500,000 shares of FORM common stock, par value $0.01 per share (“FORM Common Stock”).</w:t>
      </w:r>
    </w:p>
    <w:p>
      <w:pPr>
        <w:spacing w:after="0" w:line="225" w:lineRule="exact"/>
        <w:rPr>
          <w:rFonts w:ascii="Arial" w:cs="Arial" w:eastAsia="Arial" w:hAnsi="Arial"/>
          <w:sz w:val="18"/>
          <w:szCs w:val="18"/>
          <w:color w:val="181818"/>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494,792 shares of the Company’s newly designated Series D Convertible Preferred Stock, par value $0.01 per share, (“FORM Preferred Stock”) with an aggregate initial liquidation preference of $23,750.</w:t>
      </w:r>
    </w:p>
    <w:p>
      <w:pPr>
        <w:spacing w:after="0" w:line="170" w:lineRule="exact"/>
        <w:rPr>
          <w:rFonts w:ascii="Arial" w:cs="Arial" w:eastAsia="Arial" w:hAnsi="Arial"/>
          <w:sz w:val="18"/>
          <w:szCs w:val="18"/>
          <w:color w:val="auto"/>
        </w:rPr>
      </w:pPr>
    </w:p>
    <w:p>
      <w:pPr>
        <w:jc w:val="both"/>
        <w:ind w:left="660"/>
        <w:spacing w:after="0" w:line="302" w:lineRule="auto"/>
        <w:rPr>
          <w:rFonts w:ascii="Arial" w:cs="Arial" w:eastAsia="Arial" w:hAnsi="Arial"/>
          <w:sz w:val="18"/>
          <w:szCs w:val="18"/>
          <w:color w:val="auto"/>
        </w:rPr>
      </w:pPr>
      <w:r>
        <w:rPr>
          <w:rFonts w:ascii="Arial" w:cs="Arial" w:eastAsia="Arial" w:hAnsi="Arial"/>
          <w:sz w:val="16"/>
          <w:szCs w:val="16"/>
          <w:color w:val="auto"/>
        </w:rPr>
        <w:t>Pursuant to the terms of the agreement governing the XpresSpa acquisition, in February 2017, in view of unexpected expenses, the parties mutually agreed to reduce the purchase price consideration and, as a result, the total number of shares of FORM Preferred Stock was decreased from 494,792 shares to 491,427 shares with an aggregate initial liquidation preference of $23,588, which are initially convertible into 3,931,416 shares of FORM Common Stock, at a conversion price of $6.00 per share. Each holder of FORM Preferred Stock shall be entitled to vote on an as converted basis.</w:t>
      </w:r>
    </w:p>
    <w:p>
      <w:pPr>
        <w:spacing w:after="0" w:line="15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Five-year warrants to purchase 2,500,000 shares of FORM Common Stock, at an exercise price of $3.00 per share, each subject to adjustment in the event of a stock split, dividend or similar events.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230,208 shares of FORM Preferred Stock, with an estimated fair value of $11,050, were placed into an escrow that will be released over an 18 month period once certain conditions are satisfied. The escrow will be used to obtain necessary lease consents from the airports and to cover potential liabilities that may arise after the acquisition, but pertain to the activities before the acquisition.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jc w:val="both"/>
        <w:spacing w:after="0" w:line="286" w:lineRule="auto"/>
        <w:rPr>
          <w:sz w:val="20"/>
          <w:szCs w:val="20"/>
          <w:color w:val="auto"/>
        </w:rPr>
      </w:pPr>
      <w:r>
        <w:rPr>
          <w:rFonts w:ascii="Arial" w:cs="Arial" w:eastAsia="Arial" w:hAnsi="Arial"/>
          <w:sz w:val="16"/>
          <w:szCs w:val="16"/>
          <w:color w:val="auto"/>
        </w:rPr>
        <w:t>The FORM Preferred Stock is senior to the FORM Common Stock and the terms of the FORM Preferred Stock contain no restrictions on the Company’s ability to issue additional senior preferred securities or its ability to issue additional preferred securities in the future. The Company has the right, but not the obligation, upon ten trading days’ notice to convert the outstanding shares of FORM Preferred Stock into FORM Common Stock at the then applicable conversion ratio, at any time or from time to time, if the volume weighted average price per share of the FORM Common Stock exceeds $9.00 for over any 20 days in a 30 consecutive trading day period. The term of the FORM Preferred Stock is seven years, after which time the Company can repay the holders in shares of FORM Common Stock or cash at its election. If the Company elects to make a payment, or any portion thereof, in shares of FORM Common Stock, the number of shares deliverable (the “Base Shares”) will be based on the volume weighted average price per share of the FORM Common Stock for the 30 trading days prior to the date of calculation (the “Base Price”) plus an additional number of shares of FORM Common Stock (the “Premium Shares”), calculated as follows: (i) if the Base Price is greater than $9.00, no Premium Shares shall be issued, (ii) if the Base Price is greater than $7.00 and equal to or less than $9.00, an additional number of shares equal to 5% of the Base Shares shall be issued, (iii) if the Base Price is greater than $6.00 and equal to or less than $7.00, an additional number of shares equal to 10% of the Base Shares shall be issued, (iv) if the Base Price is greater than $5.00 and equal to or less than $6.00, an additional number of shares equal to 20% of the Base Shares shall be issued and (v) if the Base Price is less than or equal to $5.00, an additional number of shares equal to 25% of the Base Shares shall be issued. The FORM Preferred Stock will accrue interest at 9% per annum.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Assignment of Infrastructure Patent Portfolio</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5, 2016, the Company entered into an agreement with Nokia Corporation (“Nokia”) to assign Nokia rights related to certain patents previously purchased from Nokia. The carrying value of the patents assigned to Nokia prior to the agreement was $1,186, which offset the $1,750 of royalty payable and resulted in a gain of $564 on the disposal of assets, which is included in general and administrative expense in the consolidated statements of operations and comprehensive loss. The Company retained selected patents previously purchased from Nokia with a carrying value of $50 as of December 31, 2016 that are no longer subject to any royalty payments to Nokia.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Senior Secured Notes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December 31, 2016, the Company no longer had an outstanding balance for its Senior Secured Convertible Notes (the “Notes”), as the Notes were repaid in full during the year. The details of the Company’s significant transactions during 2016 pertaining to the Notes are described below.</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9, 2016, the Company and the holders (the “Investors”) of the Company’s $12,500 Notes, which were originally issued by the Company in a registered direct offering on May 4, 2015, entered into an exchange note agreement (the “Exchange Note Agreement”). Pursuant to the Exchange Note Agreement, the Company issued to the Investors an aggregate of 703,644 shares of its common stock, par value $0.01 per share, in exchange for the reduction of $1,267 of the outstanding aggregate principal amount of the Notes and $49 of accrued interest. As a result, the outstanding aggregate principal amount under the Notes was reduced from $3,016 to $1,749 as of March 9, 2016.</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on March 9, 2016, the Company, with the consent of each of the Investors, agreed to amend the Notes. Pursuant to the Amended and Restated Senior Secured Notes (the “Amended Notes”) and the Indenture dated May 4, 2015, as supplemented by a First Supplemental Indenture dated May 4, 2015 and further supplemented by a Second Supplemental Indenture (the “Second Supplemental Indenture”) dated March 9, 2016: (i) the Amended Notes are no longer convertible into shares of the Company’s common stock and are payable by the Company on the Maturity Date (as defined below) in cash only, (ii) the Maturity Date of the Amended Notes was extended to June 30, 2017 (the “Maturity Date”), (iii) the Company discontinued the payment of principal prior to the Maturity Date (subject to certain exceptions), (iv) the interest rate increased from 8% to 10% per annum and accrues on the outstanding aggregate principal amount of the Amended Notes, payable monthly, and (v) the Company will pay to the Investors on the Maturity Date 102% of the outstanding aggregate principal amount of the Amended Notes. The Company also agreed to maintain a cash balance (including cash equivalents) of not less than $2,900.</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agreed to reduce the exercise price of the warrants to purchase an aggregate of 537,500 shares of the Company’s common stock pursuant to the initial agreement (the “May 2015 Warrants”) from $10.00 to $3.00 per share and the parties also agreed to remove from the May 2015 Warrants certain anti-dilution features. Other terms of the May 2015 Warrants remained the same. Furthermore, in connection with the Amended Notes, the Company paid a restructuring fee of $50 to the Investors.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 2016, the Company repaid in full its Amended Notes that were due on June 30, 2017, including a 15% fee for early repayment. The Company used an aggregate of $2,011 of cash on hand for repayment of the Amended Notes. As a result of the repayment in full of the Amended Notes, all liens on the Company’s assets, including intellectual property, were released by the Investors.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181818"/>
        </w:rPr>
        <w:t>Impairment of Patents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181818"/>
        </w:rPr>
        <w:t>The Company’s name change and repositioning as a holding company was deemed a triggering event, which required the Company’s patent assets to be tested for impairment. In performing this impairment test, the Company determined that the patent portfolios, which together represent an asset group, were subject to impairment testing. In the first step of the impairment test, the Company utilized its projections of future undiscounted cash flows based on its existing plans for the patents. As a result, it was determined that the Company’s projections of future undiscounted cash flows were less than the carrying value of the asset group. Accordingly, the Company performed the second step of the impairment test to measure the potential impairment by calculating the asset group’s fair value as of May 6, 2016. As a result, following amortization for the month of April, the Company recorded an impairment charge of $11,937, which resulted in a new carrying value of $1,526 on May 6, 2016. Following the impairment, the Company reevaluated the remaining useful life and concluded that there were no changes in the estimated useful life.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Stockholder Rights Plan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March 18, 2016, the Company announced that the Company’s Board of Directors adopted a stockholder rights plan in the form of a Section 382 Rights Agreement designed to preserve the Company’s tax assets. As a part of the plan, the Company’s Board of Directors declared a dividend of one preferred-share-purchase right for each share of the Company’s common stock outstanding as of March 29, 2016. Effective on March 18, 2016, if any group or person acquires 4.99% or more of the Company’s outstanding shares of common stock, or if a group or person that already owns 4.99% or more of the Company’s common stock acquires additional shares representing 0.5% or more of the Company’s common stock, then, subject to certain exceptions, there would be a triggering event under the plan. The rights would then separate from the Company’s common stock and would be adjusted to become exercisable to purchase shares of the Company’s common stock having a market value equal to twice the purchase price of $9.50, resulting in significant dilution in the ownership interest of the acquiring person or group. The Company’s Board of Directors has the discretion to exempt any acquisition of the Company’s common stock from the provisions of the plan and has the ability to terminate the plan prior to a triggering event. In connection with this plan, the Company filed a Certificate of Designation of Series C Junior Preferred Stock with the Secretary of State of Delaware on March 18,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Reverse Stock Split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noted, the information contained in these consolidated financial statements gives effect to a one-for-ten reverse stock split of the Company’s common stock effected on November 27, 2015 (the “Reverse Stock Split”) on a retroactive basis for all periods presented</w:t>
      </w:r>
      <w:r>
        <w:rPr>
          <w:rFonts w:ascii="Arial" w:cs="Arial" w:eastAsia="Arial" w:hAnsi="Arial"/>
          <w:sz w:val="18"/>
          <w:szCs w:val="18"/>
          <w:i w:val="1"/>
          <w:iCs w:val="1"/>
          <w:color w:val="181818"/>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accordance with United States GAAP. As a result of the Company’s acquisitions of XpresSpa in the fourth quarter of 2016 and International Development Group Limited (“IDG”) in the fourth quarter of 2015, it incorporated their respective financial information in the Company’s consolidated balance sheets as of December 31, 2016 and 2015, and the related consolidated statement of operations and comprehensive loss, changes in stockholders’ equity and cash flows for the periods from the dates of acquisition. All significant intercompany balances and transactions have been eliminated in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accompanying consolidated financial statements in conformity with United States GAAP requires management to make certain estimates and assumptions that affect the reported amounts of assets and liabilities and disclosure of contingent assets and liabilities as of the date of the consolidated financial statements and the reported amounts of revenues and expenses for the periods presented. Actual results may differ from such estimates. Significant items subject to such estimates and assumptions include the Company’s intangibles assets, the useful lives of the Company’s intangible assets, the valuation of the Company’s derivative warrants, the valuation of stock-based compensation, deferred tax assets and liabilities, income tax uncertainties, and other contingencies.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(c) Translation into United States dollars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conducts certain transactions in foreign currencies, which are recorded at the exchange rate as of the transaction date. All exchange gains and losses occurring from the remeasurement of monetary balance sheet items denominated in non-dollar currencies are included in non-operating income or expense in the consolidated statements of operations and comprehensive loss.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Accounts of the foreign subsidiaries of XpresSpa are translated into United States dollars. Assets and liabilities have been translated at year end exchange rates and revenues and expenses have been translated at average monthly rates for the year. The translation adjustments arising from the use of different exchange rates are included as foreign currency translation within the consolidated statements of changes in stockholders’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and cash equivalents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maintains cash in checking accounts with financial institutions. The Company has established guidelines relating to diversification and maturities of its investments in order to minimize credit risk and maintain high liquidity of funds. Cash equivalents include amounts due from third party financial institutions for credit and debit card transactions. These items typically settle in less than 5 days and were $235 as of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Derivative instruments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recognizes all derivative instruments as either assets or liabilities in the consolidated balance sheets at their respective fair values. The Company's derivative instruments have been recorded as liabilities at fair value, and are revalued at each reporting date, with changes in the fair value of the instruments included in the consolidated statements of operations and comprehensive loss as non-operating income (expense). The Company reviews the terms of features embedded in non-derivative instruments to determine if such features require bifurcation and separate accounting as derivative financial instruments. Equity-linked derivative instruments are evaluated in accordance with FASB Accounting Standard Codification 815-40, “</w:t>
      </w:r>
      <w:r>
        <w:rPr>
          <w:rFonts w:ascii="Arial" w:cs="Arial" w:eastAsia="Arial" w:hAnsi="Arial"/>
          <w:sz w:val="17"/>
          <w:szCs w:val="17"/>
          <w:i w:val="1"/>
          <w:iCs w:val="1"/>
          <w:color w:val="auto"/>
        </w:rPr>
        <w:t>Contracts in an Entity’s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Own Equity” </w:t>
      </w:r>
      <w:r>
        <w:rPr>
          <w:rFonts w:ascii="Arial" w:cs="Arial" w:eastAsia="Arial" w:hAnsi="Arial"/>
          <w:sz w:val="17"/>
          <w:szCs w:val="17"/>
          <w:color w:val="auto"/>
        </w:rPr>
        <w:t>to determine if such instruments are indexed to the Company’s own stock and qualify for classification in equity.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Accounts receivable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receivable are recorded net of an allowance for doubtful accounts for estimated losses resulting from the inability of customers to make required payments. In developing the allowance, the Company considers historical loss experience, the overall quality of the receivable portfolio and specifically identified customer risks. The Company periodically reviews the adequacy of the allowance and the factors used in the estimation making adjustments to the estimate as necessary. Accounts receivable are included in current assets in the consolidated balance sheets. As of December 31, 2016 and 2015, there was no allowance for doubtful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Inventory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Inventory that was acquired by the Company in conjunction with the acquisition of XpresSpa is measured at fair value as of the acquisition date. All inventory is valued at the lower of cost or market value. Cost is determined using a weighted-average cost method. The Company periodically reviews inventory for potential obsolescence based upon an aging analysis of the inventory on hand, specifically known inventory-related risks, and assumptions about future demand and market conditions. Inventory items determined to be impaired based on such review are reduced to their net realizable value. Inventory is included in current assets in the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Intangible assets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Intangible assets include trade names, customer relationships, and technology, which were acquired as part of the acquisitions of XpresSpa in the fourth quarter of 2016 and IDG in the fourth quarter of 2015, and are recorded based on the estimated fair value in purchase price allocation. Intangible assets also include purchased patents. The intangible assets are amortized over their estimated useful lives, which are periodically evaluated for reasonableness.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jc w:val="both"/>
        <w:spacing w:after="0" w:line="272" w:lineRule="auto"/>
        <w:rPr>
          <w:sz w:val="20"/>
          <w:szCs w:val="20"/>
          <w:color w:val="auto"/>
        </w:rPr>
      </w:pPr>
      <w:r>
        <w:rPr>
          <w:rFonts w:ascii="Arial" w:cs="Arial" w:eastAsia="Arial" w:hAnsi="Arial"/>
          <w:sz w:val="17"/>
          <w:szCs w:val="17"/>
          <w:color w:val="auto"/>
        </w:rPr>
        <w:t>The Company’s intangible assets are reviewed for impairment whenever events or changes in circumstances indicate that the carrying amount of an asset may not be recoverable.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If these estimates or material related assumptions change in the future, the Company may be required to record impairment charges related to its intangible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Property and equipment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Property and equipment is recorded at historical cost and primarily consists of leasehold improvements, furniture and fixtures, and other operating equipment. Depreciation is calculated on a straight-line basis over the estimated useful lives of the assets. Leasehold improvements are depreciated over the lesser of the lease term or economic useful life. Maintenance and repairs are charged to expense, and renovations or improvements that extend the service lives of our assets are capitalized over the lesser of the extension period or life of the improvement. Gain or loss on dispositions of property and equipment </w:t>
      </w:r>
      <w:r>
        <w:rPr>
          <w:rFonts w:ascii="Arial" w:cs="Arial" w:eastAsia="Arial" w:hAnsi="Arial"/>
          <w:sz w:val="17"/>
          <w:szCs w:val="17"/>
          <w:color w:val="181818"/>
        </w:rPr>
        <w:t>is reflected in</w:t>
      </w:r>
      <w:r>
        <w:rPr>
          <w:rFonts w:ascii="Arial" w:cs="Arial" w:eastAsia="Arial" w:hAnsi="Arial"/>
          <w:sz w:val="17"/>
          <w:szCs w:val="17"/>
          <w:color w:val="auto"/>
        </w:rPr>
        <w:t xml:space="preserve"> </w:t>
      </w:r>
      <w:r>
        <w:rPr>
          <w:rFonts w:ascii="Arial" w:cs="Arial" w:eastAsia="Arial" w:hAnsi="Arial"/>
          <w:sz w:val="17"/>
          <w:szCs w:val="17"/>
          <w:color w:val="181818"/>
        </w:rPr>
        <w:t xml:space="preserve">the general and administrative expense in the consolidated statements of operations </w:t>
      </w:r>
      <w:r>
        <w:rPr>
          <w:rFonts w:ascii="Arial" w:cs="Arial" w:eastAsia="Arial" w:hAnsi="Arial"/>
          <w:sz w:val="17"/>
          <w:szCs w:val="17"/>
          <w:color w:val="000000"/>
        </w:rPr>
        <w:t>and comprehensive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Goodwill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is an asset representing the future economic benefits arising from assets acquired in a business combination that are not individually identified and separately recognized.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Goodwill is reviewed for impairment at least annually, and when triggering events occur, in accordance with the provisions of Financial Accounting Standards Board (“FASB”) Accounting Standards Codification (“ASC”) </w:t>
      </w:r>
      <w:r>
        <w:rPr>
          <w:rFonts w:ascii="Arial" w:cs="Arial" w:eastAsia="Arial" w:hAnsi="Arial"/>
          <w:sz w:val="18"/>
          <w:szCs w:val="18"/>
          <w:i w:val="1"/>
          <w:iCs w:val="1"/>
          <w:color w:val="auto"/>
        </w:rPr>
        <w:t>Topic 350, Intangibles – Goodwill and Other</w:t>
      </w:r>
      <w:r>
        <w:rPr>
          <w:rFonts w:ascii="Arial" w:cs="Arial" w:eastAsia="Arial" w:hAnsi="Arial"/>
          <w:sz w:val="18"/>
          <w:szCs w:val="18"/>
          <w:color w:val="auto"/>
        </w:rPr>
        <w:t>. The Company has four reporting units for purposes of evaluating goodwill impairment and performing its annual goodwill impairment test on December 31. The Company has the option to perform a qualitative assessment to determine if an impairment is more likely than not to have occurred. If the Company can support the conclusion that it is not more likely than not that the fair value of a reporting unit is less than its carrying amount, then the Company would not need to perform the two-step impairment test for the reporting unit. If the Company cannot support such a conclusion or does not elect to perform the qualitative assessment, then the first step of the goodwill impairment test is used to identify potential impairment by comparing the fair value of the reporting unit with its carrying amount, including goodwill.</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fair value of the reporting unit exceeds its carrying value, then the second step of the impairment test (measurement) does not need to be performed. If the fair value of the reporting unit is less than its carrying value, an indication of goodwill impairment exists for the reporting unit and the Company must perform the second step of the impairment test. Under the second step, an impairment loss is recognized for any excess of the carrying amount of the reporting unit’s goodwill over the implied fair value of that goodwill. The implied fair value of goodwill is determined by allocating the fair value of the reporting unit in a manner similar to an acquisition price allocation and the residual fair value after this allocation is the implied fair value of the reporting unit goodwill. A significant amount of judgment is required in performing goodwill impairment tests including estimating the fair value of a reporting unit and the implied fair value of goodwill.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indications of impairment as of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Restricted cash and other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cash, which is listed as its own line item in the consolidated balance sheets, represents balances at financial institutions to secure bonds and letters of credit as required by various airports as required by lease agreements.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December 31, 2013, the Company operated a global platform for the distribution of mobile social applications and services. On February 18, 2014, the Company sold its mobile social application business to InfoMedia Services Limited (“InfoMedia”), receiving an 8.25% ownership interest in InfoMedia as consideration and a seat on the board of directors of InfoMedia. The Company’s investment in InfoMedia is included in other assets in the consolidated balance sheets for the years ended December 31, 2016 and December 31,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Deferred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revenue includes (i) payments received from customers in advance of providing products and services and (ii) amounts deferred if other conditions of revenue recognition have not been met. The Company accounts for funds raised from crowdfunding campaigns and pre-sales as deferred revenue until the product is delivered to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revenue from the sale of XpresSpa products and services at the point of sale, net of discounts and applicable sales taxes. Revenues from the XpresSpa wholesale and e-commerce businesses are recorded at the time goods are shipped. The Company excludes all sales taxes assessed to its customers. Sales taxes assessed on revenues are included in accounts payable, accrued expenses and other current liabilities in the consolidated balance sheets until remitted to the state agencies.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records revenue from the product sales of Group Mobile and FLI Charge when title and risk of loss are passed to the customer, there is persuasive evidence of an arrangement for sale, delivery has occurred, the sales price is fixed or determinable, and collectability is reasonably assured. The Company’s shipping terms typically specify F.O.B. destination, at which time title and risk of loss have passed to the customer. At the time of sale of hardware products, the Company records an estimate for sales returns and allowances based on historical experience. Hardware products sold by the Company are warranted by the vendor.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32" w:gutter="0" w:footer="0" w:header="0"/>
        </w:sectPr>
      </w:pPr>
    </w:p>
    <w:bookmarkStart w:id="65" w:name="page66"/>
    <w:bookmarkEnd w:id="65"/>
    <w:p>
      <w:pPr>
        <w:jc w:val="both"/>
        <w:spacing w:after="0" w:line="257" w:lineRule="auto"/>
        <w:rPr>
          <w:sz w:val="20"/>
          <w:szCs w:val="20"/>
          <w:color w:val="auto"/>
        </w:rPr>
      </w:pPr>
      <w:r>
        <w:rPr>
          <w:rFonts w:ascii="Arial" w:cs="Arial" w:eastAsia="Arial" w:hAnsi="Arial"/>
          <w:sz w:val="18"/>
          <w:szCs w:val="18"/>
          <w:color w:val="auto"/>
        </w:rPr>
        <w:t>Group Mobile uses drop-shipment arrangements with many of its hardware vendors and suppliers to deliver products directly to customers. Revenue for drop-shipment arrangements is recorded on a gross basis upon delivery to the customer with contract terms that typically specify F.O.B. destination. Revenue is recognized on a gross basis as Group Mobile is the principal in the transaction as the primary obligor in the arrangement, assumes the inventory risk if the product is returned by the customer, sets the price of the product to the customer, assumes credit risk for the amounts invoiced, and works closely with the customers to determine their hardware specifications.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Freight billed to customers is recognized as net product revenue and the related freight costs as a cost of goods sold.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Revenue from patent licensing is recognized if collectability is reasonably assured, persuasive evidence of an arrangement exists, the sales price is fixed or determinable and delivery of the service has been rendered. Currently, revenue arrangements related to intellectual property provide for the payment of contractually determined fees and other consideration for the grant of certain intellectual property rights related to the Company’s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the Company has no further obligation with respect to the grant of the non-exclusive retroactive and future licenses, covenants-not-to-sue, releases, and other deliverables, including no express or implied obligation on the Company’s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upon receipt of the upfront fee, and when all other revenue recognition criteria have been met.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Gift cards and customer rewards program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offers no-fee, non-expiring gift cards to its customers. No revenue is recognized upon issuance of a gift card and a liability is established for the gift card’s cash value. The liability is relieved and revenue is recognized upon redemption by the customer. As the gift cards have no expiration date, there is no provision for reduction in the value of unused card balances.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XpresSpa maintains a rewards program in which customers earn loyalty points, which can be redeemed for future services. Loyalty points are rewarded upon joining the loyalty program, for customer birthdays, and based upon customer spending. When a customer redeems loyalty points, the Company recognizes revenue for the redeemed cash value and reduces the related loyalty program liability. Customer loyalty points do not expire and there is no provision for reduction in the value of unused loyalty points.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costs associated with gift cards and reward points are accrued as the rewards are earned by the cardholder and are included in accounts payable, accrued expenses and other current liabilities in the consolidated balance sheets until remitted to the state agencies.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Segment reporting</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operates in four operating segments: XpresSpa, Group Mobile, FLI Charge and intellectual property. XpresSpa is a leading airport retailer of spa services and related travel products and has 53 locations as of December 31, 2016. Group Mobile provides rugged, mobile and field-use computing products to customers through their e-commerce platform. FLI Charge develops wireless charging devices and licenses technology to various channels and applications. Intellectual Property is engaged in the innovation, development and monetization of mobile technologies and intellectual property.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(p) Rent expense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Minimum rent expense is recognized over the term of the lease, starting when possession of the property is taken from the landlord, which normally includes a construction period prior to the store opening. When a lease contains a predetermined fixed escalation of the minimum rent, the Company recognizes the related rent expense on a straight-line basis and records the difference between the recognized rent expense and the amounts payable under the lease as a short-term or long-term deferred rent liability. Costs related to common area maintenance, insurance, real estate taxes, and other occupancy costs the Company is obligated to pay are excluded from minimum rent expense.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leases provide for contingent rents that are not measurable at inception. These contingent rents are primarily based on a percentage of sales that are in excess of a predetermined level and/or rent increase based on a change in the consumer price index or fair market value. These amounts are excluded from minimum rent and are included in the determination of rent expense when it is probable that the expense has been incurred and the amount can be reasonably estimated.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Pre-opening costs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Pre-opening and start-up activity costs, which include rent and occupancy, supplies, advertising, and other direct expenses incurred prior to the opening of a new store, are expensed in the period in which they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Intellectual property costs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Intellectual property costs include expenses incurred in connection with the Company’s patent licensing and enforcement activities, patent-related legal expenses paid to external patent counsel, including contingent legal fees, licensing and enforcement related research, consulting and other expenses paid to third parties, as well as related internal payroll expenses and stock-based compensation. In addition, amounts received by the Company for reimbursements of legal fees in connection with its litigation campaigns are recorded in intellectual property costs as an offset to legal expense.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Also included in intellectual property costs are royalties owed to previous owners of the Company’s intellectual property assets. The royalties fluctuate period to period, based on the amount of licensing revenue the Company recognizes each period, the terms and conditions of agreements executed each period and the mix of specific patent portfolios with varying economic terms and obligations generating revenues each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Stock-based compensation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Stock-based compensation is recognized as an expense in the consolidated statements of operations and comprehensive loss and such cost is measured at the grant-date fair value of the equity-settled award. The fair value of stock options is estimated as of the date of grant using the Black-Scholes-Merton option-pricing model. The expense is recognized on a straight-line basis, over the requisite service period. The Company uses the simplified method to estimate the expected term of options due to insufficient history and high turnover in the past. Expected volatility is estimated based on a weighted average historical volatility of the Company and comparable entities with publicly traded shares. The risk-free rate for the expected term of the option is based on the United States Treasury yield curve as of the date of grant.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 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 Tax benefits related to excess deductions on stock-based compensation arrangements are recognized when they reduce taxes payable.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jc w:val="both"/>
        <w:spacing w:after="0" w:line="257" w:lineRule="auto"/>
        <w:rPr>
          <w:sz w:val="20"/>
          <w:szCs w:val="20"/>
          <w:color w:val="auto"/>
        </w:rPr>
      </w:pPr>
      <w:r>
        <w:rPr>
          <w:rFonts w:ascii="Arial" w:cs="Arial" w:eastAsia="Arial" w:hAnsi="Arial"/>
          <w:sz w:val="18"/>
          <w:szCs w:val="18"/>
          <w:color w:val="auto"/>
        </w:rPr>
        <w:t>In assessing the need for a valuation allowance, the Company looks at cumulative losses in recent years, estimates of future taxable earnings, feasibility of tax planning strategies, the ability to realize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the Company will be required to adjust the valuation allowance.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Significant judgment is required in evaluating the Company's federal, state, local, and foreign tax positions and in the determination of its tax provision. Despite management's belief that the Company's liability for unrecognized tax benefits is adequate, it is often difficult to predict the final outcome or the timing of the resolution of any particular tax matters. The Company may adjust these accruals as relevant circumstances evolve, such as guidance from the relevant tax authority, its tax advisors, or resolution of issues in the courts. The Company's tax expense includes the impact of accrual provisions and changes to accruals that it considers appropriate. These adjustments are recognized as a component of income tax expense entirely in the period in which new information is available. The Company records interest related to unrecognized tax benefits in interest expense and penalties in the consolidated statements of operations and comprehensive loss as general and administrative expenses.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at the largest amount that is greater than 50% of being realized. Changes in recognition or measurement are reflected in the period in which the change in judgment occurs.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 Noncontrolling interests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Noncontrolling interests represent the noncontrolling holders’ percentage share of earnings or losses from the subsidiaries, in which the Company holds a majority, but less than 100 percent, ownership interest and the results of which are included in the Company’s consolidated statements of operations and comprehensive loss. Net earnings attributable to noncontrolling interests in 2016 represents the proportionate share of the noncontrolling holders' ownership in certain subsidiaries of XpresSpa.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 Net loss per common share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Basic net loss per share is computed by dividing the net loss attributable to the Company for the period by the weighted-average number of shares of common stock outstanding during the period. Diluted net loss per share is computed by dividing the net loss attributable to the Company for the period by the weighted-average number of shares of common stock plus dilutive potential common stock considered outstanding during the period. However, as the Company generated net losses in all periods presented, some potentially dilutive securities that relate to the continuing operations, including certain warrants and stock options, were not reflected in diluted net loss per share because the impact of such instruments was anti-dilutive.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 Commitments and contingencies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Liabilities for loss contingencies arising from assessments, estimates or other sources are to be recorded when it is probable that a liability has been incurred and the amount can be reasonably estimated. Legal costs expected to be incurred in connection with a loss contingency are expensed as incurred.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 Fair value measurements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measures fair value in accordance with FASB ASC 820-10,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FASB ASC 820-10 clarifies that fair value is an exit price, representing the amount that would be received by selling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FASB ASC 820-10 establishes a three-tier value hierarchy, which prioritizes the inputs used in the valuation methodologies in measuring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 accessible to the reporting entity at the measurement date.</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Other than quoted prices included in Level 1 inputs that are observable for the asset or liability, either directly or indirectly, for substantially the full</w:t>
      </w:r>
      <w:r>
        <w:rPr>
          <w:rFonts w:ascii="Arial" w:cs="Arial" w:eastAsia="Arial" w:hAnsi="Arial"/>
          <w:sz w:val="18"/>
          <w:szCs w:val="18"/>
          <w:b w:val="1"/>
          <w:bCs w:val="1"/>
          <w:color w:val="auto"/>
        </w:rPr>
        <w:t xml:space="preserve"> </w:t>
      </w:r>
      <w:r>
        <w:rPr>
          <w:rFonts w:ascii="Arial" w:cs="Arial" w:eastAsia="Arial" w:hAnsi="Arial"/>
          <w:sz w:val="18"/>
          <w:szCs w:val="18"/>
          <w:color w:val="auto"/>
        </w:rPr>
        <w:t>term of the asset or liability.</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for the asset or liability used to measure fair value to the extent that observable inputs are not available, thereby allowing for</w:t>
      </w:r>
      <w:r>
        <w:rPr>
          <w:rFonts w:ascii="Arial" w:cs="Arial" w:eastAsia="Arial" w:hAnsi="Arial"/>
          <w:sz w:val="18"/>
          <w:szCs w:val="18"/>
          <w:b w:val="1"/>
          <w:bCs w:val="1"/>
          <w:color w:val="auto"/>
        </w:rPr>
        <w:t xml:space="preserve"> </w:t>
      </w:r>
      <w:r>
        <w:rPr>
          <w:rFonts w:ascii="Arial" w:cs="Arial" w:eastAsia="Arial" w:hAnsi="Arial"/>
          <w:sz w:val="18"/>
          <w:szCs w:val="18"/>
          <w:color w:val="auto"/>
        </w:rPr>
        <w:t>situations in which there is little, if any, market activity for the asset or liability at measurement date.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jc w:val="both"/>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 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2014-09, Revenue from Contracts with Customers (Topic 606)</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core principle of the new standard is that revenue should be recognized to depict the transfer of promised goods or services to customers in an amount that reflects the consideration to which the entity expects to be entitled in exchange for those goods or services. This guidance was amended in July 2015 and is effective for annual reporting periods beginning after December 15, 2017. The Company is currently assessing the impact of the adoption on its consolidated financial statements. The Company expects that the new standard will have an impact on revenue recognition for Group Mobile contracts.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2016-08, Revenue from Contracts with Customers: Principal versus Agent Considerations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2016, the FASB issued ASU No. 2016-08, Revenue from Contracts with Customers: Principal versus Agent Considerations. The amendments are intended to improve the operability and understandability of the implementation guidance on principal versus agent considerations. The effective date for this ASU is the same as the effective date for ASU 2014-09, Revenue from Contracts with Customers. The Company is currently assessing the potential impact of this ASU on its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2014-15, Presentation of Financial Statements (Topic 205): Going Concern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adopted the standard that provides guidance around management's responsibility to evaluate whether there is substantial doubt about an entity's ability to continue as a going concern and to provide related footnote disclosures. The adoption of this guidance did not have a material effect on the Company’s consolidated financial statements.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ASU 2014-16, Derivatives and Hedging (Topic 815): Determining Whether the Host Contract in a Hybrid Financial Instrument Issued in the Form of a Share is More Akin to Debt or to Equity</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adopted the standard that clarifies how current United States GAAP should be interpreted in evaluating the economic characteristics and risks of a host contract in a hybrid financial instrument that is issued in the form of a share. The adoption of this guidance did not have a material effect on the Company’s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2015-03, Imputation of Interest (Subtopic 835-30): Simplifying the Presentation of Debt Issuance Costs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adopted guidance on a retrospective basis that requires debt issuance costs related to a recognized debt liability to be presented in the consolidated balance sheets as a deduction from the carrying amount of such debt. Because of this adoption, the Company reclassified $73 of debt issuance costs as of December 31, 2015 from other current assets to senior secured notes.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2015-11, Inventory (Topic 330): Simplifying the Measurement of Inventory</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standard requires an entity to measure in-scope inventory at the lower of cost and net realizable value. Net realizable value is the estimated selling price in the ordinary course of business, less reasonably predictable costs of completion, disposal and transportation. The new standard is effective for fiscal years and interim periods within those years beginning after December 15, 2016. The Company does not expect the adoption of this ASU to have a material impact on its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2015-17, Income Taxes (Topic 740): Balance Sheet Classification of Deferred Taxes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standard simplifies the presentation of deferred income taxes by eliminating the separate classification of deferred income tax liabilities and assets into current and noncurrent amounts in the consolidated balance sheet. The amendments in the update require that all deferred tax liabilities and assets be classified as noncurrent in the consolidated balance sheet. The amendments in this update are effective for annual periods beginning after December 15, 2016, and interim periods within those fiscal years and may be applied either prospectively or retrospectively to all periods presented. Early adoption is permitted. The Company adopted ASU No. 2015-17 prospectively effective December 31, 2016. Adoption of this ASU did not result in any adjustment to the consolidated balance sheet as the Company records a full valuation allowance of its total deferred tax assets.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ASU No. 2016-01, Financial Instruments – Overall (Topic 825-10): Recognition and Measurement of Financial Assets and Financial Liabilities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standard which amends various aspects of the recognition, measurement, presentation, and disclosure for financial instruments. With respect to the Company’s consolidated financial statements, the most significant impact relates to the accounting for equity investments. It will impact the disclosure and presentation of financial assets and liabilities. The amendments in this update are effective for annual reporting periods, and interim periods within those years beginning after December 15, 2017. Early adoption by public entities is permitted only for certain provisions. The Company is currently in the process of evaluating the impact of the adoption on its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2016-02, Leases (Topic 842)</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standard provides new guidance related to accounting for leases and supersedes United States GAAP on lease accounting with the intent to increase transparency. This standard requires operating leases to be recorded on the balance sheet as assets and liabilities, and requires disclosure of key information about leasing arrangements. Leases will be classified as either finance or operating, with classification affecting the pattern of expense recognition in the statement of operations and comprehensive loss. The adoption will require a modified retrospective approach as of the beginning of the earliest period presented. The new standard is effective for the fiscal year beginning after December 15, 2018, with early adoption permitted. The Company is currently in the process of evaluating the impact of the adoption on its consolidated financial statements, but the Company expects that it will result in a significant increase in its long-term assets and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2016-09, Compensation-Stock Compensation (Topic 718): Improvements to Employee Share-Based Payment Accounting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standard provides new guidance to simplify the accounting for share-based payments and addresses the treatment of income tax consequences including classification of awards as either equity or liabilities, and classification on the statement of cash flows in financing or operating cash flows, respectively. The standard permits the Company to elect a policy whereby forfeitures are accounted for as they occur rather than on an estimated basis. The new standard is effective for the fiscal year beginning after December 15, 2016, with early adoption permitted. The Company is currently in the process of evaluating the impact of the adoption on its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2016-06, Derivatives and Hedging: Contingent Put and Call Options in Debt Instruments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amendments clarify the steps required to assess whether a call or put option meets the criteria for bifurcation as an embedded derivative. The ASU is effective for fiscal years and interim periods within those years beginning after December 15, 2016. The Company does not expect the adoption of this ASU to have a material impact on its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2016-13, Financial Instruments - Credit Losses (Topic 326): Measurement of Credit Losses on Financial Instruments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standard changes the impairment model for most financial assets that are measured at amortized cost and certain other instruments, including trade receivables, from an incurred loss model to an expected loss model and adds certain new required disclosures. Under the expected loss model, entities will recognize estimated credit losses to be incurred over the entire contractual term of the instrument rather than delaying recognition of credit losses until it is probable the loss has been incurred. The new standard is effective for the fiscal year beginning after December 15, 2019, with early adoption permitted. The Company is currently in the process of evaluating the potential impact of the adoption on its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2016-15, Statement of Cash Flows (Topic 230): Classification of Certain Cash Receipts, Cash Payments, and Restricted Stock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standard provides new guidance to help clarify whether certain items should be categorized as operating, investing, or financing in the statement of cash flows. This ASU No. 2016-15 provides guidance on eight specific cash flow issues. The new standard is effective for the fiscal year beginning after December 15, 2017, with early adoption permitted. The Company is currently in the process of evaluating the potential impact of the adoption on its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color w:val="auto"/>
        </w:rPr>
        <w:t>ASU No. 2017-01, Business Combinations (Topic 805): Clarifying the Definition of a Business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standard provides new guidance to clarify the definition of a business by providing guidance to assist entities with evaluating whether transactions should be accounted for as acquisitions of assets or businesses. Under the new standard, to classify the acquisition of assets as a business, there must be an input, a substantive process that results in outputs, with outputs being defined as the key elements of the business. If substantially all the fair value of the assets acquired is concentrated in a single identifiable asset or group of similar identifiable assets, this would not qualify as a business. The new standard is effective for the fiscal year beginning after December 15, 2017, with early adoption permitted. The Company is currently in the process of evaluating the potential impact of the adoption on its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2017-04, Intangibles-Goodwill and Other (Topic 350): Simplifying the Test for Goodwill Impairment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standard provides new guidance to eliminate the requirement to calculate the implied fair value of goodwill, or the Step 2 test, to measure a goodwill impairment charge. Instead, entities will record an impairment charge based on the excess of a reporting unit’s carrying amount over its fair value. The loss recognized should not exceed the total goodwill allocated to the reporting unit. The new standard is effective for the fiscal year beginning after December 15, 2019, with early adoption permitted. The Company is currently in the process of evaluating the potential impact of the adoption on its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 Reclassification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27, 2015, the Company implemented the Reverse Stock Split, which became effective as of the opening of trading on the NASDAQ on that date. As of November 27, 2015, every 10 shares of the Company’s issued and outstanding common stock were combined into one share of its common stock, except to the extent that the Reverse Stock Split resulted in any of the Company’s stockholders owning a fractional share, which was rounded up to the next highest whole share. In connection with the Reverse Stock Split, there was no change in the nominal par value per share of $0.01 and the Company’s authorized shares.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balances have been reclassified to conform to presentation requirements, including to retroactively present the effect of the Reverse Stock Split. All references to the number of shares of common stock, price per share and weighted average shares of common stock have been adjusted to reflect the Reverse Stock Split on a retroactive basis for all periods presented, unless otherwise noted.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a result of the adoption of </w:t>
      </w:r>
      <w:r>
        <w:rPr>
          <w:rFonts w:ascii="Arial" w:cs="Arial" w:eastAsia="Arial" w:hAnsi="Arial"/>
          <w:sz w:val="18"/>
          <w:szCs w:val="18"/>
          <w:i w:val="1"/>
          <w:iCs w:val="1"/>
          <w:color w:val="auto"/>
        </w:rPr>
        <w:t>ASU No. 2015-03</w:t>
      </w:r>
      <w:r>
        <w:rPr>
          <w:rFonts w:ascii="Arial" w:cs="Arial" w:eastAsia="Arial" w:hAnsi="Arial"/>
          <w:sz w:val="18"/>
          <w:szCs w:val="18"/>
          <w:color w:val="auto"/>
        </w:rPr>
        <w:t xml:space="preserve"> on a retrospective basis, during the year ended December 31, 2016, the Company reclassified $73 of debt issuance costs as of December 31, 2015 from other current assets to senior secured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Loss per Share of Common Stock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27, 2015, the Company effected a one-for-ten reverse stock split of its issued and outstanding shares of common stock. As a result, all references to number of shares of common stock, price per share and weighted average shares of common stock have been adjusted to reflect the one-for-ten reverse stock split on a retroactive basis for all periods presented, unless otherwise noted.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0"/>
        </w:trPr>
        <w:tc>
          <w:tcPr>
            <w:tcW w:w="8420" w:type="dxa"/>
            <w:vAlign w:val="bottom"/>
            <w:gridSpan w:val="2"/>
          </w:tcPr>
          <w:p>
            <w:pPr>
              <w:spacing w:after="0"/>
              <w:rPr>
                <w:sz w:val="20"/>
                <w:szCs w:val="20"/>
                <w:color w:val="auto"/>
              </w:rPr>
            </w:pPr>
            <w:r>
              <w:rPr>
                <w:rFonts w:ascii="Arial" w:cs="Arial" w:eastAsia="Arial" w:hAnsi="Arial"/>
                <w:sz w:val="18"/>
                <w:szCs w:val="18"/>
                <w:color w:val="auto"/>
              </w:rPr>
              <w:t>The table below presents the computation of basic and diluted net losses per share of common stock:</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7"/>
          </w:tcPr>
          <w:p>
            <w:pPr>
              <w:jc w:val="right"/>
              <w:ind w:right="280"/>
              <w:spacing w:after="0"/>
              <w:rPr>
                <w:sz w:val="20"/>
                <w:szCs w:val="20"/>
                <w:color w:val="auto"/>
              </w:rPr>
            </w:pPr>
            <w:r>
              <w:rPr>
                <w:rFonts w:ascii="Arial" w:cs="Arial" w:eastAsia="Arial" w:hAnsi="Arial"/>
                <w:sz w:val="18"/>
                <w:szCs w:val="18"/>
                <w:color w:val="auto"/>
                <w:w w:val="88"/>
              </w:rPr>
              <w:t>For the 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Numerator:</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Net loss attributable to shares of common stock</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(24,006)</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(11,157)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shares of common stock</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(24,006</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(11,157</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Denominator:</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common stock outstanding during the year</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15,167,292</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10,217,734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Basic shares of common stock outstanding</w:t>
            </w:r>
          </w:p>
        </w:tc>
        <w:tc>
          <w:tcPr>
            <w:tcW w:w="1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15,167,292</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10,217,734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Basic loss per share of common stock from continuing operations</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Basic net loss per share of common stock</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b w:val="1"/>
                <w:bCs w:val="1"/>
                <w:color w:val="auto"/>
              </w:rPr>
              <w:t>Diluted Numerator: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shares of common stock</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(24,006)</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(11,157)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Diluted net loss attributable to shares of common stock</w:t>
            </w:r>
          </w:p>
        </w:tc>
        <w:tc>
          <w:tcPr>
            <w:tcW w:w="1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(24,006</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(11,157</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b w:val="1"/>
                <w:bCs w:val="1"/>
                <w:color w:val="auto"/>
              </w:rPr>
              <w:t>Diluted Denominator: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Basic shares of common stock outstanding</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15,167,292</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10,217,734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Diluted shares of common stock outstanding</w:t>
            </w:r>
          </w:p>
        </w:tc>
        <w:tc>
          <w:tcPr>
            <w:tcW w:w="1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15,167,292</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10,217,734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Diluted loss per share of common stock from continuing operations</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Diluted net loss per share of common stock</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400" w:type="dxa"/>
            <w:vAlign w:val="bottom"/>
          </w:tcPr>
          <w:p>
            <w:pPr>
              <w:spacing w:after="0" w:line="198" w:lineRule="exact"/>
              <w:rPr>
                <w:sz w:val="20"/>
                <w:szCs w:val="20"/>
                <w:color w:val="auto"/>
              </w:rPr>
            </w:pPr>
            <w:r>
              <w:rPr>
                <w:rFonts w:ascii="Arial" w:cs="Arial" w:eastAsia="Arial" w:hAnsi="Arial"/>
                <w:sz w:val="18"/>
                <w:szCs w:val="18"/>
                <w:b w:val="1"/>
                <w:bCs w:val="1"/>
                <w:color w:val="auto"/>
                <w:w w:val="91"/>
              </w:rPr>
              <w:t>Net loss per share data presented excludes from the calculation of diluted net loss the following potentially</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Arial" w:cs="Arial" w:eastAsia="Arial" w:hAnsi="Arial"/>
                <w:sz w:val="18"/>
                <w:szCs w:val="18"/>
                <w:b w:val="1"/>
                <w:bCs w:val="1"/>
                <w:color w:val="auto"/>
              </w:rPr>
              <w:t>dilutive securities, as they had an anti-dilutive impact: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w w:val="90"/>
              </w:rPr>
              <w:t>Vested and unvested options outstanding to purchase an equal number of shares of common stock of the Company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3,679,101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871,484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Unvested RSUs to issue an equal number of shares of common stock of the Company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53,280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an equal number of shares of common stock of the Company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3,506,679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1,006,679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Preferred stock on an as converted basis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3,931,416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Conversion feature of senior secured notes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79,295</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b w:val="1"/>
                <w:bCs w:val="1"/>
                <w:color w:val="auto"/>
                <w:w w:val="98"/>
              </w:rPr>
              <w:t>Total number of potentially dilutive instruments, excluded from the calculation of net loss per share</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11,196,491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3,181,443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Cash and Cash Equivalents</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7"/>
          </w:tcPr>
          <w:p>
            <w:pPr>
              <w:jc w:val="right"/>
              <w:ind w:right="740"/>
              <w:spacing w:after="0"/>
              <w:rPr>
                <w:sz w:val="20"/>
                <w:szCs w:val="20"/>
                <w:color w:val="auto"/>
              </w:rPr>
            </w:pPr>
            <w:r>
              <w:rPr>
                <w:rFonts w:ascii="Arial" w:cs="Arial" w:eastAsia="Arial" w:hAnsi="Arial"/>
                <w:sz w:val="18"/>
                <w:szCs w:val="18"/>
                <w:color w:val="auto"/>
              </w:rPr>
              <w:t>As of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Cash denominated in United States dollars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Cash denominated in currency other than United States dollars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694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Credit and debit card receivables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17,910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XpresSpa acquisition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August 8, 2016, the Company signed an agreement to acquire XpresSpa. </w:t>
      </w:r>
      <w:r>
        <w:rPr>
          <w:rFonts w:ascii="Arial" w:cs="Arial" w:eastAsia="Arial" w:hAnsi="Arial"/>
          <w:sz w:val="18"/>
          <w:szCs w:val="18"/>
          <w:color w:val="181818"/>
        </w:rPr>
        <w:t>On December 23, 2016, the Company completed the acquisition of XpresSpa for</w:t>
      </w:r>
      <w:r>
        <w:rPr>
          <w:rFonts w:ascii="Arial" w:cs="Arial" w:eastAsia="Arial" w:hAnsi="Arial"/>
          <w:sz w:val="18"/>
          <w:szCs w:val="18"/>
          <w:color w:val="auto"/>
        </w:rPr>
        <w:t xml:space="preserve"> </w:t>
      </w:r>
      <w:r>
        <w:rPr>
          <w:rFonts w:ascii="Arial" w:cs="Arial" w:eastAsia="Arial" w:hAnsi="Arial"/>
          <w:sz w:val="18"/>
          <w:szCs w:val="18"/>
          <w:color w:val="181818"/>
        </w:rPr>
        <w:t>a total purchase consideration of $37,400, which includes:</w:t>
      </w:r>
    </w:p>
    <w:p>
      <w:pPr>
        <w:spacing w:after="0" w:line="17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181818"/>
        </w:rPr>
      </w:pPr>
      <w:r>
        <w:rPr>
          <w:rFonts w:ascii="Arial" w:cs="Arial" w:eastAsia="Arial" w:hAnsi="Arial"/>
          <w:sz w:val="18"/>
          <w:szCs w:val="18"/>
          <w:color w:val="181818"/>
        </w:rPr>
        <w:t>$1,734 in cash which was invested on August 8, 2016.</w:t>
      </w:r>
    </w:p>
    <w:p>
      <w:pPr>
        <w:spacing w:after="0" w:line="225" w:lineRule="exact"/>
        <w:rPr>
          <w:rFonts w:ascii="Arial" w:cs="Arial" w:eastAsia="Arial" w:hAnsi="Arial"/>
          <w:sz w:val="18"/>
          <w:szCs w:val="18"/>
          <w:color w:val="181818"/>
        </w:rPr>
      </w:pPr>
    </w:p>
    <w:p>
      <w:pPr>
        <w:ind w:left="660" w:hanging="328"/>
        <w:spacing w:after="0"/>
        <w:tabs>
          <w:tab w:leader="none" w:pos="660" w:val="left"/>
        </w:tabs>
        <w:numPr>
          <w:ilvl w:val="0"/>
          <w:numId w:val="27"/>
        </w:numPr>
        <w:rPr>
          <w:rFonts w:ascii="Arial" w:cs="Arial" w:eastAsia="Arial" w:hAnsi="Arial"/>
          <w:sz w:val="18"/>
          <w:szCs w:val="18"/>
          <w:color w:val="181818"/>
        </w:rPr>
      </w:pPr>
      <w:r>
        <w:rPr>
          <w:rFonts w:ascii="Arial" w:cs="Arial" w:eastAsia="Arial" w:hAnsi="Arial"/>
          <w:sz w:val="18"/>
          <w:szCs w:val="18"/>
          <w:color w:val="181818"/>
        </w:rPr>
        <w:t>2,500,000 shares of FORM common stock, par value $0.01 per share (“FORM Common Stock”).</w:t>
      </w:r>
    </w:p>
    <w:p>
      <w:pPr>
        <w:spacing w:after="0" w:line="225" w:lineRule="exact"/>
        <w:rPr>
          <w:rFonts w:ascii="Arial" w:cs="Arial" w:eastAsia="Arial" w:hAnsi="Arial"/>
          <w:sz w:val="18"/>
          <w:szCs w:val="18"/>
          <w:color w:val="181818"/>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494,792 shares of FORM Preferred Stock with an aggregate initial liquidation preference of $23,750.</w:t>
      </w:r>
    </w:p>
    <w:p>
      <w:pPr>
        <w:spacing w:after="0" w:line="225"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Pursuant to the terms of the agreement governing the XpresSpa acquisition, in February 2017, the total number of shares of FORM Preferred Stock was decreased from 494,792 shares to 491,427 shares with an aggregate initial liquidation preference of $23,588, which are initially convertible into 3,931,416 shares of FORM Common Stock, at a conversion price of $6.00 per share. Each holder of FORM Preferred Stock shall be entitled to vote on an as converted basis.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five-year warrants to purchase 2,500,000 shares of FORM Common Stock, at an exercise price of $3.00 per share, each subject to adjustment in the event of a stock split, dividend or similar events.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230,208 shares of FORM Preferred Stock, with an estimated fair value of $11,050, were placed into an escrow that will be released over an 18 month period once certain conditions are satisfied. The escrow will be used to obtain necessary lease consents from the airports and to cover potential liabilities that may arise after the acquisition, but pertain to the activities before the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purchase consideration was determined based on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fair value of the shares of FORM Common Stock was determined by multiplying the Company's closing stock price of $2.09/share on the acquisition date by the number of shares of FORM Common Stock issued.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fair value of the warrants was determined using the Monte-Carlo simulation, which calculated the fair value based on the difference between the projected share price, derived from the estimated future market cap, and the exercise price of $3.00/share.</w:t>
      </w:r>
    </w:p>
    <w:p>
      <w:pPr>
        <w:spacing w:after="0" w:line="170"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fair value of FORM Preferred Stock was also determined using the Monte-Carlo simulation, from which the Company’s future market cap and derived share price in each year for the seven years following the acquisition date were ascertained. The Company also determined the future market cap and derived share prices for periods prior to the end of the seven year term, assuming early conversion. The fair value was then calculated by multiplying the number of converted shares by the Company’s closing stock price as of the time of conversion. In the scenario that the shares of FORM Preferred Stock will convert at the end of the seven year term, the fair value was calculated by establishing the implied share price and the relevant premium to the conversion ratio. The fair value is then discounted as of the acquisition date.</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transaction has been accounted for using the acquisition method of accounting in accordance with ASC 805, Business Combinations, which requires that one of the two companies be designated as the acquirer for accounting purposes based on the evidence available. In this transaction, FORM was treated as the acquiring entity for accounting purposes. In identifying FORM as the acquiring entity, the companies took into account the composition of FORM’s Board of Directors, the designation of certain senior management positions, including its Chief Executive Officer and Chief Financial Officer, as well as the fact that FORM’s existing stockholders own approximately 67% of FORM after completion of the acquisition on a fully diluted basis.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acquired and liabilities assumed were recorded at their fair values as of the acquisition date. The fair value of the purchase price consideration was allocated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Fair</w:t>
            </w:r>
          </w:p>
        </w:tc>
        <w:tc>
          <w:tcPr>
            <w:tcW w:w="2280" w:type="dxa"/>
            <w:vAlign w:val="bottom"/>
          </w:tcPr>
          <w:p>
            <w:pPr>
              <w:spacing w:after="0"/>
              <w:rPr>
                <w:sz w:val="18"/>
                <w:szCs w:val="18"/>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Acquisition of XpresSpa on December 23, 2016:</w:t>
            </w:r>
          </w:p>
        </w:tc>
        <w:tc>
          <w:tcPr>
            <w:tcW w:w="3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c>
          <w:tcPr>
            <w:tcW w:w="2280" w:type="dxa"/>
            <w:vAlign w:val="bottom"/>
          </w:tcPr>
          <w:p>
            <w:pPr>
              <w:spacing w:after="0"/>
              <w:rPr>
                <w:sz w:val="20"/>
                <w:szCs w:val="20"/>
                <w:color w:val="auto"/>
              </w:rPr>
            </w:pPr>
          </w:p>
        </w:tc>
      </w:tr>
      <w:tr>
        <w:trPr>
          <w:trHeight w:val="210"/>
        </w:trPr>
        <w:tc>
          <w:tcPr>
            <w:tcW w:w="4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3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FORM Common Stock</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5,225</w:t>
            </w:r>
          </w:p>
        </w:tc>
        <w:tc>
          <w:tcPr>
            <w:tcW w:w="228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December 2016 Warrants</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2,689</w:t>
            </w:r>
          </w:p>
        </w:tc>
        <w:tc>
          <w:tcPr>
            <w:tcW w:w="2280" w:type="dxa"/>
            <w:vAlign w:val="bottom"/>
          </w:tcPr>
          <w:p>
            <w:pPr>
              <w:spacing w:after="0"/>
              <w:rPr>
                <w:sz w:val="18"/>
                <w:szCs w:val="18"/>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FORM Preferred Stock</w:t>
            </w:r>
          </w:p>
        </w:tc>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27,752</w:t>
            </w:r>
          </w:p>
        </w:tc>
        <w:tc>
          <w:tcPr>
            <w:tcW w:w="2280" w:type="dxa"/>
            <w:vAlign w:val="bottom"/>
          </w:tcPr>
          <w:p>
            <w:pPr>
              <w:spacing w:after="0"/>
              <w:rPr>
                <w:sz w:val="19"/>
                <w:szCs w:val="19"/>
                <w:color w:val="auto"/>
              </w:rPr>
            </w:pPr>
          </w:p>
        </w:tc>
      </w:tr>
      <w:tr>
        <w:trPr>
          <w:trHeight w:val="223"/>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fair value of the purchase consideration</w:t>
            </w:r>
          </w:p>
        </w:tc>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8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656"/>
        </w:trPr>
        <w:tc>
          <w:tcPr>
            <w:tcW w:w="45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3"/>
          </w:tcPr>
          <w:p>
            <w:pPr>
              <w:jc w:val="right"/>
              <w:ind w:right="2110"/>
              <w:spacing w:after="0"/>
              <w:rPr>
                <w:sz w:val="20"/>
                <w:szCs w:val="20"/>
                <w:color w:val="auto"/>
              </w:rPr>
            </w:pPr>
            <w:r>
              <w:rPr>
                <w:rFonts w:ascii="Arial" w:cs="Arial" w:eastAsia="Arial" w:hAnsi="Arial"/>
                <w:sz w:val="18"/>
                <w:szCs w:val="18"/>
                <w:color w:val="auto"/>
              </w:rPr>
              <w:t>F-22</w:t>
            </w: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73" w:name="page74"/>
    <w:bookmarkEnd w:id="73"/>
    <w:p>
      <w:pPr>
        <w:ind w:right="20"/>
        <w:spacing w:after="0" w:line="342" w:lineRule="auto"/>
        <w:rPr>
          <w:sz w:val="20"/>
          <w:szCs w:val="20"/>
          <w:color w:val="auto"/>
        </w:rPr>
      </w:pPr>
      <w:r>
        <w:rPr>
          <w:rFonts w:ascii="Arial" w:cs="Arial" w:eastAsia="Arial" w:hAnsi="Arial"/>
          <w:sz w:val="16"/>
          <w:szCs w:val="16"/>
          <w:color w:val="auto"/>
        </w:rPr>
        <w:t>The purchase price for the acquisition was allocated to the net tangible and intangible assets based on their fair values as of the acquisition date. The excess of the purchase price over the net tangible assets and intangible assets was recorded as goodwill. The fair value of the purchase price was allocated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4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3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3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w:t>
            </w:r>
          </w:p>
        </w:tc>
        <w:tc>
          <w:tcPr>
            <w:tcW w:w="3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3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Security deposits for leases</w:t>
            </w: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3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Debt</w:t>
            </w: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8"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Noncontrolling interests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60"/>
        <w:spacing w:after="0"/>
        <w:rPr>
          <w:sz w:val="20"/>
          <w:szCs w:val="20"/>
          <w:color w:val="auto"/>
        </w:rPr>
      </w:pPr>
      <w:r>
        <w:rPr>
          <w:rFonts w:ascii="Arial" w:cs="Arial" w:eastAsia="Arial" w:hAnsi="Arial"/>
          <w:sz w:val="18"/>
          <w:szCs w:val="18"/>
          <w:color w:val="auto"/>
        </w:rPr>
        <w:t>42,038</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(4,638)</w:t>
      </w:r>
    </w:p>
    <w:p>
      <w:pPr>
        <w:spacing w:after="0" w:line="35" w:lineRule="exact"/>
        <w:rPr>
          <w:sz w:val="20"/>
          <w:szCs w:val="20"/>
          <w:color w:val="auto"/>
        </w:rPr>
      </w:pPr>
    </w:p>
    <w:p>
      <w:pPr>
        <w:ind w:left="760" w:hanging="751"/>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37,400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7886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40" w:space="720"/>
            <w:col w:w="1360"/>
          </w:cols>
          <w:pgMar w:left="240" w:top="908" w:right="239" w:bottom="1440" w:gutter="0" w:footer="0" w:header="0"/>
          <w:type w:val="continuous"/>
        </w:sectPr>
      </w:pP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noncontrolling interests as of the acquisition date of $4,638 was estimated based on the business enterprise value analysis of XpresSpa as of the acquisition date. The analysis was performed using the income approach and the implied internal rate of return from the fair value of the total purchase consideration of $37,400 and was based on the proportionate share of each individual location’s business enterprise value of the total business enterprise value of XpresSpa.</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allocation of the purchase price was based upon a valuation performed using the Company's estimates and assumptions, which are subject to change within the measurement period (up to one year from the acquisition date). The principal area of potential purchase price adjustments relates to the consideration placed in escrow. Acquisition costs representing direct legal, accounting, diligence and tax fees of $2,597 were expensed as incurred. Of this amount, the Company incurred $1,353 of these costs, which are included in general and administrative expense in the consolidated statements of operations and comprehensive loss. The remaining $1,244 of costs were incurred by XpresSpa prior to the acquisition.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Group Mobile and FLI Charge acquisition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15, 2015, the Company acquired IDG. Pursuant to the Purchase Agreement, the Company acquired 100% of the capital stock of IDG. Group Mobile and 70% of FLI Charge were also acquired through the purchase of IDG. Group Mobile provides total hardware solutions, including rugged laptops, tablets, and handheld computers. Group Mobile also markets rugged mobile printers, vehicle computer docking and mounting gear, power accessories, wireless communication products, antennas, carrying cases and other peripherals, accessories and add-ons needed to maximize productivity in a mobile- or field-computing environment. FLI Charge owns patented conductive wireless charging technology and is focused on innovation, sales, manufacturing and licensing its technology in various industries, such as automotive, furniture and others.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consideration for the acquisition, the Company issued an equivalent of 1,666,667 shares of common stock (after giving effect to the Reverse Stock Split), which were issued as follows: (i) 1,604,167 shares of the Company’s newly designated Series B Convertible Preferred Stock (“Series B Preferred”), convertible into 1,604,167 shares of the Company’s common stock, (ii) 57,500 shares of the Company’s unregistered common stock issued to one of the sellers, who is a former chief executive officer and director of IDG, in consideration of his forgiveness of debt and (iii) 5,000 shares of the Company’s common stock for transaction related services. A total of 240,625 shares of Series B Preferred Stock were placed in escrow to secure certain of the sellers’ indemnity obligations under the Purchase Agreement for a period of up to 12 months. On November 27, 2015, all outstanding shares of Series B Preferred Stock were converted into unregistered common stock of the Company, resulting in the issuance of 1,604,167 shares of common stock. Shares held in escrow were released to the sellers in April and November 2016.</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74" w:name="page75"/>
    <w:bookmarkEnd w:id="74"/>
    <w:p>
      <w:pPr>
        <w:spacing w:after="0" w:line="277" w:lineRule="auto"/>
        <w:rPr>
          <w:sz w:val="20"/>
          <w:szCs w:val="20"/>
          <w:color w:val="auto"/>
        </w:rPr>
      </w:pPr>
      <w:r>
        <w:rPr>
          <w:rFonts w:ascii="Arial" w:cs="Arial" w:eastAsia="Arial" w:hAnsi="Arial"/>
          <w:sz w:val="18"/>
          <w:szCs w:val="18"/>
          <w:color w:val="auto"/>
        </w:rPr>
        <w:t>Purchase consideration value was determined based on the market value of the Company’s common stock as of the date of the transactions, discounted for the fact that the shares are restricted as to their marketability for a period of six months from the issuance date.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transaction has been accounted for as a business combination. Assets acquired and liabilities assumed were recorded at their fair values as of the acquisition date. The purchase price consideration was as follows:</w:t>
      </w:r>
    </w:p>
    <w:p>
      <w:pPr>
        <w:sectPr>
          <w:pgSz w:w="11900" w:h="16838" w:orient="portrait"/>
          <w:cols w:equalWidth="0" w:num="1">
            <w:col w:w="11420"/>
          </w:cols>
          <w:pgMar w:left="240" w:top="9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October 15, 2015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579755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Series B Preferred Stock</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Debt assumed, settled 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579755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Total fair value of shares issued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432"/>
        <w:spacing w:after="0"/>
        <w:rPr>
          <w:sz w:val="20"/>
          <w:szCs w:val="20"/>
          <w:color w:val="auto"/>
        </w:rPr>
      </w:pPr>
      <w:r>
        <w:rPr>
          <w:rFonts w:ascii="Arial" w:cs="Arial" w:eastAsia="Arial" w:hAnsi="Arial"/>
          <w:sz w:val="18"/>
          <w:szCs w:val="18"/>
          <w:color w:val="auto"/>
        </w:rPr>
        <w:t>Fair</w:t>
      </w:r>
    </w:p>
    <w:p>
      <w:pPr>
        <w:spacing w:after="0" w:line="23" w:lineRule="exact"/>
        <w:rPr>
          <w:sz w:val="20"/>
          <w:szCs w:val="20"/>
          <w:color w:val="auto"/>
        </w:rPr>
      </w:pPr>
    </w:p>
    <w:p>
      <w:pPr>
        <w:ind w:left="392"/>
        <w:spacing w:after="0"/>
        <w:rPr>
          <w:sz w:val="20"/>
          <w:szCs w:val="20"/>
          <w:color w:val="auto"/>
        </w:rPr>
      </w:pPr>
      <w:r>
        <w:rPr>
          <w:rFonts w:ascii="Arial" w:cs="Arial" w:eastAsia="Arial" w:hAnsi="Arial"/>
          <w:sz w:val="18"/>
          <w:szCs w:val="18"/>
          <w:color w:val="auto"/>
        </w:rPr>
        <w:t>Value</w:t>
      </w:r>
    </w:p>
    <w:p>
      <w:pPr>
        <w:spacing w:after="0" w:line="224" w:lineRule="exact"/>
        <w:rPr>
          <w:sz w:val="20"/>
          <w:szCs w:val="20"/>
          <w:color w:val="auto"/>
        </w:rPr>
      </w:pPr>
    </w:p>
    <w:p>
      <w:pPr>
        <w:ind w:left="792" w:hanging="792"/>
        <w:spacing w:after="0"/>
        <w:tabs>
          <w:tab w:leader="none" w:pos="792" w:val="left"/>
        </w:tabs>
        <w:numPr>
          <w:ilvl w:val="0"/>
          <w:numId w:val="31"/>
        </w:numPr>
        <w:rPr>
          <w:rFonts w:ascii="Arial" w:cs="Arial" w:eastAsia="Arial" w:hAnsi="Arial"/>
          <w:sz w:val="15"/>
          <w:szCs w:val="15"/>
          <w:color w:val="auto"/>
        </w:rPr>
      </w:pPr>
      <w:r>
        <w:rPr>
          <w:rFonts w:ascii="Arial" w:cs="Arial" w:eastAsia="Arial" w:hAnsi="Arial"/>
          <w:sz w:val="15"/>
          <w:szCs w:val="15"/>
          <w:color w:val="auto"/>
        </w:rPr>
        <w:t>5,378</w:t>
      </w:r>
    </w:p>
    <w:p>
      <w:pPr>
        <w:spacing w:after="0" w:line="57" w:lineRule="exact"/>
        <w:rPr>
          <w:rFonts w:ascii="Arial" w:cs="Arial" w:eastAsia="Arial" w:hAnsi="Arial"/>
          <w:sz w:val="15"/>
          <w:szCs w:val="15"/>
          <w:color w:val="auto"/>
        </w:rPr>
      </w:pPr>
    </w:p>
    <w:p>
      <w:pPr>
        <w:ind w:left="912"/>
        <w:spacing w:after="0"/>
        <w:rPr>
          <w:rFonts w:ascii="Arial" w:cs="Arial" w:eastAsia="Arial" w:hAnsi="Arial"/>
          <w:sz w:val="15"/>
          <w:szCs w:val="15"/>
          <w:color w:val="auto"/>
        </w:rPr>
      </w:pPr>
      <w:r>
        <w:rPr>
          <w:rFonts w:ascii="Arial" w:cs="Arial" w:eastAsia="Arial" w:hAnsi="Arial"/>
          <w:sz w:val="16"/>
          <w:szCs w:val="16"/>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543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38" w:lineRule="exact"/>
        <w:rPr>
          <w:sz w:val="20"/>
          <w:szCs w:val="20"/>
          <w:color w:val="auto"/>
        </w:rPr>
      </w:pPr>
    </w:p>
    <w:p>
      <w:pPr>
        <w:ind w:left="792" w:hanging="792"/>
        <w:spacing w:after="0"/>
        <w:tabs>
          <w:tab w:leader="none" w:pos="792" w:val="left"/>
        </w:tabs>
        <w:numPr>
          <w:ilvl w:val="0"/>
          <w:numId w:val="32"/>
        </w:numPr>
        <w:rPr>
          <w:rFonts w:ascii="Arial" w:cs="Arial" w:eastAsia="Arial" w:hAnsi="Arial"/>
          <w:sz w:val="15"/>
          <w:szCs w:val="15"/>
          <w:color w:val="auto"/>
        </w:rPr>
      </w:pPr>
      <w:r>
        <w:rPr>
          <w:rFonts w:ascii="Arial" w:cs="Arial" w:eastAsia="Arial" w:hAnsi="Arial"/>
          <w:sz w:val="15"/>
          <w:szCs w:val="15"/>
          <w:color w:val="auto"/>
        </w:rPr>
        <w:t>5,571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7543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53975</wp:posOffset>
            </wp:positionV>
            <wp:extent cx="7543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48" w:space="720"/>
            <w:col w:w="3552"/>
          </w:cols>
          <w:pgMar w:left="240" w:top="936" w:right="239" w:bottom="1440" w:gutter="0" w:footer="0" w:header="0"/>
          <w:type w:val="continuous"/>
        </w:sectPr>
      </w:pPr>
    </w:p>
    <w:p>
      <w:pPr>
        <w:spacing w:after="0" w:line="10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purchase price for the acquisition was allocated to the net tangible and intangible assets based on their fair values as of the acquisition date. The excess of the purchase price over the net tangible assets and intangible assets was recorded as goodwill. The purchase price allocation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w w:val="97"/>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2,146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Credit line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Net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5,833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FLI Charge</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rPr>
              <w:t>Total fair value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acquisition, the Company also entered into a Consulting Agreement with IDG’s former chief executive officer and director for a term of six months and payment of $9 per month. The Company also issued to a finder a warrant to purchase up to an aggregate of 50,000 shares of common stock of the Company, at an exercise price of $5.00 per share, expiring on April 15, 2021. The fair value of the warrant was $114 and was recorded as an expense in general and administrative expenses.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bookmarkStart w:id="75" w:name="page76"/>
    <w:bookmarkEnd w:id="75"/>
    <w:p>
      <w:pPr>
        <w:jc w:val="both"/>
        <w:spacing w:after="0" w:line="257" w:lineRule="auto"/>
        <w:rPr>
          <w:sz w:val="20"/>
          <w:szCs w:val="20"/>
          <w:color w:val="auto"/>
        </w:rPr>
      </w:pPr>
      <w:r>
        <w:rPr>
          <w:rFonts w:ascii="Arial" w:cs="Arial" w:eastAsia="Arial" w:hAnsi="Arial"/>
          <w:sz w:val="18"/>
          <w:szCs w:val="18"/>
          <w:color w:val="auto"/>
        </w:rPr>
        <w:t xml:space="preserve">On December 28, 2015, the Company acquired the remaining 30% interest in FLI Charge from third parties. In conjunction with the transaction, the Company issued 110,000 shares of its unregistered common stock for total consideration of $262. The fair value of the consideration for financial reporting purposes was determined based on the market value of the shares as of the date of the transaction, discounted due to the restricted nature of the shares and the effect this has on their marketability. The issuance of these shares has no impact on the allocation of the purchase consideration pursuant to </w:t>
      </w:r>
      <w:r>
        <w:rPr>
          <w:rFonts w:ascii="Arial" w:cs="Arial" w:eastAsia="Arial" w:hAnsi="Arial"/>
          <w:sz w:val="18"/>
          <w:szCs w:val="18"/>
          <w:i w:val="1"/>
          <w:iCs w:val="1"/>
          <w:color w:val="auto"/>
        </w:rPr>
        <w:t>FASB ASC 810</w:t>
      </w:r>
      <w:r>
        <w:rPr>
          <w:rFonts w:ascii="Arial" w:cs="Arial" w:eastAsia="Arial" w:hAnsi="Arial"/>
          <w:sz w:val="18"/>
          <w:szCs w:val="18"/>
          <w:color w:val="auto"/>
        </w:rPr>
        <w:t xml:space="preserve"> and was recorded as an equity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the Company’s intangible assets, which consist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9"/>
              </w:rPr>
              <w:t>December 31, 2016</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9"/>
              </w:rPr>
              <w:t>December 31, 2015</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8"/>
              </w:rPr>
              <w:t>Weighted average</w:t>
            </w:r>
          </w:p>
        </w:tc>
        <w:tc>
          <w:tcPr>
            <w:tcW w:w="0" w:type="dxa"/>
            <w:vAlign w:val="bottom"/>
          </w:tcPr>
          <w:p>
            <w:pPr>
              <w:spacing w:after="0"/>
              <w:rPr>
                <w:sz w:val="1"/>
                <w:szCs w:val="1"/>
                <w:color w:val="auto"/>
              </w:rPr>
            </w:pPr>
          </w:p>
        </w:tc>
      </w:tr>
      <w:tr>
        <w:trPr>
          <w:trHeight w:val="195"/>
        </w:trPr>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6"/>
                <w:szCs w:val="16"/>
                <w:color w:val="auto"/>
              </w:rPr>
            </w:pPr>
          </w:p>
        </w:tc>
        <w:tc>
          <w:tcPr>
            <w:tcW w:w="1340" w:type="dxa"/>
            <w:vAlign w:val="bottom"/>
            <w:gridSpan w:val="3"/>
          </w:tcPr>
          <w:p>
            <w:pPr>
              <w:jc w:val="right"/>
              <w:ind w:right="240"/>
              <w:spacing w:after="0" w:line="195" w:lineRule="exact"/>
              <w:rPr>
                <w:sz w:val="20"/>
                <w:szCs w:val="20"/>
                <w:color w:val="auto"/>
              </w:rPr>
            </w:pPr>
            <w:r>
              <w:rPr>
                <w:rFonts w:ascii="Arial" w:cs="Arial" w:eastAsia="Arial" w:hAnsi="Arial"/>
                <w:sz w:val="18"/>
                <w:szCs w:val="18"/>
                <w:color w:val="auto"/>
                <w:w w:val="96"/>
              </w:rPr>
              <w:t>Accumulated</w:t>
            </w:r>
          </w:p>
        </w:tc>
        <w:tc>
          <w:tcPr>
            <w:tcW w:w="100" w:type="dxa"/>
            <w:vAlign w:val="bottom"/>
          </w:tcPr>
          <w:p>
            <w:pPr>
              <w:spacing w:after="0"/>
              <w:rPr>
                <w:sz w:val="16"/>
                <w:szCs w:val="16"/>
                <w:color w:val="auto"/>
              </w:rPr>
            </w:pPr>
          </w:p>
        </w:tc>
        <w:tc>
          <w:tcPr>
            <w:tcW w:w="74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Net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6"/>
                <w:szCs w:val="16"/>
                <w:color w:val="auto"/>
              </w:rPr>
            </w:pPr>
          </w:p>
        </w:tc>
        <w:tc>
          <w:tcPr>
            <w:tcW w:w="1360" w:type="dxa"/>
            <w:vAlign w:val="bottom"/>
            <w:gridSpan w:val="3"/>
          </w:tcPr>
          <w:p>
            <w:pPr>
              <w:jc w:val="right"/>
              <w:ind w:right="240"/>
              <w:spacing w:after="0" w:line="195" w:lineRule="exact"/>
              <w:rPr>
                <w:sz w:val="20"/>
                <w:szCs w:val="20"/>
                <w:color w:val="auto"/>
              </w:rPr>
            </w:pPr>
            <w:r>
              <w:rPr>
                <w:rFonts w:ascii="Arial" w:cs="Arial" w:eastAsia="Arial" w:hAnsi="Arial"/>
                <w:sz w:val="18"/>
                <w:szCs w:val="18"/>
                <w:color w:val="auto"/>
                <w:w w:val="97"/>
              </w:rPr>
              <w:t>Accumulated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Net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Carrying</w:t>
            </w:r>
          </w:p>
        </w:tc>
        <w:tc>
          <w:tcPr>
            <w:tcW w:w="160" w:type="dxa"/>
            <w:vAlign w:val="bottom"/>
          </w:tcPr>
          <w:p>
            <w:pPr>
              <w:spacing w:after="0"/>
              <w:rPr>
                <w:sz w:val="18"/>
                <w:szCs w:val="18"/>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w w:val="99"/>
              </w:rPr>
              <w:t>Amortization</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Carrying</w:t>
            </w:r>
          </w:p>
        </w:tc>
        <w:tc>
          <w:tcPr>
            <w:tcW w:w="100" w:type="dxa"/>
            <w:vAlign w:val="bottom"/>
          </w:tcPr>
          <w:p>
            <w:pPr>
              <w:spacing w:after="0"/>
              <w:rPr>
                <w:sz w:val="18"/>
                <w:szCs w:val="18"/>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Carrying</w:t>
            </w:r>
          </w:p>
        </w:tc>
        <w:tc>
          <w:tcPr>
            <w:tcW w:w="140" w:type="dxa"/>
            <w:vAlign w:val="bottom"/>
          </w:tcPr>
          <w:p>
            <w:pPr>
              <w:spacing w:after="0"/>
              <w:rPr>
                <w:sz w:val="18"/>
                <w:szCs w:val="18"/>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Carrying</w:t>
            </w:r>
          </w:p>
        </w:tc>
        <w:tc>
          <w:tcPr>
            <w:tcW w:w="1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w w:val="97"/>
              </w:rPr>
              <w:t>amortization period</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Amount</w:t>
            </w:r>
          </w:p>
        </w:tc>
        <w:tc>
          <w:tcPr>
            <w:tcW w:w="1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rPr>
              <w:t>and Impairment</w:t>
            </w: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and Impairment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Amount</w:t>
            </w:r>
          </w:p>
        </w:tc>
        <w:tc>
          <w:tcPr>
            <w:tcW w:w="180" w:type="dxa"/>
            <w:vAlign w:val="bottom"/>
          </w:tcPr>
          <w:p>
            <w:pPr>
              <w:spacing w:after="0"/>
              <w:rPr>
                <w:sz w:val="20"/>
                <w:szCs w:val="20"/>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(years)</w:t>
            </w: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27,026</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28,213</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14,431</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1,476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1,163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1,101</w:t>
            </w:r>
          </w:p>
        </w:tc>
        <w:tc>
          <w:tcPr>
            <w:tcW w:w="1700" w:type="dxa"/>
            <w:vAlign w:val="bottom"/>
            <w:gridSpan w:val="3"/>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13,812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w:t>
            </w: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Technology</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479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479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461</w:t>
            </w:r>
          </w:p>
        </w:tc>
        <w:tc>
          <w:tcPr>
            <w:tcW w:w="1700" w:type="dxa"/>
            <w:vAlign w:val="bottom"/>
            <w:gridSpan w:val="3"/>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30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43,143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(27,533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30,359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16,476</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recorded customer relationships, trade name and technology in connection with the acquisitions of Group Mobile and FLI Charge in the fourth quarter of 2015 and XpresSpa in the fourth quarter of 2016. Additionally, during 2016, the Company has capitalized costs for software related to the build-out of Group Mobile’s new website, groupmobile.com, which was placed in service in the fourth quarter 2016. The patent assets consist of several major patent portfolios, which were acquired from third parties, as well as a number of internally-developed patents. The costs related to internally-developed patents are expensed as incurred. Customer relationships consists of agreements or relationships with customers, customer lists and returning customers that are considered material to the business and hold economic value. Trade names are words, names, symbols or other devices used in trade to indicate the source of the product and to distinguish it from the products of others. Trade names are considered valuable to the operations of the business. To estimate the value of the trade name, the Company considered the royalty that could be charged to license the subject trade name and applied the relief from royalty method of the income approach.</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second quarter of 2016, the Company determined that there were impairment indicators related to certain of its patents. A significant factor considered when making this determination occurred on May 6, 2016, when “Vringo, Inc.” changed its name to “FORM Holdings Corp.” and concurrently announced its repositioning as a holding company of small and middle market growth companies. The Company concluded that this factor was deemed a “triggering” event, which required the related patent assets to be tested for impairment. In performing this impairment test, the Company determined that the patent portfolios, which together represent an asset group, were subject to impairment testing. In the first step of the impairment test, the Company utilized its projections of future undiscounted cash flows based on the Company’s existing plans for the patents. As a result, it was determined that the Company’s projections of future undiscounted cash flows were less than the carrying value of the asset group. Accordingly, the Company performed the second step of the impairment test to measure the impairment by calculating the asset group’s fair value as of May 6, 2016. As a result, following amortization for the month of April, the Company recorded an impairment charge of $11,937, or 88.7% of the carrying value of the patents prior to impairment. This resulted in a new carrying value of $1,526 on May 6, 2016. The impairment charge is included in depreciation, amortization and impairment in the consolidated statements of operations and comprehensive loss. Following the impairment, the Company reevaluated the remaining useful life and concluded that there were no changes in the estimated useful life.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jc w:val="both"/>
        <w:spacing w:after="0" w:line="257" w:lineRule="auto"/>
        <w:rPr>
          <w:sz w:val="20"/>
          <w:szCs w:val="20"/>
          <w:color w:val="auto"/>
        </w:rPr>
      </w:pPr>
      <w:r>
        <w:rPr>
          <w:rFonts w:ascii="Arial" w:cs="Arial" w:eastAsia="Arial" w:hAnsi="Arial"/>
          <w:sz w:val="18"/>
          <w:szCs w:val="18"/>
          <w:color w:val="auto"/>
        </w:rPr>
        <w:t>On December 5, 2016, the Company entered into an agreement with Nokia to assign Nokia rights related to certain patents previously purchased from Nokia. The carrying value of the patents assigned to Nokia prior to the agreement was $1,186, which offset the $1,750 of royalty payable and resulted in a gain of $564 on the disposal of assets, which is included in general and administrative expense in the consolidated statements of operations and comprehensive loss. The Company retained selected patents previously purchased from Nokia with a carrying value of $50 as of December 31, 2016 that are no longer subject to any royalty payments to Nokia.</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intangible assets are amortized over their expected useful lives. During the years ended December 31, 2016 and 2015, the Company recorded amortization and impairment expense of $13,650 and $3,295, respectively, related to its intangible assets.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disclosed above, there were no impairment indicators related to any of the Company’s amortizable intangible assets during the year ended December 31,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As of December 31, 2016, future amortization for our intangible assets is as follows: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6"/>
        </w:trPr>
        <w:tc>
          <w:tcPr>
            <w:tcW w:w="680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Amount</w:t>
            </w:r>
          </w:p>
        </w:tc>
      </w:tr>
      <w:tr>
        <w:trPr>
          <w:trHeight w:val="210"/>
        </w:trPr>
        <w:tc>
          <w:tcPr>
            <w:tcW w:w="6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2,989</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2,722</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2,380</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2,262</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2,265</w:t>
            </w:r>
          </w:p>
        </w:tc>
      </w:tr>
      <w:tr>
        <w:trPr>
          <w:trHeight w:val="223"/>
        </w:trPr>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provides information regarding the Company’s goodwill, which relates to the acquisition of XpresSpa completed on December 23, 2016 and the acquisition of Group Mobile and FLI Charge as part of the IDG acquisition completed on October 15, 2015. There were no indicators of impairment of goodwill as of December 31, 2016.</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Goodwill as of December 31, 2014</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Acquisition of Group Mobile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4,106</w:t>
            </w:r>
          </w:p>
        </w:tc>
        <w:tc>
          <w:tcPr>
            <w:tcW w:w="40" w:type="dxa"/>
            <w:vAlign w:val="bottom"/>
          </w:tcPr>
          <w:p>
            <w:pPr>
              <w:spacing w:after="0"/>
              <w:rPr>
                <w:sz w:val="18"/>
                <w:szCs w:val="18"/>
                <w:color w:val="auto"/>
              </w:rPr>
            </w:pPr>
          </w:p>
        </w:tc>
      </w:tr>
      <w:tr>
        <w:trPr>
          <w:trHeight w:val="230"/>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FLI Charge</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w:t>
            </w:r>
          </w:p>
        </w:tc>
        <w:tc>
          <w:tcPr>
            <w:tcW w:w="40" w:type="dxa"/>
            <w:vAlign w:val="bottom"/>
            <w:shd w:val="clear" w:color="auto" w:fill="CCEEFF"/>
          </w:tcPr>
          <w:p>
            <w:pPr>
              <w:spacing w:after="0"/>
              <w:rPr>
                <w:sz w:val="19"/>
                <w:szCs w:val="19"/>
                <w:color w:val="auto"/>
              </w:rPr>
            </w:pPr>
          </w:p>
        </w:tc>
      </w:tr>
      <w:tr>
        <w:trPr>
          <w:trHeight w:val="210"/>
        </w:trPr>
        <w:tc>
          <w:tcPr>
            <w:tcW w:w="6880" w:type="dxa"/>
            <w:vAlign w:val="bottom"/>
          </w:tcPr>
          <w:p>
            <w:pPr>
              <w:spacing w:after="0"/>
              <w:rPr>
                <w:sz w:val="20"/>
                <w:szCs w:val="20"/>
                <w:color w:val="auto"/>
              </w:rPr>
            </w:pPr>
            <w:r>
              <w:rPr>
                <w:rFonts w:ascii="Arial" w:cs="Arial" w:eastAsia="Arial" w:hAnsi="Arial"/>
                <w:sz w:val="18"/>
                <w:szCs w:val="18"/>
                <w:color w:val="auto"/>
              </w:rPr>
              <w:t>Goodwill as of December 31, 2015</w:t>
            </w: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XpresSpa</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20,303</w:t>
            </w:r>
          </w:p>
        </w:tc>
        <w:tc>
          <w:tcPr>
            <w:tcW w:w="40" w:type="dxa"/>
            <w:vAlign w:val="bottom"/>
            <w:shd w:val="clear" w:color="auto" w:fill="CCEEFF"/>
          </w:tcPr>
          <w:p>
            <w:pPr>
              <w:spacing w:after="0"/>
              <w:rPr>
                <w:sz w:val="19"/>
                <w:szCs w:val="19"/>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Goodwill as of December 31, 2016</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25,166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General and administrative expenses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the key categories of general and administrative expenses for the year ended December 31, 2016 compared to the year ended December 31,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ind w:left="180"/>
              <w:spacing w:after="0"/>
              <w:rPr>
                <w:sz w:val="20"/>
                <w:szCs w:val="20"/>
                <w:color w:val="auto"/>
              </w:rPr>
            </w:pPr>
            <w:r>
              <w:rPr>
                <w:rFonts w:ascii="Arial" w:cs="Arial" w:eastAsia="Arial" w:hAnsi="Arial"/>
                <w:sz w:val="18"/>
                <w:szCs w:val="18"/>
                <w:color w:val="auto"/>
              </w:rPr>
              <w:t>Year ended December 31,</w:t>
            </w:r>
          </w:p>
        </w:tc>
      </w:tr>
      <w:tr>
        <w:trPr>
          <w:trHeight w:val="223"/>
        </w:trPr>
        <w:tc>
          <w:tcPr>
            <w:tcW w:w="4700" w:type="dxa"/>
            <w:vAlign w:val="bottom"/>
            <w:tcBorders>
              <w:bottom w:val="single" w:sz="8" w:color="CCEEFF"/>
            </w:tcBorders>
          </w:tcPr>
          <w:p>
            <w:pPr>
              <w:spacing w:after="0"/>
              <w:rPr>
                <w:sz w:val="19"/>
                <w:szCs w:val="19"/>
                <w:color w:val="auto"/>
              </w:rPr>
            </w:pPr>
          </w:p>
        </w:tc>
        <w:tc>
          <w:tcPr>
            <w:tcW w:w="38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19"/>
                <w:szCs w:val="19"/>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3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Salaries, commissions, and benefits</w:t>
            </w:r>
          </w:p>
        </w:tc>
        <w:tc>
          <w:tcPr>
            <w:tcW w:w="4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4,662</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2,149</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3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4,303</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Legal, merger and acquisition, and financing</w:t>
            </w:r>
          </w:p>
        </w:tc>
        <w:tc>
          <w:tcPr>
            <w:tcW w:w="3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729</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Accounting, tax and audit</w:t>
            </w:r>
          </w:p>
        </w:tc>
        <w:tc>
          <w:tcPr>
            <w:tcW w:w="3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Advertising and marketing</w:t>
            </w:r>
          </w:p>
        </w:tc>
        <w:tc>
          <w:tcPr>
            <w:tcW w:w="3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3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Public company administration and investor relations</w:t>
            </w:r>
          </w:p>
        </w:tc>
        <w:tc>
          <w:tcPr>
            <w:tcW w:w="3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Rent and utilities</w:t>
            </w:r>
          </w:p>
        </w:tc>
        <w:tc>
          <w:tcPr>
            <w:tcW w:w="3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r>
      <w:tr>
        <w:trPr>
          <w:trHeight w:val="23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 expenses</w:t>
            </w:r>
          </w:p>
        </w:tc>
        <w:tc>
          <w:tcPr>
            <w:tcW w:w="3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38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10,162</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7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right"/>
              <w:ind w:right="2850"/>
              <w:spacing w:after="0"/>
              <w:rPr>
                <w:sz w:val="20"/>
                <w:szCs w:val="20"/>
                <w:color w:val="auto"/>
              </w:rPr>
            </w:pPr>
            <w:r>
              <w:rPr>
                <w:rFonts w:ascii="Arial" w:cs="Arial" w:eastAsia="Arial" w:hAnsi="Arial"/>
                <w:sz w:val="18"/>
                <w:szCs w:val="18"/>
                <w:color w:val="auto"/>
              </w:rPr>
              <w:t>F-26</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Note 8. Segment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currently has four operating segments, including XpresSpa, Group Mobile, FLI Charge and intellectual property, which accumulate revenue and expenses. Additionally, the Company allocates certain expenses to its non-operating corporate segment. The corporate segment represents general and administrative expenses as well as net non-operating income (expense) that are not specific to any of the Company’s operating segments, but represent expenses incurred on behalf of the parent company, a holding company.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00" w:type="dxa"/>
            <w:vAlign w:val="bottom"/>
            <w:gridSpan w:val="6"/>
          </w:tcPr>
          <w:p>
            <w:pPr>
              <w:jc w:val="right"/>
              <w:ind w:right="200"/>
              <w:spacing w:after="0"/>
              <w:rPr>
                <w:sz w:val="20"/>
                <w:szCs w:val="20"/>
                <w:color w:val="auto"/>
              </w:rPr>
            </w:pPr>
            <w:r>
              <w:rPr>
                <w:rFonts w:ascii="Arial" w:cs="Arial" w:eastAsia="Arial" w:hAnsi="Arial"/>
                <w:sz w:val="18"/>
                <w:szCs w:val="18"/>
                <w:color w:val="auto"/>
                <w:w w:val="88"/>
              </w:rPr>
              <w:t>For the year ended 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Borders>
              <w:bottom w:val="single" w:sz="8" w:color="CCEEFF"/>
            </w:tcBorders>
          </w:tcPr>
          <w:p>
            <w:pPr>
              <w:spacing w:after="0"/>
              <w:rPr>
                <w:sz w:val="20"/>
                <w:szCs w:val="20"/>
                <w:color w:val="auto"/>
              </w:rPr>
            </w:pPr>
          </w:p>
        </w:tc>
        <w:tc>
          <w:tcPr>
            <w:tcW w:w="30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XpresSpa</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811</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Group Mobile</w:t>
            </w:r>
          </w:p>
        </w:tc>
        <w:tc>
          <w:tcPr>
            <w:tcW w:w="3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6,638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FLI Charge</w:t>
            </w:r>
          </w:p>
        </w:tc>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3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11,175</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21,750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w:t>
            </w:r>
          </w:p>
        </w:tc>
        <w:tc>
          <w:tcPr>
            <w:tcW w:w="30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18,974</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22,687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Segment operating loss:</w:t>
            </w:r>
          </w:p>
        </w:tc>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XpresSpa</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Group Mobile</w:t>
            </w:r>
          </w:p>
        </w:tc>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FLI Charge</w:t>
            </w:r>
          </w:p>
        </w:tc>
        <w:tc>
          <w:tcPr>
            <w:tcW w:w="3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Intellectual property and corporate</w:t>
            </w:r>
          </w:p>
        </w:tc>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(17,637)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segment operating loss</w:t>
            </w:r>
          </w:p>
        </w:tc>
        <w:tc>
          <w:tcPr>
            <w:tcW w:w="30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(22,417)</w:t>
            </w: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(10,344)</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Non-operating expense, net</w:t>
            </w:r>
          </w:p>
        </w:tc>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(1,586)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income tax benefit</w:t>
            </w:r>
          </w:p>
        </w:tc>
        <w:tc>
          <w:tcPr>
            <w:tcW w:w="30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XpresSpa</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57,527</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Group Mobile</w:t>
            </w:r>
          </w:p>
        </w:tc>
        <w:tc>
          <w:tcPr>
            <w:tcW w:w="3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7,014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FLI Charge</w:t>
            </w:r>
          </w:p>
        </w:tc>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1,620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3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Corporate</w:t>
            </w:r>
          </w:p>
        </w:tc>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15,706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0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82,807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costs are allocated among the operating segments and non-operating corporate segment. Each operating segment records their respective general and administrative costs with the exception of the intellectual property segment, which has minimal general and administrative costs so they are combined with those of the non-operating corporate segment. The non-operating corporate segment does not have any revenue, but does incur expenses. As a result, the intellectual property operating segment and the non-operating corporate segment were combined in the table above for purposes of displaying the total segment operating loss for those two segments.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The corporate segment’s assets are mainly comprised of cash and cash equivalents.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8" w:name="page79"/>
    <w:bookmarkEnd w:id="78"/>
    <w:p>
      <w:pPr>
        <w:jc w:val="both"/>
        <w:spacing w:after="0" w:line="259" w:lineRule="auto"/>
        <w:rPr>
          <w:sz w:val="20"/>
          <w:szCs w:val="20"/>
          <w:color w:val="auto"/>
        </w:rPr>
      </w:pPr>
      <w:r>
        <w:rPr>
          <w:rFonts w:ascii="Arial" w:cs="Arial" w:eastAsia="Arial" w:hAnsi="Arial"/>
          <w:sz w:val="18"/>
          <w:szCs w:val="18"/>
          <w:color w:val="auto"/>
        </w:rPr>
        <w:t>The Company currently operates in two geographical segments: the United States and all other countries. The following table represents the geographical revenue, segment operating loss, and total asset information as of and for the years ended December 31, 2016 and 2015. There were no concentrations of geographical revenue, segment operating loss, or total assets related to any single foreign country that were material to the Company’s consolidated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7"/>
          </w:tcPr>
          <w:p>
            <w:pPr>
              <w:jc w:val="right"/>
              <w:ind w:right="280"/>
              <w:spacing w:after="0"/>
              <w:rPr>
                <w:sz w:val="20"/>
                <w:szCs w:val="20"/>
                <w:color w:val="auto"/>
              </w:rPr>
            </w:pPr>
            <w:r>
              <w:rPr>
                <w:rFonts w:ascii="Arial" w:cs="Arial" w:eastAsia="Arial" w:hAnsi="Arial"/>
                <w:sz w:val="18"/>
                <w:szCs w:val="18"/>
                <w:color w:val="auto"/>
                <w:w w:val="88"/>
              </w:rPr>
              <w:t>For the 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CCEEFF"/>
            </w:tcBorders>
          </w:tcPr>
          <w:p>
            <w:pPr>
              <w:spacing w:after="0"/>
              <w:rPr>
                <w:sz w:val="19"/>
                <w:szCs w:val="19"/>
                <w:color w:val="auto"/>
              </w:rPr>
            </w:pPr>
          </w:p>
        </w:tc>
        <w:tc>
          <w:tcPr>
            <w:tcW w:w="3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United States</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18,875</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22,687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3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w:t>
            </w:r>
          </w:p>
        </w:tc>
        <w:tc>
          <w:tcPr>
            <w:tcW w:w="32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18,974</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22,687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Segment operating loss:</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(22,490)</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All other countries</w:t>
            </w:r>
          </w:p>
        </w:tc>
        <w:tc>
          <w:tcPr>
            <w:tcW w:w="3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segment operating loss</w:t>
            </w:r>
          </w:p>
        </w:tc>
        <w:tc>
          <w:tcPr>
            <w:tcW w:w="3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(22,417</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United States</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80,053</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50,459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3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2,754</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82,807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Revenue from Settlements and Licensing Agreements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25, 2016, the Company entered into a Confidential License Agreement (the “License Agreement”). Pursuant to the terms of the License Agreement, the licensee paid the Company a one-time lump sum payment of $8,900 on May 30, 2016. As a result, the Company granted to the licensee a non-exclusive, non-transferable, worldwide perpetual license to certain patents and patent applications.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7, 2015, the Company entered into a confidential settlement and license agreement (the “Settlement Agreement”) with ZTE Corporation and its affiliates (“ZTE”), pursuant to which: (i) ZTE paid the Company a total of $21,500, net of any withholding, value added or other taxes; (ii) the parties withdrew all pending litigations and proceedings against each other including the litigations related to ZTE’s breach of its non-disclosure agreement with the Company; and (iii) the Company granted ZTE a non-exclusive, non-transferable, worldwide perpetual license of certain patents and patent applications owned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 and Senior Secured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part of the acquisition of XpresSpa, which was completed on December 23, 2016, the Company recorded the debt described below.</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XpresSpa entered in a credit agreement and secured promissory note (“Rockmore Debt”) with Rockmore Investment Master Fund Ltd. (“Rockmore”) on April 22, 2015 that was amended on August 8, 2016. Rockmore is an investment entity controlled by the Company’s board member, Bruce T. Bernstein.</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total principal of the Rockmore Debt is $6,500 payable in full upon maturity on May 1, 2018 with an additional one-year extension to May 1, 2019 at the election of the Company. The Rockmore Debt bears 11.24% interest per year (based on 360 days in a year) that is payable as follows:</w:t>
      </w:r>
    </w:p>
    <w:p>
      <w:pPr>
        <w:spacing w:after="0" w:line="14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9.24% annual interest, calculated on a monthly basis, which is payable in arrears on the last business day of each month plus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2% annual interest, calculated on a monthly basis, which accrues monthly and becomes due and payable on the Rockmore Debt anniversary dates.</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interest decreases to 10.5% per year (8.5% payable in monthly installments and 2% payable annually) if the Rockmore Debt is extended to May 1, 2019, effective May 1, 2018.</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Rockmore Debt can be pre-paid by XpresSpa at a 4% penalty at any point at its election. The Rockmore Debt is secured by substantially all of the assets of XpresSpa. In addition, XpresSpa needs consent of Rockmore to incur any additional debt, except for:</w:t>
      </w:r>
    </w:p>
    <w:p>
      <w:pPr>
        <w:spacing w:after="0" w:line="17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debt to finance acquisition, construction, or improvement of fixed and capital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performance bonds, bid bonds, appeal bonds, surety bonds, and similar;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pension fund and employee benefit plan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unsecured debt not exceeding $1,000;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convertible notes not exceeding $5,000;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letters of credit, bank guarantees and others in the ordinary course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Rockmore was entitled to certain reporting rights and annual audited financial information, which Rockmore waived in March 2017.</w:t>
      </w:r>
    </w:p>
    <w:p>
      <w:pPr>
        <w:sectPr>
          <w:pgSz w:w="11900" w:h="16838" w:orient="portrait"/>
          <w:cols w:equalWidth="0" w:num="1">
            <w:col w:w="11420"/>
          </w:cols>
          <w:pgMar w:left="240" w:top="908" w:right="239" w:bottom="167" w:gutter="0" w:footer="0" w:header="0"/>
        </w:sectPr>
      </w:pPr>
    </w:p>
    <w:bookmarkStart w:id="79" w:name="page80"/>
    <w:bookmarkEnd w:id="79"/>
    <w:p>
      <w:pPr>
        <w:jc w:val="center"/>
        <w:ind w:right="-40"/>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0" w:name="page81"/>
    <w:bookmarkEnd w:id="80"/>
    <w:p>
      <w:pPr>
        <w:jc w:val="both"/>
        <w:spacing w:after="0" w:line="264" w:lineRule="auto"/>
        <w:rPr>
          <w:sz w:val="20"/>
          <w:szCs w:val="20"/>
          <w:color w:val="auto"/>
        </w:rPr>
      </w:pPr>
      <w:r>
        <w:rPr>
          <w:rFonts w:ascii="Arial" w:cs="Arial" w:eastAsia="Arial" w:hAnsi="Arial"/>
          <w:sz w:val="18"/>
          <w:szCs w:val="18"/>
          <w:color w:val="auto"/>
        </w:rPr>
        <w:t>The Rockmore Debt had a fair value of $6,500 as of the acquisition date, December 23, 2016, and a $6,500 carrying value included in long term liabilities in the consolidated balance sheet as of December 31, 2016. During the period from the acquisition date to December 31, 2016, XpresSpa paid $100 of interest for December 2016 and January 2017 and recorded $16 of interest expense.</w:t>
      </w:r>
    </w:p>
    <w:p>
      <w:pPr>
        <w:sectPr>
          <w:pgSz w:w="11900" w:h="16838" w:orient="portrait"/>
          <w:cols w:equalWidth="0" w:num="1">
            <w:col w:w="11420"/>
          </w:cols>
          <w:pgMar w:left="240" w:top="908" w:right="2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Notes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changes in the book value of the Notes from December 31, 2015 to December 31,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Book value as of December 31, 2015 (net of unamortized portion of debt issuance costs of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Debt repayments in January and February 2016</w:t>
      </w:r>
    </w:p>
    <w:p>
      <w:pPr>
        <w:spacing w:after="0" w:line="9" w:lineRule="exact"/>
        <w:rPr>
          <w:sz w:val="20"/>
          <w:szCs w:val="20"/>
          <w:color w:val="auto"/>
        </w:rPr>
      </w:pPr>
    </w:p>
    <w:p>
      <w:pPr>
        <w:ind w:right="3356"/>
        <w:spacing w:after="0" w:line="341" w:lineRule="auto"/>
        <w:rPr>
          <w:sz w:val="20"/>
          <w:szCs w:val="20"/>
          <w:color w:val="auto"/>
        </w:rPr>
      </w:pPr>
      <w:r>
        <w:rPr>
          <w:rFonts w:ascii="Arial" w:cs="Arial" w:eastAsia="Arial" w:hAnsi="Arial"/>
          <w:sz w:val="16"/>
          <w:szCs w:val="16"/>
          <w:color w:val="auto"/>
        </w:rPr>
        <w:t>Amortization of debt discount and debt issuance costs, included in interest expense Book value of Notes before the Exchange Note Agreement on March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2466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Fair value of the considerations provided to the Investors, including:</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Increase in fair value of May 2015 Warrants due to reduced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Repayment of Notes in shares of common stock</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Repayment of $1,267 of Notes in shares of common stock at a discount to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Restructuring fee paid to the 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fair value of the considerations provided to the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Book value of Amended Notes after the Exchange Note Agreement on March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debt discount and debt issuance costs, included in interest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Early repayment fee of 15% of outstanding principal of $1,749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Repayment of Amended Notes in full on July 1,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Book value of Amended Notes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64" w:hanging="864"/>
        <w:spacing w:after="0"/>
        <w:tabs>
          <w:tab w:leader="none" w:pos="8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3,111</w:t>
      </w:r>
    </w:p>
    <w:p>
      <w:pPr>
        <w:spacing w:after="0" w:line="23" w:lineRule="exact"/>
        <w:rPr>
          <w:rFonts w:ascii="Arial" w:cs="Arial" w:eastAsia="Arial" w:hAnsi="Arial"/>
          <w:sz w:val="18"/>
          <w:szCs w:val="18"/>
          <w:color w:val="auto"/>
        </w:rPr>
      </w:pPr>
    </w:p>
    <w:p>
      <w:pPr>
        <w:ind w:left="784"/>
        <w:spacing w:after="0"/>
        <w:rPr>
          <w:rFonts w:ascii="Arial" w:cs="Arial" w:eastAsia="Arial" w:hAnsi="Arial"/>
          <w:sz w:val="18"/>
          <w:szCs w:val="18"/>
          <w:color w:val="auto"/>
        </w:rPr>
      </w:pPr>
      <w:r>
        <w:rPr>
          <w:rFonts w:ascii="Arial" w:cs="Arial" w:eastAsia="Arial" w:hAnsi="Arial"/>
          <w:sz w:val="17"/>
          <w:szCs w:val="17"/>
          <w:color w:val="auto"/>
        </w:rPr>
        <w:t>(1,190)</w:t>
      </w:r>
    </w:p>
    <w:p>
      <w:pPr>
        <w:spacing w:after="0" w:line="20"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356</w:t>
      </w:r>
    </w:p>
    <w:p>
      <w:pPr>
        <w:spacing w:after="0" w:line="22" w:lineRule="exact"/>
        <w:rPr>
          <w:rFonts w:ascii="Arial" w:cs="Arial" w:eastAsia="Arial" w:hAnsi="Arial"/>
          <w:sz w:val="18"/>
          <w:szCs w:val="18"/>
          <w:color w:val="auto"/>
        </w:rPr>
      </w:pPr>
    </w:p>
    <w:p>
      <w:pPr>
        <w:ind w:left="844"/>
        <w:spacing w:after="0"/>
        <w:rPr>
          <w:rFonts w:ascii="Arial" w:cs="Arial" w:eastAsia="Arial" w:hAnsi="Arial"/>
          <w:sz w:val="18"/>
          <w:szCs w:val="18"/>
          <w:color w:val="auto"/>
        </w:rPr>
      </w:pPr>
      <w:r>
        <w:rPr>
          <w:rFonts w:ascii="Arial" w:cs="Arial" w:eastAsia="Arial" w:hAnsi="Arial"/>
          <w:sz w:val="18"/>
          <w:szCs w:val="18"/>
          <w:color w:val="auto"/>
        </w:rPr>
        <w:t>2,277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975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281</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1,267</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183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975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1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496</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1,253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262</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(2,011)</w:t>
      </w:r>
    </w:p>
    <w:p>
      <w:pPr>
        <w:spacing w:after="0" w:line="35" w:lineRule="exact"/>
        <w:rPr>
          <w:sz w:val="20"/>
          <w:szCs w:val="20"/>
          <w:color w:val="auto"/>
        </w:rPr>
      </w:pPr>
    </w:p>
    <w:p>
      <w:pPr>
        <w:ind w:left="1084" w:hanging="1084"/>
        <w:spacing w:after="0"/>
        <w:tabs>
          <w:tab w:leader="none" w:pos="1084"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975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36" w:space="720"/>
            <w:col w:w="1364"/>
          </w:cols>
          <w:pgMar w:left="240" w:top="908" w:right="239" w:bottom="1440" w:gutter="0" w:footer="0" w:header="0"/>
          <w:type w:val="continuous"/>
        </w:sectPr>
      </w:pPr>
    </w:p>
    <w:p>
      <w:pPr>
        <w:spacing w:after="0" w:line="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2015, total outstanding principal of the Company’s Notes was $4,206. Between January 1, 2016 and March 9, 2016, the Company made two principal payments in the aggregate amount of $1,190. The Company elected to make these principal payments in shares of the Company’s common stock, which were issued at a 15% discount to the market price data. As such, the Company issued 1,032,332 shares in lieu of principal payments and recorded $210 as extinguishment of debt expense in the consolidated statements of operations and comprehensive loss.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9, 2016, the Company and the Investors entered into an Exchange Note Agreement. Pursuant to the Exchange Note Agreement, the Company issued to the Investors an aggregate of 703,644 shares of its common stock in exchange for the reduction of $1,267 of the outstanding aggregate principal amount of the Notes and $49 of accrued interest. As a result, the outstanding aggregate principal amount under the Notes was reduced from $3,016 to $1,749 as of March 9, 2016.</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on March 9, 2016, the Company, with the consent of each of the Investors, agreed to amend the Notes. Pursuant to the Amended Notes and the Indenture dated May 4, 2015, as supplemented by the First Supplemental Indenture dated May 4, 2015 and further supplemented by the Second Supplemental Indenture dated March 9, 2016: (i) the Amended Notes are no longer convertible into shares of the Company’s common stock and will be payable by the Company on the Maturity Date in cash only, (ii) the Maturity Date of the Amended Notes will extend to June 30, 2017, (iii) the Company will discontinue the payment of principal prior to the Maturity Date (subject to certain exceptions), (iv) the interest rate increased from 8% to 10% per annum and will accrue on the outstanding aggregate principal amount of the Amended Notes, payable monthly, and (v) the Company will pay to the Investors on the Maturity Date 102% of the outstanding aggregate principal amount of the Amended Notes. The Company also agreed to maintain a cash balance (including cash equivalents) of not less than $2,900.</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Company agreed to reduce the exercise price of the May 2015 Warrants from $10.00 to $3.00 per share and the parties also agreed to remove from the May 2015 Warrants certain anti-dilution features. Other terms of the May 2015 Warrants remained the same. Furthermore, in connection with the Amended Notes, the Company paid a restructuring fee of $50 to the Investors.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 2016, the Company repaid in full its Amended Notes that were due on June 30, 2017, including a 15% fee for early repayment. The Company used an aggregate of $2,011 of cash on hand for repayment of the Amended Notes. As a result of the repayment in full of the Amended Notes, all liens on the Company’s assets, including its intellectual property, were released by the Investors.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placement in the fair value hierarchy of liabilities measured at fair value on a recurring basis as of December 31,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gridSpan w:val="10"/>
          </w:tcPr>
          <w:p>
            <w:pPr>
              <w:jc w:val="center"/>
              <w:ind w:right="200"/>
              <w:spacing w:after="0"/>
              <w:rPr>
                <w:sz w:val="20"/>
                <w:szCs w:val="20"/>
                <w:color w:val="auto"/>
              </w:rPr>
            </w:pPr>
            <w:r>
              <w:rPr>
                <w:rFonts w:ascii="Arial" w:cs="Arial" w:eastAsia="Arial" w:hAnsi="Arial"/>
                <w:sz w:val="18"/>
                <w:szCs w:val="18"/>
                <w:color w:val="auto"/>
                <w:w w:val="89"/>
              </w:rPr>
              <w:t>Fair value measurement at reporting date using</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100"/>
              <w:spacing w:after="0" w:line="195" w:lineRule="exact"/>
              <w:rPr>
                <w:sz w:val="20"/>
                <w:szCs w:val="20"/>
                <w:color w:val="auto"/>
              </w:rPr>
            </w:pPr>
            <w:r>
              <w:rPr>
                <w:rFonts w:ascii="Arial" w:cs="Arial" w:eastAsia="Arial" w:hAnsi="Arial"/>
                <w:sz w:val="18"/>
                <w:szCs w:val="18"/>
                <w:color w:val="auto"/>
                <w:w w:val="91"/>
              </w:rPr>
              <w:t>Quoted prices in</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active markets</w:t>
            </w:r>
          </w:p>
        </w:tc>
        <w:tc>
          <w:tcPr>
            <w:tcW w:w="1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rPr>
              <w:t>Significant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Significant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for identical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observable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unobservable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Balance</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assets (Level 1)</w:t>
            </w:r>
          </w:p>
        </w:tc>
        <w:tc>
          <w:tcPr>
            <w:tcW w:w="12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inputs (Level 2)</w:t>
            </w:r>
          </w:p>
        </w:tc>
        <w:tc>
          <w:tcPr>
            <w:tcW w:w="10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May 2015 Warrants</w:t>
            </w:r>
          </w:p>
        </w:tc>
        <w:tc>
          <w:tcPr>
            <w:tcW w:w="960" w:type="dxa"/>
            <w:vAlign w:val="bottom"/>
          </w:tcPr>
          <w:p>
            <w:pPr>
              <w:jc w:val="right"/>
              <w:ind w:right="801"/>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December 31, 2015:</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May 2015 Warrants</w:t>
            </w:r>
          </w:p>
        </w:tc>
        <w:tc>
          <w:tcPr>
            <w:tcW w:w="960" w:type="dxa"/>
            <w:vAlign w:val="bottom"/>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Conversion feature</w:t>
            </w:r>
          </w:p>
        </w:tc>
        <w:tc>
          <w:tcPr>
            <w:tcW w:w="960" w:type="dxa"/>
            <w:vAlign w:val="bottom"/>
          </w:tcPr>
          <w:p>
            <w:pPr>
              <w:jc w:val="right"/>
              <w:ind w:right="801"/>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measures its derivative liabilities at fair value. The May 2015 Warrants were classified within Level 3 because they were valued using the Black-Scholes-Merton model, which utilizes significant inputs that are unobservable in the market. They are recorded as derivative warrant liabilities as they are freestanding instruments and there are several features within the warrants that may require the Company to cash settle or partially cash settle. In particular, the Company may have to cash settle, partially cash settle, or make cash payments to the Investors including cash settlement upon exercise when insufficient shares are authorized to be issued, and that the Company is obligated to issue registered shares when the warrants are exercised. The derivative warrant liabilities are initially measured at fair value and marked to market at each balance sheet date.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above, the Company’s financial instruments as of December 31, 2016 and 2015, consisted of cash and cash equivalents, receivables, accounts payable, Notes and Debt. The carrying amounts of all the aforementioned financial instruments approximate fair value because of the short-term maturities of these instruments.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changes in the Company’s liabilities measured at fair value using significant unobservable inputs (Level 3) during the year ended December 31,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May 2015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2"/>
              </w:rPr>
              <w:t>Conversion</w:t>
            </w:r>
          </w:p>
        </w:tc>
      </w:tr>
      <w:tr>
        <w:trPr>
          <w:trHeight w:val="230"/>
        </w:trPr>
        <w:tc>
          <w:tcPr>
            <w:tcW w:w="6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Warrants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feature</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Decrease in fair value of the warrants and conversion feature</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r>
      <w:tr>
        <w:trPr>
          <w:trHeight w:val="23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Increase in fair value as a result of debt modification</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December 31, 2016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Fair value measurement of the derivative warrant liabilities falls within Level 3 of the fair value hierarchy. The fair value measurements are evaluated by management to ensure that changes are consistent with expectations of management based upon the sensitivity and nature of the inputs.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December 31, 2016:</w:t>
            </w: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Borders>
              <w:bottom w:val="single" w:sz="8" w:color="CCEEFF"/>
            </w:tcBorders>
          </w:tcPr>
          <w:p>
            <w:pPr>
              <w:spacing w:after="0"/>
              <w:rPr>
                <w:sz w:val="24"/>
                <w:szCs w:val="24"/>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Valuation technique</w:t>
            </w: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Unobservable inputs</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Range</w:t>
            </w:r>
          </w:p>
        </w:tc>
        <w:tc>
          <w:tcPr>
            <w:tcW w:w="160" w:type="dxa"/>
            <w:vAlign w:val="bottom"/>
            <w:tcBorders>
              <w:bottom w:val="single" w:sz="8" w:color="CCEEFF"/>
            </w:tcBorders>
          </w:tcPr>
          <w:p>
            <w:pPr>
              <w:spacing w:after="0"/>
              <w:rPr>
                <w:sz w:val="24"/>
                <w:szCs w:val="24"/>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May 2015 Warrants</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45.15%</w:t>
            </w:r>
          </w:p>
        </w:tc>
      </w:tr>
      <w:tr>
        <w:trPr>
          <w:trHeight w:val="216"/>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r>
      <w:tr>
        <w:trPr>
          <w:trHeight w:val="216"/>
        </w:trPr>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w:t>
            </w:r>
          </w:p>
        </w:tc>
      </w:tr>
      <w:tr>
        <w:trPr>
          <w:trHeight w:val="230"/>
        </w:trPr>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634"/>
        </w:trPr>
        <w:tc>
          <w:tcPr>
            <w:tcW w:w="3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color w:val="auto"/>
              </w:rPr>
              <w:t>F-30</w:t>
            </w: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December 31, 2015:</w:t>
            </w: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3400" w:type="dxa"/>
            <w:vAlign w:val="bottom"/>
            <w:gridSpan w:val="3"/>
          </w:tcPr>
          <w:p>
            <w:pPr>
              <w:ind w:left="100"/>
              <w:spacing w:after="0"/>
              <w:rPr>
                <w:sz w:val="20"/>
                <w:szCs w:val="20"/>
                <w:color w:val="auto"/>
              </w:rPr>
            </w:pPr>
            <w:r>
              <w:rPr>
                <w:rFonts w:ascii="Arial" w:cs="Arial" w:eastAsia="Arial" w:hAnsi="Arial"/>
                <w:sz w:val="18"/>
                <w:szCs w:val="18"/>
                <w:b w:val="1"/>
                <w:bCs w:val="1"/>
                <w:color w:val="auto"/>
              </w:rPr>
              <w:t>Valuation technique</w:t>
            </w:r>
          </w:p>
        </w:tc>
        <w:tc>
          <w:tcPr>
            <w:tcW w:w="3180" w:type="dxa"/>
            <w:vAlign w:val="bottom"/>
          </w:tcPr>
          <w:p>
            <w:pPr>
              <w:spacing w:after="0"/>
              <w:rPr>
                <w:sz w:val="20"/>
                <w:szCs w:val="20"/>
                <w:color w:val="auto"/>
              </w:rPr>
            </w:pPr>
            <w:r>
              <w:rPr>
                <w:rFonts w:ascii="Arial" w:cs="Arial" w:eastAsia="Arial" w:hAnsi="Arial"/>
                <w:sz w:val="18"/>
                <w:szCs w:val="18"/>
                <w:b w:val="1"/>
                <w:bCs w:val="1"/>
                <w:color w:val="auto"/>
              </w:rPr>
              <w:t>Unobservable inputs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Range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Conversion feature</w:t>
            </w:r>
          </w:p>
        </w:tc>
        <w:tc>
          <w:tcPr>
            <w:tcW w:w="100" w:type="dxa"/>
            <w:vAlign w:val="bottom"/>
            <w:vMerge w:val="continue"/>
            <w:shd w:val="clear" w:color="auto" w:fill="CCEEFF"/>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Monte-Carlo model</w:t>
            </w:r>
          </w:p>
        </w:tc>
        <w:tc>
          <w:tcPr>
            <w:tcW w:w="100" w:type="dxa"/>
            <w:vAlign w:val="bottom"/>
            <w:vMerge w:val="continue"/>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Conversion price</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May 2015 Warrants</w:t>
            </w: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rPr>
              <w:t>Black-Scholes-Merton</w:t>
            </w:r>
          </w:p>
        </w:tc>
        <w:tc>
          <w:tcPr>
            <w:tcW w:w="3180" w:type="dxa"/>
            <w:vAlign w:val="bottom"/>
          </w:tcPr>
          <w:p>
            <w:pPr>
              <w:spacing w:after="0"/>
              <w:rPr>
                <w:sz w:val="20"/>
                <w:szCs w:val="20"/>
                <w:color w:val="auto"/>
              </w:rPr>
            </w:pPr>
            <w:r>
              <w:rPr>
                <w:rFonts w:ascii="Arial" w:cs="Arial" w:eastAsia="Arial" w:hAnsi="Arial"/>
                <w:sz w:val="18"/>
                <w:szCs w:val="18"/>
                <w:color w:val="auto"/>
              </w:rPr>
              <w:t>Volatility</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measurements to changes in significant unobservable inputs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inputs to estimate the fair value of the Company’s derivative warrant liabilities and conversion feature were the current market price of the Company’s common stock, the exercise price of the warrants and conversion feature, their remaining expected term, the volatility of the Company’s common stock price and the risk-free interest rate over the expected term. Significant changes in any of those inputs in isolation can result in a significant change in the fair value measurement.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Generally, an increase in the market price of the Company’s shares of common stock, an increase in the volatility of the Company’s shares of common stock, and an increase in the remaining term of the warrants and conversion feature would each result in a directionally similar change in the estimated fair value of the Company’s warrants. Such changes would increase the associated liability while decreases in these assumptions would decrease the associated liability. An increase in the risk-free interest rate or a decrease in the differential between the warrants’ and conversion feature’s exercise prices and the market price of the Company’s shares of common stock would result in a decrease in the estimated fair value measurement and thus a decrease in the associated liability. The Company has not, and does not plan to, declare dividends on its common stock, and as such, there is no change in the estimated fair value of the warrants and conversion feature due to the dividend assumption.</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presents the placement in the fair value hierarchy of intangible assets measured at fair value on a non-recurring basis as of December 31, 2016 due to impairment. There was no impairment of intangible assets for the year ended December 31, 2015 and, as such, no fair value measurement was performed. Also included in the following table is the placement in the fair value hierarchy of warrants and FORM Preferred Stock issued on December 23, 2016 for the acquisition of XpresSpa, measured at fair value on a non-recurring basis as of December 31,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gridSpan w:val="10"/>
          </w:tcPr>
          <w:p>
            <w:pPr>
              <w:jc w:val="center"/>
              <w:ind w:right="200"/>
              <w:spacing w:after="0"/>
              <w:rPr>
                <w:sz w:val="20"/>
                <w:szCs w:val="20"/>
                <w:color w:val="auto"/>
              </w:rPr>
            </w:pPr>
            <w:r>
              <w:rPr>
                <w:rFonts w:ascii="Arial" w:cs="Arial" w:eastAsia="Arial" w:hAnsi="Arial"/>
                <w:sz w:val="18"/>
                <w:szCs w:val="18"/>
                <w:color w:val="auto"/>
                <w:w w:val="89"/>
              </w:rPr>
              <w:t>Fair value measurement at reporting date using</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100"/>
              <w:spacing w:after="0" w:line="195" w:lineRule="exact"/>
              <w:rPr>
                <w:sz w:val="20"/>
                <w:szCs w:val="20"/>
                <w:color w:val="auto"/>
              </w:rPr>
            </w:pPr>
            <w:r>
              <w:rPr>
                <w:rFonts w:ascii="Arial" w:cs="Arial" w:eastAsia="Arial" w:hAnsi="Arial"/>
                <w:sz w:val="18"/>
                <w:szCs w:val="18"/>
                <w:color w:val="auto"/>
                <w:w w:val="91"/>
              </w:rPr>
              <w:t>Quoted prices in</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active markets</w:t>
            </w:r>
          </w:p>
        </w:tc>
        <w:tc>
          <w:tcPr>
            <w:tcW w:w="1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rPr>
              <w:t>Significant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Significant</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for identical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observable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unobservable</w:t>
            </w:r>
          </w:p>
        </w:tc>
        <w:tc>
          <w:tcPr>
            <w:tcW w:w="0" w:type="dxa"/>
            <w:vAlign w:val="bottom"/>
          </w:tcPr>
          <w:p>
            <w:pPr>
              <w:spacing w:after="0"/>
              <w:rPr>
                <w:sz w:val="1"/>
                <w:szCs w:val="1"/>
                <w:color w:val="auto"/>
              </w:rPr>
            </w:pPr>
          </w:p>
        </w:tc>
      </w:tr>
      <w:tr>
        <w:trPr>
          <w:trHeight w:val="230"/>
        </w:trPr>
        <w:tc>
          <w:tcPr>
            <w:tcW w:w="5620" w:type="dxa"/>
            <w:vAlign w:val="bottom"/>
            <w:vMerge w:val="restart"/>
          </w:tcPr>
          <w:p>
            <w:pPr>
              <w:spacing w:after="0"/>
              <w:rPr>
                <w:sz w:val="20"/>
                <w:szCs w:val="20"/>
                <w:color w:val="auto"/>
              </w:rPr>
            </w:pPr>
            <w:r>
              <w:rPr>
                <w:rFonts w:ascii="Arial" w:cs="Arial" w:eastAsia="Arial" w:hAnsi="Arial"/>
                <w:sz w:val="18"/>
                <w:szCs w:val="18"/>
                <w:color w:val="auto"/>
              </w:rPr>
              <w:t>December 31, 2016:</w:t>
            </w:r>
          </w:p>
        </w:tc>
        <w:tc>
          <w:tcPr>
            <w:tcW w:w="22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Balance</w:t>
            </w:r>
          </w:p>
        </w:tc>
        <w:tc>
          <w:tcPr>
            <w:tcW w:w="120" w:type="dxa"/>
            <w:vAlign w:val="bottom"/>
          </w:tcPr>
          <w:p>
            <w:pPr>
              <w:spacing w:after="0"/>
              <w:rPr>
                <w:sz w:val="20"/>
                <w:szCs w:val="20"/>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assets (Level 1)</w:t>
            </w:r>
          </w:p>
        </w:tc>
        <w:tc>
          <w:tcPr>
            <w:tcW w:w="12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inputs (Level 2)</w:t>
            </w:r>
          </w:p>
        </w:tc>
        <w:tc>
          <w:tcPr>
            <w:tcW w:w="10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inputs (Level 3)</w:t>
            </w:r>
          </w:p>
        </w:tc>
        <w:tc>
          <w:tcPr>
            <w:tcW w:w="0" w:type="dxa"/>
            <w:vAlign w:val="bottom"/>
          </w:tcPr>
          <w:p>
            <w:pPr>
              <w:spacing w:after="0"/>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December 2016 Warrants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2,689</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Preferred Stock</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27,752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2016, the Company recorded a noncash impairment charge of $11,937 to reduce the net carrying value of its patent assets to its estimated fair value of $1,526. Following the impairment charge and a subsequent assignment of certain patents to Nokia and additional amortization expense for the remainder of the year, the net carrying value of the patent assets was reduced to $147 as of December 31, 2016. The fair value of these assets were classified as Level 3 of the fair value hierarchy using an income-based approach.</w:t>
      </w:r>
    </w:p>
    <w:p>
      <w:pPr>
        <w:spacing w:after="0" w:line="180" w:lineRule="exact"/>
        <w:rPr>
          <w:sz w:val="20"/>
          <w:szCs w:val="20"/>
          <w:color w:val="auto"/>
        </w:rPr>
      </w:pPr>
    </w:p>
    <w:p>
      <w:pPr>
        <w:ind w:right="760"/>
        <w:spacing w:after="0" w:line="287" w:lineRule="auto"/>
        <w:rPr>
          <w:sz w:val="20"/>
          <w:szCs w:val="20"/>
          <w:color w:val="auto"/>
        </w:rPr>
      </w:pPr>
      <w:r>
        <w:rPr>
          <w:rFonts w:ascii="Arial" w:cs="Arial" w:eastAsia="Arial" w:hAnsi="Arial"/>
          <w:sz w:val="19"/>
          <w:szCs w:val="19"/>
          <w:color w:val="auto"/>
        </w:rPr>
        <w:t xml:space="preserve">As disclosed in Note 5, </w:t>
      </w:r>
      <w:r>
        <w:rPr>
          <w:rFonts w:ascii="Arial" w:cs="Arial" w:eastAsia="Arial" w:hAnsi="Arial"/>
          <w:sz w:val="16"/>
          <w:szCs w:val="16"/>
          <w:color w:val="auto"/>
        </w:rPr>
        <w:t>the purchase consideration values of the warrants and FORM Preferred Stock issued for the acquisition of XpresSpa on</w:t>
      </w:r>
      <w:r>
        <w:rPr>
          <w:rFonts w:ascii="Arial" w:cs="Arial" w:eastAsia="Arial" w:hAnsi="Arial"/>
          <w:sz w:val="19"/>
          <w:szCs w:val="19"/>
          <w:color w:val="auto"/>
        </w:rPr>
        <w:t xml:space="preserve"> </w:t>
      </w:r>
      <w:r>
        <w:rPr>
          <w:rFonts w:ascii="Arial" w:cs="Arial" w:eastAsia="Arial" w:hAnsi="Arial"/>
          <w:sz w:val="16"/>
          <w:szCs w:val="16"/>
          <w:color w:val="auto"/>
        </w:rPr>
        <w:t>December 23, 2016 were determined using the Monte-Carlo simulation and, as such, were classified as Level 3 of the fair value hierarchy.</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Arial" w:cs="Arial" w:eastAsia="Arial" w:hAnsi="Arial"/>
                <w:sz w:val="18"/>
                <w:szCs w:val="18"/>
                <w:b w:val="1"/>
                <w:bCs w:val="1"/>
                <w:color w:val="auto"/>
              </w:rPr>
              <w:t>Note 12. Warrants</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color w:val="auto"/>
                <w:w w:val="91"/>
              </w:rPr>
              <w:t>The following table summarizes information about warrant activity during the year ended December 31, 2016:</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auto"/>
                <w:w w:val="97"/>
              </w:rPr>
              <w:t>Weighted average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Exercise</w:t>
            </w:r>
          </w:p>
        </w:tc>
      </w:tr>
      <w:tr>
        <w:trPr>
          <w:trHeight w:val="230"/>
        </w:trPr>
        <w:tc>
          <w:tcPr>
            <w:tcW w:w="660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No. of warrants</w:t>
            </w: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exercise price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price range</w:t>
            </w: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1,006,679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5.00 - $17.60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2,500,000</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Expired</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3,506,679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3.00 - $17.60</w:t>
            </w:r>
          </w:p>
        </w:tc>
      </w:tr>
      <w:tr>
        <w:trPr>
          <w:trHeight w:val="20"/>
        </w:trPr>
        <w:tc>
          <w:tcPr>
            <w:tcW w:w="6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9, 2016, the Company modified the exercise price of the May 2015 Warrants, which are recorded as derivative warrant liabilities, from $10.00 to $3.00. There were no changes to other terms of the May 2015 Warrants (see Note 10). The change in fair value of the May 2015 Warrants as a result of the exercise price modification was accounted for as a debt discount to be amortized over the remaining term of the Amended Notes. Certain of the Company’s outstanding warrants are classified as equity warrants and certain are classified as derivative warrant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Company’s outstanding equity warrants as of December 31, 2016 consist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Remaining</w:t>
            </w: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Arial" w:cs="Arial" w:eastAsia="Arial" w:hAnsi="Arial"/>
                <w:sz w:val="18"/>
                <w:szCs w:val="18"/>
                <w:color w:val="auto"/>
                <w:w w:val="96"/>
              </w:rPr>
              <w:t>No. outstanding</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gridSpan w:val="4"/>
          </w:tcPr>
          <w:p>
            <w:pPr>
              <w:ind w:left="60"/>
              <w:spacing w:after="0"/>
              <w:rPr>
                <w:sz w:val="20"/>
                <w:szCs w:val="20"/>
                <w:color w:val="auto"/>
              </w:rPr>
            </w:pPr>
            <w:r>
              <w:rPr>
                <w:rFonts w:ascii="Arial" w:cs="Arial" w:eastAsia="Arial" w:hAnsi="Arial"/>
                <w:sz w:val="18"/>
                <w:szCs w:val="18"/>
                <w:color w:val="auto"/>
              </w:rPr>
              <w:t>Exercise price</w:t>
            </w:r>
          </w:p>
        </w:tc>
        <w:tc>
          <w:tcPr>
            <w:tcW w:w="60" w:type="dxa"/>
            <w:vAlign w:val="bottom"/>
          </w:tcPr>
          <w:p>
            <w:pPr>
              <w:spacing w:after="0"/>
              <w:rPr>
                <w:sz w:val="20"/>
                <w:szCs w:val="20"/>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color w:val="auto"/>
              </w:rPr>
              <w:t>contractual life</w:t>
            </w:r>
          </w:p>
        </w:tc>
        <w:tc>
          <w:tcPr>
            <w:tcW w:w="6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Expiration Date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1 Warrants</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149,025</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0.55 years</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July 19, 2017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Series 2 Warrants</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194,352</w:t>
            </w: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17.60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0.55 years</w:t>
            </w:r>
          </w:p>
        </w:tc>
        <w:tc>
          <w:tcPr>
            <w:tcW w:w="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July 19, 2017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Reload Warrants</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75,802</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0.10 years</w:t>
            </w: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6, 2017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October 2015 Warrants</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50,000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4.29 years</w:t>
            </w:r>
          </w:p>
        </w:tc>
        <w:tc>
          <w:tcPr>
            <w:tcW w:w="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April 15, 2021</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December 2016 Warrants</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2,500,000</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4.98 years</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December 23, 2021</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Outstanding as of December 31, 2016</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2,969,179</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3"/>
        </w:trPr>
        <w:tc>
          <w:tcPr>
            <w:tcW w:w="7220" w:type="dxa"/>
            <w:vAlign w:val="bottom"/>
            <w:gridSpan w:val="7"/>
          </w:tcPr>
          <w:p>
            <w:pPr>
              <w:spacing w:after="0"/>
              <w:rPr>
                <w:sz w:val="20"/>
                <w:szCs w:val="20"/>
                <w:color w:val="auto"/>
              </w:rPr>
            </w:pPr>
            <w:r>
              <w:rPr>
                <w:rFonts w:ascii="Arial" w:cs="Arial" w:eastAsia="Arial" w:hAnsi="Arial"/>
                <w:sz w:val="18"/>
                <w:szCs w:val="18"/>
                <w:color w:val="auto"/>
                <w:w w:val="92"/>
              </w:rPr>
              <w:t>The Company’s outstanding derivative warrants as of December 31, 2016 consist of the following:</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8"/>
        </w:trPr>
        <w:tc>
          <w:tcPr>
            <w:tcW w:w="5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Remaining</w:t>
            </w: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5620" w:type="dxa"/>
            <w:vAlign w:val="bottom"/>
          </w:tcPr>
          <w:p>
            <w:pPr>
              <w:spacing w:after="0"/>
              <w:rPr>
                <w:sz w:val="20"/>
                <w:szCs w:val="20"/>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auto"/>
                <w:w w:val="95"/>
              </w:rPr>
              <w:t>No. outstanding</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color w:val="auto"/>
              </w:rPr>
              <w:t>Exercise price</w:t>
            </w:r>
          </w:p>
        </w:tc>
        <w:tc>
          <w:tcPr>
            <w:tcW w:w="60" w:type="dxa"/>
            <w:vAlign w:val="bottom"/>
          </w:tcPr>
          <w:p>
            <w:pPr>
              <w:spacing w:after="0"/>
              <w:rPr>
                <w:sz w:val="20"/>
                <w:szCs w:val="20"/>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93"/>
              </w:rPr>
              <w:t>contractual life</w:t>
            </w:r>
          </w:p>
        </w:tc>
        <w:tc>
          <w:tcPr>
            <w:tcW w:w="6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Expiration Date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May 2015 Warrants</w:t>
            </w:r>
          </w:p>
        </w:tc>
        <w:tc>
          <w:tcPr>
            <w:tcW w:w="128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537,500</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3.34 years</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May 4, 2020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Stock-based Compensation</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a stock-based compensation plan available to grant stock options and RSUs to the Company’s directors, employees and consultants. Under the 2012 Employee, Director and Consultant Equity Incentive Plan (the “Plan”), a maximum of 1,560,000 shares of common stock may be awarded (after giving effect to the one-for-ten reverse stock split). In 2015, and again in 2016, the Company amended the Plan so that a maximum of shares of common stock that may be awarded was increased to 7,100,000. As of December 31, 2016, 3,115,843 shares were available for future grants under the Plan. Total stock-based compensation expense for the years ended December 31, 2016 and 2015 was $2,570 and $5,064,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stock options granted during the year ended December 31,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Pr>
          <w:p>
            <w:pPr>
              <w:ind w:left="300"/>
              <w:spacing w:after="0"/>
              <w:rPr>
                <w:sz w:val="20"/>
                <w:szCs w:val="20"/>
                <w:color w:val="auto"/>
              </w:rPr>
            </w:pPr>
            <w:r>
              <w:rPr>
                <w:rFonts w:ascii="Arial" w:cs="Arial" w:eastAsia="Arial" w:hAnsi="Arial"/>
                <w:sz w:val="18"/>
                <w:szCs w:val="18"/>
                <w:color w:val="auto"/>
              </w:rPr>
              <w:t>Assumptions used in</w:t>
            </w:r>
          </w:p>
        </w:tc>
      </w:tr>
      <w:tr>
        <w:trPr>
          <w:trHeight w:val="216"/>
        </w:trPr>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No. of</w:t>
            </w:r>
          </w:p>
        </w:tc>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Exercise</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Fair market value at</w:t>
            </w:r>
          </w:p>
        </w:tc>
        <w:tc>
          <w:tcPr>
            <w:tcW w:w="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w w:val="91"/>
              </w:rPr>
              <w:t>Black-Scholes option pricing</w:t>
            </w:r>
          </w:p>
        </w:tc>
      </w:tr>
      <w:tr>
        <w:trPr>
          <w:trHeight w:val="230"/>
        </w:trPr>
        <w:tc>
          <w:tcPr>
            <w:tcW w:w="2200" w:type="dxa"/>
            <w:vAlign w:val="bottom"/>
            <w:gridSpan w:val="2"/>
          </w:tcPr>
          <w:p>
            <w:pPr>
              <w:ind w:left="920"/>
              <w:spacing w:after="0"/>
              <w:rPr>
                <w:sz w:val="20"/>
                <w:szCs w:val="20"/>
                <w:color w:val="auto"/>
              </w:rPr>
            </w:pPr>
            <w:r>
              <w:rPr>
                <w:rFonts w:ascii="Arial" w:cs="Arial" w:eastAsia="Arial" w:hAnsi="Arial"/>
                <w:sz w:val="18"/>
                <w:szCs w:val="18"/>
                <w:color w:val="auto"/>
              </w:rPr>
              <w:t>Title</w:t>
            </w:r>
          </w:p>
        </w:tc>
        <w:tc>
          <w:tcPr>
            <w:tcW w:w="88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Grant date</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options</w:t>
            </w:r>
          </w:p>
        </w:tc>
        <w:tc>
          <w:tcPr>
            <w:tcW w:w="10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price</w:t>
            </w:r>
          </w:p>
        </w:tc>
        <w:tc>
          <w:tcPr>
            <w:tcW w:w="1460" w:type="dxa"/>
            <w:vAlign w:val="bottom"/>
          </w:tcPr>
          <w:p>
            <w:pPr>
              <w:jc w:val="center"/>
              <w:spacing w:after="0"/>
              <w:rPr>
                <w:sz w:val="20"/>
                <w:szCs w:val="20"/>
                <w:color w:val="auto"/>
              </w:rPr>
            </w:pPr>
            <w:r>
              <w:rPr>
                <w:rFonts w:ascii="Arial" w:cs="Arial" w:eastAsia="Arial" w:hAnsi="Arial"/>
                <w:sz w:val="18"/>
                <w:szCs w:val="18"/>
                <w:color w:val="auto"/>
                <w:w w:val="86"/>
              </w:rPr>
              <w:t>grant date</w:t>
            </w:r>
          </w:p>
        </w:tc>
        <w:tc>
          <w:tcPr>
            <w:tcW w:w="40" w:type="dxa"/>
            <w:vAlign w:val="bottom"/>
          </w:tcPr>
          <w:p>
            <w:pPr>
              <w:spacing w:after="0"/>
              <w:rPr>
                <w:sz w:val="20"/>
                <w:szCs w:val="20"/>
                <w:color w:val="auto"/>
              </w:rPr>
            </w:pPr>
          </w:p>
        </w:tc>
        <w:tc>
          <w:tcPr>
            <w:tcW w:w="2820" w:type="dxa"/>
            <w:vAlign w:val="bottom"/>
            <w:gridSpan w:val="2"/>
          </w:tcPr>
          <w:p>
            <w:pPr>
              <w:ind w:left="880"/>
              <w:spacing w:after="0"/>
              <w:rPr>
                <w:sz w:val="20"/>
                <w:szCs w:val="20"/>
                <w:color w:val="auto"/>
              </w:rPr>
            </w:pPr>
            <w:r>
              <w:rPr>
                <w:rFonts w:ascii="Arial" w:cs="Arial" w:eastAsia="Arial" w:hAnsi="Arial"/>
                <w:sz w:val="18"/>
                <w:szCs w:val="18"/>
                <w:color w:val="auto"/>
              </w:rPr>
              <w:t>Vesting terms</w:t>
            </w:r>
          </w:p>
        </w:tc>
        <w:tc>
          <w:tcPr>
            <w:tcW w:w="2100" w:type="dxa"/>
            <w:vAlign w:val="bottom"/>
          </w:tcPr>
          <w:p>
            <w:pPr>
              <w:ind w:left="820"/>
              <w:spacing w:after="0"/>
              <w:rPr>
                <w:sz w:val="20"/>
                <w:szCs w:val="20"/>
                <w:color w:val="auto"/>
              </w:rPr>
            </w:pPr>
            <w:r>
              <w:rPr>
                <w:rFonts w:ascii="Arial" w:cs="Arial" w:eastAsia="Arial" w:hAnsi="Arial"/>
                <w:sz w:val="18"/>
                <w:szCs w:val="18"/>
                <w:color w:val="auto"/>
              </w:rPr>
              <w:t>model</w:t>
            </w:r>
          </w:p>
        </w:tc>
      </w:tr>
      <w:tr>
        <w:trPr>
          <w:trHeight w:val="195"/>
        </w:trPr>
        <w:tc>
          <w:tcPr>
            <w:tcW w:w="2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Directors, management,</w:t>
            </w:r>
          </w:p>
        </w:tc>
        <w:tc>
          <w:tcPr>
            <w:tcW w:w="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April -</w:t>
            </w:r>
          </w:p>
        </w:tc>
        <w:tc>
          <w:tcPr>
            <w:tcW w:w="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4"/>
              </w:rPr>
              <w:t>2,990,000</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$1.55 - $1.92</w:t>
            </w:r>
          </w:p>
        </w:tc>
        <w:tc>
          <w:tcPr>
            <w:tcW w:w="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$0.82 - $1.54</w:t>
            </w:r>
          </w:p>
        </w:tc>
        <w:tc>
          <w:tcPr>
            <w:tcW w:w="40" w:type="dxa"/>
            <w:vAlign w:val="bottom"/>
            <w:tcBorders>
              <w:top w:val="single" w:sz="8" w:color="CCEEFF"/>
            </w:tcBorders>
            <w:shd w:val="clear" w:color="auto" w:fill="CCEEFF"/>
          </w:tcPr>
          <w:p>
            <w:pPr>
              <w:spacing w:after="0"/>
              <w:rPr>
                <w:sz w:val="16"/>
                <w:szCs w:val="16"/>
                <w:color w:val="auto"/>
              </w:rPr>
            </w:pPr>
          </w:p>
        </w:tc>
        <w:tc>
          <w:tcPr>
            <w:tcW w:w="27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Over 1 year for directors; Over 3</w:t>
            </w:r>
          </w:p>
        </w:tc>
        <w:tc>
          <w:tcPr>
            <w:tcW w:w="60" w:type="dxa"/>
            <w:vAlign w:val="bottom"/>
            <w:tcBorders>
              <w:top w:val="single" w:sz="8" w:color="CCEEFF"/>
            </w:tcBorders>
            <w:shd w:val="clear" w:color="auto" w:fill="CCEEFF"/>
          </w:tcPr>
          <w:p>
            <w:pPr>
              <w:spacing w:after="0"/>
              <w:rPr>
                <w:sz w:val="16"/>
                <w:szCs w:val="16"/>
                <w:color w:val="auto"/>
              </w:rPr>
            </w:pPr>
          </w:p>
        </w:tc>
        <w:tc>
          <w:tcPr>
            <w:tcW w:w="2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Volatility: 58.92% - 59.80%</w:t>
            </w:r>
          </w:p>
        </w:tc>
      </w:tr>
      <w:tr>
        <w:trPr>
          <w:trHeight w:val="21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employees, and consultant</w:t>
            </w:r>
          </w:p>
        </w:tc>
        <w:tc>
          <w:tcPr>
            <w:tcW w:w="8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5"/>
              </w:rPr>
              <w:t>June 2016</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9"/>
              </w:rPr>
              <w:t>years for management, employees,</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89"/>
              </w:rPr>
              <w:t>Risk free interest rate: 1.24%</w:t>
            </w:r>
          </w:p>
        </w:tc>
      </w:tr>
      <w:tr>
        <w:trPr>
          <w:trHeight w:val="216"/>
        </w:trPr>
        <w:tc>
          <w:tcPr>
            <w:tcW w:w="2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and consultant</w:t>
            </w: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- 1.95%</w:t>
            </w:r>
          </w:p>
        </w:tc>
      </w:tr>
      <w:tr>
        <w:trPr>
          <w:trHeight w:val="216"/>
        </w:trPr>
        <w:tc>
          <w:tcPr>
            <w:tcW w:w="2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r>
      <w:tr>
        <w:trPr>
          <w:trHeight w:val="216"/>
        </w:trPr>
        <w:tc>
          <w:tcPr>
            <w:tcW w:w="2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5.31 - 5.81</w:t>
            </w:r>
          </w:p>
        </w:tc>
      </w:tr>
      <w:tr>
        <w:trPr>
          <w:trHeight w:val="230"/>
        </w:trPr>
        <w:tc>
          <w:tcPr>
            <w:tcW w:w="2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0.00%</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4, 2016, the Company's Board of Directors authorized 2,990,000 stock options to be granted to directors, management, and employees. Of this amount, 2,260,000 stock options granted to certain management and employees was greater than the amount available under the Plan, as amended in 2015, and, as such, the stock options were not issued to management and employees as they required stockholder approval. The stock options were approved by the Company’s stockholders on November 28, 2016.</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The following table illustrates the RSUs granted during the year ended December 31,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market</w:t>
            </w:r>
          </w:p>
        </w:tc>
        <w:tc>
          <w:tcPr>
            <w:tcW w:w="1360" w:type="dxa"/>
            <w:vAlign w:val="bottom"/>
          </w:tcPr>
          <w:p>
            <w:pPr>
              <w:spacing w:after="0"/>
              <w:rPr>
                <w:sz w:val="18"/>
                <w:szCs w:val="18"/>
                <w:color w:val="auto"/>
              </w:rPr>
            </w:pPr>
          </w:p>
        </w:tc>
      </w:tr>
      <w:tr>
        <w:trPr>
          <w:trHeight w:val="234"/>
        </w:trPr>
        <w:tc>
          <w:tcPr>
            <w:tcW w:w="4020" w:type="dxa"/>
            <w:vAlign w:val="bottom"/>
            <w:gridSpan w:val="2"/>
          </w:tcPr>
          <w:p>
            <w:pPr>
              <w:ind w:left="1780"/>
              <w:spacing w:after="0"/>
              <w:rPr>
                <w:sz w:val="20"/>
                <w:szCs w:val="20"/>
                <w:color w:val="auto"/>
              </w:rPr>
            </w:pPr>
            <w:r>
              <w:rPr>
                <w:rFonts w:ascii="Arial" w:cs="Arial" w:eastAsia="Arial" w:hAnsi="Arial"/>
                <w:sz w:val="18"/>
                <w:szCs w:val="18"/>
                <w:b w:val="1"/>
                <w:bCs w:val="1"/>
                <w:color w:val="auto"/>
              </w:rPr>
              <w:t>Title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Grant date</w:t>
            </w: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No. of RSUs</w:t>
            </w:r>
          </w:p>
        </w:tc>
        <w:tc>
          <w:tcPr>
            <w:tcW w:w="1260" w:type="dxa"/>
            <w:vAlign w:val="bottom"/>
          </w:tcPr>
          <w:p>
            <w:pPr>
              <w:ind w:left="100"/>
              <w:spacing w:after="0"/>
              <w:rPr>
                <w:sz w:val="20"/>
                <w:szCs w:val="20"/>
                <w:color w:val="auto"/>
              </w:rPr>
            </w:pPr>
            <w:r>
              <w:rPr>
                <w:rFonts w:ascii="Arial" w:cs="Arial" w:eastAsia="Arial" w:hAnsi="Arial"/>
                <w:sz w:val="18"/>
                <w:szCs w:val="18"/>
                <w:b w:val="1"/>
                <w:bCs w:val="1"/>
                <w:color w:val="auto"/>
                <w:w w:val="93"/>
              </w:rPr>
              <w:t>Exercise price</w:t>
            </w:r>
          </w:p>
        </w:tc>
        <w:tc>
          <w:tcPr>
            <w:tcW w:w="1860" w:type="dxa"/>
            <w:vAlign w:val="bottom"/>
            <w:gridSpan w:val="4"/>
          </w:tcPr>
          <w:p>
            <w:pPr>
              <w:ind w:left="200"/>
              <w:spacing w:after="0"/>
              <w:rPr>
                <w:sz w:val="20"/>
                <w:szCs w:val="20"/>
                <w:color w:val="auto"/>
              </w:rPr>
            </w:pPr>
            <w:r>
              <w:rPr>
                <w:rFonts w:ascii="Arial" w:cs="Arial" w:eastAsia="Arial" w:hAnsi="Arial"/>
                <w:sz w:val="18"/>
                <w:szCs w:val="18"/>
                <w:b w:val="1"/>
                <w:bCs w:val="1"/>
                <w:color w:val="auto"/>
              </w:rPr>
              <w:t>value at grant date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Vesting term</w:t>
            </w: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March 9, 2016</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0.33 years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information about stock options and RSU activity during the year ended December 31,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4"/>
          </w:tcPr>
          <w:p>
            <w:pPr>
              <w:jc w:val="right"/>
              <w:ind w:right="1140"/>
              <w:spacing w:after="0"/>
              <w:rPr>
                <w:sz w:val="20"/>
                <w:szCs w:val="20"/>
                <w:color w:val="auto"/>
              </w:rPr>
            </w:pPr>
            <w:r>
              <w:rPr>
                <w:rFonts w:ascii="Arial" w:cs="Arial" w:eastAsia="Arial" w:hAnsi="Arial"/>
                <w:sz w:val="18"/>
                <w:szCs w:val="18"/>
                <w:color w:val="auto"/>
                <w:w w:val="93"/>
              </w:rPr>
              <w:t>RSUs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4"/>
          </w:tcPr>
          <w:p>
            <w:pPr>
              <w:jc w:val="right"/>
              <w:ind w:right="780"/>
              <w:spacing w:after="0"/>
              <w:rPr>
                <w:sz w:val="20"/>
                <w:szCs w:val="20"/>
                <w:color w:val="auto"/>
              </w:rPr>
            </w:pPr>
            <w:r>
              <w:rPr>
                <w:rFonts w:ascii="Arial" w:cs="Arial" w:eastAsia="Arial" w:hAnsi="Arial"/>
                <w:sz w:val="18"/>
                <w:szCs w:val="18"/>
                <w:color w:val="auto"/>
                <w:w w:val="90"/>
              </w:rPr>
              <w:t>Options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06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7"/>
              </w:rPr>
              <w:t>Weighted average</w:t>
            </w:r>
          </w:p>
        </w:tc>
        <w:tc>
          <w:tcPr>
            <w:tcW w:w="2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center"/>
              <w:ind w:right="160"/>
              <w:spacing w:after="0" w:line="195" w:lineRule="exact"/>
              <w:rPr>
                <w:sz w:val="20"/>
                <w:szCs w:val="20"/>
                <w:color w:val="auto"/>
              </w:rPr>
            </w:pPr>
            <w:r>
              <w:rPr>
                <w:rFonts w:ascii="Arial" w:cs="Arial" w:eastAsia="Arial" w:hAnsi="Arial"/>
                <w:sz w:val="18"/>
                <w:szCs w:val="18"/>
                <w:color w:val="auto"/>
                <w:w w:val="89"/>
              </w:rPr>
              <w:t>Weighted</w:t>
            </w: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w w:val="86"/>
              </w:rPr>
              <w:t>Weighted average</w:t>
            </w:r>
          </w:p>
        </w:tc>
        <w:tc>
          <w:tcPr>
            <w:tcW w:w="100" w:type="dxa"/>
            <w:vAlign w:val="bottom"/>
          </w:tcPr>
          <w:p>
            <w:pPr>
              <w:spacing w:after="0"/>
              <w:rPr>
                <w:sz w:val="16"/>
                <w:szCs w:val="16"/>
                <w:color w:val="auto"/>
              </w:rPr>
            </w:pPr>
          </w:p>
        </w:tc>
      </w:tr>
      <w:tr>
        <w:trPr>
          <w:trHeight w:val="216"/>
        </w:trPr>
        <w:tc>
          <w:tcPr>
            <w:tcW w:w="40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No.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grant date</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No. of</w:t>
            </w:r>
          </w:p>
        </w:tc>
        <w:tc>
          <w:tcPr>
            <w:tcW w:w="120" w:type="dxa"/>
            <w:vAlign w:val="bottom"/>
          </w:tcPr>
          <w:p>
            <w:pPr>
              <w:spacing w:after="0"/>
              <w:rPr>
                <w:sz w:val="18"/>
                <w:szCs w:val="18"/>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average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Exercise</w:t>
            </w:r>
          </w:p>
        </w:tc>
        <w:tc>
          <w:tcPr>
            <w:tcW w:w="2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grant date</w:t>
            </w:r>
          </w:p>
        </w:tc>
      </w:tr>
      <w:tr>
        <w:trPr>
          <w:trHeight w:val="230"/>
        </w:trPr>
        <w:tc>
          <w:tcPr>
            <w:tcW w:w="406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RSUs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fair value</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options</w:t>
            </w:r>
          </w:p>
        </w:tc>
        <w:tc>
          <w:tcPr>
            <w:tcW w:w="1000" w:type="dxa"/>
            <w:vAlign w:val="bottom"/>
            <w:gridSpan w:val="3"/>
          </w:tcPr>
          <w:p>
            <w:pPr>
              <w:spacing w:after="0"/>
              <w:rPr>
                <w:sz w:val="20"/>
                <w:szCs w:val="20"/>
                <w:color w:val="auto"/>
              </w:rPr>
            </w:pPr>
            <w:r>
              <w:rPr>
                <w:rFonts w:ascii="Arial" w:cs="Arial" w:eastAsia="Arial" w:hAnsi="Arial"/>
                <w:sz w:val="18"/>
                <w:szCs w:val="18"/>
                <w:color w:val="auto"/>
                <w:w w:val="88"/>
              </w:rPr>
              <w:t>exercise price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price range</w:t>
            </w:r>
          </w:p>
        </w:tc>
        <w:tc>
          <w:tcPr>
            <w:tcW w:w="20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fair value</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2016</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871,484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5.10 - 55.00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2.13</w:t>
            </w:r>
          </w:p>
        </w:tc>
        <w:tc>
          <w:tcPr>
            <w:tcW w:w="860" w:type="dxa"/>
            <w:vAlign w:val="bottom"/>
          </w:tcPr>
          <w:p>
            <w:pPr>
              <w:jc w:val="right"/>
              <w:spacing w:after="0"/>
              <w:rPr>
                <w:sz w:val="20"/>
                <w:szCs w:val="20"/>
                <w:color w:val="auto"/>
              </w:rPr>
            </w:pPr>
            <w:r>
              <w:rPr>
                <w:rFonts w:ascii="Arial" w:cs="Arial" w:eastAsia="Arial" w:hAnsi="Arial"/>
                <w:sz w:val="18"/>
                <w:szCs w:val="18"/>
                <w:color w:val="auto"/>
              </w:rPr>
              <w:t>2,990,000</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1.55 - 1.92</w:t>
            </w:r>
          </w:p>
        </w:tc>
        <w:tc>
          <w:tcPr>
            <w:tcW w:w="1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Vested/Exercised</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(63,280)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30.91</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Forfeited</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(173,383)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1.90 – 41.00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00" w:type="dxa"/>
            <w:vAlign w:val="bottom"/>
            <w:shd w:val="clear" w:color="auto" w:fill="CCEEFF"/>
          </w:tcPr>
          <w:p>
            <w:pPr>
              <w:spacing w:after="0"/>
              <w:rPr>
                <w:sz w:val="18"/>
                <w:szCs w:val="18"/>
                <w:color w:val="auto"/>
              </w:rPr>
            </w:pPr>
          </w:p>
        </w:tc>
      </w:tr>
      <w:tr>
        <w:trPr>
          <w:trHeight w:val="250"/>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as of December 31, 2016</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3,679,101</w:t>
            </w: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1.55 – 55.00</w:t>
            </w:r>
          </w:p>
        </w:tc>
        <w:tc>
          <w:tcPr>
            <w:tcW w:w="1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tcPr>
          <w:p>
            <w:pPr>
              <w:spacing w:after="0"/>
              <w:rPr>
                <w:sz w:val="21"/>
                <w:szCs w:val="21"/>
                <w:color w:val="auto"/>
              </w:rPr>
            </w:pPr>
          </w:p>
        </w:tc>
      </w:tr>
      <w:tr>
        <w:trPr>
          <w:trHeight w:val="197"/>
        </w:trPr>
        <w:tc>
          <w:tcPr>
            <w:tcW w:w="40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as of December 31, 2016</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1,667,434</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14.85</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1.55 – 55.00</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4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Balance at January 1,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Forfeited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Balance at December 31, 2016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960" w:type="dxa"/>
            <w:vAlign w:val="bottom"/>
            <w:gridSpan w:val="6"/>
          </w:tcPr>
          <w:p>
            <w:pPr>
              <w:ind w:left="420"/>
              <w:spacing w:after="0"/>
              <w:rPr>
                <w:sz w:val="20"/>
                <w:szCs w:val="20"/>
                <w:color w:val="auto"/>
              </w:rPr>
            </w:pPr>
            <w:r>
              <w:rPr>
                <w:rFonts w:ascii="Arial" w:cs="Arial" w:eastAsia="Arial" w:hAnsi="Arial"/>
                <w:sz w:val="18"/>
                <w:szCs w:val="18"/>
                <w:color w:val="auto"/>
              </w:rPr>
              <w:t>Non-vested stock options:</w:t>
            </w:r>
          </w:p>
        </w:tc>
        <w:tc>
          <w:tcPr>
            <w:tcW w:w="2780" w:type="dxa"/>
            <w:vAlign w:val="bottom"/>
            <w:gridSpan w:val="6"/>
          </w:tcPr>
          <w:p>
            <w:pPr>
              <w:ind w:left="720"/>
              <w:spacing w:after="0"/>
              <w:rPr>
                <w:sz w:val="20"/>
                <w:szCs w:val="20"/>
                <w:color w:val="auto"/>
              </w:rPr>
            </w:pPr>
            <w:r>
              <w:rPr>
                <w:rFonts w:ascii="Arial" w:cs="Arial" w:eastAsia="Arial" w:hAnsi="Arial"/>
                <w:sz w:val="18"/>
                <w:szCs w:val="18"/>
                <w:color w:val="auto"/>
              </w:rPr>
              <w:t>Non-vested RSU:</w:t>
            </w:r>
          </w:p>
        </w:tc>
      </w:tr>
      <w:tr>
        <w:trPr>
          <w:trHeight w:val="195"/>
        </w:trPr>
        <w:tc>
          <w:tcPr>
            <w:tcW w:w="1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87"/>
              </w:rPr>
              <w:t>Weighted average</w:t>
            </w:r>
          </w:p>
        </w:tc>
        <w:tc>
          <w:tcPr>
            <w:tcW w:w="2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7"/>
              </w:rPr>
              <w:t>Weighted average</w:t>
            </w:r>
          </w:p>
        </w:tc>
        <w:tc>
          <w:tcPr>
            <w:tcW w:w="40" w:type="dxa"/>
            <w:vAlign w:val="bottom"/>
            <w:gridSpan w:val="2"/>
          </w:tcPr>
          <w:p>
            <w:pPr>
              <w:spacing w:after="0"/>
              <w:rPr>
                <w:sz w:val="16"/>
                <w:szCs w:val="16"/>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grant date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ind w:left="120"/>
              <w:spacing w:after="0"/>
              <w:rPr>
                <w:sz w:val="20"/>
                <w:szCs w:val="20"/>
                <w:color w:val="auto"/>
              </w:rPr>
            </w:pPr>
            <w:r>
              <w:rPr>
                <w:rFonts w:ascii="Arial" w:cs="Arial" w:eastAsia="Arial" w:hAnsi="Arial"/>
                <w:sz w:val="18"/>
                <w:szCs w:val="18"/>
                <w:color w:val="auto"/>
              </w:rPr>
              <w:t>grant date</w:t>
            </w:r>
          </w:p>
        </w:tc>
      </w:tr>
      <w:tr>
        <w:trPr>
          <w:trHeight w:val="230"/>
        </w:trPr>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No. of options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fair value</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No. of RSUs</w:t>
            </w:r>
          </w:p>
        </w:tc>
        <w:tc>
          <w:tcPr>
            <w:tcW w:w="200" w:type="dxa"/>
            <w:vAlign w:val="bottom"/>
          </w:tcPr>
          <w:p>
            <w:pPr>
              <w:spacing w:after="0"/>
              <w:rPr>
                <w:sz w:val="20"/>
                <w:szCs w:val="20"/>
                <w:color w:val="auto"/>
              </w:rPr>
            </w:pPr>
          </w:p>
        </w:tc>
        <w:tc>
          <w:tcPr>
            <w:tcW w:w="1140" w:type="dxa"/>
            <w:vAlign w:val="bottom"/>
            <w:gridSpan w:val="3"/>
          </w:tcPr>
          <w:p>
            <w:pPr>
              <w:ind w:left="100"/>
              <w:spacing w:after="0"/>
              <w:rPr>
                <w:sz w:val="20"/>
                <w:szCs w:val="20"/>
                <w:color w:val="auto"/>
              </w:rPr>
            </w:pPr>
            <w:r>
              <w:rPr>
                <w:rFonts w:ascii="Arial" w:cs="Arial" w:eastAsia="Arial" w:hAnsi="Arial"/>
                <w:sz w:val="18"/>
                <w:szCs w:val="18"/>
                <w:color w:val="auto"/>
              </w:rPr>
              <w:t>fair value</w:t>
            </w:r>
          </w:p>
        </w:tc>
      </w:tr>
      <w:tr>
        <w:trPr>
          <w:trHeight w:val="195"/>
        </w:trPr>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56,123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10.66</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53,280</w:t>
            </w: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36.31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2,990,000</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r>
      <w:tr>
        <w:trPr>
          <w:trHeight w:val="216"/>
        </w:trPr>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(961,126)</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(63,280)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30.91</w:t>
            </w:r>
          </w:p>
        </w:tc>
        <w:tc>
          <w:tcPr>
            <w:tcW w:w="20" w:type="dxa"/>
            <w:vAlign w:val="bottom"/>
          </w:tcPr>
          <w:p>
            <w:pPr>
              <w:spacing w:after="0"/>
              <w:rPr>
                <w:sz w:val="18"/>
                <w:szCs w:val="18"/>
                <w:color w:val="auto"/>
              </w:rPr>
            </w:pPr>
          </w:p>
        </w:tc>
      </w:tr>
      <w:tr>
        <w:trPr>
          <w:trHeight w:val="244"/>
        </w:trPr>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(73,330)</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223"/>
        </w:trPr>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2,011,667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-745490</wp:posOffset>
            </wp:positionV>
            <wp:extent cx="72466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-462280</wp:posOffset>
            </wp:positionV>
            <wp:extent cx="72466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-179705</wp:posOffset>
            </wp:positionV>
            <wp:extent cx="7246620"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800"/>
          </w:cols>
          <w:pgMar w:left="240" w:top="908"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employee and non-employee stock options outstanding as of December 31,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Weighted average remaining</w:t>
            </w:r>
          </w:p>
        </w:tc>
      </w:tr>
      <w:tr>
        <w:trPr>
          <w:trHeight w:val="230"/>
        </w:trPr>
        <w:tc>
          <w:tcPr>
            <w:tcW w:w="220" w:type="dxa"/>
            <w:vAlign w:val="bottom"/>
          </w:tcPr>
          <w:p>
            <w:pPr>
              <w:spacing w:after="0"/>
              <w:rPr>
                <w:sz w:val="20"/>
                <w:szCs w:val="20"/>
                <w:color w:val="auto"/>
              </w:rPr>
            </w:pPr>
          </w:p>
        </w:tc>
        <w:tc>
          <w:tcPr>
            <w:tcW w:w="2180" w:type="dxa"/>
            <w:vAlign w:val="bottom"/>
            <w:gridSpan w:val="2"/>
          </w:tcPr>
          <w:p>
            <w:pPr>
              <w:jc w:val="right"/>
              <w:ind w:right="580"/>
              <w:spacing w:after="0"/>
              <w:rPr>
                <w:sz w:val="20"/>
                <w:szCs w:val="20"/>
                <w:color w:val="auto"/>
              </w:rPr>
            </w:pPr>
            <w:r>
              <w:rPr>
                <w:rFonts w:ascii="Arial" w:cs="Arial" w:eastAsia="Arial" w:hAnsi="Arial"/>
                <w:sz w:val="18"/>
                <w:szCs w:val="18"/>
                <w:color w:val="auto"/>
                <w:w w:val="96"/>
              </w:rPr>
              <w:t>Exercise price range</w:t>
            </w:r>
          </w:p>
        </w:tc>
        <w:tc>
          <w:tcPr>
            <w:tcW w:w="2680" w:type="dxa"/>
            <w:vAlign w:val="bottom"/>
            <w:gridSpan w:val="2"/>
          </w:tcPr>
          <w:p>
            <w:pPr>
              <w:jc w:val="right"/>
              <w:ind w:right="580"/>
              <w:spacing w:after="0"/>
              <w:rPr>
                <w:sz w:val="20"/>
                <w:szCs w:val="20"/>
                <w:color w:val="auto"/>
              </w:rPr>
            </w:pPr>
            <w:r>
              <w:rPr>
                <w:rFonts w:ascii="Arial" w:cs="Arial" w:eastAsia="Arial" w:hAnsi="Arial"/>
                <w:sz w:val="18"/>
                <w:szCs w:val="18"/>
                <w:color w:val="auto"/>
              </w:rPr>
              <w:t>No. options outstanding</w:t>
            </w:r>
          </w:p>
        </w:tc>
        <w:tc>
          <w:tcPr>
            <w:tcW w:w="2660" w:type="dxa"/>
            <w:vAlign w:val="bottom"/>
            <w:gridSpan w:val="2"/>
          </w:tcPr>
          <w:p>
            <w:pPr>
              <w:jc w:val="right"/>
              <w:ind w:right="580"/>
              <w:spacing w:after="0"/>
              <w:rPr>
                <w:sz w:val="20"/>
                <w:szCs w:val="20"/>
                <w:color w:val="auto"/>
              </w:rPr>
            </w:pPr>
            <w:r>
              <w:rPr>
                <w:rFonts w:ascii="Arial" w:cs="Arial" w:eastAsia="Arial" w:hAnsi="Arial"/>
                <w:sz w:val="18"/>
                <w:szCs w:val="18"/>
                <w:color w:val="auto"/>
              </w:rPr>
              <w:t>No. options exercisable</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contractual life (years)</w:t>
            </w:r>
          </w:p>
        </w:tc>
      </w:tr>
      <w:tr>
        <w:trPr>
          <w:trHeight w:val="210"/>
        </w:trPr>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0.01-10.00</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2,987,785</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976,535</w:t>
            </w:r>
          </w:p>
        </w:tc>
        <w:tc>
          <w:tcPr>
            <w:tcW w:w="2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10.00-20.00</w:t>
            </w:r>
          </w:p>
        </w:tc>
        <w:tc>
          <w:tcPr>
            <w:tcW w:w="2680" w:type="dxa"/>
            <w:vAlign w:val="bottom"/>
            <w:gridSpan w:val="2"/>
          </w:tcPr>
          <w:p>
            <w:pPr>
              <w:jc w:val="right"/>
              <w:ind w:right="200"/>
              <w:spacing w:after="0"/>
              <w:rPr>
                <w:sz w:val="20"/>
                <w:szCs w:val="20"/>
                <w:color w:val="auto"/>
              </w:rPr>
            </w:pPr>
            <w:r>
              <w:rPr>
                <w:rFonts w:ascii="Arial" w:cs="Arial" w:eastAsia="Arial" w:hAnsi="Arial"/>
                <w:sz w:val="18"/>
                <w:szCs w:val="18"/>
                <w:color w:val="auto"/>
              </w:rPr>
              <w:t>82,066</w:t>
            </w:r>
          </w:p>
        </w:tc>
        <w:tc>
          <w:tcPr>
            <w:tcW w:w="2660" w:type="dxa"/>
            <w:vAlign w:val="bottom"/>
            <w:gridSpan w:val="2"/>
          </w:tcPr>
          <w:p>
            <w:pPr>
              <w:jc w:val="right"/>
              <w:ind w:right="200"/>
              <w:spacing w:after="0"/>
              <w:rPr>
                <w:sz w:val="20"/>
                <w:szCs w:val="20"/>
                <w:color w:val="auto"/>
              </w:rPr>
            </w:pPr>
            <w:r>
              <w:rPr>
                <w:rFonts w:ascii="Arial" w:cs="Arial" w:eastAsia="Arial" w:hAnsi="Arial"/>
                <w:sz w:val="18"/>
                <w:szCs w:val="18"/>
                <w:color w:val="auto"/>
              </w:rPr>
              <w:t>82,066</w:t>
            </w:r>
          </w:p>
        </w:tc>
        <w:tc>
          <w:tcPr>
            <w:tcW w:w="254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r>
      <w:tr>
        <w:trPr>
          <w:trHeight w:val="216"/>
        </w:trPr>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20.00-30.00</w:t>
            </w:r>
          </w:p>
        </w:tc>
        <w:tc>
          <w:tcPr>
            <w:tcW w:w="2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40,000</w:t>
            </w:r>
          </w:p>
        </w:tc>
        <w:tc>
          <w:tcPr>
            <w:tcW w:w="2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40,000</w:t>
            </w:r>
          </w:p>
        </w:tc>
        <w:tc>
          <w:tcPr>
            <w:tcW w:w="2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r>
      <w:tr>
        <w:trPr>
          <w:trHeight w:val="216"/>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30.00-40.00</w:t>
            </w:r>
          </w:p>
        </w:tc>
        <w:tc>
          <w:tcPr>
            <w:tcW w:w="2680" w:type="dxa"/>
            <w:vAlign w:val="bottom"/>
            <w:gridSpan w:val="2"/>
          </w:tcPr>
          <w:p>
            <w:pPr>
              <w:jc w:val="right"/>
              <w:ind w:right="200"/>
              <w:spacing w:after="0"/>
              <w:rPr>
                <w:sz w:val="20"/>
                <w:szCs w:val="20"/>
                <w:color w:val="auto"/>
              </w:rPr>
            </w:pPr>
            <w:r>
              <w:rPr>
                <w:rFonts w:ascii="Arial" w:cs="Arial" w:eastAsia="Arial" w:hAnsi="Arial"/>
                <w:sz w:val="18"/>
                <w:szCs w:val="18"/>
                <w:color w:val="auto"/>
              </w:rPr>
              <w:t>490,500</w:t>
            </w:r>
          </w:p>
        </w:tc>
        <w:tc>
          <w:tcPr>
            <w:tcW w:w="2660" w:type="dxa"/>
            <w:vAlign w:val="bottom"/>
            <w:gridSpan w:val="2"/>
          </w:tcPr>
          <w:p>
            <w:pPr>
              <w:jc w:val="right"/>
              <w:ind w:right="200"/>
              <w:spacing w:after="0"/>
              <w:rPr>
                <w:sz w:val="20"/>
                <w:szCs w:val="20"/>
                <w:color w:val="auto"/>
              </w:rPr>
            </w:pPr>
            <w:r>
              <w:rPr>
                <w:rFonts w:ascii="Arial" w:cs="Arial" w:eastAsia="Arial" w:hAnsi="Arial"/>
                <w:sz w:val="18"/>
                <w:szCs w:val="18"/>
                <w:color w:val="auto"/>
              </w:rPr>
              <w:t>490,083</w:t>
            </w:r>
          </w:p>
        </w:tc>
        <w:tc>
          <w:tcPr>
            <w:tcW w:w="254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r>
      <w:tr>
        <w:trPr>
          <w:trHeight w:val="216"/>
        </w:trPr>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40.00-50.00</w:t>
            </w:r>
          </w:p>
        </w:tc>
        <w:tc>
          <w:tcPr>
            <w:tcW w:w="2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66,500</w:t>
            </w:r>
          </w:p>
        </w:tc>
        <w:tc>
          <w:tcPr>
            <w:tcW w:w="2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66,500</w:t>
            </w:r>
          </w:p>
        </w:tc>
        <w:tc>
          <w:tcPr>
            <w:tcW w:w="2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r>
      <w:tr>
        <w:trPr>
          <w:trHeight w:val="230"/>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50.00-60.00</w:t>
            </w:r>
          </w:p>
        </w:tc>
        <w:tc>
          <w:tcPr>
            <w:tcW w:w="2680" w:type="dxa"/>
            <w:vAlign w:val="bottom"/>
            <w:gridSpan w:val="2"/>
          </w:tcPr>
          <w:p>
            <w:pPr>
              <w:jc w:val="right"/>
              <w:ind w:right="200"/>
              <w:spacing w:after="0"/>
              <w:rPr>
                <w:sz w:val="20"/>
                <w:szCs w:val="20"/>
                <w:color w:val="auto"/>
              </w:rPr>
            </w:pPr>
            <w:r>
              <w:rPr>
                <w:rFonts w:ascii="Arial" w:cs="Arial" w:eastAsia="Arial" w:hAnsi="Arial"/>
                <w:sz w:val="18"/>
                <w:szCs w:val="18"/>
                <w:color w:val="auto"/>
              </w:rPr>
              <w:t>12,250</w:t>
            </w:r>
          </w:p>
        </w:tc>
        <w:tc>
          <w:tcPr>
            <w:tcW w:w="2660" w:type="dxa"/>
            <w:vAlign w:val="bottom"/>
            <w:gridSpan w:val="2"/>
          </w:tcPr>
          <w:p>
            <w:pPr>
              <w:jc w:val="right"/>
              <w:ind w:right="200"/>
              <w:spacing w:after="0"/>
              <w:rPr>
                <w:sz w:val="20"/>
                <w:szCs w:val="20"/>
                <w:color w:val="auto"/>
              </w:rPr>
            </w:pPr>
            <w:r>
              <w:rPr>
                <w:rFonts w:ascii="Arial" w:cs="Arial" w:eastAsia="Arial" w:hAnsi="Arial"/>
                <w:sz w:val="18"/>
                <w:szCs w:val="18"/>
                <w:color w:val="auto"/>
              </w:rPr>
              <w:t>12,250</w:t>
            </w:r>
          </w:p>
        </w:tc>
        <w:tc>
          <w:tcPr>
            <w:tcW w:w="254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r>
      <w:tr>
        <w:trPr>
          <w:trHeight w:val="223"/>
        </w:trPr>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9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3,679,101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1,667,434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2016, the total aggregate intrinsic values of options outstanding and options exercisable were $1,636 and $514, respectively. As of December 31, 2015, the total aggregate intrinsic values of options outstanding and options exercisable were zero since these instruments were “out-of-the-money” as of that date. There were no options exercised during the years ended December 31, 2016 and 2015.</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total fair value of stock options that vested in the years ended December 31, 2016 and 2015 was $1,703 and $3,687, respectively. As of December 31, 2016, there was approximately $2,929 of total unrecognized stock-based payment cost related to non-vested options, shares and RSUs, granted under the incentive stock option plans. Overall, the cost is expected to be recognized over a weighted average of 1.66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recognize tax benefits related to its stock-based compensation as there is a full valuation allowance recorded.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Note 14. Related Parties Transactions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81818"/>
        </w:rPr>
        <w:t>The Company engaged various parties to perform valuations, legal, financial and tax due diligence associated with the XpresSpa acquisition and other merger and acquisition projects. Among the service providers, the Company engaged RedRidge Lender Services LLC (“RedRidge”) to perform financial due diligence regarding the acquisition of XpresSpa. Andrew Perlman, the Company’s Chief Executive Officer, and certain members of his family own a minority equity position in RedRidge, which may be considered a related party. The audit committee of the Company’s Board of Directors reviewed and approved the engagement of RedRidge. The fee for the XpresSpa engagement was $101 and the fees for other engagements were $60, all of which were incurred during the year ended December 31, 2016 and are reflected in the general and administrative expense in the consolidated statements of operations and comprehensive loss.</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181818"/>
        </w:rPr>
        <w:t>As disclosed in Note 10, Debt and Senior Secured Notes, XpresSpa’s debt holder, Rockmore, is an investment entity controlled by the Company’s board member, Bruce T. Bernstein. The Company believes the terms of the Debt were reflective of market rates as of the time of issuance. Additionally, on July 1, 2016, the Company repaid in full its Amended Notes, including a fee for early repayment, in the amount of $2,011. The Amended Notes were held by the Investors, which included entities controlled by the Company’s board member, Richard Abbe, who joined the Company’s Board of Directors in March 2016.</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181818"/>
        </w:rPr>
        <w:t xml:space="preserve">In addition, the Company paid $212 to Bruce T. Bernstein in March 2017 for the legal costs incurred in conjunction with the acquisition of XpresSpa and Amiral legal proceedings prior to the completion of the acquisition, as he was indemnified by XpresSpa. These costs are included in the accounts payable, </w:t>
      </w:r>
      <w:r>
        <w:rPr>
          <w:rFonts w:ascii="Arial" w:cs="Arial" w:eastAsia="Arial" w:hAnsi="Arial"/>
          <w:sz w:val="18"/>
          <w:szCs w:val="18"/>
          <w:color w:val="000000"/>
        </w:rPr>
        <w:t xml:space="preserve">accrued expenses and other current liabilities </w:t>
      </w:r>
      <w:r>
        <w:rPr>
          <w:rFonts w:ascii="Arial" w:cs="Arial" w:eastAsia="Arial" w:hAnsi="Arial"/>
          <w:sz w:val="18"/>
          <w:szCs w:val="18"/>
          <w:color w:val="181818"/>
        </w:rPr>
        <w:t>in the consolidated balance sheet as of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property and equipment activity during the year ended December 31, 2016:</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Balance of property and equipment as of December 31, 2014</w:t>
            </w:r>
          </w:p>
        </w:tc>
        <w:tc>
          <w:tcPr>
            <w:tcW w:w="21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w:t>
            </w: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Depreciation expense</w:t>
            </w:r>
          </w:p>
        </w:tc>
        <w:tc>
          <w:tcPr>
            <w:tcW w:w="1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of property and equipment as of December 31, 2015</w:t>
            </w:r>
          </w:p>
        </w:tc>
        <w:tc>
          <w:tcPr>
            <w:tcW w:w="17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Additions</w:t>
            </w: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291</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Additions from XpresSpa acquisition</w:t>
            </w:r>
          </w:p>
        </w:tc>
        <w:tc>
          <w:tcPr>
            <w:tcW w:w="1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16,308</w:t>
            </w: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Depreciation expense</w:t>
            </w:r>
          </w:p>
        </w:tc>
        <w:tc>
          <w:tcPr>
            <w:tcW w:w="1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r>
      <w:tr>
        <w:trPr>
          <w:trHeight w:val="223"/>
        </w:trPr>
        <w:tc>
          <w:tcPr>
            <w:tcW w:w="6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of property and equipment as of December 31, 2016</w:t>
            </w:r>
          </w:p>
        </w:tc>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is comprised of three categories: leasehold improvements, furniture and fixtures, and other operating equipment.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rPr>
              <w:t>December 31,</w:t>
            </w:r>
          </w:p>
        </w:tc>
        <w:tc>
          <w:tcPr>
            <w:tcW w:w="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3"/>
        </w:trPr>
        <w:tc>
          <w:tcPr>
            <w:tcW w:w="5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6"/>
              </w:rPr>
              <w:t>Useful Life</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3-4 years</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14,732</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Average 5-8 years</w:t>
            </w: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equipment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1,127</w:t>
            </w: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Maximum 5 years</w:t>
            </w:r>
          </w:p>
        </w:tc>
      </w:tr>
      <w:tr>
        <w:trPr>
          <w:trHeight w:val="210"/>
        </w:trPr>
        <w:tc>
          <w:tcPr>
            <w:tcW w:w="5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16,599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(610)</w:t>
            </w:r>
          </w:p>
        </w:tc>
        <w:tc>
          <w:tcPr>
            <w:tcW w:w="1320" w:type="dxa"/>
            <w:vAlign w:val="bottom"/>
            <w:shd w:val="clear" w:color="auto" w:fill="CCEEFF"/>
          </w:tcPr>
          <w:p>
            <w:pPr>
              <w:spacing w:after="0"/>
              <w:rPr>
                <w:sz w:val="19"/>
                <w:szCs w:val="19"/>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16,467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tcBorders>
          </w:tcPr>
          <w:p>
            <w:pPr>
              <w:jc w:val="right"/>
              <w:ind w:right="690"/>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132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2016 and 2015, the Company recorded $132 and $221 of depreciation expense, respectively.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is computed using the straight-line method over the estimated useful lives of the related assets. Leasehold improvements are depreciated over the shorter of remaining lease term or economic useful life (which is on average 5-8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and 2015, the Company’s other current assets were comprised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rPr>
              <w:t>December 31,</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2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2016</w:t>
            </w:r>
          </w:p>
        </w:tc>
        <w:tc>
          <w:tcPr>
            <w:tcW w:w="4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2,215</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Other</w:t>
            </w:r>
          </w:p>
        </w:tc>
        <w:tc>
          <w:tcPr>
            <w:tcW w:w="2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r>
      <w:tr>
        <w:trPr>
          <w:trHeight w:val="223"/>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w:t>
            </w:r>
          </w:p>
        </w:tc>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2,242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are predominantly comprised of prepaid insurance policies which have terms of one year or less.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Note 17. Accounts Payable,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2016, and 2015, the Company’s accounts payable, accrued expenses and other current liabilities were comprised of the following: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gridSpan w:val="6"/>
          </w:tcPr>
          <w:p>
            <w:pPr>
              <w:ind w:left="520"/>
              <w:spacing w:after="0"/>
              <w:rPr>
                <w:sz w:val="20"/>
                <w:szCs w:val="20"/>
                <w:color w:val="auto"/>
              </w:rPr>
            </w:pPr>
            <w:r>
              <w:rPr>
                <w:rFonts w:ascii="Arial" w:cs="Arial" w:eastAsia="Arial" w:hAnsi="Arial"/>
                <w:sz w:val="18"/>
                <w:szCs w:val="18"/>
                <w:color w:val="auto"/>
              </w:rPr>
              <w:t>December 31,</w:t>
            </w:r>
          </w:p>
        </w:tc>
      </w:tr>
      <w:tr>
        <w:trPr>
          <w:trHeight w:val="223"/>
        </w:trPr>
        <w:tc>
          <w:tcPr>
            <w:tcW w:w="65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8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80" w:type="dxa"/>
            <w:vAlign w:val="bottom"/>
            <w:tcBorders>
              <w:bottom w:val="single" w:sz="8" w:color="CCEEFF"/>
            </w:tcBorders>
          </w:tcPr>
          <w:p>
            <w:pPr>
              <w:spacing w:after="0"/>
              <w:rPr>
                <w:sz w:val="19"/>
                <w:szCs w:val="19"/>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8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607</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Tax liabilities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432</w:t>
            </w:r>
          </w:p>
        </w:tc>
      </w:tr>
      <w:tr>
        <w:trPr>
          <w:trHeight w:val="223"/>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Gift cards and customer rewards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XpresSpa recorded an accrued liability of $605 for gift cards and the customer rewards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liability for insurance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XpresSpa carries several annual insurance policies including indemnity, fire, umbrella, and workers’ compensation. XpresSpa financed the total of $699, or 85%, of the total insurance premiums with a third party provider, at a rate of 3.99% per year payable in ten installments over a 12-month period. As of December 31 2016, XpresSpa had an outstanding balance of its financing arrangement of approximately $583, which is scheduled to be repaid in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financing</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2016, XpresSpa entered into a merchant financing arrangement with a top tier credit card company for $1,000, which was provided in the form of an advance against certain future credit card transactions. XpresSpa made repayments on a daily basis throughout 2016 from proceeds of certain credit card transactions. As of December 31, 2016, the outstanding balance of the advance was $155. This balance was repaid in full in February 2017. In addition, XpresSpa entered into a new merchant financing arrangement with the same party for $500 in the first quarter of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 with Oklahoma Fidelity Bank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12, 2015, Group Mobile amended its existing loan agreement with Oklahoma Fidelity Bank, a division of Fidelity Bank. The total amount of the loan was $300 and interest accrued at a variable interest rate, which was the lower of the Wall Street Journal prime rate plus 1% or 5%. The loan was fully repaid in the third quarter of 2016.</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Note 18.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2016 and 2015, the loss from continuing operations before taxes consists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Borders>
              <w:bottom w:val="single" w:sz="8" w:color="CCEEFF"/>
            </w:tcBorders>
          </w:tcPr>
          <w:p>
            <w:pPr>
              <w:spacing w:after="0"/>
              <w:rPr>
                <w:sz w:val="20"/>
                <w:szCs w:val="20"/>
                <w:color w:val="auto"/>
              </w:rPr>
            </w:pPr>
          </w:p>
        </w:tc>
        <w:tc>
          <w:tcPr>
            <w:tcW w:w="29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80" w:type="dxa"/>
            <w:vAlign w:val="bottom"/>
            <w:tcBorders>
              <w:bottom w:val="single" w:sz="8" w:color="CCEEFF"/>
            </w:tcBorders>
          </w:tcPr>
          <w:p>
            <w:pPr>
              <w:spacing w:after="0"/>
              <w:rPr>
                <w:sz w:val="20"/>
                <w:szCs w:val="20"/>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9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(12,072)</w:t>
            </w:r>
          </w:p>
        </w:tc>
        <w:tc>
          <w:tcPr>
            <w:tcW w:w="80" w:type="dxa"/>
            <w:vAlign w:val="bottom"/>
            <w:shd w:val="clear" w:color="auto" w:fill="CCEEFF"/>
          </w:tcPr>
          <w:p>
            <w:pPr>
              <w:spacing w:after="0"/>
              <w:rPr>
                <w:sz w:val="18"/>
                <w:szCs w:val="18"/>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Foreign</w:t>
            </w:r>
          </w:p>
        </w:tc>
        <w:tc>
          <w:tcPr>
            <w:tcW w:w="2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3600" w:type="dxa"/>
            <w:vAlign w:val="bottom"/>
            <w:tcBorders>
              <w:top w:val="single" w:sz="8" w:color="CCEEFF"/>
              <w:bottom w:val="single" w:sz="8" w:color="CCEEFF"/>
            </w:tcBorders>
            <w:shd w:val="clear" w:color="auto" w:fill="CCEEFF"/>
          </w:tcPr>
          <w:p>
            <w:pPr>
              <w:spacing w:after="0"/>
              <w:rPr>
                <w:sz w:val="19"/>
                <w:szCs w:val="19"/>
                <w:color w:val="auto"/>
              </w:rPr>
            </w:pPr>
          </w:p>
        </w:tc>
        <w:tc>
          <w:tcPr>
            <w:tcW w:w="29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(24,003</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(12,124</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6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attributable to continuing operations for the years ended December 31, 2016 and 2015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3340" w:type="dxa"/>
            <w:vAlign w:val="bottom"/>
            <w:gridSpan w:val="2"/>
          </w:tcPr>
          <w:p>
            <w:pPr>
              <w:jc w:val="right"/>
              <w:ind w:right="3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Continued operations:</w:t>
            </w:r>
          </w:p>
        </w:tc>
        <w:tc>
          <w:tcPr>
            <w:tcW w:w="24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Current:</w:t>
            </w:r>
          </w:p>
        </w:tc>
        <w:tc>
          <w:tcPr>
            <w:tcW w:w="2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334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tcPr>
          <w:p>
            <w:pPr>
              <w:ind w:left="340"/>
              <w:spacing w:after="0"/>
              <w:rPr>
                <w:sz w:val="20"/>
                <w:szCs w:val="20"/>
                <w:color w:val="auto"/>
              </w:rPr>
            </w:pPr>
            <w:r>
              <w:rPr>
                <w:rFonts w:ascii="Arial" w:cs="Arial" w:eastAsia="Arial" w:hAnsi="Arial"/>
                <w:sz w:val="18"/>
                <w:szCs w:val="18"/>
                <w:color w:val="auto"/>
              </w:rPr>
              <w:t>State</w:t>
            </w:r>
          </w:p>
        </w:tc>
        <w:tc>
          <w:tcPr>
            <w:tcW w:w="2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2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Deferred:</w:t>
            </w:r>
          </w:p>
        </w:tc>
        <w:tc>
          <w:tcPr>
            <w:tcW w:w="2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(866)</w:t>
            </w:r>
          </w:p>
        </w:tc>
      </w:tr>
      <w:tr>
        <w:trPr>
          <w:trHeight w:val="216"/>
        </w:trPr>
        <w:tc>
          <w:tcPr>
            <w:tcW w:w="4060" w:type="dxa"/>
            <w:vAlign w:val="bottom"/>
          </w:tcPr>
          <w:p>
            <w:pPr>
              <w:ind w:left="340"/>
              <w:spacing w:after="0"/>
              <w:rPr>
                <w:sz w:val="20"/>
                <w:szCs w:val="20"/>
                <w:color w:val="auto"/>
              </w:rPr>
            </w:pPr>
            <w:r>
              <w:rPr>
                <w:rFonts w:ascii="Arial" w:cs="Arial" w:eastAsia="Arial" w:hAnsi="Arial"/>
                <w:sz w:val="18"/>
                <w:szCs w:val="18"/>
                <w:color w:val="auto"/>
              </w:rPr>
              <w:t>State</w:t>
            </w:r>
          </w:p>
        </w:tc>
        <w:tc>
          <w:tcPr>
            <w:tcW w:w="2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2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0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90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r>
      <w:tr>
        <w:trPr>
          <w:trHeight w:val="20"/>
        </w:trPr>
        <w:tc>
          <w:tcPr>
            <w:tcW w:w="4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Income tax expense attributable to continuing operations differed from the amounts computed by applying the applicable United States federal income tax rate to loss from continuing operations before taxes on income as a result of the following: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5"/>
          </w:tcPr>
          <w:p>
            <w:pPr>
              <w:jc w:val="right"/>
              <w:ind w:right="200"/>
              <w:spacing w:after="0"/>
              <w:rPr>
                <w:sz w:val="20"/>
                <w:szCs w:val="20"/>
                <w:color w:val="auto"/>
              </w:rPr>
            </w:pPr>
            <w:r>
              <w:rPr>
                <w:rFonts w:ascii="Arial" w:cs="Arial" w:eastAsia="Arial" w:hAnsi="Arial"/>
                <w:sz w:val="18"/>
                <w:szCs w:val="18"/>
                <w:color w:val="auto"/>
                <w:w w:val="88"/>
              </w:rPr>
              <w:t>For the year ended December 31,</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(12,124)</w:t>
            </w: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Tax rate</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Computed “expected” tax benefit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(8,401)</w:t>
            </w: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(4,243)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income tax benefit</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8,107</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3,627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Other items</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9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ind w:right="485"/>
              <w:spacing w:after="0"/>
              <w:rPr>
                <w:sz w:val="20"/>
                <w:szCs w:val="20"/>
                <w:color w:val="auto"/>
              </w:rPr>
            </w:pPr>
            <w:r>
              <w:rPr>
                <w:rFonts w:ascii="Arial" w:cs="Arial" w:eastAsia="Arial" w:hAnsi="Arial"/>
                <w:sz w:val="18"/>
                <w:szCs w:val="18"/>
                <w:color w:val="auto"/>
              </w:rPr>
              <w:t>F-36</w:t>
            </w: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88" w:name="page89"/>
    <w:bookmarkEnd w:id="88"/>
    <w:p>
      <w:pPr>
        <w:jc w:val="both"/>
        <w:spacing w:after="0" w:line="264" w:lineRule="auto"/>
        <w:rPr>
          <w:sz w:val="20"/>
          <w:szCs w:val="20"/>
          <w:color w:val="auto"/>
        </w:rPr>
      </w:pPr>
      <w:r>
        <w:rPr>
          <w:rFonts w:ascii="Arial" w:cs="Arial" w:eastAsia="Arial" w:hAnsi="Arial"/>
          <w:sz w:val="18"/>
          <w:szCs w:val="18"/>
          <w:color w:val="auto"/>
        </w:rPr>
        <w:t>Deferred income taxes reflect the net effects of temporary differences between the carrying amounts of assets and liabilities for financial reporting purposes and the amounts used for income tax purposes. Significant components of the Company’s deferred tax assets and liabilities are as follows as of December 31, 2016 and 2015:</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operating loss carryforwards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Patents and other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deferred income tax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Valuation allowance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deferred income tax assets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1"/>
        </w:trPr>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49,433</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44,756</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6,125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4,839</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1,212</w:t>
            </w:r>
          </w:p>
        </w:tc>
        <w:tc>
          <w:tcPr>
            <w:tcW w:w="4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58,914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50,807</w:t>
            </w:r>
          </w:p>
        </w:tc>
        <w:tc>
          <w:tcPr>
            <w:tcW w:w="4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(58,914)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(50,807)</w:t>
            </w:r>
          </w:p>
        </w:tc>
      </w:t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-1174115</wp:posOffset>
            </wp:positionV>
            <wp:extent cx="579755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-891540</wp:posOffset>
            </wp:positionV>
            <wp:extent cx="579755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-608330</wp:posOffset>
            </wp:positionV>
            <wp:extent cx="579755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-325120</wp:posOffset>
            </wp:positionV>
            <wp:extent cx="579755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80" w:space="720"/>
            <w:col w:w="4920"/>
          </w:cols>
          <w:pgMar w:left="240" w:top="908" w:right="239" w:bottom="1440" w:gutter="0" w:footer="0" w:header="0"/>
          <w:type w:val="continuous"/>
        </w:sectPr>
      </w:pP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assesses the need for a valuation allowance related to its deferred income tax assets by considering whether it is more likely than not that some portion or all of the deferred income tax assets will not be realized. A valuation allowance has been recorded against the Company’s deferred income tax assets, as it is in the opinion of management that it is more likely than not that the net operating loss carryforwards (“NOL”s) will not be utilized in the foreseeable future.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valuation allowance as of December 31, 2016 is $58,914, which will be reduced if and when the Company determines that the deferred income tax assets are more likely than not to be realized.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w w:val="96"/>
              </w:rPr>
              <w:t>The following table presents the changes to the valuation allowance during the years presented:</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 2015</w:t>
            </w:r>
          </w:p>
        </w:tc>
        <w:tc>
          <w:tcPr>
            <w:tcW w:w="8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Charged to cost and expenses – continuing operations</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Charged to cost and expenses – discontinued operations</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Return to provision true-up and other</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December 31, 2015</w:t>
            </w:r>
          </w:p>
        </w:tc>
        <w:tc>
          <w:tcPr>
            <w:tcW w:w="4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Charged to cost and expenses – continuing operations</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Charged to cost and expenses – discontinued operations</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Return to provision true-up and other</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December 31, 2016</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2016, the Company’s estimated aggregate total NOLs were $138,915 for United States federal, state and local purposes expiring 20 years from the respective tax years to which they relate. The NOL amounts are presented before Internal Revenue Code, Section 382 limitations (“Section 382”). The Tax Reform Act of 1986 imposed substantial restrictions on the utilization of NOLs and tax credits in the event of an ownership change of a corporation. Thus, the Company’s ability to utilize all such NOLs and credit carryforwards may be limited. The NOLs available post-merger that the Company completed in 2012 that are not subject to limitation amount to $98,151. The remaining NOLs of $39,601 are subject to the limitation of Section 382. The annual limitation is approximately $2,000.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Company files its tax returns in the United States federal jurisdiction, as well as in various state, local and foreign jurisdictions. FORM Holdings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has open tax years for 2013 through 2016. As of December 31, 2016, all tax years for the Company’s subsidiary Innovate/Protect are still open.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89" w:name="page90"/>
    <w:bookmarkEnd w:id="89"/>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did not have any material unrecognized tax benefits as of December 31, 2016. The Company does not expect to record any additional material provisions for unrecognized tax benefits within the next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legal proceedings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 liability and the estimated amount of a loss related to such matters.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matters described below, and assessed the probability and likelihood of the occurrence of liability. Based on management’s estimates, the Company recorded $671, which is included in accounts payable, accrued expenses, and other current liabilities in the consolidated balance sheet as of December 31,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legal fees in the period in which they are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Cordial</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October 2014, XpresSpa terminated its former Airport Concession Disadvantaged Business Enterprise (“ACDBE”) partner, Cordial Endeavor Concessions of Atlanta, LLC (“Cordial”), in several store locations at Hartsfield-Jackson Atlanta International Airport. In April 2015 Cordial filed a complaint with the Federal Aviation Administration (“FAA”) (which oversees the City of Atlanta with regard to airport ACDBE programs) and, in December 2015, the FAA mandated that the City of Atlanta review XpresSpa’s request to substitute new partners in lieu of Cordial and Cordial’s claims of retaliation. In response to the FAA ruling, pursuant to a corrective action plan approved by the FAA, the City of Atlanta held two hearings in February 2016 and ruled in favor of the Company on both issues. Cordial submitted a further complaint to the FAA claiming that the City of Atlanta was biased against Cordial and that the City of Atlanta’s decision was wrong. On October 2016, the FAA sent a letter to the City of Atlanta directing that the City of Atlanta retract previous findings on Cordial’s allegations and engage an independent third party to investigate issues previously decided by Atlanta. The FAA also directed that Atlanta determine monies potentially due to Cordial.</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3, 2017, XpresSpa filed a lawsuit in the Supreme Court of the State of New York, County of New York against Cordial and several related parties alleging breach of contract, unjust enrichment, breach of fiduciary duty, fraudulent inducement, fraudulent concealment, tortious interference, and breach of good faith and fair dealing (the “Cordial Litigation”). On March 3, 2017, XpresSpa filed a first amended complaint against Cordial.</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January 4, 2017, XpresSpa filed a lawsuit in the United States District Court for the Southern District of New York against its former attorney, Kevin Ross, and his law firm alleging malpractice, unjust enrichment, breach of fiduciary duty, fraudulent inducement, fraudulent concealment, tortious interference, and promissory estoppel (the “Ross Litigation”). On March 2, 2017, the defendants filed a letter with the Court requesting a pre-motion conference in anticipation of the defendants’ filing of a motion to dismiss. On March 17, 2017, XpresSpa filed a First Amended Complaint against the defendants.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Both the Cordial Litigation and Ross Litigation are pending before the respective courts; no schedule has been set in either matter.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2017, Cordial filed a Part 16 complaint with the FAA. On March 7, 2017, the FAA held that XpresSpa has not been named in Cordial’s complaint, and is not a proper respondent.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re Chen et al.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16, 2015, four former employees of XpresSpa who worked at locations in John F. Kennedy International Airport and LaGuardia Airport filed a putative class and collective action wage-hour litigation in the United States District Court for the Eastern District of New York, claiming that they, and other spa technicians were misclassified, and that overtime was unpaid. On September 23, 2016, the Court conditionally certified the class. The parties held a mediation on February 28, 2017 and reached an agreement on a settlement in principle. The parties are in the process of drafting a formal settlement agreement incorporating the agreed-upon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Amiral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29, 2016, Amiral Holdings SAS (“Amiral”) filed a preliminary relief proceeding in the Netherlands against the Company’s subsidiary, XpresSpa Europe B.V. (“XpresSpa Europe”), relating to the failed acquisition by Amiral of XpresSpa Europe. On October 7, 2016, Amiral initiated proceedings before the District Court in Amsterdam seeking the transfer of shares in XpresSpa Europe to Amiral and damages.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 2016, Amiral filed a complaint for breach of contract against XpresSpa related to a failed merger between Amiral and XpresSpa, before the Supreme Court of the State of New York, County of New York. On November 23, 2016, a temporary restraining order was granted, enjoining XpresSpa and other parties from closing the merger between XpresSpa and the Company pending Amiral fulfilling certain conditions, which Amiral, on December 22, 2016, indicated that it would not meet, thus having the effect of dissolving the temporary restraining order.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quarter of 2017, the parties resolved their disputes and have dismissed and/or withdrawn all actions against each other. Pursuant to an agreement between the parties, Amiral will receive shares of FORM Preferred Stock from former XpresSpa shareholders. No liability is expected or recorded for these proceedings.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p>
    <w:p>
      <w:pPr>
        <w:sectPr>
          <w:pgSz w:w="11900" w:h="16874" w:orient="portrait"/>
          <w:cols w:equalWidth="0" w:num="1">
            <w:col w:w="11420"/>
          </w:cols>
          <w:pgMar w:left="240" w:top="908" w:right="239" w:bottom="0" w:gutter="0" w:footer="0" w:header="0"/>
        </w:sectPr>
      </w:pPr>
    </w:p>
    <w:bookmarkStart w:id="90" w:name="page91"/>
    <w:bookmarkEnd w:id="9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color w:val="auto"/>
        </w:rPr>
        <w:t>Employment related complaints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have been three complaints filed against XpresSpa with the Equal Employment Opportunity Commission for unlawful termination of employment and discriminatory employment practices. No liability is expected or recorded for these proceedings. At this time the Company does not believe that the outcome of these matters, individually or in the aggregate, would have a material adverse effect on its business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XpresSpa is regularly subject to claims, suits and other proceedings involving commercial disputes, labor and employment, personal injury and other matters.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claims, suits and other proceedings could result in fines, civil or criminal penalties or other adverse consequences.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ZTE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December 7, 2015, the Company entered into a confidential settlement and license agreement (the “Settlement Agreement”) with ZTE Corporation and its affiliates (collectively, “ZTE”), pursuant to which the parties withdrew all pending litigations and proceedings against each other and the Company granted ZTE a non-exclusive, non-transferable, worldwide perpetual license to certain patents and patent applications owned by the Company.</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several jurisdictions, though ZTE requested that government organizations close proceedings against FORM, those organizations make such determinations on their own volition. In China, ZTE requested that the National Developmental and Reform Commission (“NDRC”) conclude its investigation against FORM; however, it is not clear whether the NDRC has closed its investigation.</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in China and the Netherlands, FORM continues to appeal patent invalidity rulings issued in connection with proceedings originally brought by ZTE. In each instance, ZTE has indicated that it will not oppose FORM’s appeals, though FORM must still plead its case before the respective adjudicatory body in each jurisdiction. No liability is expected or recorded for the ZTE-related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deposits that had been posted with the courts in connection with the Company’s litigation with ZTE have been returned.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auto"/>
        </w:rPr>
        <w:t>ASUS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2016, the Company settled all disputes and ended all litigations with ASUSTeK Computer Inc. and its subsidiaries (collectively, “ASUS”). Google, Inc., who intervened as a party in the Company’s litigation against ASUS in India, and the Company have agreed to withdraw their respective outstanding claims against one another, for which each party has covered its own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 license agreement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25, 2016, the Company entered into a Confidential License Agreement (the “License Agreement”). Pursuant to the terms of the License Agreement, the licensee paid the Company a one-time lump sum payment of $8,900,000 on May 30, 2016. As a result, we granted to the licensee a non-exclusive, non-transferable, worldwide perpetual license to certain patents and patent applications we own.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intellectual property segment is also engaged in other litigation, for which no liability is recorded, as the Company does not expect any material negative outcome.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Mason Chu</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31, 2015, Mason Chu filed a lawsuit against the Company and its directors, alleging that the defendants breached their fiduciary duty to the Company and its stockholders. The parties resolved the litigation in March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is obligated under multiple lease agreements for its XpresSpa retail concessions. The lease agreements for the retail concessions have terms which expire at varying dates through December 31, 2025 and primarily require payment of rent as a percentage of sales and a minimum annual guarantee (“MAG”) rent payment. The MAG rent under the terms of the agreements range from $5 to $250 per year and are adjusted on each anniversary date.</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XpresSpa is contingently liable to a surety company under certain general indemnity agreements required by various airports relating to its lease agreements. XpresSpa agrees to indemnify the surety for any payments made on contracts of suretyship, guaranty, or indemnity. The Company believes that all contingent liabilities will be satisfied by its performance under the specified lease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corporate headquarters, as well as XpresSpa’s and FLI Charge’s, are located in New York, NY and its lease will expire in October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Group Mobile’s corporate headquarters are located in Chandler, AZ and its lease will expire in July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operating leases for years ended December 31, 2016 and 2015, were $584 and $381,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future minimum commitments under noncancelable lease agreements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4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Amount</w:t>
            </w:r>
          </w:p>
        </w:tc>
        <w:tc>
          <w:tcPr>
            <w:tcW w:w="2280" w:type="dxa"/>
            <w:vAlign w:val="bottom"/>
          </w:tcPr>
          <w:p>
            <w:pPr>
              <w:spacing w:after="0"/>
              <w:rPr>
                <w:sz w:val="20"/>
                <w:szCs w:val="20"/>
                <w:color w:val="auto"/>
              </w:rPr>
            </w:pP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4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2018</w:t>
            </w:r>
          </w:p>
        </w:tc>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4,100</w:t>
            </w:r>
          </w:p>
        </w:tc>
        <w:tc>
          <w:tcPr>
            <w:tcW w:w="228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2,916</w:t>
            </w:r>
          </w:p>
        </w:tc>
        <w:tc>
          <w:tcPr>
            <w:tcW w:w="2280" w:type="dxa"/>
            <w:vAlign w:val="bottom"/>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2020</w:t>
            </w:r>
          </w:p>
        </w:tc>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2,188</w:t>
            </w:r>
          </w:p>
        </w:tc>
        <w:tc>
          <w:tcPr>
            <w:tcW w:w="228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1,798</w:t>
            </w:r>
          </w:p>
        </w:tc>
        <w:tc>
          <w:tcPr>
            <w:tcW w:w="2280" w:type="dxa"/>
            <w:vAlign w:val="bottom"/>
          </w:tcPr>
          <w:p>
            <w:pPr>
              <w:spacing w:after="0"/>
              <w:rPr>
                <w:sz w:val="18"/>
                <w:szCs w:val="18"/>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Thereafter</w:t>
            </w:r>
          </w:p>
        </w:tc>
        <w:tc>
          <w:tcPr>
            <w:tcW w:w="4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2,688</w:t>
            </w:r>
          </w:p>
        </w:tc>
        <w:tc>
          <w:tcPr>
            <w:tcW w:w="2280" w:type="dxa"/>
            <w:vAlign w:val="bottom"/>
          </w:tcPr>
          <w:p>
            <w:pPr>
              <w:spacing w:after="0"/>
              <w:rPr>
                <w:sz w:val="19"/>
                <w:szCs w:val="19"/>
                <w:color w:val="auto"/>
              </w:rPr>
            </w:pPr>
          </w:p>
        </w:tc>
      </w:tr>
      <w:tr>
        <w:trPr>
          <w:trHeight w:val="223"/>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0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8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629"/>
        </w:trPr>
        <w:tc>
          <w:tcPr>
            <w:tcW w:w="37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3"/>
          </w:tcPr>
          <w:p>
            <w:pPr>
              <w:jc w:val="right"/>
              <w:ind w:right="2070"/>
              <w:spacing w:after="0"/>
              <w:rPr>
                <w:sz w:val="20"/>
                <w:szCs w:val="20"/>
                <w:color w:val="auto"/>
              </w:rPr>
            </w:pPr>
            <w:r>
              <w:rPr>
                <w:rFonts w:ascii="Arial" w:cs="Arial" w:eastAsia="Arial" w:hAnsi="Arial"/>
                <w:sz w:val="18"/>
                <w:szCs w:val="18"/>
                <w:color w:val="auto"/>
              </w:rPr>
              <w:t>F-40</w:t>
            </w: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Note 20.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Excalibur Acquisition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 2017, the Company completed the acquisition of Excalibur Integrated Systems, Inc. (“Excalibur”). The Company acquired 100% of the capital stock of Excalibur, an end-to-end solutions provider of mobile hardware devices, wireless network security, data networking, telephony and mobile application development and software solutions, which was added to the Company’s Group Mobile operating segment.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consideration for the acquisition, the Company issued to the former stockholders of Excalibur (the “Excalibur Sellers”) an aggregate of 888,573 unregistered shares of the Company’s common stock, par value $0.01 per share. The Excalibur Sellers will, in the three years following the closing of this transaction, also receive $500 for each $2,000 of gross profit generated by a specified list of Excalibur accounts annually, until such cumulative gross profit reaches $6,000, and an additional $500 when such cumulative profit reaches $10,000, such amounts payable in either cash or the Company’s common stock, at the election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 the process of evaluating the accounting treatment for this acquisition.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the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2017.</w:t>
      </w:r>
    </w:p>
    <w:p>
      <w:pPr>
        <w:spacing w:after="0" w:line="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FORM Holdings Corp.</w:t>
      </w:r>
    </w:p>
    <w:p>
      <w:pPr>
        <w:spacing w:after="0" w:line="229" w:lineRule="exact"/>
        <w:rPr>
          <w:sz w:val="20"/>
          <w:szCs w:val="20"/>
          <w:color w:val="auto"/>
        </w:rPr>
      </w:pPr>
    </w:p>
    <w:p>
      <w:pPr>
        <w:ind w:left="5720"/>
        <w:spacing w:after="0"/>
        <w:tabs>
          <w:tab w:leader="none" w:pos="6160" w:val="left"/>
          <w:tab w:leader="none" w:pos="65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Andrew D. Perlman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Securities Exchange Act of 1934, this Annual Report on Form 10-K has been signed below by the following persons on behalf of the registrant and in the capacities indicated below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5820" w:type="dxa"/>
            <w:vAlign w:val="bottom"/>
            <w:gridSpan w:val="3"/>
          </w:tcPr>
          <w:p>
            <w:pPr>
              <w:ind w:left="120"/>
              <w:spacing w:after="0"/>
              <w:rPr>
                <w:sz w:val="20"/>
                <w:szCs w:val="20"/>
                <w:color w:val="auto"/>
              </w:rPr>
            </w:pPr>
            <w:r>
              <w:rPr>
                <w:rFonts w:ascii="Arial" w:cs="Arial" w:eastAsia="Arial" w:hAnsi="Arial"/>
                <w:sz w:val="18"/>
                <w:szCs w:val="18"/>
                <w:b w:val="1"/>
                <w:bCs w:val="1"/>
                <w:color w:val="auto"/>
              </w:rPr>
              <w:t>Title</w:t>
            </w:r>
          </w:p>
        </w:tc>
        <w:tc>
          <w:tcPr>
            <w:tcW w:w="1700" w:type="dxa"/>
            <w:vAlign w:val="bottom"/>
          </w:tcPr>
          <w:p>
            <w:pPr>
              <w:spacing w:after="0"/>
              <w:rPr>
                <w:sz w:val="20"/>
                <w:szCs w:val="20"/>
                <w:color w:val="auto"/>
              </w:rPr>
            </w:pPr>
            <w:r>
              <w:rPr>
                <w:rFonts w:ascii="Arial" w:cs="Arial" w:eastAsia="Arial" w:hAnsi="Arial"/>
                <w:sz w:val="18"/>
                <w:szCs w:val="18"/>
                <w:b w:val="1"/>
                <w:bCs w:val="1"/>
                <w:color w:val="auto"/>
              </w:rPr>
              <w:t>Date</w:t>
            </w:r>
          </w:p>
        </w:tc>
      </w:tr>
      <w:tr>
        <w:trPr>
          <w:trHeight w:val="426"/>
        </w:trPr>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w:t>
            </w:r>
          </w:p>
        </w:tc>
        <w:tc>
          <w:tcPr>
            <w:tcW w:w="36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ANDREW D. PERLMAN</w:t>
            </w:r>
          </w:p>
        </w:tc>
        <w:tc>
          <w:tcPr>
            <w:tcW w:w="120" w:type="dxa"/>
            <w:vAlign w:val="bottom"/>
          </w:tcPr>
          <w:p>
            <w:pPr>
              <w:spacing w:after="0"/>
              <w:rPr>
                <w:sz w:val="24"/>
                <w:szCs w:val="24"/>
                <w:color w:val="auto"/>
              </w:rPr>
            </w:pPr>
          </w:p>
        </w:tc>
        <w:tc>
          <w:tcPr>
            <w:tcW w:w="56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Chief Executive Officer and Director (Principal</w:t>
            </w:r>
          </w:p>
        </w:tc>
        <w:tc>
          <w:tcPr>
            <w:tcW w:w="100" w:type="dxa"/>
            <w:vAlign w:val="bottom"/>
          </w:tcPr>
          <w:p>
            <w:pPr>
              <w:spacing w:after="0"/>
              <w:rPr>
                <w:sz w:val="24"/>
                <w:szCs w:val="24"/>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March 30, 2017</w:t>
            </w:r>
          </w:p>
        </w:tc>
      </w:tr>
      <w:tr>
        <w:trPr>
          <w:trHeight w:val="228"/>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Andrew D. Perlman</w:t>
            </w:r>
          </w:p>
        </w:tc>
        <w:tc>
          <w:tcPr>
            <w:tcW w:w="120" w:type="dxa"/>
            <w:vAlign w:val="bottom"/>
          </w:tcPr>
          <w:p>
            <w:pPr>
              <w:spacing w:after="0"/>
              <w:rPr>
                <w:sz w:val="19"/>
                <w:szCs w:val="19"/>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Executive Officer)</w:t>
            </w:r>
          </w:p>
        </w:tc>
        <w:tc>
          <w:tcPr>
            <w:tcW w:w="170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ANASTASIA NYRKOVSKAYA</w:t>
            </w:r>
          </w:p>
        </w:tc>
        <w:tc>
          <w:tcPr>
            <w:tcW w:w="120" w:type="dxa"/>
            <w:vAlign w:val="bottom"/>
          </w:tcPr>
          <w:p>
            <w:pPr>
              <w:spacing w:after="0"/>
              <w:rPr>
                <w:sz w:val="24"/>
                <w:szCs w:val="24"/>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 (Principal Financial Officer</w:t>
            </w:r>
          </w:p>
        </w:tc>
        <w:tc>
          <w:tcPr>
            <w:tcW w:w="1700" w:type="dxa"/>
            <w:vAlign w:val="bottom"/>
          </w:tcPr>
          <w:p>
            <w:pPr>
              <w:spacing w:after="0"/>
              <w:rPr>
                <w:sz w:val="20"/>
                <w:szCs w:val="20"/>
                <w:color w:val="auto"/>
              </w:rPr>
            </w:pPr>
            <w:r>
              <w:rPr>
                <w:rFonts w:ascii="Arial" w:cs="Arial" w:eastAsia="Arial" w:hAnsi="Arial"/>
                <w:sz w:val="18"/>
                <w:szCs w:val="18"/>
                <w:color w:val="auto"/>
              </w:rPr>
              <w:t>March 30, 2017</w:t>
            </w:r>
          </w:p>
        </w:tc>
      </w:tr>
      <w:tr>
        <w:trPr>
          <w:trHeight w:val="228"/>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Anastasia Nyrkovskaya</w:t>
            </w:r>
          </w:p>
        </w:tc>
        <w:tc>
          <w:tcPr>
            <w:tcW w:w="120" w:type="dxa"/>
            <w:vAlign w:val="bottom"/>
          </w:tcPr>
          <w:p>
            <w:pPr>
              <w:spacing w:after="0"/>
              <w:rPr>
                <w:sz w:val="19"/>
                <w:szCs w:val="19"/>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and Principal Accounting Officer)</w:t>
            </w:r>
          </w:p>
        </w:tc>
        <w:tc>
          <w:tcPr>
            <w:tcW w:w="170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JOHN ENGELMAN</w:t>
            </w:r>
          </w:p>
        </w:tc>
        <w:tc>
          <w:tcPr>
            <w:tcW w:w="120" w:type="dxa"/>
            <w:vAlign w:val="bottom"/>
          </w:tcPr>
          <w:p>
            <w:pPr>
              <w:spacing w:after="0"/>
              <w:rPr>
                <w:sz w:val="24"/>
                <w:szCs w:val="24"/>
                <w:color w:val="auto"/>
              </w:rPr>
            </w:pPr>
          </w:p>
        </w:tc>
        <w:tc>
          <w:tcPr>
            <w:tcW w:w="57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20"/>
                <w:szCs w:val="20"/>
                <w:color w:val="auto"/>
              </w:rPr>
            </w:pPr>
            <w:r>
              <w:rPr>
                <w:rFonts w:ascii="Arial" w:cs="Arial" w:eastAsia="Arial" w:hAnsi="Arial"/>
                <w:sz w:val="18"/>
                <w:szCs w:val="18"/>
                <w:color w:val="auto"/>
              </w:rPr>
              <w:t>March 30, 2017</w:t>
            </w:r>
          </w:p>
        </w:tc>
      </w:tr>
      <w:tr>
        <w:trPr>
          <w:trHeight w:val="228"/>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John Engelman</w:t>
            </w:r>
          </w:p>
        </w:tc>
        <w:tc>
          <w:tcPr>
            <w:tcW w:w="1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SALVATORE GIARDINA</w:t>
            </w:r>
          </w:p>
        </w:tc>
        <w:tc>
          <w:tcPr>
            <w:tcW w:w="120" w:type="dxa"/>
            <w:vAlign w:val="bottom"/>
          </w:tcPr>
          <w:p>
            <w:pPr>
              <w:spacing w:after="0"/>
              <w:rPr>
                <w:sz w:val="24"/>
                <w:szCs w:val="24"/>
                <w:color w:val="auto"/>
              </w:rPr>
            </w:pPr>
          </w:p>
        </w:tc>
        <w:tc>
          <w:tcPr>
            <w:tcW w:w="57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20"/>
                <w:szCs w:val="20"/>
                <w:color w:val="auto"/>
              </w:rPr>
            </w:pPr>
            <w:r>
              <w:rPr>
                <w:rFonts w:ascii="Arial" w:cs="Arial" w:eastAsia="Arial" w:hAnsi="Arial"/>
                <w:sz w:val="18"/>
                <w:szCs w:val="18"/>
                <w:color w:val="auto"/>
              </w:rPr>
              <w:t>March 30, 2017</w:t>
            </w:r>
          </w:p>
        </w:tc>
      </w:tr>
      <w:tr>
        <w:trPr>
          <w:trHeight w:val="228"/>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Salvatore Giardina</w:t>
            </w:r>
          </w:p>
        </w:tc>
        <w:tc>
          <w:tcPr>
            <w:tcW w:w="1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DONALD E. STOUT</w:t>
            </w:r>
          </w:p>
        </w:tc>
        <w:tc>
          <w:tcPr>
            <w:tcW w:w="120" w:type="dxa"/>
            <w:vAlign w:val="bottom"/>
          </w:tcPr>
          <w:p>
            <w:pPr>
              <w:spacing w:after="0"/>
              <w:rPr>
                <w:sz w:val="24"/>
                <w:szCs w:val="24"/>
                <w:color w:val="auto"/>
              </w:rPr>
            </w:pPr>
          </w:p>
        </w:tc>
        <w:tc>
          <w:tcPr>
            <w:tcW w:w="57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20"/>
                <w:szCs w:val="20"/>
                <w:color w:val="auto"/>
              </w:rPr>
            </w:pPr>
            <w:r>
              <w:rPr>
                <w:rFonts w:ascii="Arial" w:cs="Arial" w:eastAsia="Arial" w:hAnsi="Arial"/>
                <w:sz w:val="18"/>
                <w:szCs w:val="18"/>
                <w:color w:val="auto"/>
              </w:rPr>
              <w:t>March 30, 2017</w:t>
            </w:r>
          </w:p>
        </w:tc>
      </w:tr>
      <w:tr>
        <w:trPr>
          <w:trHeight w:val="228"/>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Donald E. Stout</w:t>
            </w:r>
          </w:p>
        </w:tc>
        <w:tc>
          <w:tcPr>
            <w:tcW w:w="1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BRUCE T. BERNSTEIN</w:t>
            </w:r>
          </w:p>
        </w:tc>
        <w:tc>
          <w:tcPr>
            <w:tcW w:w="120" w:type="dxa"/>
            <w:vAlign w:val="bottom"/>
          </w:tcPr>
          <w:p>
            <w:pPr>
              <w:spacing w:after="0"/>
              <w:rPr>
                <w:sz w:val="24"/>
                <w:szCs w:val="24"/>
                <w:color w:val="auto"/>
              </w:rPr>
            </w:pPr>
          </w:p>
        </w:tc>
        <w:tc>
          <w:tcPr>
            <w:tcW w:w="57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20"/>
                <w:szCs w:val="20"/>
                <w:color w:val="auto"/>
              </w:rPr>
            </w:pPr>
            <w:r>
              <w:rPr>
                <w:rFonts w:ascii="Arial" w:cs="Arial" w:eastAsia="Arial" w:hAnsi="Arial"/>
                <w:sz w:val="18"/>
                <w:szCs w:val="18"/>
                <w:color w:val="auto"/>
              </w:rPr>
              <w:t>March 30, 2017</w:t>
            </w:r>
          </w:p>
        </w:tc>
      </w:tr>
      <w:tr>
        <w:trPr>
          <w:trHeight w:val="228"/>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Bruce T. Bernstein</w:t>
            </w:r>
          </w:p>
        </w:tc>
        <w:tc>
          <w:tcPr>
            <w:tcW w:w="1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ANDREW R. HEYER</w:t>
            </w:r>
          </w:p>
        </w:tc>
        <w:tc>
          <w:tcPr>
            <w:tcW w:w="120" w:type="dxa"/>
            <w:vAlign w:val="bottom"/>
          </w:tcPr>
          <w:p>
            <w:pPr>
              <w:spacing w:after="0"/>
              <w:rPr>
                <w:sz w:val="24"/>
                <w:szCs w:val="24"/>
                <w:color w:val="auto"/>
              </w:rPr>
            </w:pPr>
          </w:p>
        </w:tc>
        <w:tc>
          <w:tcPr>
            <w:tcW w:w="57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20"/>
                <w:szCs w:val="20"/>
                <w:color w:val="auto"/>
              </w:rPr>
            </w:pPr>
            <w:r>
              <w:rPr>
                <w:rFonts w:ascii="Arial" w:cs="Arial" w:eastAsia="Arial" w:hAnsi="Arial"/>
                <w:sz w:val="18"/>
                <w:szCs w:val="18"/>
                <w:color w:val="auto"/>
              </w:rPr>
              <w:t>March 30, 2017</w:t>
            </w:r>
          </w:p>
        </w:tc>
      </w:tr>
      <w:tr>
        <w:trPr>
          <w:trHeight w:val="228"/>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Andrew R. Heyer</w:t>
            </w:r>
          </w:p>
        </w:tc>
        <w:tc>
          <w:tcPr>
            <w:tcW w:w="1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RICHARD K. ABBE</w:t>
            </w:r>
          </w:p>
        </w:tc>
        <w:tc>
          <w:tcPr>
            <w:tcW w:w="120" w:type="dxa"/>
            <w:vAlign w:val="bottom"/>
          </w:tcPr>
          <w:p>
            <w:pPr>
              <w:spacing w:after="0"/>
              <w:rPr>
                <w:sz w:val="24"/>
                <w:szCs w:val="24"/>
                <w:color w:val="auto"/>
              </w:rPr>
            </w:pPr>
          </w:p>
        </w:tc>
        <w:tc>
          <w:tcPr>
            <w:tcW w:w="57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20"/>
                <w:szCs w:val="20"/>
                <w:color w:val="auto"/>
              </w:rPr>
            </w:pPr>
            <w:r>
              <w:rPr>
                <w:rFonts w:ascii="Arial" w:cs="Arial" w:eastAsia="Arial" w:hAnsi="Arial"/>
                <w:sz w:val="18"/>
                <w:szCs w:val="18"/>
                <w:color w:val="auto"/>
              </w:rPr>
              <w:t>March 30, 2017</w:t>
            </w:r>
          </w:p>
        </w:tc>
      </w:tr>
      <w:tr>
        <w:trPr>
          <w:trHeight w:val="228"/>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Richard K. Abbe</w:t>
            </w:r>
          </w:p>
        </w:tc>
        <w:tc>
          <w:tcPr>
            <w:tcW w:w="1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8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91"/>
              </w:rPr>
              <w:t>Exhibits Index</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4"/>
                <w:szCs w:val="24"/>
                <w:color w:val="auto"/>
              </w:rPr>
            </w:pPr>
          </w:p>
        </w:tc>
        <w:tc>
          <w:tcPr>
            <w:tcW w:w="10180" w:type="dxa"/>
            <w:vAlign w:val="bottom"/>
            <w:gridSpan w:val="2"/>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Agreement and Plan of Merger by and among FORM Holdings Corp., FHXMS, LLC, XpresSpa Holdings, LLC, the unitholders of</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4"/>
              </w:rPr>
              <w:t>XpresSpa who are parties thereto and Mistral XH Representative, LLC, as representative of the unitholders, dated as of August 8, 2016</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rPr>
              <w:t>(incorporated by reference to Exhibit 2.1 to our Current Report on Form 8-K filed with the SEC on August 8, 2016)</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2.2</w:t>
            </w: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4"/>
              </w:rPr>
              <w:t>Amendment No. 1 to Agreement and Plan of Merger by and among FORM Holdings Corp., FHXMS, LLC, XpresSpa Holdings, LLC and</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2"/>
              </w:rPr>
              <w:t>Mistral XH Representative, LLC, as representative of the unitholders, dated September 8, 2016 (incorporated by reference to Exhibit 2.1 to</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rPr>
              <w:t>our Current Report on Form 8-K filed with the SEC on September 9, 2016)</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2.3</w:t>
            </w: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4"/>
              </w:rPr>
              <w:t>Amendment No. 2 to Agreement and Plan of Merger by and among FORM Holdings Corp., FHXMS, LLC, XpresSpa Holdings, LLC and</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3"/>
              </w:rPr>
              <w:t>Mistral XH Representative, LLC, as representative of the unitholders, dated October 25, 2016 (incorporated by reference to Exhibit 2.1 to</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rPr>
              <w:t>our Current Report on Form 8-K filed with the SEC on October 25, 2016)</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3.1*</w:t>
            </w: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rPr>
              <w:t>Amended and Restated Certificate of Incorporation, as amended as of November 28, 2016</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3.2</w:t>
            </w: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2"/>
              </w:rPr>
              <w:t>Second Amended and Restated Bylaws, effective May 6, 2016 (incorporated by reference to Exhibit 3.2 to our Current Report on Form 8-K</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rPr>
              <w:t>filed with the SEC on May 5, 2016)</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3.3</w:t>
            </w: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2"/>
              </w:rPr>
              <w:t>Certificate of Designations, Preferences and Rights of Series A Convertible Preferred Stock (incorporated by reference from Exhibit 3.2 to</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rPr>
              <w:t>our Current Report on Form 8-K filed on July 20, 2012)</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3.4</w:t>
            </w: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2"/>
              </w:rPr>
              <w:t>Certificate of Designations of Preferences, Rights and Limitations of Series B Convertible Preferred Stock (incorporated by reference from</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rPr>
              <w:t>Exhibit 3.1 to our Current Report on Form 8-K filed with the SEC on October 16, 2015)</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3.5</w:t>
            </w: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1"/>
              </w:rPr>
              <w:t>Certificate of Designation of Series C Junior Participating Preferred Stock (incorporated by reference from Exhibit 3.1 to our Current Report</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rPr>
              <w:t>on Form 8-K filed with the SEC on March 21, 2016)</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3.4</w:t>
            </w: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2"/>
              </w:rPr>
              <w:t>Certificate of Designations of Preferences, Rights and Limitations of Series B Convertible Preferred Stock (incorporated by reference from</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rPr>
              <w:t>Exhibit 3.1 to our Current Report on Form 8-K filed with the SEC on October 16, 2015)</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3.5</w:t>
            </w: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5"/>
              </w:rPr>
              <w:t>Certificate of Designation of Preferences, Rights and Limitations of Series D Convertible Preferred Stock (incorporated by reference to</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rPr>
              <w:t>Exhibit 3.1 to our Current Report on Form 8-K filed with the SEC on December 23, 2016).</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4.1</w:t>
            </w: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6"/>
              </w:rPr>
              <w:t>Specimen common stock certificate (incorporated by reference from our Registration Statement on Form S-1 filed on May 18, 2010)</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4.2</w:t>
            </w: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rPr>
              <w:t>Form of Warrant Agreement (incorporated by reference from our Registration Statement on Form S-1 filed on March 29, 2010)</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4.3</w:t>
            </w: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6"/>
              </w:rPr>
              <w:t>Form of Special Bridge Warrants (incorporated by reference from our Registration Statement on Form S-1 filed on January 29, 2010)</w:t>
            </w:r>
          </w:p>
        </w:tc>
      </w:tr>
      <w:tr>
        <w:trPr>
          <w:trHeight w:val="702"/>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gridSpan w:val="2"/>
          </w:tcPr>
          <w:p>
            <w:pPr>
              <w:jc w:val="right"/>
              <w:ind w:right="5510"/>
              <w:spacing w:after="0"/>
              <w:rPr>
                <w:sz w:val="20"/>
                <w:szCs w:val="20"/>
                <w:color w:val="auto"/>
              </w:rPr>
            </w:pPr>
            <w:r>
              <w:rPr>
                <w:rFonts w:ascii="Arial" w:cs="Arial" w:eastAsia="Arial" w:hAnsi="Arial"/>
                <w:sz w:val="22"/>
                <w:szCs w:val="22"/>
                <w:color w:val="auto"/>
              </w:rPr>
              <w:t>52</w:t>
            </w:r>
          </w:p>
        </w:tc>
        <w:tc>
          <w:tcPr>
            <w:tcW w:w="20" w:type="dxa"/>
            <w:vAlign w:val="bottom"/>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4.4†</w:t>
            </w:r>
          </w:p>
        </w:tc>
        <w:tc>
          <w:tcPr>
            <w:tcW w:w="10580" w:type="dxa"/>
            <w:vAlign w:val="bottom"/>
          </w:tcPr>
          <w:p>
            <w:pPr>
              <w:ind w:left="420"/>
              <w:spacing w:after="0"/>
              <w:rPr>
                <w:sz w:val="20"/>
                <w:szCs w:val="20"/>
                <w:color w:val="auto"/>
              </w:rPr>
            </w:pPr>
            <w:r>
              <w:rPr>
                <w:rFonts w:ascii="Arial" w:cs="Arial" w:eastAsia="Arial" w:hAnsi="Arial"/>
                <w:sz w:val="18"/>
                <w:szCs w:val="18"/>
                <w:color w:val="auto"/>
                <w:w w:val="91"/>
              </w:rPr>
              <w:t>Form of Management Option Agreement (incorporated by reference from our Registration Statement on Form S-1 filed on March 29, 2010)</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4.5</w:t>
            </w:r>
          </w:p>
        </w:tc>
        <w:tc>
          <w:tcPr>
            <w:tcW w:w="10580" w:type="dxa"/>
            <w:vAlign w:val="bottom"/>
          </w:tcPr>
          <w:p>
            <w:pPr>
              <w:ind w:left="420"/>
              <w:spacing w:after="0"/>
              <w:rPr>
                <w:sz w:val="20"/>
                <w:szCs w:val="20"/>
                <w:color w:val="auto"/>
              </w:rPr>
            </w:pPr>
            <w:r>
              <w:rPr>
                <w:rFonts w:ascii="Arial" w:cs="Arial" w:eastAsia="Arial" w:hAnsi="Arial"/>
                <w:sz w:val="18"/>
                <w:szCs w:val="18"/>
                <w:color w:val="auto"/>
                <w:w w:val="93"/>
              </w:rPr>
              <w:t>Form of Preferential Reload Warrant (incorporated by reference from our Quarterly Report on Form 10-Q for the period ended March 31,</w:t>
            </w:r>
          </w:p>
        </w:tc>
      </w:tr>
      <w:tr>
        <w:trPr>
          <w:trHeight w:val="230"/>
        </w:trPr>
        <w:tc>
          <w:tcPr>
            <w:tcW w:w="840" w:type="dxa"/>
            <w:vAlign w:val="bottom"/>
          </w:tcPr>
          <w:p>
            <w:pPr>
              <w:spacing w:after="0"/>
              <w:rPr>
                <w:sz w:val="20"/>
                <w:szCs w:val="20"/>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2012 filed on May 15, 2012)</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4.6</w:t>
            </w:r>
          </w:p>
        </w:tc>
        <w:tc>
          <w:tcPr>
            <w:tcW w:w="10580" w:type="dxa"/>
            <w:vAlign w:val="bottom"/>
          </w:tcPr>
          <w:p>
            <w:pPr>
              <w:ind w:left="420"/>
              <w:spacing w:after="0"/>
              <w:rPr>
                <w:sz w:val="20"/>
                <w:szCs w:val="20"/>
                <w:color w:val="auto"/>
              </w:rPr>
            </w:pPr>
            <w:r>
              <w:rPr>
                <w:rFonts w:ascii="Arial" w:cs="Arial" w:eastAsia="Arial" w:hAnsi="Arial"/>
                <w:sz w:val="18"/>
                <w:szCs w:val="18"/>
                <w:color w:val="auto"/>
                <w:w w:val="91"/>
              </w:rPr>
              <w:t>Form of Reload Warrants (incorporated by reference from our Quarterly Report on Form 10-Q for the period ended March 31, 2012 filed on</w:t>
            </w:r>
          </w:p>
        </w:tc>
      </w:tr>
      <w:tr>
        <w:trPr>
          <w:trHeight w:val="230"/>
        </w:trPr>
        <w:tc>
          <w:tcPr>
            <w:tcW w:w="840" w:type="dxa"/>
            <w:vAlign w:val="bottom"/>
          </w:tcPr>
          <w:p>
            <w:pPr>
              <w:spacing w:after="0"/>
              <w:rPr>
                <w:sz w:val="20"/>
                <w:szCs w:val="20"/>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May 15, 2012)</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4.7</w:t>
            </w:r>
          </w:p>
        </w:tc>
        <w:tc>
          <w:tcPr>
            <w:tcW w:w="10580" w:type="dxa"/>
            <w:vAlign w:val="bottom"/>
          </w:tcPr>
          <w:p>
            <w:pPr>
              <w:ind w:left="420"/>
              <w:spacing w:after="0"/>
              <w:rPr>
                <w:sz w:val="20"/>
                <w:szCs w:val="20"/>
                <w:color w:val="auto"/>
              </w:rPr>
            </w:pPr>
            <w:r>
              <w:rPr>
                <w:rFonts w:ascii="Arial" w:cs="Arial" w:eastAsia="Arial" w:hAnsi="Arial"/>
                <w:sz w:val="18"/>
                <w:szCs w:val="18"/>
                <w:color w:val="auto"/>
                <w:w w:val="96"/>
              </w:rPr>
              <w:t>Form of Series 1 Warrant (incorporated by reference from Annex F to our Registration Statement on Form S-4 (File No. 333-180609)</w:t>
            </w:r>
          </w:p>
        </w:tc>
      </w:tr>
      <w:tr>
        <w:trPr>
          <w:trHeight w:val="230"/>
        </w:trPr>
        <w:tc>
          <w:tcPr>
            <w:tcW w:w="840" w:type="dxa"/>
            <w:vAlign w:val="bottom"/>
          </w:tcPr>
          <w:p>
            <w:pPr>
              <w:spacing w:after="0"/>
              <w:rPr>
                <w:sz w:val="20"/>
                <w:szCs w:val="20"/>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originally filed with the SEC on April 6, 2012)</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4.8</w:t>
            </w:r>
          </w:p>
        </w:tc>
        <w:tc>
          <w:tcPr>
            <w:tcW w:w="10580" w:type="dxa"/>
            <w:vAlign w:val="bottom"/>
          </w:tcPr>
          <w:p>
            <w:pPr>
              <w:ind w:left="420"/>
              <w:spacing w:after="0"/>
              <w:rPr>
                <w:sz w:val="20"/>
                <w:szCs w:val="20"/>
                <w:color w:val="auto"/>
              </w:rPr>
            </w:pPr>
            <w:r>
              <w:rPr>
                <w:rFonts w:ascii="Arial" w:cs="Arial" w:eastAsia="Arial" w:hAnsi="Arial"/>
                <w:sz w:val="18"/>
                <w:szCs w:val="18"/>
                <w:color w:val="auto"/>
                <w:w w:val="95"/>
              </w:rPr>
              <w:t>Form of Series 2 Warrant (incorporated by reference from Annex G to our Registration Statement on Form S-4 (File No. 333-180609)</w:t>
            </w:r>
          </w:p>
        </w:tc>
      </w:tr>
      <w:tr>
        <w:trPr>
          <w:trHeight w:val="230"/>
        </w:trPr>
        <w:tc>
          <w:tcPr>
            <w:tcW w:w="840" w:type="dxa"/>
            <w:vAlign w:val="bottom"/>
          </w:tcPr>
          <w:p>
            <w:pPr>
              <w:spacing w:after="0"/>
              <w:rPr>
                <w:sz w:val="20"/>
                <w:szCs w:val="20"/>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originally filed with the SEC on April 6, 2012)</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4.9</w:t>
            </w:r>
          </w:p>
        </w:tc>
        <w:tc>
          <w:tcPr>
            <w:tcW w:w="10580" w:type="dxa"/>
            <w:vAlign w:val="bottom"/>
          </w:tcPr>
          <w:p>
            <w:pPr>
              <w:ind w:left="420"/>
              <w:spacing w:after="0"/>
              <w:rPr>
                <w:sz w:val="20"/>
                <w:szCs w:val="20"/>
                <w:color w:val="auto"/>
              </w:rPr>
            </w:pPr>
            <w:r>
              <w:rPr>
                <w:rFonts w:ascii="Arial" w:cs="Arial" w:eastAsia="Arial" w:hAnsi="Arial"/>
                <w:sz w:val="18"/>
                <w:szCs w:val="18"/>
                <w:color w:val="auto"/>
                <w:w w:val="93"/>
              </w:rPr>
              <w:t>Form of Warrant, dated June 20, 2014 (incorporated by reference from our Quarterly Report on Form 10-Q for the period ended June 30,</w:t>
            </w:r>
          </w:p>
        </w:tc>
      </w:tr>
      <w:tr>
        <w:trPr>
          <w:trHeight w:val="230"/>
        </w:trPr>
        <w:tc>
          <w:tcPr>
            <w:tcW w:w="840" w:type="dxa"/>
            <w:vAlign w:val="bottom"/>
          </w:tcPr>
          <w:p>
            <w:pPr>
              <w:spacing w:after="0"/>
              <w:rPr>
                <w:sz w:val="20"/>
                <w:szCs w:val="20"/>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2014 filed on August 6, 2014)</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4.10</w:t>
            </w:r>
          </w:p>
        </w:tc>
        <w:tc>
          <w:tcPr>
            <w:tcW w:w="10580" w:type="dxa"/>
            <w:vAlign w:val="bottom"/>
          </w:tcPr>
          <w:p>
            <w:pPr>
              <w:ind w:left="420"/>
              <w:spacing w:after="0"/>
              <w:rPr>
                <w:sz w:val="20"/>
                <w:szCs w:val="20"/>
                <w:color w:val="auto"/>
              </w:rPr>
            </w:pPr>
            <w:r>
              <w:rPr>
                <w:rFonts w:ascii="Arial" w:cs="Arial" w:eastAsia="Arial" w:hAnsi="Arial"/>
                <w:sz w:val="18"/>
                <w:szCs w:val="18"/>
                <w:color w:val="auto"/>
                <w:w w:val="93"/>
              </w:rPr>
              <w:t>Form of Warrant (incorporated by reference from Exhibit 4.1 to our Current Report on Form 8-K filed with the SEC on October 16, 2015)</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4.11</w:t>
            </w:r>
          </w:p>
        </w:tc>
        <w:tc>
          <w:tcPr>
            <w:tcW w:w="10580" w:type="dxa"/>
            <w:vAlign w:val="bottom"/>
          </w:tcPr>
          <w:p>
            <w:pPr>
              <w:ind w:left="420"/>
              <w:spacing w:after="0"/>
              <w:rPr>
                <w:sz w:val="20"/>
                <w:szCs w:val="20"/>
                <w:color w:val="auto"/>
              </w:rPr>
            </w:pPr>
            <w:r>
              <w:rPr>
                <w:rFonts w:ascii="Arial" w:cs="Arial" w:eastAsia="Arial" w:hAnsi="Arial"/>
                <w:sz w:val="18"/>
                <w:szCs w:val="18"/>
                <w:color w:val="auto"/>
                <w:w w:val="98"/>
              </w:rPr>
              <w:t>Form of Notes (incorporated by reference from Exhibit 10.2 to our Current Report on Form 8-K filed with the SEC on May 4, 2015)</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4.12</w:t>
            </w:r>
          </w:p>
        </w:tc>
        <w:tc>
          <w:tcPr>
            <w:tcW w:w="10580" w:type="dxa"/>
            <w:vAlign w:val="bottom"/>
          </w:tcPr>
          <w:p>
            <w:pPr>
              <w:ind w:left="420"/>
              <w:spacing w:after="0"/>
              <w:rPr>
                <w:sz w:val="20"/>
                <w:szCs w:val="20"/>
                <w:color w:val="auto"/>
              </w:rPr>
            </w:pPr>
            <w:r>
              <w:rPr>
                <w:rFonts w:ascii="Arial" w:cs="Arial" w:eastAsia="Arial" w:hAnsi="Arial"/>
                <w:sz w:val="18"/>
                <w:szCs w:val="18"/>
                <w:color w:val="auto"/>
                <w:w w:val="96"/>
              </w:rPr>
              <w:t>Form of Warrant (incorporated by reference from Exhibit 10.3 to our Current Report on Form 8-K filed with the SEC on May 4, 2015)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4.13</w:t>
            </w:r>
          </w:p>
        </w:tc>
        <w:tc>
          <w:tcPr>
            <w:tcW w:w="10580" w:type="dxa"/>
            <w:vAlign w:val="bottom"/>
          </w:tcPr>
          <w:p>
            <w:pPr>
              <w:ind w:left="420"/>
              <w:spacing w:after="0"/>
              <w:rPr>
                <w:sz w:val="20"/>
                <w:szCs w:val="20"/>
                <w:color w:val="auto"/>
              </w:rPr>
            </w:pPr>
            <w:r>
              <w:rPr>
                <w:rFonts w:ascii="Arial" w:cs="Arial" w:eastAsia="Arial" w:hAnsi="Arial"/>
                <w:sz w:val="18"/>
                <w:szCs w:val="18"/>
                <w:color w:val="auto"/>
                <w:w w:val="91"/>
              </w:rPr>
              <w:t>Form of Base Indenture between Vringo, Inc. and Computershare Trust Company, N.A. (incorporated by reference from Exhibit 10.4 to our</w:t>
            </w:r>
          </w:p>
        </w:tc>
      </w:tr>
      <w:tr>
        <w:trPr>
          <w:trHeight w:val="230"/>
        </w:trPr>
        <w:tc>
          <w:tcPr>
            <w:tcW w:w="840" w:type="dxa"/>
            <w:vAlign w:val="bottom"/>
          </w:tcPr>
          <w:p>
            <w:pPr>
              <w:spacing w:after="0"/>
              <w:rPr>
                <w:sz w:val="20"/>
                <w:szCs w:val="20"/>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Current Report on Form 8-K filed with the SEC on May 4, 2015)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4.14</w:t>
            </w:r>
          </w:p>
        </w:tc>
        <w:tc>
          <w:tcPr>
            <w:tcW w:w="10580" w:type="dxa"/>
            <w:vAlign w:val="bottom"/>
          </w:tcPr>
          <w:p>
            <w:pPr>
              <w:ind w:left="420"/>
              <w:spacing w:after="0"/>
              <w:rPr>
                <w:sz w:val="20"/>
                <w:szCs w:val="20"/>
                <w:color w:val="auto"/>
              </w:rPr>
            </w:pPr>
            <w:r>
              <w:rPr>
                <w:rFonts w:ascii="Arial" w:cs="Arial" w:eastAsia="Arial" w:hAnsi="Arial"/>
                <w:sz w:val="18"/>
                <w:szCs w:val="18"/>
                <w:color w:val="auto"/>
                <w:w w:val="93"/>
              </w:rPr>
              <w:t>Form of First Supplemental Indenture (incorporated by reference from Exhibit 10.5 to our Current Report on Form 8-K filed with the SEC</w:t>
            </w:r>
          </w:p>
        </w:tc>
      </w:tr>
      <w:tr>
        <w:trPr>
          <w:trHeight w:val="230"/>
        </w:trPr>
        <w:tc>
          <w:tcPr>
            <w:tcW w:w="840" w:type="dxa"/>
            <w:vAlign w:val="bottom"/>
          </w:tcPr>
          <w:p>
            <w:pPr>
              <w:spacing w:after="0"/>
              <w:rPr>
                <w:sz w:val="20"/>
                <w:szCs w:val="20"/>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on May 4, 2015)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4.15</w:t>
            </w:r>
          </w:p>
        </w:tc>
        <w:tc>
          <w:tcPr>
            <w:tcW w:w="10580" w:type="dxa"/>
            <w:vAlign w:val="bottom"/>
          </w:tcPr>
          <w:p>
            <w:pPr>
              <w:ind w:left="420"/>
              <w:spacing w:after="0"/>
              <w:rPr>
                <w:sz w:val="20"/>
                <w:szCs w:val="20"/>
                <w:color w:val="auto"/>
              </w:rPr>
            </w:pPr>
            <w:r>
              <w:rPr>
                <w:rFonts w:ascii="Arial" w:cs="Arial" w:eastAsia="Arial" w:hAnsi="Arial"/>
                <w:sz w:val="18"/>
                <w:szCs w:val="18"/>
                <w:color w:val="auto"/>
                <w:w w:val="94"/>
              </w:rPr>
              <w:t>Section 382 Rights Agreement, dated as of March 18, 2016, between Vringo, Inc. and American Stock Transfer &amp; Trust Company, LLC,</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96"/>
              </w:rPr>
              <w:t>which includes the Form of Certificate of Designation of Series C Junior Participating Preferred Stock as Exhibit A, the Form of Right</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91"/>
              </w:rPr>
              <w:t>Certificate as Exhibit B and the Summary of Rights to Purchase Preferred Stock as Exhibit C (incorporated by reference from Exhibit 4.1 to</w:t>
            </w:r>
          </w:p>
        </w:tc>
      </w:tr>
      <w:tr>
        <w:trPr>
          <w:trHeight w:val="230"/>
        </w:trPr>
        <w:tc>
          <w:tcPr>
            <w:tcW w:w="840" w:type="dxa"/>
            <w:vAlign w:val="bottom"/>
          </w:tcPr>
          <w:p>
            <w:pPr>
              <w:spacing w:after="0"/>
              <w:rPr>
                <w:sz w:val="20"/>
                <w:szCs w:val="20"/>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our Current Report on Form 8-K filed with the SEC on March 21, 2016)</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4.16</w:t>
            </w:r>
          </w:p>
        </w:tc>
        <w:tc>
          <w:tcPr>
            <w:tcW w:w="10580" w:type="dxa"/>
            <w:vAlign w:val="bottom"/>
          </w:tcPr>
          <w:p>
            <w:pPr>
              <w:ind w:left="420"/>
              <w:spacing w:after="0"/>
              <w:rPr>
                <w:sz w:val="20"/>
                <w:szCs w:val="20"/>
                <w:color w:val="auto"/>
              </w:rPr>
            </w:pPr>
            <w:r>
              <w:rPr>
                <w:rFonts w:ascii="Arial" w:cs="Arial" w:eastAsia="Arial" w:hAnsi="Arial"/>
                <w:sz w:val="18"/>
                <w:szCs w:val="18"/>
                <w:color w:val="auto"/>
                <w:w w:val="98"/>
              </w:rPr>
              <w:t>Form of Warrant to Purchase Shares of Common Stock of FORM Holdings Corp. (incorporated by reference from Annex F to our</w:t>
            </w:r>
          </w:p>
        </w:tc>
      </w:tr>
      <w:tr>
        <w:trPr>
          <w:trHeight w:val="230"/>
        </w:trPr>
        <w:tc>
          <w:tcPr>
            <w:tcW w:w="840" w:type="dxa"/>
            <w:vAlign w:val="bottom"/>
          </w:tcPr>
          <w:p>
            <w:pPr>
              <w:spacing w:after="0"/>
              <w:rPr>
                <w:sz w:val="20"/>
                <w:szCs w:val="20"/>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Registration Statement on Form S-4 filed with the SEC on October 26, 2016)</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80" w:type="dxa"/>
            <w:vAlign w:val="bottom"/>
          </w:tcPr>
          <w:p>
            <w:pPr>
              <w:ind w:left="420"/>
              <w:spacing w:after="0"/>
              <w:rPr>
                <w:sz w:val="20"/>
                <w:szCs w:val="20"/>
                <w:color w:val="auto"/>
              </w:rPr>
            </w:pPr>
            <w:r>
              <w:rPr>
                <w:rFonts w:ascii="Arial" w:cs="Arial" w:eastAsia="Arial" w:hAnsi="Arial"/>
                <w:sz w:val="18"/>
                <w:szCs w:val="18"/>
                <w:color w:val="auto"/>
                <w:w w:val="91"/>
              </w:rPr>
              <w:t>Vringo, Inc. 2012 Employee, Director and Consultant Equity Incentive Plan, as amended (incorporated by reference from Appendix C of our</w:t>
            </w:r>
          </w:p>
        </w:tc>
      </w:tr>
      <w:tr>
        <w:trPr>
          <w:trHeight w:val="230"/>
        </w:trPr>
        <w:tc>
          <w:tcPr>
            <w:tcW w:w="840" w:type="dxa"/>
            <w:vAlign w:val="bottom"/>
          </w:tcPr>
          <w:p>
            <w:pPr>
              <w:spacing w:after="0"/>
              <w:rPr>
                <w:sz w:val="20"/>
                <w:szCs w:val="20"/>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Proxy Statement on Schedule 14A (DEF 14A) filed with the SEC on September 25, 2015)</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580" w:type="dxa"/>
            <w:vAlign w:val="bottom"/>
          </w:tcPr>
          <w:p>
            <w:pPr>
              <w:ind w:left="420"/>
              <w:spacing w:after="0"/>
              <w:rPr>
                <w:sz w:val="20"/>
                <w:szCs w:val="20"/>
                <w:color w:val="auto"/>
              </w:rPr>
            </w:pPr>
            <w:r>
              <w:rPr>
                <w:rFonts w:ascii="Arial" w:cs="Arial" w:eastAsia="Arial" w:hAnsi="Arial"/>
                <w:sz w:val="18"/>
                <w:szCs w:val="18"/>
                <w:color w:val="auto"/>
                <w:w w:val="98"/>
              </w:rPr>
              <w:t>Form of Stock Option Agreement (incorporated by reference from our Registration Statement on Form S-8 filed on July 26, 2012)</w:t>
            </w:r>
          </w:p>
        </w:tc>
      </w:tr>
      <w:tr>
        <w:trPr>
          <w:trHeight w:val="675"/>
        </w:trPr>
        <w:tc>
          <w:tcPr>
            <w:tcW w:w="8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tcPr>
          <w:p>
            <w:pPr>
              <w:ind w:left="4760"/>
              <w:spacing w:after="0"/>
              <w:rPr>
                <w:sz w:val="20"/>
                <w:szCs w:val="20"/>
                <w:color w:val="auto"/>
              </w:rPr>
            </w:pPr>
            <w:r>
              <w:rPr>
                <w:rFonts w:ascii="Arial" w:cs="Arial" w:eastAsia="Arial" w:hAnsi="Arial"/>
                <w:sz w:val="22"/>
                <w:szCs w:val="22"/>
                <w:color w:val="auto"/>
              </w:rPr>
              <w:t>53</w:t>
            </w:r>
          </w:p>
        </w:tc>
      </w:tr>
    </w:tbl>
    <w:p>
      <w:pPr>
        <w:sectPr>
          <w:pgSz w:w="11900" w:h="16838" w:orient="portrait"/>
          <w:cols w:equalWidth="0" w:num="1">
            <w:col w:w="11420"/>
          </w:cols>
          <w:pgMar w:left="240" w:top="908" w:right="23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Form of Restricted Stock Unit Agreement (incorporated by reference from our Registration Statement on Form S-8 filed on July 26, 2012)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Employment Agreement, dated February 13, 2013, by and between Vringo and Andrew D. Perlman (incorporated by reference from our</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Annual Report on Form 10-K for the period ended December 31, 2012 filed on March 21, 2013)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Employment Agreement, dated May 7, 2013, by and between Vringo and David L. Cohen (incorporated by reference from Exhibit 10.19 to</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our Annual Report on Form 10-K filed on March 3, 2014)</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Lease, dated July 10, 2012, by and between Vringo, Inc. and Teachers Insurance and Annuity Association of America, for the benefit of its</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separate Real Estate Account Landlord (incorporated by reference from our Quarterly Report on Form 10-Q for the period ended September</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30, 2012 filed on November 14, 2012), as amended by First Amendment to Lease, dated January 24, 2014 (incorporated by reference from</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Exhibit 10.21 to our Annual Report on Form 10-K filed on March 3, 2014)</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10500" w:type="dxa"/>
            <w:vAlign w:val="bottom"/>
          </w:tcPr>
          <w:p>
            <w:pPr>
              <w:ind w:left="340"/>
              <w:spacing w:after="0"/>
              <w:rPr>
                <w:sz w:val="20"/>
                <w:szCs w:val="20"/>
                <w:color w:val="auto"/>
              </w:rPr>
            </w:pPr>
            <w:r>
              <w:rPr>
                <w:rFonts w:ascii="Arial" w:cs="Arial" w:eastAsia="Arial" w:hAnsi="Arial"/>
                <w:sz w:val="18"/>
                <w:szCs w:val="18"/>
                <w:color w:val="auto"/>
                <w:w w:val="95"/>
              </w:rPr>
              <w:t>Confidential Patent Purchase Agreement, dated August 9, 2012, by and between Vringo, Inc. and Nokia Corporation (incorporated by</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reference from our Quarterly Report on Form 10-Q for the period ended September 30, 2012 filed on November 14, 2012)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Form of Subscription Agreement, dated October 4, 2012, by and between Vringo, Inc. and each of the investors (incorporated by reference</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from our Current Report on Form 8-K filed on October 5, 2012)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Form of Subscription Agreement, dated August 9, 2012, by and between Vringo, Inc. and each of the investors (incorporated by reference</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from our Current Report on Form 8-K filed on August 9, 2012)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Form of Indemnification Agreement, dated January 31, 2013, by and between Vringo, Inc. and each of its Directors and Executive Officer</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6"/>
              </w:rPr>
              <w:t>(incorporated by reference from our Annual Report on Form 10-K for the period ended December 31, 2012 filed on March 21, 2013)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Employment Agreement, dated December 19, 2014, by and between Vringo, Inc. and Anastasia Nyrkovskaya (incorporated by reference</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from our Current Report on Form 8-K filed on December 19, 2014)</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Employment Agreement, dated February 13, 2013, by and between Vringo, Inc. and Cliff Weinstein (incorporated by reference from Exhibit</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10.14 to our Annual Report on Form 10-K filed with the SEC on March 10, 2016)</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Confidential Settlement and License Agreement, dated as of December 3, 2015, by between ZTE Corporation, for itself and on behalf of its</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affiliates and Vringo, for itself and on behalf of its affiliates (incorporated by reference from Exhibit 10.15 to our Annual Report on Form</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10-K filed with the SEC on March 10, 2016)</w:t>
            </w:r>
          </w:p>
        </w:tc>
      </w:tr>
      <w:tr>
        <w:trPr>
          <w:trHeight w:val="675"/>
        </w:trPr>
        <w:tc>
          <w:tcPr>
            <w:tcW w:w="92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tcPr>
          <w:p>
            <w:pPr>
              <w:ind w:left="4680"/>
              <w:spacing w:after="0"/>
              <w:rPr>
                <w:sz w:val="20"/>
                <w:szCs w:val="20"/>
                <w:color w:val="auto"/>
              </w:rPr>
            </w:pPr>
            <w:r>
              <w:rPr>
                <w:rFonts w:ascii="Arial" w:cs="Arial" w:eastAsia="Arial" w:hAnsi="Arial"/>
                <w:sz w:val="22"/>
                <w:szCs w:val="22"/>
                <w:color w:val="auto"/>
              </w:rPr>
              <w:t>54</w:t>
            </w:r>
          </w:p>
        </w:tc>
      </w:tr>
    </w:tbl>
    <w:p>
      <w:pPr>
        <w:sectPr>
          <w:pgSz w:w="11900" w:h="16838" w:orient="portrait"/>
          <w:cols w:equalWidth="0" w:num="1">
            <w:col w:w="11420"/>
          </w:cols>
          <w:pgMar w:left="240" w:top="908" w:right="2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Securities Purchase Agreement, dated May 4, 2015, between Vringo, Inc. and the investors named therein (incorporated by reference from</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10.1 to our Current Report on Form 8-K filed with the SEC on May 4, 2015)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540" w:type="dxa"/>
            <w:vAlign w:val="bottom"/>
          </w:tcPr>
          <w:p>
            <w:pPr>
              <w:ind w:left="380"/>
              <w:spacing w:after="0"/>
              <w:rPr>
                <w:sz w:val="20"/>
                <w:szCs w:val="20"/>
                <w:color w:val="auto"/>
              </w:rPr>
            </w:pPr>
            <w:r>
              <w:rPr>
                <w:rFonts w:ascii="Arial" w:cs="Arial" w:eastAsia="Arial" w:hAnsi="Arial"/>
                <w:sz w:val="18"/>
                <w:szCs w:val="18"/>
                <w:color w:val="auto"/>
                <w:w w:val="94"/>
              </w:rPr>
              <w:t>Form of Security Agreement in favor of Iroquois Master Fund Ltd. as collateral agent (incorporated by reference from Exhibit 10.6 to our</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Current Report on Form 8-K filed with the SEC on May 4, 2015)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Form of Stock Purchase Agreement, dated as of October 15, 2015, by and between Vringo, Inc., International Development Group Limited,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the sellers party thereto and the sellers’ representative (incorporated by reference from Exhibit 10.1 to our Current Report on Form 8-K filed</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with the SEC on October 16, 2015)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Amendment No. 1 to Employment Agreement dated August 20, 2015, by and between Vringo, Inc. and Andrew D. Perlman (incorporated</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by reference from Exhibit 10.1 to our Current Report on Form 8-K filed with the SEC on August 21, 2015)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Amendment No. 2 to Employment Agreement, dated October 13, 2015, by and between Vringo, Inc. and Andrew D. Perlman (incorporated</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by reference from Exhibit 10.2 to our Current Report on Form 8-K filed with the SEC on October 16, 2015)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40" w:type="dxa"/>
            <w:vAlign w:val="bottom"/>
          </w:tcPr>
          <w:p>
            <w:pPr>
              <w:ind w:left="380"/>
              <w:spacing w:after="0"/>
              <w:rPr>
                <w:sz w:val="20"/>
                <w:szCs w:val="20"/>
                <w:color w:val="auto"/>
              </w:rPr>
            </w:pPr>
            <w:r>
              <w:rPr>
                <w:rFonts w:ascii="Arial" w:cs="Arial" w:eastAsia="Arial" w:hAnsi="Arial"/>
                <w:sz w:val="18"/>
                <w:szCs w:val="18"/>
                <w:color w:val="auto"/>
                <w:w w:val="99"/>
              </w:rPr>
              <w:t>Amendment No. 1 to Employment Agreement, dated October 13, 2015, by and between Vringo, Inc. and Anastasia Nyrkovskaya</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(incorporated by reference from Exhibit 10.3 to our Current Report on Form 8-K filed with the SEC on October 16, 2015)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Amendment No. 1 to Employment Agreement, dated October 13, 2015, by and between Vringo, Inc. and David L. Cohen (incorporated by</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from Exhibit 10.4 to our Current Report on Form 8-K filed with the SEC on October 16, 2015)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540" w:type="dxa"/>
            <w:vAlign w:val="bottom"/>
          </w:tcPr>
          <w:p>
            <w:pPr>
              <w:ind w:left="380"/>
              <w:spacing w:after="0"/>
              <w:rPr>
                <w:sz w:val="20"/>
                <w:szCs w:val="20"/>
                <w:color w:val="auto"/>
              </w:rPr>
            </w:pPr>
            <w:r>
              <w:rPr>
                <w:rFonts w:ascii="Arial" w:cs="Arial" w:eastAsia="Arial" w:hAnsi="Arial"/>
                <w:sz w:val="18"/>
                <w:szCs w:val="18"/>
                <w:color w:val="auto"/>
                <w:w w:val="98"/>
              </w:rPr>
              <w:t>Amendment to Employment Agreement dated October 13, 2015, by and between Vringo, Inc. and Cliff Weinstein (incorporated by</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from Exhibit 10.24 to our Annual Report on Form 10-K filed with the SEC on March 10, 2016)</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540" w:type="dxa"/>
            <w:vAlign w:val="bottom"/>
          </w:tcPr>
          <w:p>
            <w:pPr>
              <w:ind w:left="380"/>
              <w:spacing w:after="0"/>
              <w:rPr>
                <w:sz w:val="20"/>
                <w:szCs w:val="20"/>
                <w:color w:val="auto"/>
              </w:rPr>
            </w:pPr>
            <w:r>
              <w:rPr>
                <w:rFonts w:ascii="Arial" w:cs="Arial" w:eastAsia="Arial" w:hAnsi="Arial"/>
                <w:sz w:val="18"/>
                <w:szCs w:val="18"/>
                <w:color w:val="auto"/>
                <w:w w:val="99"/>
              </w:rPr>
              <w:t>Amendment No. 2 to Employment Agreement, dated June 27, 2016, by and between FORM Holdings Corp. and David L. Cohen</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(incorporated by reference from Exhibit 10.1 to our Current Report on Form 8-K filed with the SEC on July 1, 2016)</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Subscription Agreement, dated as of August 8, 2016, by and between FORM Holdings Corp. and Mistral Spa Holdings, LLC (incorporated</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by reference from Exhibit 10.1 to our Current Report on Form 8-K filed with the SEC on August 8, 2016)</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540" w:type="dxa"/>
            <w:vAlign w:val="bottom"/>
          </w:tcPr>
          <w:p>
            <w:pPr>
              <w:ind w:left="380"/>
              <w:spacing w:after="0"/>
              <w:rPr>
                <w:sz w:val="20"/>
                <w:szCs w:val="20"/>
                <w:color w:val="auto"/>
              </w:rPr>
            </w:pPr>
            <w:r>
              <w:rPr>
                <w:rFonts w:ascii="Arial" w:cs="Arial" w:eastAsia="Arial" w:hAnsi="Arial"/>
                <w:sz w:val="18"/>
                <w:szCs w:val="18"/>
                <w:color w:val="auto"/>
                <w:w w:val="94"/>
              </w:rPr>
              <w:t>Subscription Agreement and Joinder, dated as of August 8, 2016, by and between XpresSpa Holdings, LLC and FORM Holdings Corp</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(incorporated by reference from Exhibit 10.2 to our Current Report on Form 8-K filed with the SEC on August 8, 2016)</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FORM Holdings Corp. 2012 Employee, Director and Consultant Equity Incentive Plan, as amended (incorporated by reference from Exhibit</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10.1 to our Current Report on Form 8-K filed with the SEC on November 28, 2016)</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540" w:type="dxa"/>
            <w:vAlign w:val="bottom"/>
          </w:tcPr>
          <w:p>
            <w:pPr>
              <w:ind w:left="380"/>
              <w:spacing w:after="0"/>
              <w:rPr>
                <w:sz w:val="20"/>
                <w:szCs w:val="20"/>
                <w:color w:val="auto"/>
              </w:rPr>
            </w:pPr>
            <w:r>
              <w:rPr>
                <w:rFonts w:ascii="Arial" w:cs="Arial" w:eastAsia="Arial" w:hAnsi="Arial"/>
                <w:sz w:val="18"/>
                <w:szCs w:val="18"/>
                <w:color w:val="auto"/>
                <w:w w:val="98"/>
              </w:rPr>
              <w:t>Independent Director’s Agreement, by and between FORM Holdings Corp. and Andrew R. Heyer, dated as of December 23, 2016</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(incorporated by reference from Exhibit 10.1 to our Current Report on Form 8-K filed with the SEC on December 23, 2016)</w:t>
            </w:r>
          </w:p>
        </w:tc>
      </w:tr>
      <w:tr>
        <w:trPr>
          <w:trHeight w:val="675"/>
        </w:trPr>
        <w:tc>
          <w:tcPr>
            <w:tcW w:w="8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tcPr>
          <w:p>
            <w:pPr>
              <w:ind w:left="4720"/>
              <w:spacing w:after="0"/>
              <w:rPr>
                <w:sz w:val="20"/>
                <w:szCs w:val="20"/>
                <w:color w:val="auto"/>
              </w:rPr>
            </w:pPr>
            <w:r>
              <w:rPr>
                <w:rFonts w:ascii="Arial" w:cs="Arial" w:eastAsia="Arial" w:hAnsi="Arial"/>
                <w:sz w:val="22"/>
                <w:szCs w:val="22"/>
                <w:color w:val="auto"/>
              </w:rPr>
              <w:t>55</w:t>
            </w:r>
          </w:p>
        </w:tc>
      </w:tr>
    </w:tbl>
    <w:p>
      <w:pPr>
        <w:sectPr>
          <w:pgSz w:w="11900" w:h="16838" w:orient="portrait"/>
          <w:cols w:equalWidth="0" w:num="1">
            <w:col w:w="11420"/>
          </w:cols>
          <w:pgMar w:left="240" w:top="908" w:right="2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color w:val="auto"/>
        </w:rPr>
        <w:t>10.27*††</w:t>
      </w:r>
    </w:p>
    <w:p>
      <w:pPr>
        <w:spacing w:after="0" w:line="20" w:lineRule="exact"/>
        <w:rPr>
          <w:sz w:val="20"/>
          <w:szCs w:val="20"/>
          <w:color w:val="auto"/>
        </w:rPr>
      </w:pPr>
      <w:r>
        <w:rPr>
          <w:sz w:val="20"/>
          <w:szCs w:val="20"/>
          <w:color w:val="auto"/>
        </w:rPr>
        <w:br w:type="column"/>
      </w:r>
    </w:p>
    <w:p>
      <w:pPr>
        <w:ind w:right="420"/>
        <w:spacing w:after="0" w:line="277" w:lineRule="auto"/>
        <w:rPr>
          <w:sz w:val="20"/>
          <w:szCs w:val="20"/>
          <w:color w:val="auto"/>
        </w:rPr>
      </w:pPr>
      <w:r>
        <w:rPr>
          <w:rFonts w:ascii="Arial" w:cs="Arial" w:eastAsia="Arial" w:hAnsi="Arial"/>
          <w:sz w:val="18"/>
          <w:szCs w:val="18"/>
          <w:color w:val="auto"/>
        </w:rPr>
        <w:t>Confidential Settlement and Patent Assignment Agreement by and between FORM Holdings Corp. and Nokia Corporation dated as of December 5, 2016</w:t>
      </w:r>
    </w:p>
    <w:p>
      <w:pPr>
        <w:spacing w:after="0" w:line="170" w:lineRule="exact"/>
        <w:rPr>
          <w:sz w:val="20"/>
          <w:szCs w:val="20"/>
          <w:color w:val="auto"/>
        </w:rPr>
      </w:pPr>
    </w:p>
    <w:p>
      <w:pPr>
        <w:sectPr>
          <w:pgSz w:w="11900" w:h="16838" w:orient="portrait"/>
          <w:cols w:equalWidth="0" w:num="2">
            <w:col w:w="680" w:space="580"/>
            <w:col w:w="10100"/>
          </w:cols>
          <w:pgMar w:left="240" w:top="908" w:right="299" w:bottom="1440" w:gutter="0" w:footer="0" w:header="0"/>
        </w:sectPr>
      </w:pPr>
    </w:p>
    <w:p>
      <w:pP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Subsidiaries of FORM Holdings Corp.</w:t>
      </w:r>
    </w:p>
    <w:p>
      <w:pPr>
        <w:spacing w:after="0" w:line="222" w:lineRule="exact"/>
        <w:rPr>
          <w:sz w:val="20"/>
          <w:szCs w:val="20"/>
          <w:color w:val="auto"/>
        </w:rPr>
      </w:pPr>
    </w:p>
    <w:p>
      <w:pPr>
        <w:sectPr>
          <w:pgSz w:w="11900" w:h="16838" w:orient="portrait"/>
          <w:cols w:equalWidth="0" w:num="2">
            <w:col w:w="540" w:space="720"/>
            <w:col w:w="10100"/>
          </w:cols>
          <w:pgMar w:left="240" w:top="908" w:right="29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23.1*</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Consent of CohnReznick LLP, independent registered public accounting firm</w:t>
      </w:r>
    </w:p>
    <w:p>
      <w:pPr>
        <w:spacing w:after="0" w:line="211" w:lineRule="exact"/>
        <w:rPr>
          <w:sz w:val="20"/>
          <w:szCs w:val="20"/>
          <w:color w:val="auto"/>
        </w:rPr>
      </w:pPr>
    </w:p>
    <w:p>
      <w:pPr>
        <w:sectPr>
          <w:pgSz w:w="11900" w:h="16838" w:orient="portrait"/>
          <w:cols w:equalWidth="0" w:num="2">
            <w:col w:w="540" w:space="720"/>
            <w:col w:w="10100"/>
          </w:cols>
          <w:pgMar w:left="240" w:top="908" w:right="2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31.1*</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Certification of Principal Executive Officer pursuant to Exchange Act, Rules 13a – 14(a) and 15d – 14(a), as adopted pursuant to Section 302 of the Sarbanes-Oxley Act of 2002</w:t>
      </w:r>
    </w:p>
    <w:p>
      <w:pPr>
        <w:spacing w:after="0" w:line="170" w:lineRule="exact"/>
        <w:rPr>
          <w:sz w:val="20"/>
          <w:szCs w:val="20"/>
          <w:color w:val="auto"/>
        </w:rPr>
      </w:pPr>
    </w:p>
    <w:p>
      <w:pPr>
        <w:sectPr>
          <w:pgSz w:w="11900" w:h="16838" w:orient="portrait"/>
          <w:cols w:equalWidth="0" w:num="2">
            <w:col w:w="540" w:space="720"/>
            <w:col w:w="10100"/>
          </w:cols>
          <w:pgMar w:left="240" w:top="908" w:right="299" w:bottom="1440" w:gutter="0" w:footer="0" w:header="0"/>
          <w:type w:val="continuous"/>
        </w:sectPr>
      </w:pPr>
    </w:p>
    <w:p>
      <w:pPr>
        <w:spacing w:after="0"/>
        <w:rPr>
          <w:sz w:val="20"/>
          <w:szCs w:val="20"/>
          <w:color w:val="auto"/>
        </w:rPr>
      </w:pPr>
      <w:r>
        <w:rPr>
          <w:rFonts w:ascii="Arial" w:cs="Arial" w:eastAsia="Arial" w:hAnsi="Arial"/>
          <w:sz w:val="17"/>
          <w:szCs w:val="17"/>
          <w:color w:val="auto"/>
        </w:rPr>
        <w:t>31.2*</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Certification of Principal Financial Officer pursuant to Exchange Act Rules 13a – 14(a) and 15d – 14(a), as adopted pursuant to Section 302 of the Sarbanes-Oxley Act of 2002</w:t>
      </w:r>
    </w:p>
    <w:p>
      <w:pPr>
        <w:spacing w:after="0" w:line="170" w:lineRule="exact"/>
        <w:rPr>
          <w:sz w:val="20"/>
          <w:szCs w:val="20"/>
          <w:color w:val="auto"/>
        </w:rPr>
      </w:pPr>
    </w:p>
    <w:p>
      <w:pPr>
        <w:sectPr>
          <w:pgSz w:w="11900" w:h="16838" w:orient="portrait"/>
          <w:cols w:equalWidth="0" w:num="2">
            <w:col w:w="540" w:space="720"/>
            <w:col w:w="10100"/>
          </w:cols>
          <w:pgMar w:left="240" w:top="908" w:right="299" w:bottom="1440" w:gutter="0" w:footer="0" w:header="0"/>
          <w:type w:val="continuous"/>
        </w:sectPr>
      </w:pPr>
    </w:p>
    <w:p>
      <w:pP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ind w:right="320"/>
        <w:spacing w:after="0" w:line="277" w:lineRule="auto"/>
        <w:rPr>
          <w:sz w:val="20"/>
          <w:szCs w:val="20"/>
          <w:color w:val="auto"/>
        </w:rPr>
      </w:pPr>
      <w:r>
        <w:rPr>
          <w:rFonts w:ascii="Arial" w:cs="Arial" w:eastAsia="Arial" w:hAnsi="Arial"/>
          <w:sz w:val="18"/>
          <w:szCs w:val="18"/>
          <w:color w:val="auto"/>
        </w:rPr>
        <w:t>Certifications of Principal Executive Officer and Principal Financial Officer Pursuant to 18 U.S.C. Section 1350, as adopted pursuant to Section 906 of the Sarbanes-Oxley Act of 2002</w:t>
      </w:r>
    </w:p>
    <w:p>
      <w:pPr>
        <w:spacing w:after="0" w:line="170" w:lineRule="exact"/>
        <w:rPr>
          <w:sz w:val="20"/>
          <w:szCs w:val="20"/>
          <w:color w:val="auto"/>
        </w:rPr>
      </w:pPr>
    </w:p>
    <w:p>
      <w:pPr>
        <w:sectPr>
          <w:pgSz w:w="11900" w:h="16838" w:orient="portrait"/>
          <w:cols w:equalWidth="0" w:num="2">
            <w:col w:w="540" w:space="720"/>
            <w:col w:w="10100"/>
          </w:cols>
          <w:pgMar w:left="240" w:top="908" w:right="299" w:bottom="1440" w:gutter="0" w:footer="0" w:header="0"/>
          <w:type w:val="continuous"/>
        </w:sectPr>
      </w:pPr>
    </w:p>
    <w:p>
      <w:pPr>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XBLR Instance Document</w:t>
      </w:r>
    </w:p>
    <w:p>
      <w:pPr>
        <w:spacing w:after="0" w:line="211" w:lineRule="exact"/>
        <w:rPr>
          <w:sz w:val="20"/>
          <w:szCs w:val="20"/>
          <w:color w:val="auto"/>
        </w:rPr>
      </w:pPr>
    </w:p>
    <w:p>
      <w:pPr>
        <w:sectPr>
          <w:pgSz w:w="11900" w:h="16838" w:orient="portrait"/>
          <w:cols w:equalWidth="0" w:num="2">
            <w:col w:w="700" w:space="560"/>
            <w:col w:w="10100"/>
          </w:cols>
          <w:pgMar w:left="240" w:top="908" w:right="2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XBLR Taxonomy Extension Schema Document</w:t>
      </w:r>
    </w:p>
    <w:p>
      <w:pPr>
        <w:spacing w:after="0" w:line="211" w:lineRule="exact"/>
        <w:rPr>
          <w:sz w:val="20"/>
          <w:szCs w:val="20"/>
          <w:color w:val="auto"/>
        </w:rPr>
      </w:pPr>
    </w:p>
    <w:p>
      <w:pPr>
        <w:sectPr>
          <w:pgSz w:w="11900" w:h="16838" w:orient="portrait"/>
          <w:cols w:equalWidth="0" w:num="2">
            <w:col w:w="760" w:space="500"/>
            <w:col w:w="10100"/>
          </w:cols>
          <w:pgMar w:left="240" w:top="908" w:right="2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XBLR Taxonomy Extension Calculation Linkbase Document</w:t>
      </w:r>
    </w:p>
    <w:p>
      <w:pPr>
        <w:spacing w:after="0" w:line="222" w:lineRule="exact"/>
        <w:rPr>
          <w:sz w:val="20"/>
          <w:szCs w:val="20"/>
          <w:color w:val="auto"/>
        </w:rPr>
      </w:pPr>
    </w:p>
    <w:p>
      <w:pPr>
        <w:sectPr>
          <w:pgSz w:w="11900" w:h="16838" w:orient="portrait"/>
          <w:cols w:equalWidth="0" w:num="2">
            <w:col w:w="780" w:space="480"/>
            <w:col w:w="10100"/>
          </w:cols>
          <w:pgMar w:left="240" w:top="908" w:right="29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XBLR Taxonomy Extension Definition Linkbase Document</w:t>
      </w:r>
    </w:p>
    <w:p>
      <w:pPr>
        <w:spacing w:after="0" w:line="211" w:lineRule="exact"/>
        <w:rPr>
          <w:sz w:val="20"/>
          <w:szCs w:val="20"/>
          <w:color w:val="auto"/>
        </w:rPr>
      </w:pPr>
    </w:p>
    <w:p>
      <w:pPr>
        <w:sectPr>
          <w:pgSz w:w="11900" w:h="16838" w:orient="portrait"/>
          <w:cols w:equalWidth="0" w:num="2">
            <w:col w:w="760" w:space="500"/>
            <w:col w:w="10100"/>
          </w:cols>
          <w:pgMar w:left="240" w:top="908" w:right="2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XBLR Taxonomy Extension Label Linkbase Document</w:t>
      </w:r>
    </w:p>
    <w:p>
      <w:pPr>
        <w:spacing w:after="0" w:line="222" w:lineRule="exact"/>
        <w:rPr>
          <w:sz w:val="20"/>
          <w:szCs w:val="20"/>
          <w:color w:val="auto"/>
        </w:rPr>
      </w:pPr>
    </w:p>
    <w:p>
      <w:pPr>
        <w:sectPr>
          <w:pgSz w:w="11900" w:h="16838" w:orient="portrait"/>
          <w:cols w:equalWidth="0" w:num="2">
            <w:col w:w="780" w:space="480"/>
            <w:col w:w="10100"/>
          </w:cols>
          <w:pgMar w:left="240" w:top="908" w:right="29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XBLR Taxonomy Extension Presentation Linkbase Document</w:t>
      </w:r>
    </w:p>
    <w:p>
      <w:pPr>
        <w:spacing w:after="0" w:line="200" w:lineRule="exact"/>
        <w:rPr>
          <w:sz w:val="20"/>
          <w:szCs w:val="20"/>
          <w:color w:val="auto"/>
        </w:rPr>
      </w:pPr>
    </w:p>
    <w:p>
      <w:pPr>
        <w:sectPr>
          <w:pgSz w:w="11900" w:h="16838" w:orient="portrait"/>
          <w:cols w:equalWidth="0" w:num="2">
            <w:col w:w="740" w:space="520"/>
            <w:col w:w="10100"/>
          </w:cols>
          <w:pgMar w:left="240" w:top="908" w:right="299" w:bottom="1440" w:gutter="0" w:footer="0" w:header="0"/>
          <w:type w:val="continuous"/>
        </w:sectPr>
      </w:pPr>
    </w:p>
    <w:p>
      <w:pPr>
        <w:spacing w:after="0" w:line="48" w:lineRule="exact"/>
        <w:rPr>
          <w:sz w:val="20"/>
          <w:szCs w:val="20"/>
          <w:color w:val="auto"/>
        </w:rPr>
      </w:pPr>
    </w:p>
    <w:p>
      <w:pPr>
        <w:ind w:left="780" w:hanging="772"/>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780" w:hanging="772"/>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780" w:hanging="772"/>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sz w:val="20"/>
          <w:szCs w:val="20"/>
          <w:color w:val="auto"/>
        </w:rPr>
      </w:pPr>
    </w:p>
    <w:p>
      <w:pPr>
        <w:ind w:left="780" w:hanging="772"/>
        <w:spacing w:after="0"/>
        <w:tabs>
          <w:tab w:leader="none" w:pos="7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Certain portions have been omitted pursuant to a confidential treatment request. Omitted information has been filed separately with the SEC.</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22"/>
          <w:szCs w:val="22"/>
          <w:b w:val="1"/>
          <w:bCs w:val="1"/>
          <w:color w:val="auto"/>
        </w:rPr>
        <w:t>Exhibit 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as of November 28, 2016</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The name of the Corporation (hereinafter the “Corporation”) is FORM Holdings, Corp.</w:t>
      </w:r>
    </w:p>
    <w:p>
      <w:pPr>
        <w:spacing w:after="0" w:line="225"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SECOND: The address, including street, number, city and county, of the registered office of the Corporation in the State of Delaware is 1209 Orange Street, Wilmington, County of New Castle, Delaware 19801; and the name of the Registered Agent of the Corporation at such address is The Corporation Trust Company.</w:t>
      </w:r>
    </w:p>
    <w:p>
      <w:pPr>
        <w:spacing w:after="0" w:line="18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THIRD: The nature of the business or purposes to be conducted or promoted is to engage in any lawful act or activity for which corporations may be organized under the General Corporation Law of the State of Delaware (the “DGCL”).</w:t>
      </w:r>
    </w:p>
    <w:p>
      <w:pPr>
        <w:spacing w:after="0" w:line="170"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FOURTH: The Corporation is authorized to issue two classes of stock to be designated, respectively, Common Stock, par value $0.01 per share (“Common Stock”) and Preferred Stock, par value $0.01 per share (“Preferred Stock”). The total number of shares the Corporation shall have the authority to issue is one hundred fifty-five million (155,000,000) shares, one hundred fifty million (150,000,000) shares of which shall be Common Stock and five million (5,000,000) shares of which shall be Preferred Stock.</w:t>
      </w:r>
    </w:p>
    <w:p>
      <w:pPr>
        <w:spacing w:after="0" w:line="187" w:lineRule="exact"/>
        <w:rPr>
          <w:sz w:val="20"/>
          <w:szCs w:val="20"/>
          <w:color w:val="auto"/>
        </w:rPr>
      </w:pPr>
    </w:p>
    <w:p>
      <w:pPr>
        <w:ind w:right="40" w:firstLine="889"/>
        <w:spacing w:after="0" w:line="255" w:lineRule="auto"/>
        <w:tabs>
          <w:tab w:leader="none" w:pos="11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Common Stock. The voting, dividend and liquidation rights of the holders of the Common Stock are subject to and qualified by the rights of the holders of the Preferred Stock of any series as may be designated by the Board of Directors upon any issuance of the Preferred Stock or any series. The holders of the Common Stock are entitled to one vote for each share held at all meetings of stockholders. There shall be no cumulative voting. Dividends may be declared and paid on the Common Stock from funds lawfully available therefor as and when determined by the Board of Directors and subject to any preferential dividend rights of any then outstanding Preferred Stock. Upon the dissolution or liquidation of the Corporation, whether voluntary or involuntary, holders of the Corporation will be entitled to receive ratably all assets of the Corporation available for distribution to stockholders, subject to any preferential rights of any then outstanding Preferred Stock.</w:t>
      </w:r>
    </w:p>
    <w:p>
      <w:pPr>
        <w:spacing w:after="0" w:line="189" w:lineRule="exact"/>
        <w:rPr>
          <w:rFonts w:ascii="Arial" w:cs="Arial" w:eastAsia="Arial" w:hAnsi="Arial"/>
          <w:sz w:val="18"/>
          <w:szCs w:val="18"/>
          <w:color w:val="auto"/>
        </w:rPr>
      </w:pPr>
    </w:p>
    <w:p>
      <w:pPr>
        <w:ind w:right="40" w:firstLine="889"/>
        <w:spacing w:after="0" w:line="286" w:lineRule="auto"/>
        <w:tabs>
          <w:tab w:leader="none" w:pos="1136"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Preferred Stock. Shares of Preferred Stock may be issued from time to time in one or more series, each of such series to have such terms as stated in the resolution or resolutions providing for the establishment of such series adopted by the Board of Directors of the Corporation as hereinafter provided. Authority is hereby expressly granted to the Board of Directors of the Corporation to issue, from time to time, shares of Preferred Stock in one or more series, and, in connection with the establishment of any such series by resolution or resolutions, to determine and fix such voting powers, full or limited, or no voting powers, and such other powers, designations, preferences and relative, participating, optional and other special rights, and the qualifications, limitations and restrictions thereof, if any, including, without limitation, dividend rights, conversion rights, redemption privileges and liquidation preferences, as shall be stated in such resolution or resolutions, all to the fullest extent permitted by the DGCL. Without limiting the generality of the foregoing, the resolution or resolutions providing for the establishment of any series of Preferred Stock may, to the extent permitted by law, provide that such series shall be superior to, rank equally with or be junior to the Preferred Stock of any other series. The powers, preferences and relative, participating, optional and other special rights of each series of Preferred Stock, and the qualifications, limitations or restrictions thereof, if any, may be different from those of any and all other series at any time outstanding. Except as otherwise expressly provided in the resolution or resolutions providing for the establishment of any series of Preferred Stock, no vote of the holders of shares of Preferred Stock or Common Stock shall be a prerequisite to the issuance of any shares of any series of the Preferred Stock authorized by and complying with the conditions of this Certificate of Incorporation.</w:t>
      </w:r>
    </w:p>
    <w:p>
      <w:pPr>
        <w:spacing w:after="0" w:line="174" w:lineRule="exact"/>
        <w:rPr>
          <w:rFonts w:ascii="Arial" w:cs="Arial" w:eastAsia="Arial" w:hAnsi="Arial"/>
          <w:sz w:val="16"/>
          <w:szCs w:val="16"/>
          <w:color w:val="auto"/>
        </w:rPr>
      </w:pPr>
    </w:p>
    <w:p>
      <w:pPr>
        <w:ind w:right="60" w:firstLine="889"/>
        <w:spacing w:after="0" w:line="272" w:lineRule="auto"/>
        <w:tabs>
          <w:tab w:leader="none" w:pos="1136"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Reverse Stock Split. Upon the effectiveness of the Certificate of Amendment of the Amended and Restated Certificate of Incorporation of the Corporation, the shares of the Corporation’s Common Stock issued and outstanding prior to the Effective Time and the shares of Common Stock issued and held in treasury of the Corporation immediately prior to the Effective Time shall automatically be reclassified into a smaller number of shares such that each ten (10) shares of the Corporation’s issued and outstanding Common Stock immediately prior to the Effective Time are reclassified into one (1) validly issued, fully paid and nonassessable share of Common Stock, without any further action by the Corporation or the holder thereof. No fractional shares of Corporation Common Stock will be issued as a result of the reverse stock split. Instead, stockholders of record who otherwise would be entitled to receive fractional shares, will be entitled to rounding up of their fractional share to the nearest whole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1" w:name="page102"/>
    <w:bookmarkEnd w:id="101"/>
    <w:p>
      <w:pPr>
        <w:ind w:firstLine="889"/>
        <w:spacing w:after="0" w:line="271" w:lineRule="auto"/>
        <w:tabs>
          <w:tab w:leader="none" w:pos="1136" w:val="left"/>
        </w:tabs>
        <w:numPr>
          <w:ilvl w:val="0"/>
          <w:numId w:val="42"/>
        </w:numPr>
        <w:rPr>
          <w:rFonts w:ascii="Arial" w:cs="Arial" w:eastAsia="Arial" w:hAnsi="Arial"/>
          <w:sz w:val="17"/>
          <w:szCs w:val="17"/>
          <w:color w:val="auto"/>
        </w:rPr>
      </w:pPr>
      <w:r>
        <w:rPr>
          <w:rFonts w:ascii="Arial" w:cs="Arial" w:eastAsia="Arial" w:hAnsi="Arial"/>
          <w:sz w:val="17"/>
          <w:szCs w:val="17"/>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whole share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whole share in lieu of a fractional share of Common Stock).</w:t>
      </w:r>
    </w:p>
    <w:p>
      <w:pPr>
        <w:spacing w:after="0" w:line="178" w:lineRule="exact"/>
        <w:rPr>
          <w:rFonts w:ascii="Arial" w:cs="Arial" w:eastAsia="Arial" w:hAnsi="Arial"/>
          <w:sz w:val="17"/>
          <w:szCs w:val="17"/>
          <w:color w:val="auto"/>
        </w:rPr>
      </w:pPr>
    </w:p>
    <w:p>
      <w:pPr>
        <w:ind w:left="1140" w:hanging="251"/>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Certificate of Amendment shall be effective on November 27, 2015 at 05:00 p.m., Eastern time (the “Effective Time”).</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FIFTH: (1) The business and affairs of the Corporation shall be managed by or under the direction of a Board of Directors having that number of directors set out in the Bylaws of the Corporation as adopted or as set forth from time to time by a duly adopted amendment thereto by the Board of Directors or stockholders of the Corporation.</w:t>
      </w:r>
    </w:p>
    <w:p>
      <w:pPr>
        <w:spacing w:after="0" w:line="181" w:lineRule="exact"/>
        <w:rPr>
          <w:sz w:val="20"/>
          <w:szCs w:val="20"/>
          <w:color w:val="auto"/>
        </w:rPr>
      </w:pPr>
    </w:p>
    <w:p>
      <w:pPr>
        <w:ind w:right="20" w:firstLine="889"/>
        <w:spacing w:after="0" w:line="286" w:lineRule="auto"/>
        <w:tabs>
          <w:tab w:leader="none" w:pos="1136" w:val="left"/>
        </w:tabs>
        <w:numPr>
          <w:ilvl w:val="0"/>
          <w:numId w:val="43"/>
        </w:numPr>
        <w:rPr>
          <w:rFonts w:ascii="Arial" w:cs="Arial" w:eastAsia="Arial" w:hAnsi="Arial"/>
          <w:sz w:val="17"/>
          <w:szCs w:val="17"/>
          <w:color w:val="auto"/>
        </w:rPr>
      </w:pPr>
      <w:r>
        <w:rPr>
          <w:rFonts w:ascii="Arial" w:cs="Arial" w:eastAsia="Arial" w:hAnsi="Arial"/>
          <w:sz w:val="17"/>
          <w:szCs w:val="17"/>
          <w:color w:val="auto"/>
        </w:rPr>
        <w:t>Subject to the rights of the holders of any series of Preferred Stock then outstanding, any directors, or the entire Board of Directors, may be removed from office, with or without cause, by the affirmative vote of the holders of at least a majority of the total voting power of all of the then-outstanding shares of capital stock of the Corporation entitled to vote generally in the election of directors, voting together as a single class.</w:t>
      </w:r>
    </w:p>
    <w:p>
      <w:pPr>
        <w:spacing w:after="0" w:line="165" w:lineRule="exact"/>
        <w:rPr>
          <w:rFonts w:ascii="Arial" w:cs="Arial" w:eastAsia="Arial" w:hAnsi="Arial"/>
          <w:sz w:val="17"/>
          <w:szCs w:val="17"/>
          <w:color w:val="auto"/>
        </w:rPr>
      </w:pPr>
    </w:p>
    <w:p>
      <w:pPr>
        <w:ind w:firstLine="889"/>
        <w:spacing w:after="0" w:line="271" w:lineRule="auto"/>
        <w:tabs>
          <w:tab w:leader="none" w:pos="1136" w:val="left"/>
        </w:tabs>
        <w:numPr>
          <w:ilvl w:val="0"/>
          <w:numId w:val="43"/>
        </w:numPr>
        <w:rPr>
          <w:rFonts w:ascii="Arial" w:cs="Arial" w:eastAsia="Arial" w:hAnsi="Arial"/>
          <w:sz w:val="17"/>
          <w:szCs w:val="17"/>
          <w:color w:val="auto"/>
        </w:rPr>
      </w:pPr>
      <w:r>
        <w:rPr>
          <w:rFonts w:ascii="Arial" w:cs="Arial" w:eastAsia="Arial" w:hAnsi="Arial"/>
          <w:sz w:val="17"/>
          <w:szCs w:val="17"/>
          <w:color w:val="auto"/>
        </w:rPr>
        <w:t>Each director shall hold office until such director’s successor shall have been duly elected and qualified or until such director’s earlier death, resignation or removal. Vacancies on the Board of Directors resulting from death, resignation, removal or otherwise and newly created directorships resulting from any increase in the number of directors (other than directors elected by one or more series of Preferred Stock) may be filled solely by a vote of a majority of the directors then in office (although less than a quorum) or by a sole remaining director, and each director so elected shall serve for the remainder of the full term of the director whose death, resignation or removal shall have created such vacancy and until his or her successor shall have been elected and qualified. Whenever the holders of one or more classes or series of Preferred Stock shall have the right, voting separately as a class or series, to elect directors, the nomination, election, term of office, filling of vacancies, removal and other features of such directorships shall not be governed by this Article FIFTH unless otherwise provided for in the certificate of designation for such classes or series.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SIXTH: The Corporation is to have perpetual existence.</w:t>
      </w:r>
    </w:p>
    <w:p>
      <w:pPr>
        <w:spacing w:after="0" w:line="225"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SEVENTH: The following provisions are inserted for the management of the business and the conduct of the affairs of the Corporation and for the further definition of the powers of the Corporation and its directors and stockholders:</w:t>
      </w:r>
    </w:p>
    <w:p>
      <w:pPr>
        <w:spacing w:after="0" w:line="170" w:lineRule="exact"/>
        <w:rPr>
          <w:sz w:val="20"/>
          <w:szCs w:val="20"/>
          <w:color w:val="auto"/>
        </w:rPr>
      </w:pPr>
    </w:p>
    <w:p>
      <w:pPr>
        <w:ind w:firstLine="889"/>
        <w:spacing w:after="0" w:line="231" w:lineRule="auto"/>
        <w:tabs>
          <w:tab w:leader="none" w:pos="11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Board of Directors is expressly authorized to make, adopt, amend, alter, rescind or repeal the Bylaws of the Corporation. Notwithstanding the foregoing, the stockholders may adopt, amend, alter, rescind or repeal the Bylaws with, in addition to any other vote required by law, the affirmative vote of the holders of not less than 66 </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of the total voting power of all outstanding securities of the Corporation then entitled to vote generally in the election of directors, voting together as a single class.</w:t>
      </w:r>
    </w:p>
    <w:p>
      <w:pPr>
        <w:spacing w:after="0" w:line="204" w:lineRule="exact"/>
        <w:rPr>
          <w:rFonts w:ascii="Arial" w:cs="Arial" w:eastAsia="Arial" w:hAnsi="Arial"/>
          <w:sz w:val="18"/>
          <w:szCs w:val="18"/>
          <w:color w:val="auto"/>
        </w:rPr>
      </w:pPr>
    </w:p>
    <w:p>
      <w:pPr>
        <w:ind w:left="1140" w:hanging="251"/>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Elections of directors need not be by written ballot unless the Bylaws of the Corporation so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02" w:name="page103"/>
    <w:bookmarkEnd w:id="102"/>
    <w:p>
      <w:pPr>
        <w:ind w:right="120" w:firstLine="889"/>
        <w:spacing w:after="0" w:line="276" w:lineRule="auto"/>
        <w:tabs>
          <w:tab w:leader="none" w:pos="1136"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Special meetings of the stockholders of the Corporation for any purpose or purposes may be called at any time by the Chairman of the Board of Directors or the Chief Executive Officer or at the written request of a majority of the members of the Board of Directors and may not be called by any other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and to the extent that any special meeting of stockholders may be called by any other person or persons specified in any provisions of the Certificate of Incorporation or any amendment thereto or any certificate filed under Section 151(g) of the DGCL, then such special meeting may also be called by the person or persons, in the manner, at the times and for the purposes so specified.</w:t>
      </w:r>
    </w:p>
    <w:p>
      <w:pPr>
        <w:spacing w:after="0" w:line="173"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EIGHTH: The Corporation shall, to the fullest extent permitted by the provisions of Section 145 of the DGCL,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89"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NINTH: A director of the Corporation shall not be personally liable to the Corporation or its stockholders for monetary damages for breach of fiduciary duty as a director, provided that this Article shall not eliminate or limit the liability of a director (i) for any breach of his or her duty of loyalty to the Corporation or its stockholders, (ii) for acts or omissions not in good faith or which involve intentional misconduct or a knowing violation of the law, (iii) under Section 174 of the DGCL or (iv) for any transaction from which the director derives an improper personal benefit.</w:t>
      </w:r>
    </w:p>
    <w:p>
      <w:pPr>
        <w:spacing w:after="0" w:line="187" w:lineRule="exact"/>
        <w:rPr>
          <w:sz w:val="20"/>
          <w:szCs w:val="20"/>
          <w:color w:val="auto"/>
        </w:rPr>
      </w:pPr>
    </w:p>
    <w:p>
      <w:pPr>
        <w:ind w:right="80" w:firstLine="881"/>
        <w:spacing w:after="0" w:line="279" w:lineRule="auto"/>
        <w:rPr>
          <w:sz w:val="20"/>
          <w:szCs w:val="20"/>
          <w:color w:val="auto"/>
        </w:rPr>
      </w:pPr>
      <w:r>
        <w:rPr>
          <w:rFonts w:ascii="Arial" w:cs="Arial" w:eastAsia="Arial" w:hAnsi="Arial"/>
          <w:sz w:val="17"/>
          <w:szCs w:val="17"/>
          <w:color w:val="auto"/>
        </w:rPr>
        <w:t>If the DGCL is hereafter amended to authorize corporate action further limiting or eliminating the personal liability of directors, then the liability of the director to the Corporation shall be limited or eliminated to the fullest extent permitted by the DGCL, as so amended from time to time. Any amendment, repeal or modification of this Article shall be prospective only, and shall not adversely affect any right or protection of a director of the Corporation under this Article NINTH in respect of any act or omission occurring prior to the time of such amendment, repeal or modification.</w:t>
      </w:r>
    </w:p>
    <w:p>
      <w:pPr>
        <w:spacing w:after="0" w:line="17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TENTH: Each reference in this Amended and Restated Certificate of Incorporation to any provision of the DGCL refers to the specified provision of the DGCL, as the same now exists or as it may hereafter be amended or superseded.</w:t>
      </w:r>
    </w:p>
    <w:p>
      <w:pPr>
        <w:spacing w:after="0" w:line="170"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color w:val="auto"/>
        </w:rPr>
        <w:t>ELEVENTH: The Corporation reserves the right at any time and from time to time to amend, alter, change or repeal any provision contained in this Certificate of Incorporation, in the manner now or hereafter prescribed by the laws of the State of Delaware; and all rights conferred on stockholders, directors or any other persons herein are granted subject to this reservation.</w:t>
      </w:r>
    </w:p>
    <w:p>
      <w:pPr>
        <w:spacing w:after="0" w:line="181" w:lineRule="exact"/>
        <w:rPr>
          <w:sz w:val="20"/>
          <w:szCs w:val="20"/>
          <w:color w:val="auto"/>
        </w:rPr>
      </w:pPr>
    </w:p>
    <w:p>
      <w:pPr>
        <w:ind w:right="220" w:firstLine="889"/>
        <w:spacing w:after="0" w:line="277" w:lineRule="auto"/>
        <w:tabs>
          <w:tab w:leader="none" w:pos="106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That said Amended and Restated Certificate of Incorporation has been consented to and authorized by the holders of a majority of the issued and outstanding stock entitled to vote in accordance with the provisions of Section 228 of the DGCL.</w:t>
      </w:r>
    </w:p>
    <w:p>
      <w:pPr>
        <w:spacing w:after="0" w:line="170" w:lineRule="exact"/>
        <w:rPr>
          <w:rFonts w:ascii="Arial" w:cs="Arial" w:eastAsia="Arial" w:hAnsi="Arial"/>
          <w:sz w:val="18"/>
          <w:szCs w:val="18"/>
          <w:color w:val="auto"/>
        </w:rPr>
      </w:pPr>
    </w:p>
    <w:p>
      <w:pPr>
        <w:ind w:right="220" w:firstLine="889"/>
        <w:spacing w:after="0" w:line="277" w:lineRule="auto"/>
        <w:tabs>
          <w:tab w:leader="none" w:pos="106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That said Amended and Restated Certificate of Incorporation was duly adopted in accordance with the applicable provisions of Sections 242 and 245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b w:val="1"/>
          <w:bCs w:val="1"/>
          <w:color w:val="auto"/>
        </w:rPr>
        <w:t>Exhibit 10.27</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FOR WHICH CONFIDENTIAL TREATMENT HAS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BEEN REQUESTED IS OMITTED AND NOTED WITH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UNREDACTED VERSION OF THIS DOCUMENT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 ALSO BEEN PROVIDED 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SETTLEMENT AND PATENT ASSIGNMENT AGREEMENT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CONFIDENTIAL SETTLEMENT AND PATENT ASSIGNMENT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on December 5, 2016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FORM Holdings Corp., a Delaware corporation formerly known as Vringo Inc (“</w:t>
      </w:r>
      <w:r>
        <w:rPr>
          <w:rFonts w:ascii="Arial" w:cs="Arial" w:eastAsia="Arial" w:hAnsi="Arial"/>
          <w:sz w:val="18"/>
          <w:szCs w:val="18"/>
          <w:b w:val="1"/>
          <w:bCs w:val="1"/>
          <w:color w:val="auto"/>
        </w:rPr>
        <w:t>FORM Holdings</w:t>
      </w:r>
      <w:r>
        <w:rPr>
          <w:rFonts w:ascii="Arial" w:cs="Arial" w:eastAsia="Arial" w:hAnsi="Arial"/>
          <w:sz w:val="18"/>
          <w:szCs w:val="18"/>
          <w:color w:val="auto"/>
        </w:rPr>
        <w:t>”) and Nokia Corporation, a company organized under the laws of Finland (“</w:t>
      </w:r>
      <w:r>
        <w:rPr>
          <w:rFonts w:ascii="Arial" w:cs="Arial" w:eastAsia="Arial" w:hAnsi="Arial"/>
          <w:sz w:val="18"/>
          <w:szCs w:val="18"/>
          <w:b w:val="1"/>
          <w:bCs w:val="1"/>
          <w:color w:val="auto"/>
        </w:rPr>
        <w:t>Nokia</w:t>
      </w:r>
      <w:r>
        <w:rPr>
          <w:rFonts w:ascii="Arial" w:cs="Arial" w:eastAsia="Arial" w:hAnsi="Arial"/>
          <w:sz w:val="18"/>
          <w:szCs w:val="18"/>
          <w:color w:val="auto"/>
        </w:rPr>
        <w:t>”). FORM Holdings and Nokia are herein referred to separately as “a party” or collectively as “the parties.”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August 9, 2012 the parties entered into Confidential Purchase and Sale Agreement (“PPA”).</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Under the PPA, FORM Holdings reported to Nokia royalties for reporting periods 2Q2016 and 3Q2016. The parties disagree on the amount of royalties that FORM Holdings should have reported and paid to Nokia for the said periods under the PPA.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parties wish to settle any disagreement related to royalties and agree on an assignment of certain patents and therefore agree as set forth herein: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definitions of this Agreement shall be the same as defined in the section 1 of the PPA, unless expressly otherwise defined in this Agreement.</w:t>
      </w:r>
    </w:p>
    <w:p>
      <w:pPr>
        <w:spacing w:after="0" w:line="233"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PAYMENT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FORM Holdings shall, at signing of this Agreement, pay to Nokia the royalties under the PPA reported by FORM Holdings for 2Q2016 ($ 2,028,250.00) and for 3Q2016 ($ 71,750.00), total $2,100,000.00 (two million one hundred thousand).</w:t>
      </w:r>
    </w:p>
    <w:p>
      <w:pPr>
        <w:spacing w:after="0" w:line="166"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OF PATENTS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3.1 Except for the Non-Assigned Patents listed in Appendix 2 of this Agreement, FORM Holdings shall assign to Nokia Technologies OY or [***] OY the Assigned Patents (as defined and listed in the PPA, and listed in Appendix 1 of this Agreement) together with any rights to sue for past infringement. The assignment shall be made promptly following Nokia’s written request which shall be made within [***] from the Effective Date of this Agreement at the latest (“Assignment Date”). The assignment shall be made in the form substantially similar to the Assignment Agreement in Appendix 3 of this Agreement. Nokia acknowledges certain of the Assigned Patents are no longer in force or effect, have lapsed or expired, are no longer pending and/or have been abandoned (“Exceptions”). Nokia agrees that Nokia Technologies OY shall take the Assigned Patents and have them assigned “as- is” as of the Assignment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04" w:name="page105"/>
    <w:bookmarkEnd w:id="104"/>
    <w:p>
      <w:pPr>
        <w:jc w:val="both"/>
        <w:spacing w:after="0" w:line="255" w:lineRule="auto"/>
        <w:rPr>
          <w:sz w:val="20"/>
          <w:szCs w:val="20"/>
          <w:color w:val="auto"/>
        </w:rPr>
      </w:pPr>
      <w:r>
        <w:rPr>
          <w:rFonts w:ascii="Arial" w:cs="Arial" w:eastAsia="Arial" w:hAnsi="Arial"/>
          <w:sz w:val="18"/>
          <w:szCs w:val="18"/>
          <w:color w:val="auto"/>
        </w:rPr>
        <w:t>3.2 Any licenses granted by FORM Holdings to the Assigned Patents before the Effective Date of this Agreement shall be Existing Encumbrances to the Patents. FORM Holdings agrees to provide a list of Existing Encumbrances to Nokia upon request and warrants that the Assigned Patents are not encumbered by any other Existing Encumbrances. FORM Holdings agrees not to litigate with or grant any licenses, releases or other immunities to the Assigned Patents (except for the Patents listed in Appendix 2 as “Non-Assigned Patents”) after the Effective Date of this Agreement and during the nine (9) months period referred in section 3.1. During the period before Assignment Date Nokia Technologies OY shall have an option, in its sole discretion, to grant licenses to the Assigned Patents (subject to Exceptions).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FORM Holdings agrees to, in conjunction with Nokia, facilitate the transition, between FORM Holdings and Nokia, in prosecuting and/or maintaining the Assigned Patents until the Assignment Date. FORM Holdings agrees to provide reasonable assistance to Nokia in any prosecution and/or maintenance of the Assigned Patents for sixty (60) days after the Assignment Date. Nokia releases FORM Holdings and waives all liability or causes of action related to prosecution and/or maintenance of the Assigned Patents.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Nokia agrees to pay directly or reimburse to FORM Holdings any such reasonable fees or external costs occurred to FORM Holdings with regard to prosecution and/or maintenance of the Assigned Patents until the end of the sixty (60) day period from the Assignment Date.</w:t>
      </w:r>
    </w:p>
    <w:p>
      <w:pPr>
        <w:spacing w:after="0" w:line="166"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AND WAIVER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4.1 Subject to a) the assignment of the Assigned Patents to Nokia in accordance with the section 3 above, and b) payment of the royalties in accordance with the section 2 above, Nokia will waive any claims related to royalties under PPA..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4.2 For avoidance of doubt, the PPA (including but not limited to section 9 Compliance with Existing Encumbrances) shall continue to apply to the Patents that are not assigned back to Nokia (“Non-Assigned Patents”) with exception that, as of the Effective Date, sections 4.3 through 4.6 of the PPA regarding royalties shall not apply and FORM Holdings does not have any obligation to pay further royalties to Nokia or provide any reporting under the PPA.</w:t>
      </w:r>
    </w:p>
    <w:p>
      <w:pPr>
        <w:spacing w:after="0" w:line="183"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RELEASE</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Other than with regard to a breach of this Agreement, in further consideration of the agreements made between the parties, each party hereby waives, releases and forever discharges the other party (and each of their respective present and former members, partners, directors, officers, shareholders, investors, employees, fiduciaries, administrators, agents, attorneys, insurers, successors and assigns) from and with respect to any and all legally waivable claims, grievances, injuries, controversies, agreements, covenants, promises, debts, accounts, actions, causes of action, suits, arbitrations, sums of money, attorneys’ fees, costs, damages, or any right to any monetary recovery or any other personal relief, whether known or unknown, in law or in equity, by contract, tort or pursuant to federal, state or local statute, regulation, ordinance or common law, which the releasing party now has, ever had, or may hereafter have, based upon or arising from any fact or set of facts, whether known or unknown to the releasing party, from the beginning of time until the date of this Agreement. Notwithstanding the foregoing, nothing in this Agreement shall prevent the parties from seeking enforcement of the terms and obligations set forth in this Agreement.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5" w:name="page106"/>
    <w:bookmarkEnd w:id="105"/>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color w:val="auto"/>
        </w:rPr>
        <w:t>The parties hereby represents and warrants to that:</w:t>
      </w:r>
    </w:p>
    <w:p>
      <w:pPr>
        <w:spacing w:after="0" w:line="225" w:lineRule="exact"/>
        <w:rPr>
          <w:sz w:val="20"/>
          <w:szCs w:val="20"/>
          <w:color w:val="auto"/>
        </w:rPr>
      </w:pPr>
    </w:p>
    <w:p>
      <w:pPr>
        <w:jc w:val="both"/>
        <w:ind w:left="340" w:hanging="332"/>
        <w:spacing w:after="0" w:line="302"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Authority; Enforceability</w:t>
      </w:r>
      <w:r>
        <w:rPr>
          <w:rFonts w:ascii="Arial" w:cs="Arial" w:eastAsia="Arial" w:hAnsi="Arial"/>
          <w:sz w:val="16"/>
          <w:szCs w:val="16"/>
          <w:color w:val="auto"/>
        </w:rPr>
        <w:t>. The parties have the right and authority to enter into this Agreement and to carry out its obligations hereunder and require no third party consent, approval, and/or other authorization to enter into this Agreement and to carry out its obligations hereunder, including the assignment of the Assigned Patents to Nokia subject to the Exceptions set forth in Section 3.1. This Agreement has been duly authorized, executed and delivered by each party and constitutes a valid and binding agreement of each party enforceable against each party in accordance with its terms.</w:t>
      </w:r>
    </w:p>
    <w:p>
      <w:pPr>
        <w:spacing w:after="0" w:line="154"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Title.</w:t>
      </w:r>
      <w:r>
        <w:rPr>
          <w:rFonts w:ascii="Arial" w:cs="Arial" w:eastAsia="Arial" w:hAnsi="Arial"/>
          <w:sz w:val="18"/>
          <w:szCs w:val="18"/>
          <w:color w:val="auto"/>
        </w:rPr>
        <w:t xml:space="preserve"> Subject to the Exceptions set forth in Section 3.1, FORM Holdings has good and marketable title to the Assigned Patents, including all rights, title, and interest in the Assigned Patents and the right to sue for past, present and future infringement thereof.</w:t>
      </w:r>
    </w:p>
    <w:p>
      <w:pPr>
        <w:spacing w:after="0" w:line="166"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Applicable Law</w:t>
      </w:r>
      <w:r>
        <w:rPr>
          <w:rFonts w:ascii="Arial" w:cs="Arial" w:eastAsia="Arial" w:hAnsi="Arial"/>
          <w:sz w:val="18"/>
          <w:szCs w:val="18"/>
          <w:color w:val="auto"/>
        </w:rPr>
        <w:t>. The validity, construction, and performance of this Agreement shall be governed by and construed first in accordance with the federal laws of the United States to the extent federal subject matter jurisdiction exists, and second in accordance with the laws of the State of New York, exclusive of its choice of law rules. Any disputes arising out of this Agreement shall be finally settled in arbitration. The arbitrator is to be appointed by the American Arbitration Association (“AAA”) and the rules of the AAA are to be followed in the arbitration. The award shall be final and binding and enforceable in any court of competent jurisdiction. The arbitration shall be held in New York, NY, USA, in the English language. The parties undertake and agree that all arbitral proceedings conducted with reference to this section shall be kept strictly confidential and all information disclosed in the course of such arbitral proceeding shall be used solely for the purpose of those proceedings.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Disclaimer</w:t>
      </w:r>
      <w:r>
        <w:rPr>
          <w:rFonts w:ascii="Arial" w:cs="Arial" w:eastAsia="Arial" w:hAnsi="Arial"/>
          <w:sz w:val="18"/>
          <w:szCs w:val="18"/>
          <w:color w:val="auto"/>
        </w:rPr>
        <w:t>. OTHER THAN AS EXPRESSLY SET FORTH IN THIS AGREEMENT, NEITHER PARTY MAKES ANY OTHER REPRESENTATION OR WARRANTY, EXPRESS OR IMPLIED. THE PARTIES HEREBY DISCLAIM ANY OTHER WARRANTIES (INCLUDING IMPLIED OR STATUTORY WARRANTIES) WITH RESPECT TO THE ASSIGNED PATENTS, INCLUDING THE WARRANTIES OF MERCHANTABILITY, FITNESS FOR A PARTICULAR PURPOSE, NONINFRINGEMENT, INFRINGEMENT, OR PATENT VALIDITY OR ENFORCEABILITY.</w:t>
      </w:r>
    </w:p>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Confidentiality of Terms</w:t>
      </w:r>
      <w:r>
        <w:rPr>
          <w:rFonts w:ascii="Arial" w:cs="Arial" w:eastAsia="Arial" w:hAnsi="Arial"/>
          <w:sz w:val="16"/>
          <w:szCs w:val="16"/>
          <w:color w:val="auto"/>
        </w:rPr>
        <w:t>. The existence of this Agreement and the identity of its parties are not confidential. All terms and conditions in this Agreement shall be kept in confidence by the parties, and the parties shall not now or hereafter divulge this Agreement or any of its terms to any third party except: (a) with the prior written consent of the other party; (b) to any governmental body having jurisdiction to require disclosure, to the extent required by such governmental body; (c) as otherwise may be required by law or legal process, including to legal and financial advisors in their capacity of advising a party in such matters; (d) during the course of litigation or arbitration, so long as the disclosure of such terms and conditions are restricted in the same manner as is the confidential information of other litigating/arbitrating parties; (e) to accountants, banks, and financing sources and their advisors solely in connection and compliance with financial transactions and reporting; (f) while obtaining legal advice from legal counsel as needed in the normal course of business; or</w:t>
      </w:r>
    </w:p>
    <w:p>
      <w:pPr>
        <w:spacing w:after="0" w:line="3" w:lineRule="exact"/>
        <w:rPr>
          <w:sz w:val="20"/>
          <w:szCs w:val="20"/>
          <w:color w:val="auto"/>
        </w:rPr>
      </w:pPr>
    </w:p>
    <w:p>
      <w:pPr>
        <w:jc w:val="both"/>
        <w:ind w:firstLine="8"/>
        <w:spacing w:after="0" w:line="271" w:lineRule="auto"/>
        <w:tabs>
          <w:tab w:leader="none" w:pos="269"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in connection with the Securities and Exchange Act of 1934, as amended, the Securities Act of 1933, as amended, and any other reports filed with the Securities and Exchange Commission or any stock exchange rule, or any other filings, reports or disclosures that may be required under applicable law, regulations or rules;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(b) through (g) above, (i) the Parties shall use all legitimate and legal means available to minimize the disclosure to third parties, including seeking a confidential treatment request or protective order whenever appropriate or available; and (ii) Nokia and FORM Holdings shall provide the other party, when reasonable, with at least ten (10) business days’ prior written notice of such disclosure.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6" w:name="page107"/>
    <w:bookmarkEnd w:id="106"/>
    <w:p>
      <w:pPr>
        <w:jc w:val="both"/>
        <w:spacing w:after="0" w:line="26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Entire Agreement; Headings</w:t>
      </w:r>
      <w:r>
        <w:rPr>
          <w:rFonts w:ascii="Arial" w:cs="Arial" w:eastAsia="Arial" w:hAnsi="Arial"/>
          <w:sz w:val="18"/>
          <w:szCs w:val="18"/>
          <w:color w:val="auto"/>
        </w:rPr>
        <w:t>. This Agreement reflects the complete understanding of the parties regarding the subject of the Agreement, and supersedes all prior related negotiations. The section headings contained in this Agreement are for reference purposes only and shall not affect in any way the meaning or interpretation of this Agreement.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Notices</w:t>
      </w:r>
      <w:r>
        <w:rPr>
          <w:rFonts w:ascii="Arial" w:cs="Arial" w:eastAsia="Arial" w:hAnsi="Arial"/>
          <w:sz w:val="18"/>
          <w:szCs w:val="18"/>
          <w:color w:val="auto"/>
        </w:rPr>
        <w:t>. Any notice under this Agreement shall be effective upon receipt when made in writing and delivered to the other party at the address stated below. Notice by email or facsimile is effective upon receipt if an original signature copy is mailed contemporaneously to the other party at the address stated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gridSpan w:val="2"/>
          </w:tcPr>
          <w:p>
            <w:pPr>
              <w:spacing w:after="0"/>
              <w:rPr>
                <w:sz w:val="20"/>
                <w:szCs w:val="20"/>
                <w:color w:val="auto"/>
              </w:rPr>
            </w:pPr>
            <w:r>
              <w:rPr>
                <w:rFonts w:ascii="Arial" w:cs="Arial" w:eastAsia="Arial" w:hAnsi="Arial"/>
                <w:sz w:val="18"/>
                <w:szCs w:val="18"/>
                <w:color w:val="auto"/>
              </w:rPr>
              <w:t>If to Nokia:</w:t>
            </w:r>
          </w:p>
        </w:tc>
        <w:tc>
          <w:tcPr>
            <w:tcW w:w="2500" w:type="dxa"/>
            <w:vAlign w:val="bottom"/>
            <w:gridSpan w:val="2"/>
          </w:tcPr>
          <w:p>
            <w:pPr>
              <w:spacing w:after="0"/>
              <w:rPr>
                <w:sz w:val="20"/>
                <w:szCs w:val="20"/>
                <w:color w:val="auto"/>
              </w:rPr>
            </w:pPr>
            <w:r>
              <w:rPr>
                <w:rFonts w:ascii="Arial" w:cs="Arial" w:eastAsia="Arial" w:hAnsi="Arial"/>
                <w:sz w:val="18"/>
                <w:szCs w:val="18"/>
                <w:color w:val="auto"/>
              </w:rPr>
              <w:t>If to FORM Holdings:</w:t>
            </w:r>
          </w:p>
        </w:tc>
      </w:tr>
      <w:tr>
        <w:trPr>
          <w:trHeight w:val="20"/>
        </w:trPr>
        <w:tc>
          <w:tcPr>
            <w:tcW w:w="5820" w:type="dxa"/>
            <w:vAlign w:val="bottom"/>
            <w:gridSpan w:val="2"/>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38"/>
        </w:trPr>
        <w:tc>
          <w:tcPr>
            <w:tcW w:w="5820" w:type="dxa"/>
            <w:vAlign w:val="bottom"/>
            <w:gridSpan w:val="2"/>
          </w:tcPr>
          <w:p>
            <w:pPr>
              <w:spacing w:after="0"/>
              <w:rPr>
                <w:sz w:val="20"/>
                <w:szCs w:val="20"/>
                <w:color w:val="auto"/>
              </w:rPr>
            </w:pPr>
            <w:r>
              <w:rPr>
                <w:rFonts w:ascii="Arial" w:cs="Arial" w:eastAsia="Arial" w:hAnsi="Arial"/>
                <w:sz w:val="18"/>
                <w:szCs w:val="18"/>
                <w:color w:val="auto"/>
              </w:rPr>
              <w:t>Nokia Corporation</w:t>
            </w:r>
          </w:p>
        </w:tc>
        <w:tc>
          <w:tcPr>
            <w:tcW w:w="2500" w:type="dxa"/>
            <w:vAlign w:val="bottom"/>
            <w:gridSpan w:val="2"/>
          </w:tcPr>
          <w:p>
            <w:pPr>
              <w:spacing w:after="0"/>
              <w:rPr>
                <w:sz w:val="20"/>
                <w:szCs w:val="20"/>
                <w:color w:val="auto"/>
              </w:rPr>
            </w:pPr>
            <w:r>
              <w:rPr>
                <w:rFonts w:ascii="Arial" w:cs="Arial" w:eastAsia="Arial" w:hAnsi="Arial"/>
                <w:sz w:val="18"/>
                <w:szCs w:val="18"/>
                <w:color w:val="auto"/>
              </w:rPr>
              <w:t>FORM Holdings Corp.</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Karaportti 3</w:t>
            </w:r>
          </w:p>
        </w:tc>
        <w:tc>
          <w:tcPr>
            <w:tcW w:w="2500" w:type="dxa"/>
            <w:vAlign w:val="bottom"/>
            <w:gridSpan w:val="2"/>
          </w:tcPr>
          <w:p>
            <w:pPr>
              <w:spacing w:after="0"/>
              <w:rPr>
                <w:sz w:val="20"/>
                <w:szCs w:val="20"/>
                <w:color w:val="auto"/>
              </w:rPr>
            </w:pPr>
            <w:r>
              <w:rPr>
                <w:rFonts w:ascii="Arial" w:cs="Arial" w:eastAsia="Arial" w:hAnsi="Arial"/>
                <w:sz w:val="18"/>
                <w:szCs w:val="18"/>
                <w:color w:val="auto"/>
              </w:rPr>
              <w:t>780 Third Avenue – 12th Floor</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02160 Espoo, Finland</w:t>
            </w:r>
          </w:p>
        </w:tc>
        <w:tc>
          <w:tcPr>
            <w:tcW w:w="2500" w:type="dxa"/>
            <w:vAlign w:val="bottom"/>
            <w:gridSpan w:val="2"/>
          </w:tcPr>
          <w:p>
            <w:pPr>
              <w:spacing w:after="0"/>
              <w:rPr>
                <w:sz w:val="20"/>
                <w:szCs w:val="20"/>
                <w:color w:val="auto"/>
              </w:rPr>
            </w:pPr>
            <w:r>
              <w:rPr>
                <w:rFonts w:ascii="Arial" w:cs="Arial" w:eastAsia="Arial" w:hAnsi="Arial"/>
                <w:sz w:val="18"/>
                <w:szCs w:val="18"/>
                <w:color w:val="auto"/>
              </w:rPr>
              <w:t>New York, New York 10017</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Attn: VP, Intellectual Property</w:t>
            </w:r>
          </w:p>
        </w:tc>
        <w:tc>
          <w:tcPr>
            <w:tcW w:w="2500" w:type="dxa"/>
            <w:vAlign w:val="bottom"/>
            <w:gridSpan w:val="2"/>
          </w:tcPr>
          <w:p>
            <w:pPr>
              <w:spacing w:after="0"/>
              <w:rPr>
                <w:sz w:val="20"/>
                <w:szCs w:val="20"/>
                <w:color w:val="auto"/>
              </w:rPr>
            </w:pPr>
            <w:r>
              <w:rPr>
                <w:rFonts w:ascii="Arial" w:cs="Arial" w:eastAsia="Arial" w:hAnsi="Arial"/>
                <w:sz w:val="18"/>
                <w:szCs w:val="18"/>
                <w:color w:val="auto"/>
              </w:rPr>
              <w:t>Attn: CEO</w:t>
            </w: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email: iprroyaltyreporting@nokia.com</w:t>
            </w:r>
          </w:p>
        </w:tc>
        <w:tc>
          <w:tcPr>
            <w:tcW w:w="2500" w:type="dxa"/>
            <w:vAlign w:val="bottom"/>
            <w:gridSpan w:val="2"/>
          </w:tcPr>
          <w:p>
            <w:pPr>
              <w:spacing w:after="0"/>
              <w:rPr>
                <w:sz w:val="20"/>
                <w:szCs w:val="20"/>
                <w:color w:val="auto"/>
              </w:rPr>
            </w:pPr>
            <w:r>
              <w:rPr>
                <w:rFonts w:ascii="Arial" w:cs="Arial" w:eastAsia="Arial" w:hAnsi="Arial"/>
                <w:sz w:val="18"/>
                <w:szCs w:val="18"/>
                <w:color w:val="auto"/>
                <w:w w:val="91"/>
              </w:rPr>
              <w:t>email: notices@formholdings.com</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Relationship of Parties</w:t>
      </w:r>
      <w:r>
        <w:rPr>
          <w:rFonts w:ascii="Arial" w:cs="Arial" w:eastAsia="Arial" w:hAnsi="Arial"/>
          <w:sz w:val="17"/>
          <w:szCs w:val="17"/>
          <w:color w:val="auto"/>
        </w:rPr>
        <w:t>. The parties hereto are independent contractors. Neither party has any express or implied right or authority to assume or create any obligations on behalf of the other or to bind the other to any contract, agreement or undertaking with any third party. Nothing in this Agreement shall be construed to create a partnership, joint venture, employment or agency relationship between Nokia and FORM Holdings.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Severability</w:t>
      </w:r>
      <w:r>
        <w:rPr>
          <w:rFonts w:ascii="Arial" w:cs="Arial" w:eastAsia="Arial" w:hAnsi="Arial"/>
          <w:sz w:val="18"/>
          <w:szCs w:val="18"/>
          <w:color w:val="auto"/>
        </w:rPr>
        <w:t>. To the extent any terms or conditions of this Agreement are held invalid or unenforceable in a jurisdiction, those terms or conditions shall be enforced to the maximum extent possible in that jurisdiction and the remaining terms and conditions shall retain full force and effect in that jurisdiction, so long as the remaining Agreement continues to express the intent of the parties.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7" w:name="page108"/>
    <w:bookmarkEnd w:id="107"/>
    <w:p>
      <w:pPr>
        <w:jc w:val="both"/>
        <w:spacing w:after="0" w:line="27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Waiver</w:t>
      </w:r>
      <w:r>
        <w:rPr>
          <w:rFonts w:ascii="Arial" w:cs="Arial" w:eastAsia="Arial" w:hAnsi="Arial"/>
          <w:sz w:val="18"/>
          <w:szCs w:val="18"/>
          <w:color w:val="auto"/>
        </w:rPr>
        <w:t>. Failure by either party to enforce any term of this Agreement shall not be deemed a waiver of future enforcement of that or any other term in this Agreement.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Successors; Assigns</w:t>
      </w:r>
      <w:r>
        <w:rPr>
          <w:rFonts w:ascii="Arial" w:cs="Arial" w:eastAsia="Arial" w:hAnsi="Arial"/>
          <w:sz w:val="18"/>
          <w:szCs w:val="18"/>
          <w:color w:val="auto"/>
        </w:rPr>
        <w:t>. The terms and conditions of this Agreement shall inure to the benefit of, and shall be binding upon, any successors or permitted assigns of FORM Holdings or Nokia.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Modifications</w:t>
      </w:r>
      <w:r>
        <w:rPr>
          <w:rFonts w:ascii="Arial" w:cs="Arial" w:eastAsia="Arial" w:hAnsi="Arial"/>
          <w:sz w:val="18"/>
          <w:szCs w:val="18"/>
          <w:color w:val="auto"/>
        </w:rPr>
        <w:t>. This Agreement may not be modified after the Effective Date except by a written amendment that expressly references this Agreement and that is signed by an authorized officer of each party.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Construction</w:t>
      </w:r>
      <w:r>
        <w:rPr>
          <w:rFonts w:ascii="Arial" w:cs="Arial" w:eastAsia="Arial" w:hAnsi="Arial"/>
          <w:sz w:val="18"/>
          <w:szCs w:val="18"/>
          <w:color w:val="auto"/>
        </w:rPr>
        <w:t>. As used in this Agreement, (a) the words “include” and “including” and variations thereof, shall not be deemed to be terms of limitation, but rather shall be deemed to be followed by the words “without limitation,” and (b) unless the context otherwise requires, the word “or” shall be deemed to be an inclusive “or” and shall have the meaning equivalent to “and/or.”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Signatures</w:t>
      </w:r>
      <w:r>
        <w:rPr>
          <w:rFonts w:ascii="Arial" w:cs="Arial" w:eastAsia="Arial" w:hAnsi="Arial"/>
          <w:sz w:val="18"/>
          <w:szCs w:val="18"/>
          <w:color w:val="auto"/>
        </w:rPr>
        <w:t>. This Agreement may be executed in counterparts, each of which shall be deemed an original, but each together shall constitute one and the same instrument. For purposes hereof, an email or facsimile copy of this Agreement, including the executed signature pages hereto, shall be deemed to be an original. Notwithstanding the foregoing, the parties shall deliver original signature copies of this Agreement to the other party as soon as practicable following execution thereof.</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Third Party Beneficiary</w:t>
      </w:r>
      <w:r>
        <w:rPr>
          <w:rFonts w:ascii="Arial" w:cs="Arial" w:eastAsia="Arial" w:hAnsi="Arial"/>
          <w:sz w:val="18"/>
          <w:szCs w:val="18"/>
          <w:color w:val="auto"/>
        </w:rPr>
        <w:t>. Nothing in this Agreement, express or implied, is intended to, or shall confer upon, any third party, any legal or equitable right, benefit or remedy of any nature whatsoever.</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u w:val="single" w:color="auto"/>
          <w:color w:val="auto"/>
        </w:rPr>
        <w:t>List of Appendices.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Appendix 1 Assigned Patents, including Exceptions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Appendix 2 Non-Assigned Patents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Appendix 3 Assignment Agreement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8" w:name="page109"/>
    <w:bookmarkEnd w:id="108"/>
    <w:p>
      <w:pPr>
        <w:ind w:left="660"/>
        <w:spacing w:after="0"/>
        <w:rPr>
          <w:sz w:val="20"/>
          <w:szCs w:val="20"/>
          <w:color w:val="auto"/>
        </w:rPr>
      </w:pPr>
      <w:r>
        <w:rPr>
          <w:rFonts w:ascii="Arial" w:cs="Arial" w:eastAsia="Arial" w:hAnsi="Arial"/>
          <w:sz w:val="17"/>
          <w:szCs w:val="17"/>
          <w:color w:val="auto"/>
        </w:rPr>
        <w:t>IN WITNESS WHEREOF, the parties have executed this Confidential Settlement and Patent Assignment Agreement as of the Effective Date: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NOKIA CORPORATION</w:t>
            </w:r>
          </w:p>
        </w:tc>
        <w:tc>
          <w:tcPr>
            <w:tcW w:w="23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FORM Holdings Corp.</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40" w:type="dxa"/>
            <w:vAlign w:val="bottom"/>
            <w:vMerge w:val="restart"/>
          </w:tcPr>
          <w:p>
            <w:pPr>
              <w:spacing w:after="0"/>
              <w:rPr>
                <w:sz w:val="20"/>
                <w:szCs w:val="20"/>
                <w:color w:val="auto"/>
              </w:rPr>
            </w:pPr>
            <w:r>
              <w:rPr>
                <w:rFonts w:ascii="Arial" w:cs="Arial" w:eastAsia="Arial" w:hAnsi="Arial"/>
                <w:sz w:val="18"/>
                <w:szCs w:val="18"/>
                <w:color w:val="auto"/>
              </w:rPr>
              <w:t>Signature</w:t>
            </w:r>
          </w:p>
        </w:tc>
        <w:tc>
          <w:tcPr>
            <w:tcW w:w="2380" w:type="dxa"/>
            <w:vAlign w:val="bottom"/>
          </w:tcPr>
          <w:p>
            <w:pPr>
              <w:spacing w:after="0"/>
              <w:rPr>
                <w:sz w:val="24"/>
                <w:szCs w:val="24"/>
                <w:color w:val="auto"/>
              </w:rPr>
            </w:pPr>
          </w:p>
        </w:tc>
        <w:tc>
          <w:tcPr>
            <w:tcW w:w="4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Anastasia Nyrkovskaya</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340" w:type="dxa"/>
            <w:vAlign w:val="bottom"/>
            <w:vMerge w:val="continue"/>
          </w:tcPr>
          <w:p>
            <w:pPr>
              <w:spacing w:after="0"/>
              <w:rPr>
                <w:sz w:val="19"/>
                <w:szCs w:val="19"/>
                <w:color w:val="auto"/>
              </w:rPr>
            </w:pPr>
          </w:p>
        </w:tc>
        <w:tc>
          <w:tcPr>
            <w:tcW w:w="23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Signature</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340" w:type="dxa"/>
            <w:vAlign w:val="bottom"/>
            <w:vMerge w:val="restart"/>
          </w:tcPr>
          <w:p>
            <w:pPr>
              <w:spacing w:after="0"/>
              <w:rPr>
                <w:sz w:val="20"/>
                <w:szCs w:val="20"/>
                <w:color w:val="auto"/>
              </w:rPr>
            </w:pPr>
            <w:r>
              <w:rPr>
                <w:rFonts w:ascii="Arial" w:cs="Arial" w:eastAsia="Arial" w:hAnsi="Arial"/>
                <w:sz w:val="18"/>
                <w:szCs w:val="18"/>
                <w:color w:val="auto"/>
              </w:rPr>
              <w:t>Printed Name</w:t>
            </w:r>
          </w:p>
        </w:tc>
        <w:tc>
          <w:tcPr>
            <w:tcW w:w="2380" w:type="dxa"/>
            <w:vAlign w:val="bottom"/>
          </w:tcPr>
          <w:p>
            <w:pPr>
              <w:spacing w:after="0"/>
              <w:rPr>
                <w:sz w:val="24"/>
                <w:szCs w:val="24"/>
                <w:color w:val="auto"/>
              </w:rPr>
            </w:pPr>
          </w:p>
        </w:tc>
        <w:tc>
          <w:tcPr>
            <w:tcW w:w="4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Anastasia Nyrkovskaya</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340" w:type="dxa"/>
            <w:vAlign w:val="bottom"/>
            <w:vMerge w:val="continue"/>
          </w:tcPr>
          <w:p>
            <w:pPr>
              <w:spacing w:after="0"/>
              <w:rPr>
                <w:sz w:val="19"/>
                <w:szCs w:val="19"/>
                <w:color w:val="auto"/>
              </w:rPr>
            </w:pPr>
          </w:p>
        </w:tc>
        <w:tc>
          <w:tcPr>
            <w:tcW w:w="23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Printed Name</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3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2380" w:type="dxa"/>
            <w:vAlign w:val="bottom"/>
          </w:tcPr>
          <w:p>
            <w:pPr>
              <w:spacing w:after="0"/>
              <w:rPr>
                <w:sz w:val="24"/>
                <w:szCs w:val="24"/>
                <w:color w:val="auto"/>
              </w:rPr>
            </w:pPr>
          </w:p>
        </w:tc>
        <w:tc>
          <w:tcPr>
            <w:tcW w:w="4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Chief Financial Officer</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340" w:type="dxa"/>
            <w:vAlign w:val="bottom"/>
            <w:vMerge w:val="continue"/>
          </w:tcPr>
          <w:p>
            <w:pPr>
              <w:spacing w:after="0"/>
              <w:rPr>
                <w:sz w:val="19"/>
                <w:szCs w:val="19"/>
                <w:color w:val="auto"/>
              </w:rPr>
            </w:pPr>
          </w:p>
        </w:tc>
        <w:tc>
          <w:tcPr>
            <w:tcW w:w="23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Title</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34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2380" w:type="dxa"/>
            <w:vAlign w:val="bottom"/>
          </w:tcPr>
          <w:p>
            <w:pPr>
              <w:spacing w:after="0"/>
              <w:rPr>
                <w:sz w:val="24"/>
                <w:szCs w:val="24"/>
                <w:color w:val="auto"/>
              </w:rPr>
            </w:pPr>
          </w:p>
        </w:tc>
        <w:tc>
          <w:tcPr>
            <w:tcW w:w="4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December 5, 2016</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340" w:type="dxa"/>
            <w:vAlign w:val="bottom"/>
            <w:vMerge w:val="continue"/>
          </w:tcPr>
          <w:p>
            <w:pPr>
              <w:spacing w:after="0"/>
              <w:rPr>
                <w:sz w:val="19"/>
                <w:szCs w:val="19"/>
                <w:color w:val="auto"/>
              </w:rPr>
            </w:pPr>
          </w:p>
        </w:tc>
        <w:tc>
          <w:tcPr>
            <w:tcW w:w="23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Date</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3340" w:type="dxa"/>
            <w:vAlign w:val="bottom"/>
          </w:tcPr>
          <w:p>
            <w:pPr>
              <w:spacing w:after="0"/>
              <w:rPr>
                <w:sz w:val="20"/>
                <w:szCs w:val="20"/>
                <w:color w:val="auto"/>
              </w:rPr>
            </w:pPr>
            <w:r>
              <w:rPr>
                <w:rFonts w:ascii="Arial" w:cs="Arial" w:eastAsia="Arial" w:hAnsi="Arial"/>
                <w:sz w:val="18"/>
                <w:szCs w:val="18"/>
                <w:color w:val="auto"/>
              </w:rPr>
              <w:t>Signature</w:t>
            </w:r>
          </w:p>
        </w:tc>
        <w:tc>
          <w:tcPr>
            <w:tcW w:w="23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340" w:type="dxa"/>
            <w:vAlign w:val="bottom"/>
          </w:tcPr>
          <w:p>
            <w:pPr>
              <w:spacing w:after="0"/>
              <w:rPr>
                <w:sz w:val="20"/>
                <w:szCs w:val="20"/>
                <w:color w:val="auto"/>
              </w:rPr>
            </w:pPr>
            <w:r>
              <w:rPr>
                <w:rFonts w:ascii="Arial" w:cs="Arial" w:eastAsia="Arial" w:hAnsi="Arial"/>
                <w:sz w:val="18"/>
                <w:szCs w:val="18"/>
                <w:color w:val="auto"/>
              </w:rPr>
              <w:t>Printed Name</w:t>
            </w:r>
          </w:p>
        </w:tc>
        <w:tc>
          <w:tcPr>
            <w:tcW w:w="23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340" w:type="dxa"/>
            <w:vAlign w:val="bottom"/>
          </w:tcPr>
          <w:p>
            <w:pPr>
              <w:spacing w:after="0"/>
              <w:rPr>
                <w:sz w:val="20"/>
                <w:szCs w:val="20"/>
                <w:color w:val="auto"/>
              </w:rPr>
            </w:pPr>
            <w:r>
              <w:rPr>
                <w:rFonts w:ascii="Arial" w:cs="Arial" w:eastAsia="Arial" w:hAnsi="Arial"/>
                <w:sz w:val="18"/>
                <w:szCs w:val="18"/>
                <w:color w:val="auto"/>
              </w:rPr>
              <w:t>Title</w:t>
            </w:r>
          </w:p>
        </w:tc>
        <w:tc>
          <w:tcPr>
            <w:tcW w:w="23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340" w:type="dxa"/>
            <w:vAlign w:val="bottom"/>
          </w:tcPr>
          <w:p>
            <w:pPr>
              <w:spacing w:after="0"/>
              <w:rPr>
                <w:sz w:val="20"/>
                <w:szCs w:val="20"/>
                <w:color w:val="auto"/>
              </w:rPr>
            </w:pPr>
            <w:r>
              <w:rPr>
                <w:rFonts w:ascii="Arial" w:cs="Arial" w:eastAsia="Arial" w:hAnsi="Arial"/>
                <w:sz w:val="18"/>
                <w:szCs w:val="18"/>
                <w:color w:val="auto"/>
              </w:rPr>
              <w:t>Date</w:t>
            </w:r>
          </w:p>
        </w:tc>
        <w:tc>
          <w:tcPr>
            <w:tcW w:w="23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334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gridSpan w:val="2"/>
          </w:tcPr>
          <w:p>
            <w:pPr>
              <w:ind w:left="1440"/>
              <w:spacing w:after="0"/>
              <w:rPr>
                <w:sz w:val="20"/>
                <w:szCs w:val="20"/>
                <w:color w:val="auto"/>
              </w:rPr>
            </w:pPr>
            <w:r>
              <w:rPr>
                <w:rFonts w:ascii="Arial" w:cs="Arial" w:eastAsia="Arial" w:hAnsi="Arial"/>
                <w:sz w:val="22"/>
                <w:szCs w:val="22"/>
                <w:color w:val="auto"/>
              </w:rPr>
              <w:t>Confidential – Page 6</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09" w:name="page110"/>
    <w:bookmarkEnd w:id="109"/>
    <w:p>
      <w:pPr>
        <w:ind w:left="940"/>
        <w:spacing w:after="0"/>
        <w:rPr>
          <w:sz w:val="20"/>
          <w:szCs w:val="20"/>
          <w:color w:val="auto"/>
        </w:rPr>
      </w:pPr>
      <w:r>
        <w:rPr>
          <w:rFonts w:ascii="Arial" w:cs="Arial" w:eastAsia="Arial" w:hAnsi="Arial"/>
          <w:sz w:val="16"/>
          <w:szCs w:val="16"/>
          <w:color w:val="080808"/>
        </w:rPr>
        <w:t>IN WITNESS WHEREOF, the parties have executed this Confidential Settlement and Patent Assignment Agreement as of the Effective Date:</w:t>
      </w:r>
    </w:p>
    <w:p>
      <w:pPr>
        <w:sectPr>
          <w:pgSz w:w="11900" w:h="16838" w:orient="portrait"/>
          <w:cols w:equalWidth="0" w:num="1">
            <w:col w:w="11160"/>
          </w:cols>
          <w:pgMar w:left="240" w:top="1124" w:right="49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080808"/>
        </w:rPr>
        <w:t>NOKIA CORPORATION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Sonja London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080808"/>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9070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Sonja London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080808"/>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9070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080808"/>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9070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Espoo, Finland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080808"/>
        </w:rPr>
        <w:t>/s/ Nallfeemu Soininen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080808"/>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90703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Nallfeemu Soininen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080808"/>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9070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Espoo, Finland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3780"/>
        <w:spacing w:after="0"/>
        <w:rPr>
          <w:sz w:val="20"/>
          <w:szCs w:val="20"/>
          <w:color w:val="auto"/>
        </w:rPr>
      </w:pPr>
      <w:r>
        <w:rPr>
          <w:rFonts w:ascii="Arial" w:cs="Arial" w:eastAsia="Arial" w:hAnsi="Arial"/>
          <w:sz w:val="16"/>
          <w:szCs w:val="16"/>
          <w:color w:val="080808"/>
        </w:rPr>
        <w:t>FORM Holdings Corp.</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080808"/>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28987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080808"/>
        </w:rPr>
        <w:t>Printed Name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080808"/>
        </w:rPr>
        <w:t>Title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080808"/>
        </w:rPr>
        <w:t>Date</w:t>
      </w:r>
    </w:p>
    <w:p>
      <w:pPr>
        <w:spacing w:after="0" w:line="3104" w:lineRule="exact"/>
        <w:rPr>
          <w:sz w:val="20"/>
          <w:szCs w:val="20"/>
          <w:color w:val="auto"/>
        </w:rPr>
      </w:pPr>
    </w:p>
    <w:p>
      <w:pPr>
        <w:sectPr>
          <w:pgSz w:w="11900" w:h="16838" w:orient="portrait"/>
          <w:cols w:equalWidth="0" w:num="2">
            <w:col w:w="5000" w:space="720"/>
            <w:col w:w="5440"/>
          </w:cols>
          <w:pgMar w:left="240" w:top="1124" w:right="499" w:bottom="1440" w:gutter="0" w:footer="0" w:header="0"/>
          <w:type w:val="continuous"/>
        </w:sectPr>
      </w:pPr>
    </w:p>
    <w:p>
      <w:pPr>
        <w:spacing w:after="0" w:line="233"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Confidential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1124" w:right="499" w:bottom="144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6"/>
          <w:szCs w:val="16"/>
          <w:color w:val="auto"/>
        </w:rPr>
        <w:t>APPENDIX 1 – Assigned Patents, including Exceptions</w:t>
      </w:r>
    </w:p>
    <w:p>
      <w:pPr>
        <w:sectPr>
          <w:pgSz w:w="11900" w:h="16838" w:orient="portrait"/>
          <w:cols w:equalWidth="0" w:num="1">
            <w:col w:w="9019"/>
          </w:cols>
          <w:pgMar w:left="1440" w:top="908" w:right="1440" w:bottom="1440" w:gutter="0" w:footer="0" w:header="0"/>
        </w:sect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ASSIGNED PATENTS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Confidential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16"/>
          <w:szCs w:val="16"/>
          <w:color w:val="auto"/>
        </w:rPr>
        <w:t>APPENDIX 2 – Non-Assigned Patents</w:t>
      </w:r>
    </w:p>
    <w:p>
      <w:pPr>
        <w:sectPr>
          <w:pgSz w:w="11900" w:h="16838" w:orient="portrait"/>
          <w:cols w:equalWidth="0" w:num="1">
            <w:col w:w="9019"/>
          </w:cols>
          <w:pgMar w:left="1440" w:top="908" w:right="1440" w:bottom="1440" w:gutter="0" w:footer="0" w:header="0"/>
        </w:sect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Confidential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22"/>
          <w:szCs w:val="22"/>
          <w:b w:val="1"/>
          <w:bCs w:val="1"/>
          <w:color w:val="auto"/>
        </w:rPr>
        <w:t>APPENDIX 3 – Assignment Agreement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PATENT ASSIGNMENT AGREEMENT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This CONFIDENTIAL PATENT ASSIGNMENT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on [DATE] (the “</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FORM Holdings Corp.</w:t>
      </w:r>
      <w:r>
        <w:rPr>
          <w:rFonts w:ascii="Arial" w:cs="Arial" w:eastAsia="Arial" w:hAnsi="Arial"/>
          <w:sz w:val="17"/>
          <w:szCs w:val="17"/>
          <w:color w:val="auto"/>
        </w:rPr>
        <w:t>, a Delaware corporation formerly known as Vringo Inc. (“</w:t>
      </w:r>
      <w:r>
        <w:rPr>
          <w:rFonts w:ascii="Arial" w:cs="Arial" w:eastAsia="Arial" w:hAnsi="Arial"/>
          <w:sz w:val="17"/>
          <w:szCs w:val="17"/>
          <w:b w:val="1"/>
          <w:bCs w:val="1"/>
          <w:color w:val="auto"/>
        </w:rPr>
        <w:t>Assignor</w:t>
      </w:r>
      <w:r>
        <w:rPr>
          <w:rFonts w:ascii="Arial" w:cs="Arial" w:eastAsia="Arial" w:hAnsi="Arial"/>
          <w:sz w:val="17"/>
          <w:szCs w:val="17"/>
          <w:color w:val="auto"/>
        </w:rPr>
        <w:t>”) and [COMPANY], a corporation organized under the laws of</w:t>
      </w:r>
      <w:r>
        <w:rPr>
          <w:rFonts w:ascii="Arial" w:cs="Arial" w:eastAsia="Arial" w:hAnsi="Arial"/>
          <w:sz w:val="17"/>
          <w:szCs w:val="17"/>
          <w:b w:val="1"/>
          <w:bCs w:val="1"/>
          <w:color w:val="auto"/>
        </w:rPr>
        <w:t xml:space="preserve"> </w:t>
      </w:r>
      <w:r>
        <w:rPr>
          <w:rFonts w:ascii="Arial" w:cs="Arial" w:eastAsia="Arial" w:hAnsi="Arial"/>
          <w:sz w:val="17"/>
          <w:szCs w:val="17"/>
          <w:color w:val="auto"/>
        </w:rPr>
        <w:t>[STATE] (“</w:t>
      </w:r>
      <w:r>
        <w:rPr>
          <w:rFonts w:ascii="Arial" w:cs="Arial" w:eastAsia="Arial" w:hAnsi="Arial"/>
          <w:sz w:val="17"/>
          <w:szCs w:val="17"/>
          <w:b w:val="1"/>
          <w:bCs w:val="1"/>
          <w:color w:val="auto"/>
        </w:rPr>
        <w:t>Assignee</w:t>
      </w:r>
      <w:r>
        <w:rPr>
          <w:rFonts w:ascii="Arial" w:cs="Arial" w:eastAsia="Arial" w:hAnsi="Arial"/>
          <w:sz w:val="17"/>
          <w:szCs w:val="17"/>
          <w:color w:val="auto"/>
        </w:rPr>
        <w:t>”). Assignor and Assignee are herein referred to separately as “a party” or collectively as “the parties.”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WHEREAS Assignor owns and has the right to assign certain patents and patent applications; and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Assignor wishes to assign to Assignee and Assignee wishes to obtain all substantive right, title, and interest in such patents and patent applications;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NOW THEREFORE, in consideration of the mutual covenants and conditions stated herein, and for other good and valuable consideration, the receipt and sufficiency of which is hereby acknowledged, the parties hereby agree as set forth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 with respect to Assignee, any entity Controlling, Controlled by, or under common Control with Assignee whether in the past, present or future for so long, and only for so long, as such Control exists; (b) with respect to Assignor, any entity Controlling, Controlled by, or under common Control with Assignor as of the Effective Date and for so long, and only for so long, thereafter as such Control continues to exist and (c) with respect to any third party, any entity Controlling, Controlled by, or under common Control with such third party for so long, and only for so long, as such Control exists.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Patent Assignment Agreement and any exhibits, appendices, annexes or schedules thereto.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shall have the meaning set forth in Section 8.1.</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w:t>
      </w:r>
      <w:r>
        <w:rPr>
          <w:rFonts w:ascii="Arial" w:cs="Arial" w:eastAsia="Arial" w:hAnsi="Arial"/>
          <w:sz w:val="18"/>
          <w:szCs w:val="18"/>
          <w:color w:val="auto"/>
        </w:rPr>
        <w:t>” means to sell, assign, convey, delegate or otherwise transfer any right, title or interest in or to this Agreement, in each case whether directly or indirectly, expressly or impliedly, voluntarily or involuntarily, in one or a series of transactions, by contract, operation of law or otherwise (including without limitation by means of any merger, consolidation, recapitalization, liquidation, dissolution, Change of Control, transfer or sale of all or substantially all of a business, or similar transaction).</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Assigned Patents</w:t>
      </w:r>
      <w:r>
        <w:rPr>
          <w:rFonts w:ascii="Arial" w:cs="Arial" w:eastAsia="Arial" w:hAnsi="Arial"/>
          <w:sz w:val="18"/>
          <w:szCs w:val="18"/>
          <w:color w:val="auto"/>
        </w:rPr>
        <w:t xml:space="preserve">” means (a) all patents and patent applications listed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(b) all reissues, reexaminations, continuations, continuations-in-part, divisionals, renewals and extensions of such patents and patent applications (whether pending, issued, abandoned or filed prior to, on or after the Effective Date); (c) all patents and patent applications (i) to which any or all of the foregoing directly or indirectly claims priority to, or the benefit of, the filing date, or (ii) for which any or all of the foregoing directly or indirectly forms a basis for priority or otherwise provides the benefit of an earlier filing date; and (d) all foreign counterparts to any or all of the foregoing, and all utility models, certificates of invention, patent registrations and equivalent rights worldwide.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22"/>
          <w:szCs w:val="22"/>
          <w:b w:val="1"/>
          <w:bCs w:val="1"/>
          <w:color w:val="auto"/>
        </w:rPr>
        <w:t>APPENDIX 3 – Assignment Agreement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“Assignee” </w:t>
      </w:r>
      <w:r>
        <w:rPr>
          <w:rFonts w:ascii="Arial" w:cs="Arial" w:eastAsia="Arial" w:hAnsi="Arial"/>
          <w:sz w:val="18"/>
          <w:szCs w:val="18"/>
          <w:color w:val="auto"/>
        </w:rPr>
        <w:t>shall have the meaning set forth in the first paragraph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“Assignor” </w:t>
      </w:r>
      <w:r>
        <w:rPr>
          <w:rFonts w:ascii="Arial" w:cs="Arial" w:eastAsia="Arial" w:hAnsi="Arial"/>
          <w:sz w:val="18"/>
          <w:szCs w:val="18"/>
          <w:color w:val="auto"/>
        </w:rPr>
        <w:t>shall have the meaning set forth in the first paragraph hereto</w:t>
      </w:r>
      <w:r>
        <w:rPr>
          <w:rFonts w:ascii="Arial" w:cs="Arial" w:eastAsia="Arial" w:hAnsi="Arial"/>
          <w:sz w:val="18"/>
          <w:szCs w:val="18"/>
          <w:b w:val="1"/>
          <w:bCs w:val="1"/>
          <w:color w:val="auto"/>
        </w:rPr>
        <w:t>.</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shall mean any one or more of the following, whether directly or indirectly, voluntarily or involuntarily, by agreement, operation of law or otherwise, and whether by means of one transaction or a series of related transactions: (a) the acquisition of a party or any Affiliate Controlling such party by another entity (including, without limitation, by means of any stock acquisition, reorganization, merger, consolidation or similar business combination) other than a transaction or series of transactions in which the holders of the voting securities of such party or any Affiliate Controlling such party (as applicable) outstanding immediately prior to such transaction continue to retain (either by such voting securities remaining outstanding or by such voting securities being converted into voting securities of the surviving entity), as a result of securities of such party or any Affiliate Controlling such party (as applicable) held by such holders prior to such transaction, at least fifty percent (50%) of the total voting power represented by the voting securities of such party or any Affiliate Controlling such party (as applicable), or such surviving entity, outstanding immediately after such transaction or series of transactions;</w:t>
      </w:r>
    </w:p>
    <w:p>
      <w:pPr>
        <w:spacing w:after="0" w:line="5" w:lineRule="exact"/>
        <w:rPr>
          <w:sz w:val="20"/>
          <w:szCs w:val="20"/>
          <w:color w:val="auto"/>
        </w:rPr>
      </w:pPr>
    </w:p>
    <w:p>
      <w:pPr>
        <w:ind w:left="260" w:hanging="252"/>
        <w:spacing w:after="0"/>
        <w:tabs>
          <w:tab w:leader="none" w:pos="2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sale, lease, license, assignment, transfer or other conveyance or disposition of all or substantially all the business, properties or assets of such party; or</w:t>
      </w:r>
    </w:p>
    <w:p>
      <w:pPr>
        <w:spacing w:after="0" w:line="32" w:lineRule="exact"/>
        <w:rPr>
          <w:rFonts w:ascii="Arial" w:cs="Arial" w:eastAsia="Arial" w:hAnsi="Arial"/>
          <w:sz w:val="16"/>
          <w:szCs w:val="16"/>
          <w:color w:val="auto"/>
        </w:rPr>
      </w:pPr>
    </w:p>
    <w:p>
      <w:pPr>
        <w:ind w:firstLine="8"/>
        <w:spacing w:after="0" w:line="290" w:lineRule="auto"/>
        <w:tabs>
          <w:tab w:leader="none" w:pos="247"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commencement of any a proceeding under Title 11 of the United States Code (11 U.S.C. § 101 et seq.) or other insolvency, liquidation, reorganization, receivership, moratorium, dissolution or winding up or other similar proceeding of such party or any Affiliate Controlling such party.</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(a) direct or indirect ownership of more than fifty percent (50%) of the outstanding shares representing the right to vote for members of the board of directors or other managing officers of an entity, or (b) for an entity that does not have outstanding shares, more than fifty percent (50%) of the direct or indirect ownership interest representing the right to make decisions for such entity.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have the meaning set forth in the first paragraph hereto.</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Encumbrance</w:t>
      </w:r>
      <w:r>
        <w:rPr>
          <w:rFonts w:ascii="Arial" w:cs="Arial" w:eastAsia="Arial" w:hAnsi="Arial"/>
          <w:sz w:val="18"/>
          <w:szCs w:val="18"/>
          <w:color w:val="auto"/>
        </w:rPr>
        <w:t>” means any lien, charge, claim, pledge, security interest, conditional sale agreement or other title retention agreement, lease, mortgage, security agreement, right, option, restriction, immunity, license, covenant, adverse claim or other encumbrance, including without limitation any (a) patent licenses or sublicenses, covenants not to assert and/or similar patent immunities; (b) rights to renew or extend pre-existing patent licenses exercised solely by third parties (such as legally binding options); and (c) releases for past infringement.</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Essential Cellular Patents</w:t>
      </w:r>
      <w:r>
        <w:rPr>
          <w:rFonts w:ascii="Arial" w:cs="Arial" w:eastAsia="Arial" w:hAnsi="Arial"/>
          <w:sz w:val="18"/>
          <w:szCs w:val="18"/>
          <w:color w:val="auto"/>
        </w:rPr>
        <w:t xml:space="preserve">” means Assigned Patents which have been declared essential to the GSM/GPRS Standard or UMTS Standard, including Patents, listed in </w:t>
      </w:r>
      <w:r>
        <w:rPr>
          <w:rFonts w:ascii="Arial" w:cs="Arial" w:eastAsia="Arial" w:hAnsi="Arial"/>
          <w:sz w:val="18"/>
          <w:szCs w:val="18"/>
          <w:b w:val="1"/>
          <w:bCs w:val="1"/>
          <w:color w:val="auto"/>
        </w:rPr>
        <w:t>Exhibit B</w:t>
      </w:r>
      <w:r>
        <w:rPr>
          <w:rFonts w:ascii="Arial" w:cs="Arial" w:eastAsia="Arial" w:hAnsi="Arial"/>
          <w:sz w:val="18"/>
          <w:szCs w:val="18"/>
          <w:color w:val="auto"/>
        </w:rPr>
        <w: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22"/>
          <w:szCs w:val="22"/>
          <w:b w:val="1"/>
          <w:bCs w:val="1"/>
          <w:color w:val="auto"/>
        </w:rPr>
        <w:t>APPENDIX 3 – Assignment Agreement</w:t>
      </w:r>
    </w:p>
    <w:p>
      <w:pPr>
        <w:spacing w:after="0" w:line="200" w:lineRule="exact"/>
        <w:rPr>
          <w:sz w:val="20"/>
          <w:szCs w:val="20"/>
          <w:color w:val="auto"/>
        </w:rPr>
      </w:pPr>
    </w:p>
    <w:p>
      <w:pPr>
        <w:spacing w:after="0" w:line="23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Existing Encumbrances</w:t>
      </w:r>
      <w:r>
        <w:rPr>
          <w:rFonts w:ascii="Arial" w:cs="Arial" w:eastAsia="Arial" w:hAnsi="Arial"/>
          <w:sz w:val="17"/>
          <w:szCs w:val="17"/>
          <w:color w:val="auto"/>
        </w:rPr>
        <w:t>” means, in relation to the Assigned Patents, (a) pre-existing patent licenses, covenants not to assert and/or similar patent immunities, (b) rights to renew or extend pre-existing patent licenses exercised solely by third parties (such as legally binding options); (c) releases for past infringement; and (d) pre-existing commitments or assurances pursuant to Assignor’s or its Affiliates’ standards- or specifications- related activities, in each case of (a), (b), (c), (d) and (e) which transfer in connection with the transfer of the Assigned Patent(s) and/or which Assignor or any of its Affiliates has committed to maintain in connection with the transfer of such Assigned Patent(s), solely in the form they existed prior to the Effective Date.</w:t>
      </w:r>
    </w:p>
    <w:p>
      <w:pPr>
        <w:spacing w:after="0" w:line="16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GSM/GPRS Standard</w:t>
      </w:r>
      <w:r>
        <w:rPr>
          <w:rFonts w:ascii="Arial" w:cs="Arial" w:eastAsia="Arial" w:hAnsi="Arial"/>
          <w:sz w:val="16"/>
          <w:szCs w:val="16"/>
          <w:color w:val="auto"/>
        </w:rPr>
        <w:t>” means the TDMA based GSM/GPRS specification as defined by ETSI and/or 3GPP prior to and at the time of the Effective Date as well as any updates or releases in respect of such GSM/GPRS Standard by ETSI, 3GPP and/or other relevant telecommunications standard setting bodies, as long as not fundamentally technically altering the character thereof, and includes E-GPRS (EDGE), GPRS/HSCSD/EDGE/EGSM and GSM850.</w:t>
      </w:r>
    </w:p>
    <w:p>
      <w:pPr>
        <w:spacing w:after="0" w:line="14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Patent</w:t>
      </w:r>
      <w:r>
        <w:rPr>
          <w:rFonts w:ascii="Arial" w:cs="Arial" w:eastAsia="Arial" w:hAnsi="Arial"/>
          <w:sz w:val="17"/>
          <w:szCs w:val="17"/>
          <w:color w:val="auto"/>
        </w:rPr>
        <w:t>” means any and all (a) patents and patent applications; (b) reissues, reexaminations, continuations, continuations-in-part, divisionals, renewals and extensions of such patents and patent applications (whether pending, issued, abandoned or filed prior to, on or after the Effective Date); and (c) foreign counterparts to any or all of the foregoing, and all utility models, certificates of invention, patent registrations and equivalent rights worldwide.</w:t>
      </w:r>
    </w:p>
    <w:p>
      <w:pPr>
        <w:spacing w:after="0" w:line="1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w:t>
      </w:r>
      <w:r>
        <w:rPr>
          <w:rFonts w:ascii="Arial" w:cs="Arial" w:eastAsia="Arial" w:hAnsi="Arial"/>
          <w:sz w:val="18"/>
          <w:szCs w:val="18"/>
          <w:color w:val="auto"/>
        </w:rPr>
        <w:t>” shall mean the sale, transfer, assignment or exclusive license (with the right to enforce and grant sublicenses) of an Assigned Patent, and “</w:t>
      </w:r>
      <w:r>
        <w:rPr>
          <w:rFonts w:ascii="Arial" w:cs="Arial" w:eastAsia="Arial" w:hAnsi="Arial"/>
          <w:sz w:val="18"/>
          <w:szCs w:val="18"/>
          <w:b w:val="1"/>
          <w:bCs w:val="1"/>
          <w:color w:val="auto"/>
        </w:rPr>
        <w:t>Sell</w:t>
      </w:r>
      <w:r>
        <w:rPr>
          <w:rFonts w:ascii="Arial" w:cs="Arial" w:eastAsia="Arial" w:hAnsi="Arial"/>
          <w:sz w:val="18"/>
          <w:szCs w:val="18"/>
          <w:color w:val="auto"/>
        </w:rPr>
        <w:t>” shall mean to consummate a Sale.</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Standards Organization</w:t>
      </w:r>
      <w:r>
        <w:rPr>
          <w:rFonts w:ascii="Arial" w:cs="Arial" w:eastAsia="Arial" w:hAnsi="Arial"/>
          <w:sz w:val="18"/>
          <w:szCs w:val="18"/>
          <w:color w:val="auto"/>
        </w:rPr>
        <w:t>” means any standards organization, standards body, standards developing organization (SDO), standards setting organization (SSO), or any other organization, entity, association, body or other group of any type whatsoever that may impose upon an affiliated or associated member or participant an obligation or commitment to any Encumbrance on an Assigned Patent.</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UMTS Standard</w:t>
      </w:r>
      <w:r>
        <w:rPr>
          <w:rFonts w:ascii="Arial" w:cs="Arial" w:eastAsia="Arial" w:hAnsi="Arial"/>
          <w:sz w:val="18"/>
          <w:szCs w:val="18"/>
          <w:color w:val="auto"/>
        </w:rPr>
        <w:t>” means The Universal Mobile Telecommunications System Standard as promulgated by 3GPP and/or ETSI, as well as the TD-SCDMA, FOMA, HSPA, HSPA+, HSUPA and HSDPA Standards being derivative standards thereof.</w:t>
      </w:r>
    </w:p>
    <w:p>
      <w:pPr>
        <w:spacing w:after="0" w:line="162"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OF PATENTS; COMPLIANCE WITH EXISTINGENCUMBRANCES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Patent Assignmen</w:t>
      </w:r>
      <w:r>
        <w:rPr>
          <w:rFonts w:ascii="Arial" w:cs="Arial" w:eastAsia="Arial" w:hAnsi="Arial"/>
          <w:sz w:val="18"/>
          <w:szCs w:val="18"/>
          <w:color w:val="auto"/>
        </w:rPr>
        <w:t>t. Assignor hereby assigns to Assignee, and Assignee hereby acquires and accepts from Assignor, all right, title and interest in, to and under the Assigned Patents, including any and all inventions and discoveries claimed therein, any and all rights entitled by the original owner of the Assigned Patents and all rights to sue for past, present and future infringement, to collect royalties under such Assigned Patents, to prosecute all existing Assigned Patents worldwide, to apply for additional Assigned Patents worldwide and to have Assigned Patents issue in the name of Assignee or its designated Affiliate. For the avoidance of doubt, no patent license or other agreements related to the Assigned Patents are being assigned to Assignee under this Agreement.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Assignment of Causes of Action</w:t>
      </w:r>
      <w:r>
        <w:rPr>
          <w:rFonts w:ascii="Arial" w:cs="Arial" w:eastAsia="Arial" w:hAnsi="Arial"/>
          <w:sz w:val="18"/>
          <w:szCs w:val="18"/>
          <w:color w:val="auto"/>
        </w:rPr>
        <w:t>. Assignor hereby assigns to Assignee, and Assignee hereby acquires and accepts from Assignor, all right, title and interest in, to and under all causes of action and enforcement rights of any type or nature whatsoever, whether known, unknown, currently pending, filed, or otherwise, for the Assigned Patents, including all rights to pursue damages, injunctive relief and other remedies for past, current and future infringement of the Assigned Patents.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Confidential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2"/>
          <w:szCs w:val="22"/>
          <w:b w:val="1"/>
          <w:bCs w:val="1"/>
          <w:color w:val="auto"/>
        </w:rPr>
        <w:t>APPENDIX 3 – Assignment Agreement</w:t>
      </w:r>
    </w:p>
    <w:p>
      <w:pPr>
        <w:spacing w:after="0" w:line="200" w:lineRule="exact"/>
        <w:rPr>
          <w:sz w:val="20"/>
          <w:szCs w:val="20"/>
          <w:color w:val="auto"/>
        </w:rPr>
      </w:pP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Existing Encumbrances</w:t>
      </w:r>
      <w:r>
        <w:rPr>
          <w:rFonts w:ascii="Arial" w:cs="Arial" w:eastAsia="Arial" w:hAnsi="Arial"/>
          <w:sz w:val="18"/>
          <w:szCs w:val="18"/>
          <w:color w:val="auto"/>
        </w:rPr>
        <w:t>. The Assigned Patents are assigned and transferred subject to the Existing Encumbrances, and Assignee hereby commits to respect such Existing Encumbrances, including without limitation Assignee shall ensure that any subsequent sale, assignment, lien, mortgage or other transfer of the Assigned Patents by Assignee or its future assignees, transferees or successors of any Assigned Patents shall be made subject to Existing Encumbrances. For the avoidance of doubt, any pre-existing patent license agreements related to the Assigned Patents, including, without limitation, any related royalty payments, shall not be assigned or transferred to Assignee.</w:t>
      </w:r>
    </w:p>
    <w:p>
      <w:pPr>
        <w:spacing w:after="0" w:line="184"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DELIVERY</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Executed Assignment</w:t>
      </w:r>
      <w:r>
        <w:rPr>
          <w:rFonts w:ascii="Arial" w:cs="Arial" w:eastAsia="Arial" w:hAnsi="Arial"/>
          <w:sz w:val="18"/>
          <w:szCs w:val="18"/>
          <w:color w:val="auto"/>
        </w:rPr>
        <w:t>. Upon the Effective Date, Assignor shall execute an assignment (“</w:t>
      </w:r>
      <w:r>
        <w:rPr>
          <w:rFonts w:ascii="Arial" w:cs="Arial" w:eastAsia="Arial" w:hAnsi="Arial"/>
          <w:sz w:val="18"/>
          <w:szCs w:val="18"/>
          <w:b w:val="1"/>
          <w:bCs w:val="1"/>
          <w:color w:val="auto"/>
        </w:rPr>
        <w:t>Assignment</w:t>
      </w:r>
      <w:r>
        <w:rPr>
          <w:rFonts w:ascii="Arial" w:cs="Arial" w:eastAsia="Arial" w:hAnsi="Arial"/>
          <w:sz w:val="18"/>
          <w:szCs w:val="18"/>
          <w:color w:val="auto"/>
        </w:rPr>
        <w:t xml:space="preserve">”) attached hereto as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suitable for recordation with the United States Patent and Trademark Office and other patent offices worldwide.</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Delivery</w:t>
      </w:r>
      <w:r>
        <w:rPr>
          <w:rFonts w:ascii="Arial" w:cs="Arial" w:eastAsia="Arial" w:hAnsi="Arial"/>
          <w:sz w:val="17"/>
          <w:szCs w:val="17"/>
          <w:color w:val="auto"/>
        </w:rPr>
        <w:t>. Within forty-five (45) days following the Effective Date, Assignor shall send, or instruct its counsel and attorneys to send to Assignee, the executed original or certified copy of the Assignment along with all material files and documents in the possession of or available to Assignor regarding patent prosecution of the Assigned Patents including (a) prosecution history files for all issued, pending or abandoned Assigned Patents, (b) a current electronic copy of a docketing report for the Assigned Patents accurately setting forth to the best of Assignor’s knowledge any and all dates relevant to the prosecution or maintenance of the Assigned Patents, including information relating to deadlines through and including a period of not less than the following three (3) months, payments and filings for the Assigned Patents, and the names, business addresses, email addresses, and phone numbers of all prosecution counsel and agents and (c) any other material files and documents not otherwise provided under Section 3.2 (a) through (b) in the possession of Assignor’s outside attorneys who have been involved in the prosecution of any of the Assigned Patents.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Cooperation After Effective Date</w:t>
      </w:r>
      <w:r>
        <w:rPr>
          <w:rFonts w:ascii="Arial" w:cs="Arial" w:eastAsia="Arial" w:hAnsi="Arial"/>
          <w:sz w:val="18"/>
          <w:szCs w:val="18"/>
          <w:color w:val="auto"/>
        </w:rPr>
        <w:t>. Assignor further covenants and agrees that after the Effective Date, it shall, upon request and without further consideration, promptly execute and deliver to Assignee any and all other documents and materials, and take any and all reasonable further actions, that are reasonably necessary for Assignee to perfect its title in the Assigned Patents.</w:t>
      </w:r>
    </w:p>
    <w:p>
      <w:pPr>
        <w:spacing w:after="0" w:line="177"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EXISTING ENCUMBRANCES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Existing Encumbrances</w:t>
      </w:r>
      <w:r>
        <w:rPr>
          <w:rFonts w:ascii="Arial" w:cs="Arial" w:eastAsia="Arial" w:hAnsi="Arial"/>
          <w:sz w:val="18"/>
          <w:szCs w:val="18"/>
          <w:color w:val="auto"/>
        </w:rPr>
        <w:t>. Assignor shall without unnecessary delay provide to Assignee, at Assignee’s reasonable request, (A) information on whether any specific named entit(y)ies do(es) not benefit from any Existing Encumbrances under the Assigned Patents, subject to any confidentiality obligations Assignor may have under any Existing Encumbrance and (B) a description of the type of products and/or services that are not covered by any Existing Encumbrances that Assignor may be committed to with respect to any specific named entity under the Assigned Patents. In case the information requested by Assignee under this Section 4.1 is subject to non-disclosure obligations preventing disclosure to Assignee, the parties shall negotiate in good faith and use reasonable efforts to identify and implement a method for providing Assignee with reasonable access to useful information without breaching any such confidentiality obligations.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22"/>
          <w:szCs w:val="22"/>
          <w:b w:val="1"/>
          <w:bCs w:val="1"/>
          <w:color w:val="auto"/>
        </w:rPr>
        <w:t>APPENDIX 3 – Assignment Agreement</w:t>
      </w:r>
    </w:p>
    <w:p>
      <w:pPr>
        <w:spacing w:after="0" w:line="200" w:lineRule="exact"/>
        <w:rPr>
          <w:sz w:val="20"/>
          <w:szCs w:val="20"/>
          <w:color w:val="auto"/>
        </w:rPr>
      </w:pPr>
    </w:p>
    <w:p>
      <w:pPr>
        <w:spacing w:after="0" w:line="231"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DELIVERY; PROSECUTION; COOPERATION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Continued Prosecution</w:t>
      </w:r>
      <w:r>
        <w:rPr>
          <w:rFonts w:ascii="Arial" w:cs="Arial" w:eastAsia="Arial" w:hAnsi="Arial"/>
          <w:sz w:val="18"/>
          <w:szCs w:val="18"/>
          <w:color w:val="auto"/>
        </w:rPr>
        <w:t>. Assignor or its Affiliates shall have no obligation to pay any prosecution costs, maintenance fees, annuities and the like relating to the Assigned Patents after the the Effective Date.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Cooperation After Effective Date</w:t>
      </w:r>
      <w:r>
        <w:rPr>
          <w:rFonts w:ascii="Arial" w:cs="Arial" w:eastAsia="Arial" w:hAnsi="Arial"/>
          <w:sz w:val="18"/>
          <w:szCs w:val="18"/>
          <w:color w:val="auto"/>
        </w:rPr>
        <w:t>. Assignor further covenants and agrees that after the Effective Date, it shall, upon request and without further consideration, without unnecessary delay execute and deliver to Assignee any and all other documents and materials, and take any and all reasonable further actions (including taking reasonable action to obtain the cooperation of the named inventors), that are reasonably necessary for Assignee to perfect its right, title and interest in the Assigned Patents. In addition, Assignor shall take, or cause to be taken, any and all reasonable actions to provide reasonable access relevant documents (including information about whether a particular third party does not have a license under the Assigned Patents) to assist Assignee in the prosecution, maintenance or defense of the Assigned Patents.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Costs</w:t>
      </w:r>
      <w:r>
        <w:rPr>
          <w:rFonts w:ascii="Arial" w:cs="Arial" w:eastAsia="Arial" w:hAnsi="Arial"/>
          <w:sz w:val="18"/>
          <w:szCs w:val="18"/>
          <w:color w:val="auto"/>
        </w:rPr>
        <w:t>. Unless expressly specified herein or in the Related Agreements, each party shall bear its own costs in connection with and arising out of obligations set forth herein.</w:t>
      </w:r>
    </w:p>
    <w:p>
      <w:pPr>
        <w:spacing w:after="0" w:line="166"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Section 6 governs the treatment of all taxes arising as a result of or in connection with this Agreement, notwithstanding any other provision of this Agreement.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Responsibility for Own Taxes</w:t>
      </w:r>
      <w:r>
        <w:rPr>
          <w:rFonts w:ascii="Arial" w:cs="Arial" w:eastAsia="Arial" w:hAnsi="Arial"/>
          <w:sz w:val="18"/>
          <w:szCs w:val="18"/>
          <w:color w:val="auto"/>
        </w:rPr>
        <w:t>. Each party is responsible for all taxes (including, but not limited to, net income, gross receipts, franchise, or property taxes and taxes arising from transactions between such party and its customers) imposed on such party under applicable laws and arising as a result of or in connection with this Agreement or the transactions contemplated by this Agreement.</w:t>
      </w:r>
    </w:p>
    <w:p>
      <w:pPr>
        <w:spacing w:after="0" w:line="177"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Assignor hereby represents and warrants to Assignee that:</w:t>
      </w:r>
    </w:p>
    <w:p>
      <w:pPr>
        <w:spacing w:after="0" w:line="225" w:lineRule="exact"/>
        <w:rPr>
          <w:sz w:val="20"/>
          <w:szCs w:val="20"/>
          <w:color w:val="auto"/>
        </w:rPr>
      </w:pPr>
    </w:p>
    <w:p>
      <w:pPr>
        <w:jc w:val="both"/>
        <w:ind w:right="100" w:firstLine="656"/>
        <w:spacing w:after="0" w:line="257" w:lineRule="auto"/>
        <w:tabs>
          <w:tab w:leader="none" w:pos="119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Authority; Enforceability</w:t>
      </w:r>
      <w:r>
        <w:rPr>
          <w:rFonts w:ascii="Arial" w:cs="Arial" w:eastAsia="Arial" w:hAnsi="Arial"/>
          <w:sz w:val="18"/>
          <w:szCs w:val="18"/>
          <w:color w:val="auto"/>
        </w:rPr>
        <w:t>. Assignor has been duly organized, and is validly existing and in good standing under the laws of the jurisdiction of its incorporation. Assignor has the right and authority to enter into this Agreement and to carry out its obligations hereunder and requires no third party consent, approval, and/or other authorization to enter into this Agreement and to carry out its obligations hereunder. This Agreement has been duly authorized, executed and delivered by Assignor and constitutes a valid and binding agreement of such party, enforceable against such party in accordance with its terms.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22"/>
          <w:szCs w:val="22"/>
          <w:b w:val="1"/>
          <w:bCs w:val="1"/>
          <w:color w:val="auto"/>
        </w:rPr>
        <w:t>APPENDIX 3 – Assignment Agreement</w:t>
      </w:r>
    </w:p>
    <w:p>
      <w:pPr>
        <w:spacing w:after="0" w:line="200" w:lineRule="exact"/>
        <w:rPr>
          <w:sz w:val="20"/>
          <w:szCs w:val="20"/>
          <w:color w:val="auto"/>
        </w:rPr>
      </w:pPr>
    </w:p>
    <w:p>
      <w:pPr>
        <w:spacing w:after="0" w:line="235" w:lineRule="exact"/>
        <w:rPr>
          <w:sz w:val="20"/>
          <w:szCs w:val="20"/>
          <w:color w:val="auto"/>
        </w:rPr>
      </w:pPr>
    </w:p>
    <w:p>
      <w:pPr>
        <w:jc w:val="both"/>
        <w:ind w:right="100" w:firstLine="656"/>
        <w:spacing w:after="0" w:line="255" w:lineRule="auto"/>
        <w:tabs>
          <w:tab w:leader="none" w:pos="120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Title</w:t>
      </w:r>
      <w:r>
        <w:rPr>
          <w:rFonts w:ascii="Arial" w:cs="Arial" w:eastAsia="Arial" w:hAnsi="Arial"/>
          <w:sz w:val="18"/>
          <w:szCs w:val="18"/>
          <w:color w:val="auto"/>
        </w:rPr>
        <w:t xml:space="preserve">. Assignor is the sole and exclusive owner and assignee of all right, title and interest in the Assigned Patents, including all rights to sue for past, present and future infringement thereof, free and clear of all Encumbrances, other than Existing Encumbrances. After giving effect to the assignment as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Assignee shall be the sole and exclusive owner and assignee of, and shall have good and marketable title to, all right, title and interest in the Assigned Patents, including all rights to sue for past, present and future infringement thereof, free and clear of all Encumbrances, other than Existing Encumbrances. All Assigned Patents have been duly filed or registered (as applicable) with the applicable Governmental Authorities, prosecuted and maintained, including the submission of all necessary filings and fees in accordance with all requirements of applicable laws, regulations and administrative requirements of the appropriate jurisdictions.</w:t>
      </w:r>
    </w:p>
    <w:p>
      <w:pPr>
        <w:spacing w:after="0" w:line="189" w:lineRule="exact"/>
        <w:rPr>
          <w:rFonts w:ascii="Arial" w:cs="Arial" w:eastAsia="Arial" w:hAnsi="Arial"/>
          <w:sz w:val="18"/>
          <w:szCs w:val="18"/>
          <w:color w:val="auto"/>
        </w:rPr>
      </w:pPr>
    </w:p>
    <w:p>
      <w:pPr>
        <w:jc w:val="both"/>
        <w:ind w:right="100" w:firstLine="656"/>
        <w:spacing w:after="0" w:line="279" w:lineRule="auto"/>
        <w:tabs>
          <w:tab w:leader="none" w:pos="1258"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Standards Organizations</w:t>
      </w:r>
      <w:r>
        <w:rPr>
          <w:rFonts w:ascii="Arial" w:cs="Arial" w:eastAsia="Arial" w:hAnsi="Arial"/>
          <w:sz w:val="17"/>
          <w:szCs w:val="17"/>
          <w:color w:val="auto"/>
        </w:rPr>
        <w:t xml:space="preserve">. Assignor represents and warrants that all Standards Organizations which are relevant for the Essential Cellular Patents, and to which Assignor or its Affiliates have made or are required to make any declarations, commitments, disclosures or other obligations, are specified on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Assignor and its Affiliates have complied with all obligations to each Standards Organization specified on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to the extent relating to the Essential Cellular Patents for which Assignor or its Affiliates had an obligation to do so.</w:t>
      </w:r>
    </w:p>
    <w:p>
      <w:pPr>
        <w:spacing w:after="0" w:line="17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Assignee</w:t>
      </w:r>
      <w:r>
        <w:rPr>
          <w:rFonts w:ascii="Arial" w:cs="Arial" w:eastAsia="Arial" w:hAnsi="Arial"/>
          <w:sz w:val="16"/>
          <w:szCs w:val="16"/>
          <w:color w:val="auto"/>
        </w:rPr>
        <w:t>. Assignee hereby represents and warrants to Assignor that:</w:t>
      </w:r>
    </w:p>
    <w:p>
      <w:pPr>
        <w:spacing w:after="0" w:line="225" w:lineRule="exact"/>
        <w:rPr>
          <w:sz w:val="20"/>
          <w:szCs w:val="20"/>
          <w:color w:val="auto"/>
        </w:rPr>
      </w:pPr>
    </w:p>
    <w:p>
      <w:pPr>
        <w:ind w:left="1160" w:hanging="504"/>
        <w:spacing w:after="0"/>
        <w:tabs>
          <w:tab w:leader="none" w:pos="11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Assignee has been duly organized, and is validly existing and in good standing under the laws of the jurisdiction of its incorporation.</w:t>
      </w:r>
    </w:p>
    <w:p>
      <w:pPr>
        <w:spacing w:after="0" w:line="236" w:lineRule="exact"/>
        <w:rPr>
          <w:rFonts w:ascii="Arial" w:cs="Arial" w:eastAsia="Arial" w:hAnsi="Arial"/>
          <w:sz w:val="17"/>
          <w:szCs w:val="17"/>
          <w:color w:val="auto"/>
        </w:rPr>
      </w:pPr>
    </w:p>
    <w:p>
      <w:pPr>
        <w:jc w:val="both"/>
        <w:ind w:right="100" w:firstLine="656"/>
        <w:spacing w:after="0" w:line="259" w:lineRule="auto"/>
        <w:tabs>
          <w:tab w:leader="none" w:pos="129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Assignee has the right and authority to enter into this Agreement and to carry out its obligations hereunder and requires no third party consent, approval, and/or other authorization to enter into this Agreement and to carry out its obligations hereunder. This Agreement has been duly authorized, executed and delivered by Assignee and constitutes a valid and binding agreement of such party, enforceable against such party in accordance with its terms.</w:t>
      </w:r>
    </w:p>
    <w:p>
      <w:pPr>
        <w:spacing w:after="0" w:line="186" w:lineRule="exact"/>
        <w:rPr>
          <w:rFonts w:ascii="Arial" w:cs="Arial" w:eastAsia="Arial" w:hAnsi="Arial"/>
          <w:sz w:val="18"/>
          <w:szCs w:val="18"/>
          <w:color w:val="auto"/>
        </w:rPr>
      </w:pPr>
    </w:p>
    <w:p>
      <w:pPr>
        <w:jc w:val="both"/>
        <w:ind w:right="100" w:firstLine="656"/>
        <w:spacing w:after="0" w:line="264" w:lineRule="auto"/>
        <w:tabs>
          <w:tab w:leader="none" w:pos="1189" w:val="left"/>
        </w:tabs>
        <w:numPr>
          <w:ilvl w:val="1"/>
          <w:numId w:val="66"/>
        </w:numPr>
        <w:rPr>
          <w:rFonts w:ascii="Arial" w:cs="Arial" w:eastAsia="Arial" w:hAnsi="Arial"/>
          <w:sz w:val="18"/>
          <w:szCs w:val="18"/>
          <w:color w:val="auto"/>
        </w:rPr>
      </w:pPr>
      <w:r>
        <w:rPr>
          <w:rFonts w:ascii="Arial" w:cs="Arial" w:eastAsia="Arial" w:hAnsi="Arial"/>
          <w:sz w:val="18"/>
          <w:szCs w:val="18"/>
          <w:color w:val="auto"/>
        </w:rPr>
        <w:t>Assignee’s existing agreements and other undertakings shall not result in the imposition of any encumbrances on the Assigned Patents, and Assignee covenants and agrees not to enter into any agreements or permit any arrangements that would result in Assignee’s existing agreements and other undertakings so imposing any encumbrances on the Assigned Patents.</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Applicable Law, Jurisdiction, Venue and Waiver of Jury Trial</w:t>
      </w:r>
      <w:r>
        <w:rPr>
          <w:rFonts w:ascii="Arial" w:cs="Arial" w:eastAsia="Arial" w:hAnsi="Arial"/>
          <w:sz w:val="18"/>
          <w:szCs w:val="18"/>
          <w:color w:val="auto"/>
        </w:rPr>
        <w:t>. The validity, construction, and performance of this Agreement shall be governed by and construed in accordance with the laws of the State of New York, U.S.A., exclusive of its choice of law rules. Any legal suit, action or proceeding arising out of or related to or arising out of this Agreement or any transaction contemplated hereby shall be commenced solely in the United States District Court for the Southern District of New York, U.S.A., and each party (a) irrevocably submits to the personal and exclusive jurisdiction and venue of such court in any such suit, action or proceeding, and (b) waives any right to trial by jury with respect to any action related to or arising out of this Agreement or any transaction contemplated hereby.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22"/>
          <w:szCs w:val="22"/>
          <w:b w:val="1"/>
          <w:bCs w:val="1"/>
          <w:color w:val="auto"/>
        </w:rPr>
        <w:t>APPENDIX 3 – Assignment Agreement</w:t>
      </w:r>
    </w:p>
    <w:p>
      <w:pPr>
        <w:spacing w:after="0" w:line="200" w:lineRule="exact"/>
        <w:rPr>
          <w:sz w:val="20"/>
          <w:szCs w:val="20"/>
          <w:color w:val="auto"/>
        </w:rPr>
      </w:pP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LIMITATION ON CONSEQUENTIAL DAMAGES</w:t>
      </w:r>
      <w:r>
        <w:rPr>
          <w:rFonts w:ascii="Arial" w:cs="Arial" w:eastAsia="Arial" w:hAnsi="Arial"/>
          <w:sz w:val="18"/>
          <w:szCs w:val="18"/>
          <w:color w:val="auto"/>
        </w:rPr>
        <w:t>. EXCEPT IN THE CASE OF INTENTIONAL MISUSE OR GROSS NEGLIGENCE, NO PARTY SHALL BE LIABLE TO ANY OTHER FOR ANY SPECIAL, CONSEQUENTIAL OR INCIDENTAL DAMAGES, HOWEVER CAUSED, KNOWN OR UNKNOWN, ANTICIPATED OR UNANTICIPATED, EVEN IF ADVISED OF THE POSSIBILITY OF SUCH DAMAGES. THE PARTIES ACKNOWLEDGE THAT THESE LIMITATIONS ON POTENTIAL DAMAGES WERE AN ESSENTIAL ELEMENT IN SETTING CONSIDERATION UNDER THIS AGREEMENT.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EXCEPT IN THE CASE OF WILLFUL MISCONDUCT, INTENTIONAL MISUSE OR GROSS NEGLIGENCE, ASSIGNOR’S TOTAL LIABILITY UNDER THIS AGREEMENT SHALL NOT EXCEED 1.750.000,00 (one million seven hundred fifty thousand) US dollars.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DISCLAIMER OF REPRESENTATIONS AND WARRANTIES</w:t>
      </w:r>
      <w:r>
        <w:rPr>
          <w:rFonts w:ascii="Arial" w:cs="Arial" w:eastAsia="Arial" w:hAnsi="Arial"/>
          <w:sz w:val="18"/>
          <w:szCs w:val="18"/>
          <w:color w:val="auto"/>
        </w:rPr>
        <w:t>. NO PARTY MAKES ANY REPRESENTATION OR WARRANTY EXCEPT FOR THEIR RESPECTIVE REPRESENTATIONS AND WARRANTIES SET FORTH IN SECTION 8, AND EACH PARTY DISCLAIMS ALL IMPLIED WARRANTIES, INCLUDING THE IMPLIED WARRANTIES OF MERCHANTABILITY AND FITNESS FOR A PARTICULAR PURPOSE. EXCEPT AS EXPRESSLY SET FORTH IN SECTION 8 HEREOF, NEITHER PARTY GIVES THE OTHER PARTY ANY ASSURANCE (A) REGARDING THE PATENTABILITY OF ANY CLAIMED INVENTION IN, OR THE VALIDITY, OF ANY PATENT OR (B) THAT MANUFACTURE, USE, SALE, OFFERING FOR SALE, IMPORTATION, EXPORTATION OR OTHER DISTRIBUTION OF ANY PRODUCT OR METHOD DISCLOSED AND CLAIMED IN ANY PATENT SHALL NOT CONSTITUTE AN INFRINGEMENT OF THE INTELLECTUAL PROPERTY RIGHTS OF OTHER PERSONS. EXCEPT AS SPECIFICALLY PROVIDED IN SECTION 8 HEREOF, THE ASSIGNED PATENTS ARE ASSIGNED “AS IS” WITHOUT ANY FURTHER REPRESENTATION OR WARRANTY.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Notwithstanding anything contained in this Agreement to the contrary, the obligations of the parties shall be subject to all laws, present and future, of any government having jurisdiction over the parties and this transaction, and to orders, regulations, directions or requests of any such government.</w:t>
      </w:r>
    </w:p>
    <w:p>
      <w:pPr>
        <w:spacing w:after="0" w:line="18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u w:val="single" w:color="auto"/>
          <w:color w:val="auto"/>
        </w:rPr>
        <w:t>Confidentiality of Terms; Announcements</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77" w:lineRule="auto"/>
        <w:tabs>
          <w:tab w:leader="none" w:pos="1311"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 than the existence of this Agreement and the identity of its parties all other provisions of this Agreement shall be kept in strict confidence by the parties.</w:t>
      </w:r>
    </w:p>
    <w:p>
      <w:pPr>
        <w:spacing w:after="0" w:line="170" w:lineRule="exact"/>
        <w:rPr>
          <w:rFonts w:ascii="Arial" w:cs="Arial" w:eastAsia="Arial" w:hAnsi="Arial"/>
          <w:sz w:val="18"/>
          <w:szCs w:val="18"/>
          <w:color w:val="auto"/>
        </w:rPr>
      </w:pPr>
    </w:p>
    <w:p>
      <w:pPr>
        <w:ind w:right="100" w:firstLine="656"/>
        <w:spacing w:after="0" w:line="277" w:lineRule="auto"/>
        <w:tabs>
          <w:tab w:leader="none" w:pos="1504"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Neither party shall issue any press release or otherwise make any public statement, announcement or advertisement (each, an “</w:t>
      </w:r>
      <w:r>
        <w:rPr>
          <w:rFonts w:ascii="Arial" w:cs="Arial" w:eastAsia="Arial" w:hAnsi="Arial"/>
          <w:sz w:val="18"/>
          <w:szCs w:val="18"/>
          <w:b w:val="1"/>
          <w:bCs w:val="1"/>
          <w:color w:val="auto"/>
        </w:rPr>
        <w:t>Announcement</w:t>
      </w:r>
      <w:r>
        <w:rPr>
          <w:rFonts w:ascii="Arial" w:cs="Arial" w:eastAsia="Arial" w:hAnsi="Arial"/>
          <w:sz w:val="18"/>
          <w:szCs w:val="18"/>
          <w:color w:val="auto"/>
        </w:rPr>
        <w:t>”) related to this Agreement without the prior consent of the other party.</w:t>
      </w:r>
    </w:p>
    <w:p>
      <w:pPr>
        <w:spacing w:after="0" w:line="170" w:lineRule="exact"/>
        <w:rPr>
          <w:rFonts w:ascii="Arial" w:cs="Arial" w:eastAsia="Arial" w:hAnsi="Arial"/>
          <w:sz w:val="18"/>
          <w:szCs w:val="18"/>
          <w:color w:val="auto"/>
        </w:rPr>
      </w:pPr>
    </w:p>
    <w:p>
      <w:pPr>
        <w:ind w:left="1240" w:hanging="584"/>
        <w:spacing w:after="0"/>
        <w:tabs>
          <w:tab w:leader="none" w:pos="12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confidentiality obligations of the parties set forth in this Section 8.6 shall not apply to any disclosure (i) with the prior consent of the</w:t>
      </w:r>
    </w:p>
    <w:p>
      <w:pPr>
        <w:spacing w:after="0" w:line="35" w:lineRule="exact"/>
        <w:rPr>
          <w:sz w:val="20"/>
          <w:szCs w:val="20"/>
          <w:color w:val="auto"/>
        </w:rPr>
      </w:pPr>
    </w:p>
    <w:p>
      <w:pPr>
        <w:jc w:val="both"/>
        <w:ind w:right="100"/>
        <w:spacing w:after="0" w:line="267" w:lineRule="auto"/>
        <w:rPr>
          <w:sz w:val="20"/>
          <w:szCs w:val="20"/>
          <w:color w:val="auto"/>
        </w:rPr>
      </w:pPr>
      <w:r>
        <w:rPr>
          <w:rFonts w:ascii="Arial" w:cs="Arial" w:eastAsia="Arial" w:hAnsi="Arial"/>
          <w:sz w:val="17"/>
          <w:szCs w:val="17"/>
          <w:color w:val="auto"/>
        </w:rPr>
        <w:t>other party; (ii) to any governmental body having jurisdiction to require disclosure or to any arbitral body, to the extent required by same; (iii) as otherwise may be required by applicable law, regulation, rule of a stock exchange or automated quotation system, order of a governmental agency or a court of competent jurisdiction or legal process, including tax authorities (“</w:t>
      </w:r>
      <w:r>
        <w:rPr>
          <w:rFonts w:ascii="Arial" w:cs="Arial" w:eastAsia="Arial" w:hAnsi="Arial"/>
          <w:sz w:val="17"/>
          <w:szCs w:val="17"/>
          <w:b w:val="1"/>
          <w:bCs w:val="1"/>
          <w:color w:val="auto"/>
        </w:rPr>
        <w:t>Applicable Law</w:t>
      </w:r>
      <w:r>
        <w:rPr>
          <w:rFonts w:ascii="Arial" w:cs="Arial" w:eastAsia="Arial" w:hAnsi="Arial"/>
          <w:sz w:val="17"/>
          <w:szCs w:val="17"/>
          <w:color w:val="auto"/>
        </w:rPr>
        <w:t xml:space="preserve">”), and to legal and financial advisors in their capacity of advising a party in such matters; (iv) during the course of litigation, so long as the disclosure of such terms and conditions are restricted in the same manner as is the confidential information of other litigating parties; (v) to legal and financial advisors in their capacity of advising a party in such matters as needed in the normal course of business; (vi) to a bona fide potential acquirer; or (vii) in connection with the Securities and Exchange Act of 1934, as amended, the Securities Act of 1933, as amended, and any other reports filed with the Securities and Exchange Commission or any stock exchange rule, or any other filings, reports or disclosures that may be required under applicable law, regulations or rules;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(ii) through (vii) above, (A) the parties shall use reasonable means available to minimize the disclosure to third parties, including seeking a confidential treatment request or protective order whenever appropriate or available; and (B) except for permitted disclosures to legal and financial advisors and accountants or potential acquirers and assignees, the parties provide the other party, when reasonable, with at least ten (10) days’ prior notice of such disclosure to afford the other party reasonable opportunity to object thereto or to seek confidential treatment or a protective order.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22"/>
          <w:szCs w:val="22"/>
          <w:b w:val="1"/>
          <w:bCs w:val="1"/>
          <w:color w:val="auto"/>
        </w:rPr>
        <w:t>APPENDIX 3 – Assignment Agreement</w:t>
      </w:r>
    </w:p>
    <w:p>
      <w:pPr>
        <w:spacing w:after="0" w:line="200" w:lineRule="exact"/>
        <w:rPr>
          <w:sz w:val="20"/>
          <w:szCs w:val="20"/>
          <w:color w:val="auto"/>
        </w:rPr>
      </w:pP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Entire Agreement; Headings</w:t>
      </w:r>
      <w:r>
        <w:rPr>
          <w:rFonts w:ascii="Arial" w:cs="Arial" w:eastAsia="Arial" w:hAnsi="Arial"/>
          <w:sz w:val="18"/>
          <w:szCs w:val="18"/>
          <w:color w:val="auto"/>
        </w:rPr>
        <w:t>. This Agreement reflects the complete understanding of the parties regarding the subject of the Agreement, and supersedes all prior related negotiations. The section headings contained in this Agreement are for reference purposes only and shall not affect in any way the meaning or interpretation of this Agreement.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Notices</w:t>
      </w:r>
      <w:r>
        <w:rPr>
          <w:rFonts w:ascii="Arial" w:cs="Arial" w:eastAsia="Arial" w:hAnsi="Arial"/>
          <w:sz w:val="18"/>
          <w:szCs w:val="18"/>
          <w:color w:val="auto"/>
        </w:rPr>
        <w:t>. Any notice, consent, waiver or other communication required or permitted to be given by one party to the other party pursuant to this Agreement shall be in writing, shall conspicuously reference (including in the subject line) this Agreement and the provision to which it relates, shall be delivered by any lawful means to such other party at its address indicated below, or to such other address as the addressee shall have last furnished in writing to the addressor, and shall be effective upon actual receipt by the addressee:</w:t>
      </w:r>
    </w:p>
    <w:p>
      <w:pPr>
        <w:spacing w:after="0" w:line="18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u w:val="single" w:color="auto"/>
          <w:color w:val="auto"/>
        </w:rPr>
        <w:t>If to Assignor:</w:t>
      </w:r>
      <w:r>
        <w:rPr>
          <w:sz w:val="20"/>
          <w:szCs w:val="20"/>
          <w:color w:val="auto"/>
        </w:rPr>
        <w:tab/>
      </w:r>
      <w:r>
        <w:rPr>
          <w:rFonts w:ascii="Arial" w:cs="Arial" w:eastAsia="Arial" w:hAnsi="Arial"/>
          <w:sz w:val="16"/>
          <w:szCs w:val="16"/>
          <w:u w:val="single" w:color="auto"/>
          <w:color w:val="auto"/>
        </w:rPr>
        <w:t>If to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 Holdings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780 Third Avenue – 12th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Notices@FORMHoldings.com</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u w:val="single" w:color="auto"/>
          <w:color w:val="auto"/>
        </w:rPr>
        <w:t>Relationship of Parties</w:t>
      </w:r>
      <w:r>
        <w:rPr>
          <w:rFonts w:ascii="Arial" w:cs="Arial" w:eastAsia="Arial" w:hAnsi="Arial"/>
          <w:sz w:val="17"/>
          <w:szCs w:val="17"/>
          <w:color w:val="auto"/>
        </w:rPr>
        <w:t>. The parties hereto are independent contractors. Neither party has any express or implied right or authority to assume or create any obligations on behalf of the other or to bind the other to any contract, agreement or undertaking with any third party. Nothing in this Agreement shall be construed to create a partnership, joint venture, employment or agency relationship between Assignee and Assignor.</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Severability</w:t>
      </w:r>
      <w:r>
        <w:rPr>
          <w:rFonts w:ascii="Arial" w:cs="Arial" w:eastAsia="Arial" w:hAnsi="Arial"/>
          <w:sz w:val="18"/>
          <w:szCs w:val="18"/>
          <w:color w:val="auto"/>
        </w:rPr>
        <w:t>. To the extent any terms or conditions of this Agreement are held invalid or unenforceable in a jurisdiction, those terms or conditions shall be enforced to the maximum extent possible in that jurisdiction and the remaining terms and conditions shall retain full force and effect in that jurisdiction, so long as the remaining Agreement continues to express the intent of the parties.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Waiver</w:t>
      </w:r>
      <w:r>
        <w:rPr>
          <w:rFonts w:ascii="Arial" w:cs="Arial" w:eastAsia="Arial" w:hAnsi="Arial"/>
          <w:sz w:val="18"/>
          <w:szCs w:val="18"/>
          <w:color w:val="auto"/>
        </w:rPr>
        <w:t>. Failure by either party to enforce any term of this Agreement shall not be deemed a waiver of future enforcement of that or any other term in this Agreement.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22"/>
          <w:szCs w:val="22"/>
          <w:b w:val="1"/>
          <w:bCs w:val="1"/>
          <w:color w:val="auto"/>
        </w:rPr>
        <w:t>APPENDIX 3 – Assignment Agreement</w:t>
      </w:r>
    </w:p>
    <w:p>
      <w:pPr>
        <w:spacing w:after="0" w:line="200" w:lineRule="exact"/>
        <w:rPr>
          <w:sz w:val="20"/>
          <w:szCs w:val="20"/>
          <w:color w:val="auto"/>
        </w:rPr>
      </w:pPr>
    </w:p>
    <w:p>
      <w:pPr>
        <w:spacing w:after="0" w:line="23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u w:val="single" w:color="auto"/>
          <w:color w:val="auto"/>
        </w:rPr>
        <w:t>Assignment; Successors; Assigns</w:t>
      </w:r>
      <w:r>
        <w:rPr>
          <w:rFonts w:ascii="Arial" w:cs="Arial" w:eastAsia="Arial" w:hAnsi="Arial"/>
          <w:sz w:val="16"/>
          <w:szCs w:val="16"/>
          <w:color w:val="auto"/>
        </w:rPr>
        <w: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Agreement is personal to the parties, and except as provided in Section 8.12, neither this Agreement nor any right or obligation hereunder is Assignable by either party (whether directly or indirectly, expressly or impliedly, voluntarily or involuntarily, in one or a series of transactions, by contract, operation of law or otherwise (including without limitation by means of any merger, consolidation, recapitalization, liquidation, dissolution, Change of Control, transfer or sale of all or substantially all of a business, or similar transaction)), and shall not be Assigned by a party, without the prior express consent of the other party, which consent may be withheld at the sole discretion of said other Party. Any purported Assignment in violation of this Section 8.12 shall be null and void. Subject to the foregoing, this Agreement shall be binding on and inure to the benefit of the parties and their permitted successors and assigns.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Modifications</w:t>
      </w:r>
      <w:r>
        <w:rPr>
          <w:rFonts w:ascii="Arial" w:cs="Arial" w:eastAsia="Arial" w:hAnsi="Arial"/>
          <w:sz w:val="18"/>
          <w:szCs w:val="18"/>
          <w:color w:val="auto"/>
        </w:rPr>
        <w:t>. This Agreement may not be modified after the Effective Date except by a written amendment that expressly references this Agreement and that is signed by an authorized officer of each party.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Construction</w:t>
      </w:r>
      <w:r>
        <w:rPr>
          <w:rFonts w:ascii="Arial" w:cs="Arial" w:eastAsia="Arial" w:hAnsi="Arial"/>
          <w:sz w:val="18"/>
          <w:szCs w:val="18"/>
          <w:color w:val="auto"/>
        </w:rPr>
        <w:t>. As used in this Agreement, (a) the words “include” and “including” and variations thereof, shall not be deemed to be terms of limitation, but rather shall be deemed to be followed by the words “without limitation,” and (b) unless the context otherwise requires, the word “or” shall be deemed to be an inclusive “or” and shall have the meaning equivalent to “and/or.”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8.15 </w:t>
      </w:r>
      <w:r>
        <w:rPr>
          <w:rFonts w:ascii="Arial" w:cs="Arial" w:eastAsia="Arial" w:hAnsi="Arial"/>
          <w:sz w:val="18"/>
          <w:szCs w:val="18"/>
          <w:u w:val="single" w:color="auto"/>
          <w:color w:val="auto"/>
        </w:rPr>
        <w:t>Signatures</w:t>
      </w:r>
      <w:r>
        <w:rPr>
          <w:rFonts w:ascii="Arial" w:cs="Arial" w:eastAsia="Arial" w:hAnsi="Arial"/>
          <w:sz w:val="18"/>
          <w:szCs w:val="18"/>
          <w:color w:val="auto"/>
        </w:rPr>
        <w:t>. This Agreement may be executed in counterparts, each of which shall be deemed an original, but each together shall constitute one and the same instrument. For purposes hereof, an email or facsimile copy of this Agreement, including the executed signature pages hereto, shall be deemed to be an original. Notwithstanding the foregoing, the parties shall deliver original signature copies of this Agreement to the other party as soon as practicable following execution thereof.</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8.16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agree that they would be irreparably damaged if any provision of this Agreement was not performed in accordance with its specific terms or was otherwise breached and that any non-performance or breach of this Agreement by any party could not be adequately compensated by monetary damages alone and that the parties would not have any adequate remedy at law. Accordingly, the parties shall be entitled to an injunction or injunctions to prevent breaches of this Agreement and to enforce specifically the performance of the terms of this Agreement to prevent breaches or threatened breaches of any of the provisions of this Agreement without posting any bond or other undertaking, in addition to any other remedy at law or in equity.</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8.17 </w:t>
      </w:r>
      <w:r>
        <w:rPr>
          <w:rFonts w:ascii="Arial" w:cs="Arial" w:eastAsia="Arial" w:hAnsi="Arial"/>
          <w:sz w:val="18"/>
          <w:szCs w:val="18"/>
          <w:u w:val="single" w:color="auto"/>
          <w:color w:val="auto"/>
        </w:rPr>
        <w:t>Mutual Drafting</w:t>
      </w:r>
      <w:r>
        <w:rPr>
          <w:rFonts w:ascii="Arial" w:cs="Arial" w:eastAsia="Arial" w:hAnsi="Arial"/>
          <w:sz w:val="18"/>
          <w:szCs w:val="18"/>
          <w:color w:val="auto"/>
        </w:rPr>
        <w:t>. Each of the parties has participated in the drafting of this Agreement, which each of the parties acknowledges is the result of extensive negotiations among the parties.</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8.18 </w:t>
      </w:r>
      <w:r>
        <w:rPr>
          <w:rFonts w:ascii="Arial" w:cs="Arial" w:eastAsia="Arial" w:hAnsi="Arial"/>
          <w:sz w:val="16"/>
          <w:szCs w:val="16"/>
          <w:u w:val="single" w:color="auto"/>
          <w:color w:val="auto"/>
        </w:rPr>
        <w:t>Third Party Beneficiary</w:t>
      </w:r>
      <w:r>
        <w:rPr>
          <w:rFonts w:ascii="Arial" w:cs="Arial" w:eastAsia="Arial" w:hAnsi="Arial"/>
          <w:sz w:val="16"/>
          <w:szCs w:val="16"/>
          <w:color w:val="auto"/>
        </w:rPr>
        <w:t>. Notwithstanding the license and/or provisions granting rights to potential acquirer and/or assignee of Royalty nothing in this Agreement, express or implied, is intended to, or shall confer upon, any third party, any legal or equitable right, benefit or remedy of any nature whatsoever.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21" w:name="page122"/>
    <w:bookmarkEnd w:id="121"/>
    <w:p>
      <w:pPr>
        <w:jc w:val="center"/>
        <w:ind w:right="-20"/>
        <w:spacing w:after="0"/>
        <w:rPr>
          <w:sz w:val="20"/>
          <w:szCs w:val="20"/>
          <w:color w:val="auto"/>
        </w:rPr>
      </w:pPr>
      <w:r>
        <w:rPr>
          <w:rFonts w:ascii="Arial" w:cs="Arial" w:eastAsia="Arial" w:hAnsi="Arial"/>
          <w:sz w:val="19"/>
          <w:szCs w:val="19"/>
          <w:b w:val="1"/>
          <w:bCs w:val="1"/>
          <w:color w:val="auto"/>
        </w:rPr>
        <w:t>APPENDIX 3 – Assignment Agreement</w:t>
      </w:r>
    </w:p>
    <w:p>
      <w:pPr>
        <w:sectPr>
          <w:pgSz w:w="11900" w:h="16838" w:orient="portrait"/>
          <w:cols w:equalWidth="0" w:num="1">
            <w:col w:w="9019"/>
          </w:cols>
          <w:pgMar w:left="1440" w:top="2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tabs>
          <w:tab w:leader="none" w:pos="280" w:val="left"/>
          <w:tab w:leader="none" w:pos="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Confidential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type w:val="continuous"/>
        </w:sectPr>
      </w:pPr>
    </w:p>
    <w:bookmarkStart w:id="122" w:name="page123"/>
    <w:bookmarkEnd w:id="122"/>
    <w:p>
      <w:pPr>
        <w:spacing w:after="0" w:line="209" w:lineRule="auto"/>
        <w:framePr w:w="780" w:h="160" w:wrap="auto" w:vAnchor="page" w:hAnchor="page" w:x="200" w:y="2654"/>
        <w:rPr>
          <w:rFonts w:ascii="Arial" w:cs="Arial" w:eastAsia="Arial" w:hAnsi="Arial"/>
          <w:sz w:val="16"/>
          <w:szCs w:val="16"/>
          <w:color w:val="auto"/>
        </w:rPr>
      </w:pPr>
      <w:r>
        <w:rPr>
          <w:rFonts w:ascii="Arial" w:cs="Arial" w:eastAsia="Arial" w:hAnsi="Arial"/>
          <w:sz w:val="16"/>
          <w:szCs w:val="16"/>
          <w:color w:val="auto"/>
        </w:rPr>
        <w:t>Signature</w:t>
      </w:r>
    </w:p>
    <w:p>
      <w:pPr>
        <w:spacing w:after="0" w:line="209" w:lineRule="auto"/>
        <w:framePr w:w="1080" w:h="160" w:wrap="auto" w:vAnchor="page" w:hAnchor="page" w:x="200" w:y="3518"/>
        <w:rPr>
          <w:rFonts w:ascii="Arial" w:cs="Arial" w:eastAsia="Arial" w:hAnsi="Arial"/>
          <w:sz w:val="16"/>
          <w:szCs w:val="16"/>
          <w:color w:val="auto"/>
        </w:rPr>
      </w:pPr>
      <w:r>
        <w:rPr>
          <w:rFonts w:ascii="Arial" w:cs="Arial" w:eastAsia="Arial" w:hAnsi="Arial"/>
          <w:sz w:val="16"/>
          <w:szCs w:val="16"/>
          <w:color w:val="auto"/>
        </w:rPr>
        <w:t>Printed Name</w:t>
      </w:r>
    </w:p>
    <w:p>
      <w:pPr>
        <w:spacing w:after="0" w:line="196" w:lineRule="auto"/>
        <w:framePr w:w="420" w:h="160" w:wrap="auto" w:vAnchor="page" w:hAnchor="page" w:x="200" w:y="4382"/>
        <w:rPr>
          <w:rFonts w:ascii="Arial" w:cs="Arial" w:eastAsia="Arial" w:hAnsi="Arial"/>
          <w:sz w:val="17"/>
          <w:szCs w:val="17"/>
          <w:color w:val="auto"/>
        </w:rPr>
      </w:pPr>
      <w:r>
        <w:rPr>
          <w:rFonts w:ascii="Arial" w:cs="Arial" w:eastAsia="Arial" w:hAnsi="Arial"/>
          <w:sz w:val="17"/>
          <w:szCs w:val="17"/>
          <w:color w:val="auto"/>
        </w:rPr>
        <w:t>Title</w:t>
      </w:r>
    </w:p>
    <w:p>
      <w:pPr>
        <w:spacing w:after="0" w:line="209" w:lineRule="auto"/>
        <w:framePr w:w="420" w:h="160" w:wrap="auto" w:vAnchor="page" w:hAnchor="page" w:x="200" w:y="5247"/>
        <w:rPr>
          <w:rFonts w:ascii="Arial" w:cs="Arial" w:eastAsia="Arial" w:hAnsi="Arial"/>
          <w:sz w:val="16"/>
          <w:szCs w:val="16"/>
          <w:color w:val="auto"/>
        </w:rPr>
      </w:pPr>
      <w:r>
        <w:rPr>
          <w:rFonts w:ascii="Arial" w:cs="Arial" w:eastAsia="Arial" w:hAnsi="Arial"/>
          <w:sz w:val="16"/>
          <w:szCs w:val="16"/>
          <w:color w:val="auto"/>
        </w:rPr>
        <w:t>Date</w:t>
      </w:r>
    </w:p>
    <w:p>
      <w:pPr>
        <w:spacing w:after="0" w:line="209" w:lineRule="auto"/>
        <w:framePr w:w="780" w:h="160" w:wrap="auto" w:vAnchor="page" w:hAnchor="page" w:x="200" w:y="6341"/>
        <w:rPr>
          <w:rFonts w:ascii="Arial" w:cs="Arial" w:eastAsia="Arial" w:hAnsi="Arial"/>
          <w:sz w:val="16"/>
          <w:szCs w:val="16"/>
          <w:color w:val="auto"/>
        </w:rPr>
      </w:pPr>
      <w:r>
        <w:rPr>
          <w:rFonts w:ascii="Arial" w:cs="Arial" w:eastAsia="Arial" w:hAnsi="Arial"/>
          <w:sz w:val="16"/>
          <w:szCs w:val="16"/>
          <w:color w:val="auto"/>
        </w:rPr>
        <w:t>Signature</w:t>
      </w:r>
    </w:p>
    <w:p>
      <w:pPr>
        <w:spacing w:after="0" w:line="209" w:lineRule="auto"/>
        <w:framePr w:w="1080" w:h="160" w:wrap="auto" w:vAnchor="page" w:hAnchor="page" w:x="200" w:y="7205"/>
        <w:rPr>
          <w:rFonts w:ascii="Arial" w:cs="Arial" w:eastAsia="Arial" w:hAnsi="Arial"/>
          <w:sz w:val="16"/>
          <w:szCs w:val="16"/>
          <w:color w:val="auto"/>
        </w:rPr>
      </w:pPr>
      <w:r>
        <w:rPr>
          <w:rFonts w:ascii="Arial" w:cs="Arial" w:eastAsia="Arial" w:hAnsi="Arial"/>
          <w:sz w:val="16"/>
          <w:szCs w:val="16"/>
          <w:color w:val="auto"/>
        </w:rPr>
        <w:t>Printed Name</w:t>
      </w:r>
    </w:p>
    <w:p>
      <w:pPr>
        <w:spacing w:after="0" w:line="196" w:lineRule="auto"/>
        <w:framePr w:w="420" w:h="160" w:wrap="auto" w:vAnchor="page" w:hAnchor="page" w:x="200" w:y="8069"/>
        <w:rPr>
          <w:rFonts w:ascii="Arial" w:cs="Arial" w:eastAsia="Arial" w:hAnsi="Arial"/>
          <w:sz w:val="17"/>
          <w:szCs w:val="17"/>
          <w:color w:val="auto"/>
        </w:rPr>
      </w:pPr>
      <w:r>
        <w:rPr>
          <w:rFonts w:ascii="Arial" w:cs="Arial" w:eastAsia="Arial" w:hAnsi="Arial"/>
          <w:sz w:val="17"/>
          <w:szCs w:val="17"/>
          <w:color w:val="auto"/>
        </w:rPr>
        <w:t>Title</w:t>
      </w:r>
    </w:p>
    <w:p>
      <w:pPr>
        <w:spacing w:after="0" w:line="209" w:lineRule="auto"/>
        <w:framePr w:w="420" w:h="160" w:wrap="auto" w:vAnchor="page" w:hAnchor="page" w:x="200" w:y="8934"/>
        <w:rPr>
          <w:rFonts w:ascii="Arial" w:cs="Arial" w:eastAsia="Arial" w:hAnsi="Arial"/>
          <w:sz w:val="16"/>
          <w:szCs w:val="16"/>
          <w:color w:val="auto"/>
        </w:rPr>
      </w:pPr>
      <w:r>
        <w:rPr>
          <w:rFonts w:ascii="Arial" w:cs="Arial" w:eastAsia="Arial" w:hAnsi="Arial"/>
          <w:sz w:val="16"/>
          <w:szCs w:val="16"/>
          <w:color w:val="auto"/>
        </w:rPr>
        <w:t>Date</w:t>
      </w:r>
    </w:p>
    <w:p>
      <w:pPr>
        <w:spacing w:after="0" w:line="196" w:lineRule="auto"/>
        <w:framePr w:w="1860" w:h="160" w:wrap="auto" w:vAnchor="page" w:hAnchor="page" w:x="200" w:y="1357"/>
        <w:rPr>
          <w:rFonts w:ascii="Arial" w:cs="Arial" w:eastAsia="Arial" w:hAnsi="Arial"/>
          <w:sz w:val="17"/>
          <w:szCs w:val="17"/>
          <w:b w:val="1"/>
          <w:bCs w:val="1"/>
          <w:color w:val="auto"/>
        </w:rPr>
      </w:pPr>
      <w:r>
        <w:rPr>
          <w:rFonts w:ascii="Arial" w:cs="Arial" w:eastAsia="Arial" w:hAnsi="Arial"/>
          <w:sz w:val="17"/>
          <w:szCs w:val="17"/>
          <w:b w:val="1"/>
          <w:bCs w:val="1"/>
          <w:color w:val="auto"/>
        </w:rPr>
        <w:t>FORM Holdings Corp.</w:t>
      </w:r>
    </w:p>
    <w:p>
      <w:pPr>
        <w:ind w:left="3240"/>
        <w:spacing w:after="0"/>
        <w:rPr>
          <w:sz w:val="20"/>
          <w:szCs w:val="20"/>
          <w:color w:val="auto"/>
        </w:rPr>
      </w:pPr>
      <w:r>
        <w:rPr>
          <w:rFonts w:ascii="Arial" w:cs="Arial" w:eastAsia="Arial" w:hAnsi="Arial"/>
          <w:sz w:val="22"/>
          <w:szCs w:val="22"/>
          <w:b w:val="1"/>
          <w:bCs w:val="1"/>
          <w:color w:val="auto"/>
        </w:rPr>
        <w:t>APPENDIX 3 – Assignment Agreement</w:t>
      </w:r>
    </w:p>
    <w:p>
      <w:pPr>
        <w:spacing w:after="0" w:line="200" w:lineRule="exact"/>
        <w:rPr>
          <w:rFonts w:ascii="Arial" w:cs="Arial" w:eastAsia="Arial" w:hAnsi="Arial"/>
          <w:sz w:val="17"/>
          <w:szCs w:val="17"/>
          <w:b w:val="1"/>
          <w:bCs w:val="1"/>
          <w:color w:val="auto"/>
        </w:rPr>
      </w:pPr>
    </w:p>
    <w:p>
      <w:pPr>
        <w:spacing w:after="0" w:line="235" w:lineRule="exact"/>
        <w:rPr>
          <w:rFonts w:ascii="Arial" w:cs="Arial" w:eastAsia="Arial" w:hAnsi="Arial"/>
          <w:sz w:val="17"/>
          <w:szCs w:val="17"/>
          <w:b w:val="1"/>
          <w:bCs w:val="1"/>
          <w:color w:val="auto"/>
        </w:rPr>
      </w:pPr>
    </w:p>
    <w:p>
      <w:pPr>
        <w:spacing w:after="0"/>
        <w:rPr>
          <w:sz w:val="20"/>
          <w:szCs w:val="20"/>
          <w:color w:val="auto"/>
        </w:rPr>
      </w:pPr>
      <w:r>
        <w:rPr>
          <w:rFonts w:ascii="Arial" w:cs="Arial" w:eastAsia="Arial" w:hAnsi="Arial"/>
          <w:sz w:val="16"/>
          <w:szCs w:val="16"/>
          <w:color w:val="auto"/>
        </w:rPr>
        <w:t>IN WITNESS WHEREOF, the parties have executed this Confidential Patent Purchase Agreement as of the Effective Date:</w:t>
      </w:r>
    </w:p>
    <w:p>
      <w:pPr>
        <w:spacing w:after="0" w:line="248" w:lineRule="exact"/>
        <w:rPr>
          <w:rFonts w:ascii="Arial" w:cs="Arial" w:eastAsia="Arial" w:hAnsi="Arial"/>
          <w:sz w:val="17"/>
          <w:szCs w:val="17"/>
          <w:b w:val="1"/>
          <w:bCs w:val="1"/>
          <w:color w:val="auto"/>
        </w:rPr>
      </w:pPr>
    </w:p>
    <w:p>
      <w:pPr>
        <w:ind w:left="5060"/>
        <w:spacing w:after="0"/>
        <w:rPr>
          <w:sz w:val="20"/>
          <w:szCs w:val="20"/>
          <w:color w:val="auto"/>
        </w:rPr>
      </w:pPr>
      <w:r>
        <w:rPr>
          <w:rFonts w:ascii="Arial" w:cs="Arial" w:eastAsia="Arial" w:hAnsi="Arial"/>
          <w:sz w:val="18"/>
          <w:szCs w:val="18"/>
          <w:color w:val="auto"/>
        </w:rPr>
        <w:t>[COMPANY]</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90" w:lineRule="exact"/>
        <w:rPr>
          <w:rFonts w:ascii="Arial" w:cs="Arial" w:eastAsia="Arial" w:hAnsi="Arial"/>
          <w:sz w:val="17"/>
          <w:szCs w:val="17"/>
          <w:b w:val="1"/>
          <w:bCs w:val="1"/>
          <w:color w:val="auto"/>
        </w:rPr>
      </w:pPr>
    </w:p>
    <w:p>
      <w:pPr>
        <w:ind w:left="5060"/>
        <w:spacing w:after="0"/>
        <w:rPr>
          <w:sz w:val="20"/>
          <w:szCs w:val="20"/>
          <w:color w:val="auto"/>
        </w:rPr>
      </w:pPr>
      <w:r>
        <w:rPr>
          <w:rFonts w:ascii="Arial" w:cs="Arial" w:eastAsia="Arial" w:hAnsi="Arial"/>
          <w:sz w:val="18"/>
          <w:szCs w:val="18"/>
          <w:color w:val="auto"/>
        </w:rPr>
        <w:t>Signature</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57" w:lineRule="exact"/>
        <w:rPr>
          <w:rFonts w:ascii="Arial" w:cs="Arial" w:eastAsia="Arial" w:hAnsi="Arial"/>
          <w:sz w:val="17"/>
          <w:szCs w:val="17"/>
          <w:b w:val="1"/>
          <w:bCs w:val="1"/>
          <w:color w:val="auto"/>
        </w:rPr>
      </w:pPr>
    </w:p>
    <w:p>
      <w:pPr>
        <w:ind w:left="5060"/>
        <w:spacing w:after="0"/>
        <w:rPr>
          <w:sz w:val="20"/>
          <w:szCs w:val="20"/>
          <w:color w:val="auto"/>
        </w:rPr>
      </w:pPr>
      <w:r>
        <w:rPr>
          <w:rFonts w:ascii="Arial" w:cs="Arial" w:eastAsia="Arial" w:hAnsi="Arial"/>
          <w:sz w:val="18"/>
          <w:szCs w:val="18"/>
          <w:color w:val="auto"/>
        </w:rPr>
        <w:t>Printed Name</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57" w:lineRule="exact"/>
        <w:rPr>
          <w:rFonts w:ascii="Arial" w:cs="Arial" w:eastAsia="Arial" w:hAnsi="Arial"/>
          <w:sz w:val="17"/>
          <w:szCs w:val="17"/>
          <w:b w:val="1"/>
          <w:bCs w:val="1"/>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57" w:lineRule="exact"/>
        <w:rPr>
          <w:rFonts w:ascii="Arial" w:cs="Arial" w:eastAsia="Arial" w:hAnsi="Arial"/>
          <w:sz w:val="17"/>
          <w:szCs w:val="17"/>
          <w:b w:val="1"/>
          <w:bCs w:val="1"/>
          <w:color w:val="auto"/>
        </w:rPr>
      </w:pPr>
    </w:p>
    <w:p>
      <w:pPr>
        <w:ind w:left="5060"/>
        <w:spacing w:after="0"/>
        <w:rPr>
          <w:sz w:val="20"/>
          <w:szCs w:val="20"/>
          <w:color w:val="auto"/>
        </w:rPr>
      </w:pPr>
      <w:r>
        <w:rPr>
          <w:rFonts w:ascii="Arial" w:cs="Arial" w:eastAsia="Arial" w:hAnsi="Arial"/>
          <w:sz w:val="18"/>
          <w:szCs w:val="18"/>
          <w:color w:val="auto"/>
        </w:rPr>
        <w:t>Date</w:t>
      </w:r>
    </w:p>
    <w:p>
      <w:pPr>
        <w:spacing w:after="0" w:line="20" w:lineRule="exact"/>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column">
              <wp:posOffset>-413385</wp:posOffset>
            </wp:positionH>
            <wp:positionV relativeFrom="paragraph">
              <wp:posOffset>563880</wp:posOffset>
            </wp:positionV>
            <wp:extent cx="29070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301" w:lineRule="exact"/>
        <w:rPr>
          <w:rFonts w:ascii="Arial" w:cs="Arial" w:eastAsia="Arial" w:hAnsi="Arial"/>
          <w:sz w:val="17"/>
          <w:szCs w:val="17"/>
          <w:b w:val="1"/>
          <w:bCs w:val="1"/>
          <w:color w:val="auto"/>
        </w:rPr>
      </w:pPr>
    </w:p>
    <w:p>
      <w:pPr>
        <w:ind w:left="4060"/>
        <w:spacing w:after="0"/>
        <w:rPr>
          <w:sz w:val="20"/>
          <w:szCs w:val="20"/>
          <w:color w:val="auto"/>
        </w:rPr>
      </w:pPr>
      <w:r>
        <w:rPr>
          <w:rFonts w:ascii="Arial" w:cs="Arial" w:eastAsia="Arial" w:hAnsi="Arial"/>
          <w:sz w:val="22"/>
          <w:szCs w:val="22"/>
          <w:color w:val="auto"/>
        </w:rPr>
        <w:t>Confidential – Page 20</w:t>
      </w:r>
    </w:p>
    <w:p>
      <w:pPr>
        <w:spacing w:after="0" w:line="20" w:lineRule="exact"/>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column">
              <wp:posOffset>-413385</wp:posOffset>
            </wp:positionH>
            <wp:positionV relativeFrom="paragraph">
              <wp:posOffset>7620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220" w:right="1440" w:bottom="1440" w:gutter="0" w:footer="0" w:header="0"/>
        </w:sectPr>
      </w:pPr>
    </w:p>
    <w:bookmarkStart w:id="123" w:name="page124"/>
    <w:bookmarkEnd w:id="123"/>
    <w:p>
      <w:pPr>
        <w:jc w:val="center"/>
        <w:ind w:right="-20"/>
        <w:spacing w:after="0"/>
        <w:rPr>
          <w:sz w:val="20"/>
          <w:szCs w:val="20"/>
          <w:color w:val="auto"/>
        </w:rPr>
      </w:pPr>
      <w:r>
        <w:rPr>
          <w:rFonts w:ascii="Arial" w:cs="Arial" w:eastAsia="Arial" w:hAnsi="Arial"/>
          <w:sz w:val="19"/>
          <w:szCs w:val="19"/>
          <w:b w:val="1"/>
          <w:bCs w:val="1"/>
          <w:color w:val="auto"/>
        </w:rPr>
        <w:t>APPENDIX 3 – Assignment Agreement</w:t>
      </w:r>
    </w:p>
    <w:p>
      <w:pPr>
        <w:sectPr>
          <w:pgSz w:w="11900" w:h="16838" w:orient="portrait"/>
          <w:cols w:equalWidth="0" w:num="1">
            <w:col w:w="9019"/>
          </w:cols>
          <w:pgMar w:left="1440" w:top="220"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A ASSIGNED PATENTS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ADDED]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type w:val="continuous"/>
        </w:sectPr>
      </w:pPr>
    </w:p>
    <w:bookmarkStart w:id="124" w:name="page125"/>
    <w:bookmarkEnd w:id="124"/>
    <w:p>
      <w:pPr>
        <w:jc w:val="center"/>
        <w:ind w:right="-20"/>
        <w:spacing w:after="0"/>
        <w:rPr>
          <w:sz w:val="20"/>
          <w:szCs w:val="20"/>
          <w:color w:val="auto"/>
        </w:rPr>
      </w:pPr>
      <w:r>
        <w:rPr>
          <w:rFonts w:ascii="Arial" w:cs="Arial" w:eastAsia="Arial" w:hAnsi="Arial"/>
          <w:sz w:val="19"/>
          <w:szCs w:val="19"/>
          <w:b w:val="1"/>
          <w:bCs w:val="1"/>
          <w:color w:val="auto"/>
        </w:rPr>
        <w:t>APPENDIX 3 – Assignment Agreement</w:t>
      </w:r>
    </w:p>
    <w:p>
      <w:pPr>
        <w:sectPr>
          <w:pgSz w:w="11900" w:h="16838" w:orient="portrait"/>
          <w:cols w:equalWidth="0" w:num="1">
            <w:col w:w="9019"/>
          </w:cols>
          <w:pgMar w:left="1440" w:top="220"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ESSENTIAL CELLULAR PATENTS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ADDED]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type w:val="continuous"/>
        </w:sectPr>
      </w:pPr>
    </w:p>
    <w:bookmarkStart w:id="125" w:name="page126"/>
    <w:bookmarkEnd w:id="125"/>
    <w:p>
      <w:pPr>
        <w:jc w:val="center"/>
        <w:spacing w:after="0"/>
        <w:rPr>
          <w:sz w:val="20"/>
          <w:szCs w:val="20"/>
          <w:color w:val="auto"/>
        </w:rPr>
      </w:pPr>
      <w:r>
        <w:rPr>
          <w:rFonts w:ascii="Arial" w:cs="Arial" w:eastAsia="Arial" w:hAnsi="Arial"/>
          <w:sz w:val="22"/>
          <w:szCs w:val="22"/>
          <w:b w:val="1"/>
          <w:bCs w:val="1"/>
          <w:color w:val="auto"/>
        </w:rPr>
        <w:t>APPENDIX 3 – Assignment Agreement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 ASSIGNMENT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For good and valuable consideration, the receipt of which is hereby acknowledged, FORM Holdings Corp., a Delaware corporation formerly known as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gridSpan w:val="3"/>
          </w:tcPr>
          <w:p>
            <w:pPr>
              <w:spacing w:after="0"/>
              <w:rPr>
                <w:sz w:val="20"/>
                <w:szCs w:val="20"/>
                <w:color w:val="auto"/>
              </w:rPr>
            </w:pPr>
            <w:r>
              <w:rPr>
                <w:rFonts w:ascii="Arial" w:cs="Arial" w:eastAsia="Arial" w:hAnsi="Arial"/>
                <w:sz w:val="18"/>
                <w:szCs w:val="18"/>
                <w:color w:val="auto"/>
                <w:w w:val="97"/>
              </w:rPr>
              <w:t>Vringo Inc. (“</w:t>
            </w:r>
            <w:r>
              <w:rPr>
                <w:rFonts w:ascii="Arial" w:cs="Arial" w:eastAsia="Arial" w:hAnsi="Arial"/>
                <w:sz w:val="18"/>
                <w:szCs w:val="18"/>
                <w:b w:val="1"/>
                <w:bCs w:val="1"/>
                <w:color w:val="auto"/>
                <w:w w:val="97"/>
              </w:rPr>
              <w:t>Assignor</w:t>
            </w:r>
            <w:r>
              <w:rPr>
                <w:rFonts w:ascii="Arial" w:cs="Arial" w:eastAsia="Arial" w:hAnsi="Arial"/>
                <w:sz w:val="18"/>
                <w:szCs w:val="18"/>
                <w:color w:val="auto"/>
                <w:w w:val="97"/>
              </w:rPr>
              <w:t>”), does hereby assign, transfer and convey unto</w:t>
            </w:r>
          </w:p>
        </w:tc>
        <w:tc>
          <w:tcPr>
            <w:tcW w:w="4640" w:type="dxa"/>
            <w:vAlign w:val="bottom"/>
            <w:tcBorders>
              <w:bottom w:val="single" w:sz="8" w:color="auto"/>
            </w:tcBorders>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 with an office</w:t>
            </w:r>
          </w:p>
        </w:tc>
      </w:tr>
      <w:tr>
        <w:trPr>
          <w:trHeight w:val="196"/>
        </w:trPr>
        <w:tc>
          <w:tcPr>
            <w:tcW w:w="180" w:type="dxa"/>
            <w:vAlign w:val="bottom"/>
          </w:tcPr>
          <w:p>
            <w:pPr>
              <w:spacing w:after="0" w:line="196" w:lineRule="exact"/>
              <w:rPr>
                <w:sz w:val="20"/>
                <w:szCs w:val="20"/>
                <w:color w:val="auto"/>
              </w:rPr>
            </w:pPr>
            <w:r>
              <w:rPr>
                <w:rFonts w:ascii="Arial" w:cs="Arial" w:eastAsia="Arial" w:hAnsi="Arial"/>
                <w:sz w:val="18"/>
                <w:szCs w:val="18"/>
                <w:color w:val="auto"/>
              </w:rPr>
              <w:t>at</w:t>
            </w:r>
          </w:p>
        </w:tc>
        <w:tc>
          <w:tcPr>
            <w:tcW w:w="3540" w:type="dxa"/>
            <w:vAlign w:val="bottom"/>
            <w:tcBorders>
              <w:bottom w:val="single" w:sz="8" w:color="auto"/>
            </w:tcBorders>
          </w:tcPr>
          <w:p>
            <w:pPr>
              <w:spacing w:after="0"/>
              <w:rPr>
                <w:sz w:val="17"/>
                <w:szCs w:val="17"/>
                <w:color w:val="auto"/>
              </w:rPr>
            </w:pPr>
          </w:p>
        </w:tc>
        <w:tc>
          <w:tcPr>
            <w:tcW w:w="770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Assignee</w:t>
            </w:r>
            <w:r>
              <w:rPr>
                <w:rFonts w:ascii="Arial" w:cs="Arial" w:eastAsia="Arial" w:hAnsi="Arial"/>
                <w:sz w:val="18"/>
                <w:szCs w:val="18"/>
                <w:color w:val="auto"/>
                <w:w w:val="92"/>
              </w:rPr>
              <w:t>”), all of Assignor’s entire right, title and interest in and to (a) all Assigned Patents and patent</w:t>
            </w:r>
          </w:p>
        </w:tc>
      </w:tr>
    </w:tbl>
    <w:p>
      <w:pPr>
        <w:spacing w:after="0" w:line="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applications listed below (including all inventions and discoveries claimed or otherwise disclosed therein); (b) all reissues, reexaminations, continuations, parents, continuations-in-part, divisionals and extensions (collectively “</w:t>
      </w:r>
      <w:r>
        <w:rPr>
          <w:rFonts w:ascii="Arial" w:cs="Arial" w:eastAsia="Arial" w:hAnsi="Arial"/>
          <w:sz w:val="18"/>
          <w:szCs w:val="18"/>
          <w:b w:val="1"/>
          <w:bCs w:val="1"/>
          <w:color w:val="auto"/>
        </w:rPr>
        <w:t>Related Cases</w:t>
      </w:r>
      <w:r>
        <w:rPr>
          <w:rFonts w:ascii="Arial" w:cs="Arial" w:eastAsia="Arial" w:hAnsi="Arial"/>
          <w:sz w:val="18"/>
          <w:szCs w:val="18"/>
          <w:color w:val="auto"/>
        </w:rPr>
        <w:t>”) of such Assigned Patents and patent applications; (c) Assigned Patents or patent applications (i) to which any or all of the foregoing directly or indirectly claims priority, and (ii) for which any or all of the foregoing directly or indirectly forms a basis for priority; and (d) all Related Cases (whether pending, issued, abandoned or filed in the future) and foreign counterparts to any or all of the foregoing , certificates of invention and equivalent rights worldwide (collectively “</w:t>
      </w:r>
      <w:r>
        <w:rPr>
          <w:rFonts w:ascii="Arial" w:cs="Arial" w:eastAsia="Arial" w:hAnsi="Arial"/>
          <w:sz w:val="18"/>
          <w:szCs w:val="18"/>
          <w:b w:val="1"/>
          <w:bCs w:val="1"/>
          <w:color w:val="auto"/>
        </w:rPr>
        <w:t>Patent Rights</w:t>
      </w:r>
      <w:r>
        <w:rPr>
          <w:rFonts w:ascii="Arial" w:cs="Arial" w:eastAsia="Arial" w:hAnsi="Arial"/>
          <w:sz w:val="18"/>
          <w:szCs w:val="18"/>
          <w:color w:val="auto"/>
        </w:rPr>
        <w:t>”): Assigned Patents specified in Exhibit A attached hereto.</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Assignor agrees to and hereby does sell, assign, transfer and convey unto Assignee all rights (i) in and to causes of action and enforcement rights for the Patent Rights including all rights to pursue damages, injunctive relief and other remedies for past, present and future infringement of the Patent Rights,</w:t>
      </w:r>
    </w:p>
    <w:p>
      <w:pPr>
        <w:jc w:val="both"/>
        <w:ind w:firstLine="8"/>
        <w:spacing w:after="0" w:line="254" w:lineRule="auto"/>
        <w:tabs>
          <w:tab w:leader="none" w:pos="26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right to apply (or continue prosecution) in any and all countries of the world for Assigned Patents, design Assigned Patents, utility models, certificates of invention or other governmental grants for the Patent Rights, including under the Paris Convention for the Protection of Industrial Property, the International Patent Cooperation Treaty, or any other convention, treaty, agreement or understanding, and (iii) the rights, if any, to revive prosecution of any abandoned Patent Rights.</w:t>
      </w:r>
    </w:p>
    <w:p>
      <w:pPr>
        <w:spacing w:after="0" w:line="19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Assignor also hereby authorizes the respective patent office or governmental agency in each jurisdiction to issue any and all Assigned Patents or certificates of invention or equivalent which may be granted upon any of the Patent Rights in the name of Assignee, as the assignee to the entire interest therein.</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terms and conditions of this Assignment shall inure to the benefit of Assignee, its successors, assigns and other legal representatives, and shall be binding upon Assignor, its successor, assigns and other legal representatives.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26" w:name="page127"/>
    <w:bookmarkEnd w:id="126"/>
    <w:p>
      <w:pPr>
        <w:ind w:left="3900"/>
        <w:spacing w:after="0"/>
        <w:rPr>
          <w:sz w:val="20"/>
          <w:szCs w:val="20"/>
          <w:color w:val="auto"/>
        </w:rPr>
      </w:pPr>
      <w:r>
        <w:rPr>
          <w:rFonts w:ascii="Arial" w:cs="Arial" w:eastAsia="Arial" w:hAnsi="Arial"/>
          <w:sz w:val="22"/>
          <w:szCs w:val="22"/>
          <w:b w:val="1"/>
          <w:bCs w:val="1"/>
          <w:color w:val="auto"/>
        </w:rPr>
        <w:t>APPENDIX 3 – Assignment Agreement</w:t>
      </w: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this Assignment of Patent Rights is executed at _________ on _____________________.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ASSIGNOR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22860</wp:posOffset>
            </wp:positionV>
            <wp:extent cx="32588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-121920</wp:posOffset>
            </wp:positionV>
            <wp:extent cx="32588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(Signature must be notarized)</w:t>
      </w:r>
    </w:p>
    <w:p>
      <w:pPr>
        <w:spacing w:after="0" w:line="200" w:lineRule="exact"/>
        <w:rPr>
          <w:sz w:val="20"/>
          <w:szCs w:val="20"/>
          <w:color w:val="auto"/>
        </w:rPr>
      </w:pPr>
    </w:p>
    <w:p>
      <w:pPr>
        <w:spacing w:after="0" w:line="261"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Confidential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20" w:right="1440" w:bottom="1440" w:gutter="0" w:footer="0" w:header="0"/>
        </w:sectPr>
      </w:pPr>
    </w:p>
    <w:bookmarkStart w:id="127" w:name="page128"/>
    <w:bookmarkEnd w:id="127"/>
    <w:p>
      <w:pPr>
        <w:jc w:val="right"/>
        <w:spacing w:after="0"/>
        <w:rPr>
          <w:sz w:val="20"/>
          <w:szCs w:val="20"/>
          <w:color w:val="auto"/>
        </w:rPr>
      </w:pPr>
      <w:r>
        <w:rPr>
          <w:rFonts w:ascii="Arial" w:cs="Arial" w:eastAsia="Arial" w:hAnsi="Arial"/>
          <w:sz w:val="22"/>
          <w:szCs w:val="22"/>
          <w:b w:val="1"/>
          <w:bCs w:val="1"/>
          <w:color w:val="auto"/>
        </w:rPr>
        <w:t>Exhibit 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600" w:type="dxa"/>
            <w:vAlign w:val="bottom"/>
            <w:gridSpan w:val="5"/>
          </w:tcPr>
          <w:p>
            <w:pPr>
              <w:ind w:left="420"/>
              <w:spacing w:after="0"/>
              <w:rPr>
                <w:sz w:val="20"/>
                <w:szCs w:val="20"/>
                <w:color w:val="auto"/>
              </w:rPr>
            </w:pPr>
            <w:r>
              <w:rPr>
                <w:rFonts w:ascii="Arial" w:cs="Arial" w:eastAsia="Arial" w:hAnsi="Arial"/>
                <w:sz w:val="18"/>
                <w:szCs w:val="18"/>
                <w:b w:val="1"/>
                <w:bCs w:val="1"/>
                <w:color w:val="auto"/>
              </w:rPr>
              <w:t>Subsidiaries of FORM Holdings Corp.</w:t>
            </w:r>
          </w:p>
        </w:tc>
      </w:tr>
      <w:tr>
        <w:trPr>
          <w:trHeight w:val="20"/>
        </w:trPr>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Name of Subsidiary</w:t>
            </w: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Jurisdiction of Incorporation</w:t>
            </w:r>
          </w:p>
        </w:tc>
      </w:tr>
      <w:tr>
        <w:trPr>
          <w:trHeight w:val="21"/>
        </w:trPr>
        <w:tc>
          <w:tcPr>
            <w:tcW w:w="10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Excalibur Integrated Systems, Inc.</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Tennessee</w:t>
            </w:r>
          </w:p>
        </w:tc>
      </w:tr>
      <w:tr>
        <w:trPr>
          <w:trHeight w:val="216"/>
        </w:trPr>
        <w:tc>
          <w:tcPr>
            <w:tcW w:w="1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FLI Charge, Inc.</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Group Mobile Int'l, LLC</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Arizona</w:t>
            </w:r>
          </w:p>
        </w:tc>
      </w:tr>
      <w:tr>
        <w:trPr>
          <w:trHeight w:val="216"/>
        </w:trPr>
        <w:tc>
          <w:tcPr>
            <w:tcW w:w="1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I/P Engine, Inc.</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Virginia</w:t>
            </w: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Innovate/Protect, Inc.</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16"/>
        </w:trPr>
        <w:tc>
          <w:tcPr>
            <w:tcW w:w="1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International Development Group, Ltd.</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Maryland</w:t>
            </w: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Iron Gate Security, Inc.</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16"/>
        </w:trPr>
        <w:tc>
          <w:tcPr>
            <w:tcW w:w="1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Quantum Stream Inc.</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 Products Import &amp; Distribution Co., LLC</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Spa Products Wholesaling, LLC</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Vringo Acquisition, Inc.</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16"/>
        </w:trPr>
        <w:tc>
          <w:tcPr>
            <w:tcW w:w="1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Vringo GmbH</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Germany</w:t>
            </w: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Vringo Infrastructure, Inc.</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16"/>
        </w:trPr>
        <w:tc>
          <w:tcPr>
            <w:tcW w:w="1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Vringo Labs, Inc.</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Vringo Ltd.</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Israel</w:t>
            </w:r>
          </w:p>
        </w:tc>
      </w:tr>
      <w:tr>
        <w:trPr>
          <w:trHeight w:val="216"/>
        </w:trPr>
        <w:tc>
          <w:tcPr>
            <w:tcW w:w="1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Vringo Mobile, Inc.</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VRTUAL, Inc.</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16"/>
        </w:trPr>
        <w:tc>
          <w:tcPr>
            <w:tcW w:w="1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XpresSpa Amsterdam Airport B.V.</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Netherlands</w:t>
            </w: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at Term. 4 JFK, LLC</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XpresSpa Atlanta Terminal A, LLC</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Atlanta Terminal C, LLC</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XpresSpa Charlotte Airport, LLC</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Chicago O'Hare, LLC</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XpresSpa Denver Aiport, LLC</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DFW International, LLC</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XpresSpa DFW Kiosk, LLC</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DFW Terminal A, LLC</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XpresSpa Europe B.V.</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Netherlands</w:t>
            </w: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Franchising, LLC</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XpresSpa Holdings, LLC</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Houston Hobby, LLC</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XpresSpa International Holdings, LLC</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JFK Terminal 1, LLC</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XpresSpa JFK Terminal 7, LLC</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John Wayne Airport, LLC</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XpresSpa LaGuardia Airport, LLC</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Las Vegas Airport, LLC</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XpresSpa LAX Airport, LLC</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LAX Tom Bradley, LLC</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XpresSpa Miami Airport, LLC</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Middle East B.V.</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Netherlands</w:t>
            </w:r>
          </w:p>
        </w:tc>
      </w:tr>
      <w:tr>
        <w:trPr>
          <w:trHeight w:val="216"/>
        </w:trPr>
        <w:tc>
          <w:tcPr>
            <w:tcW w:w="1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XpresSpa Middle East Limited</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British Virgin Islands</w:t>
            </w: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Mobile Services, LLC</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XpresSpa MSP Airport, LLC</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Online Shopping, LLC</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XpresSpa Orlando International, LLC</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Orlando, LLC</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XpresSpa Philadelphia Airport, LLC</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Phoenix Airport, LLC</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XpresSpa Pittsburgh A, LLC</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Raleigh-Durham Intl, LLC</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XpresSpa S.F. International, LLC</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New York</w:t>
            </w:r>
          </w:p>
        </w:tc>
      </w:tr>
      <w:tr>
        <w:trPr>
          <w:trHeight w:val="216"/>
        </w:trPr>
        <w:tc>
          <w:tcPr>
            <w:tcW w:w="1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Salt Lake City, LLC</w:t>
            </w: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w:t>
            </w:r>
          </w:p>
        </w:tc>
      </w:tr>
      <w:tr>
        <w:trPr>
          <w:trHeight w:val="230"/>
        </w:trPr>
        <w:tc>
          <w:tcPr>
            <w:tcW w:w="10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XpresSpa Washington Reagan, LLC</w:t>
            </w:r>
          </w:p>
        </w:tc>
        <w:tc>
          <w:tcPr>
            <w:tcW w:w="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New York</w:t>
            </w:r>
          </w:p>
        </w:tc>
      </w:tr>
      <w:tr>
        <w:trPr>
          <w:trHeight w:val="661"/>
        </w:trPr>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(No. 333-205303, No. 333-182823, No. 333-180493, No. 333-178700, No. 333-164575 and No. 333-180609) on Forms S-3, and registration statements (No. 333-210257, No. 333-182853 and No. 333-181477) on Forms S-8 of FORM Holdings Corp. (formerly Vringo, Inc.), of our report dated March 30, 2017, with respect to the consolidated balance sheets of FORM Holdings Corp. and subsidiaries as of December 31, 2016 and 2015, and the related consolidated statements of operations and comprehensive loss, changes in stockholders’ equity, and cash flows for the years then ended, which report appears in the December 31, 2016 annual report on Form 10-K of FORM Holdings Corp. and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30,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Andrew D. Perlman, certify that:</w:t>
      </w:r>
    </w:p>
    <w:p>
      <w:pPr>
        <w:spacing w:after="0" w:line="225" w:lineRule="exact"/>
        <w:rPr>
          <w:sz w:val="20"/>
          <w:szCs w:val="20"/>
          <w:color w:val="auto"/>
        </w:rPr>
      </w:pPr>
    </w:p>
    <w:p>
      <w:pPr>
        <w:ind w:left="840" w:hanging="184"/>
        <w:spacing w:after="0"/>
        <w:tabs>
          <w:tab w:leader="none" w:pos="8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FORM Holdings, Corp.;</w:t>
      </w:r>
    </w:p>
    <w:p>
      <w:pPr>
        <w:spacing w:after="0" w:line="225"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656"/>
        <w:spacing w:after="0" w:line="264" w:lineRule="auto"/>
        <w:tabs>
          <w:tab w:leader="none" w:pos="8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0" w:firstLine="656"/>
        <w:spacing w:after="0" w:line="264" w:lineRule="auto"/>
        <w:tabs>
          <w:tab w:leader="none" w:pos="833"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900" w:firstLine="656"/>
        <w:spacing w:after="0" w:line="342" w:lineRule="auto"/>
        <w:tabs>
          <w:tab w:leader="none" w:pos="833" w:val="left"/>
        </w:tabs>
        <w:numPr>
          <w:ilvl w:val="0"/>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60" w:firstLine="656"/>
        <w:spacing w:after="0" w:line="264" w:lineRule="auto"/>
        <w:tabs>
          <w:tab w:leader="none" w:pos="843"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80" w:firstLine="656"/>
        <w:spacing w:after="0" w:line="308" w:lineRule="auto"/>
        <w:tabs>
          <w:tab w:leader="none" w:pos="828"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320" w:firstLine="656"/>
        <w:spacing w:after="0" w:line="277" w:lineRule="auto"/>
        <w:tabs>
          <w:tab w:leader="none" w:pos="833"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60" w:firstLine="656"/>
        <w:spacing w:after="0" w:line="277" w:lineRule="auto"/>
        <w:tabs>
          <w:tab w:leader="none" w:pos="843"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Andrew D. Perlman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Anastasia Nyrkovskaya , certify that:</w:t>
      </w:r>
    </w:p>
    <w:p>
      <w:pPr>
        <w:spacing w:after="0" w:line="225" w:lineRule="exact"/>
        <w:rPr>
          <w:sz w:val="20"/>
          <w:szCs w:val="20"/>
          <w:color w:val="auto"/>
        </w:rPr>
      </w:pPr>
    </w:p>
    <w:p>
      <w:pPr>
        <w:ind w:left="840" w:hanging="184"/>
        <w:spacing w:after="0"/>
        <w:tabs>
          <w:tab w:leader="none" w:pos="8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FORM Holdings, Corp.;</w:t>
      </w:r>
    </w:p>
    <w:p>
      <w:pPr>
        <w:spacing w:after="0" w:line="225"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656"/>
        <w:spacing w:after="0" w:line="264" w:lineRule="auto"/>
        <w:tabs>
          <w:tab w:leader="none" w:pos="82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0" w:firstLine="656"/>
        <w:spacing w:after="0" w:line="264" w:lineRule="auto"/>
        <w:tabs>
          <w:tab w:leader="none" w:pos="833"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900" w:firstLine="656"/>
        <w:spacing w:after="0" w:line="342" w:lineRule="auto"/>
        <w:tabs>
          <w:tab w:leader="none" w:pos="833" w:val="left"/>
        </w:tabs>
        <w:numPr>
          <w:ilvl w:val="0"/>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60" w:firstLine="656"/>
        <w:spacing w:after="0" w:line="264" w:lineRule="auto"/>
        <w:tabs>
          <w:tab w:leader="none" w:pos="843"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80" w:firstLine="656"/>
        <w:spacing w:after="0" w:line="308" w:lineRule="auto"/>
        <w:tabs>
          <w:tab w:leader="none" w:pos="828"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320" w:firstLine="656"/>
        <w:spacing w:after="0" w:line="277" w:lineRule="auto"/>
        <w:tabs>
          <w:tab w:leader="none" w:pos="833"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60" w:firstLine="656"/>
        <w:spacing w:after="0" w:line="277" w:lineRule="auto"/>
        <w:tabs>
          <w:tab w:leader="none" w:pos="843"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Anastasia Nyrkovskaya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FORM Holdings, Corp., a Delaware corporation (the “Company”), does hereby certify, to such officer’s knowledge, that:</w:t>
      </w:r>
    </w:p>
    <w:p>
      <w:pPr>
        <w:spacing w:after="0" w:line="12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Annual Report for the year ended December 31, 2016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Dated: March 30, 2017</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6280" w:type="dxa"/>
            <w:vAlign w:val="bottom"/>
          </w:tcPr>
          <w:p>
            <w:pPr>
              <w:spacing w:after="0"/>
              <w:rPr>
                <w:sz w:val="16"/>
                <w:szCs w:val="16"/>
                <w:color w:val="auto"/>
              </w:rPr>
            </w:pPr>
          </w:p>
        </w:tc>
        <w:tc>
          <w:tcPr>
            <w:tcW w:w="5140" w:type="dxa"/>
            <w:vAlign w:val="bottom"/>
          </w:tcPr>
          <w:p>
            <w:pPr>
              <w:ind w:left="500"/>
              <w:spacing w:after="0" w:line="195" w:lineRule="exact"/>
              <w:rPr>
                <w:sz w:val="20"/>
                <w:szCs w:val="20"/>
                <w:color w:val="auto"/>
              </w:rPr>
            </w:pPr>
            <w:r>
              <w:rPr>
                <w:rFonts w:ascii="Arial" w:cs="Arial" w:eastAsia="Arial" w:hAnsi="Arial"/>
                <w:sz w:val="18"/>
                <w:szCs w:val="18"/>
                <w:color w:val="auto"/>
              </w:rPr>
              <w:t>Chief Executive Officer</w:t>
            </w:r>
          </w:p>
        </w:tc>
      </w:tr>
      <w:tr>
        <w:trPr>
          <w:trHeight w:val="230"/>
        </w:trPr>
        <w:tc>
          <w:tcPr>
            <w:tcW w:w="6280" w:type="dxa"/>
            <w:vAlign w:val="bottom"/>
          </w:tcPr>
          <w:p>
            <w:pPr>
              <w:spacing w:after="0"/>
              <w:rPr>
                <w:sz w:val="20"/>
                <w:szCs w:val="20"/>
                <w:color w:val="auto"/>
              </w:rPr>
            </w:pPr>
          </w:p>
        </w:tc>
        <w:tc>
          <w:tcPr>
            <w:tcW w:w="5140" w:type="dxa"/>
            <w:vAlign w:val="bottom"/>
          </w:tcPr>
          <w:p>
            <w:pPr>
              <w:ind w:left="50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Dated: March 30, 2017</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Anastasia Nyrkovskaya</w:t>
            </w:r>
          </w:p>
        </w:tc>
      </w:tr>
      <w:tr>
        <w:trPr>
          <w:trHeight w:val="195"/>
        </w:trPr>
        <w:tc>
          <w:tcPr>
            <w:tcW w:w="6280" w:type="dxa"/>
            <w:vAlign w:val="bottom"/>
          </w:tcPr>
          <w:p>
            <w:pPr>
              <w:spacing w:after="0"/>
              <w:rPr>
                <w:sz w:val="16"/>
                <w:szCs w:val="16"/>
                <w:color w:val="auto"/>
              </w:rPr>
            </w:pPr>
          </w:p>
        </w:tc>
        <w:tc>
          <w:tcPr>
            <w:tcW w:w="5140" w:type="dxa"/>
            <w:vAlign w:val="bottom"/>
          </w:tcPr>
          <w:p>
            <w:pPr>
              <w:ind w:left="500"/>
              <w:spacing w:after="0" w:line="195" w:lineRule="exact"/>
              <w:rPr>
                <w:sz w:val="20"/>
                <w:szCs w:val="20"/>
                <w:color w:val="auto"/>
              </w:rPr>
            </w:pPr>
            <w:r>
              <w:rPr>
                <w:rFonts w:ascii="Arial" w:cs="Arial" w:eastAsia="Arial" w:hAnsi="Arial"/>
                <w:sz w:val="18"/>
                <w:szCs w:val="18"/>
                <w:color w:val="auto"/>
              </w:rPr>
              <w:t>Chief Financial Officer</w:t>
            </w:r>
          </w:p>
        </w:tc>
      </w:tr>
      <w:tr>
        <w:trPr>
          <w:trHeight w:val="230"/>
        </w:trPr>
        <w:tc>
          <w:tcPr>
            <w:tcW w:w="6280" w:type="dxa"/>
            <w:vAlign w:val="bottom"/>
          </w:tcPr>
          <w:p>
            <w:pPr>
              <w:spacing w:after="0"/>
              <w:rPr>
                <w:sz w:val="20"/>
                <w:szCs w:val="20"/>
                <w:color w:val="auto"/>
              </w:rPr>
            </w:pPr>
          </w:p>
        </w:tc>
        <w:tc>
          <w:tcPr>
            <w:tcW w:w="5140" w:type="dxa"/>
            <w:vAlign w:val="bottom"/>
          </w:tcPr>
          <w:p>
            <w:pPr>
              <w:ind w:left="500"/>
              <w:spacing w:after="0"/>
              <w:rPr>
                <w:sz w:val="20"/>
                <w:szCs w:val="20"/>
                <w:color w:val="auto"/>
              </w:rPr>
            </w:pPr>
            <w:r>
              <w:rPr>
                <w:rFonts w:ascii="Arial" w:cs="Arial" w:eastAsia="Arial" w:hAnsi="Arial"/>
                <w:sz w:val="18"/>
                <w:szCs w:val="18"/>
                <w:color w:val="auto"/>
              </w:rPr>
              <w:t>(Principal Financial Officer)</w:t>
            </w:r>
          </w:p>
        </w:tc>
      </w:tr>
      <w:tr>
        <w:trPr>
          <w:trHeight w:val="891"/>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1)"/>
      <w:numFmt w:val="lowerLetter"/>
      <w:start w:val="1"/>
    </w:lvl>
  </w:abstractNum>
  <w:abstractNum w:abstractNumId="7">
    <w:nsid w:val="6A2342EC"/>
    <w:multiLevelType w:val="hybridMultilevel"/>
    <w:lvl w:ilvl="0">
      <w:lvlJc w:val="left"/>
      <w:lvlText w:val="(%1)"/>
      <w:numFmt w:val="lowerLetter"/>
      <w:start w:val="4"/>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amp;"/>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1)"/>
      <w:numFmt w:val="lowerLetter"/>
      <w:start w:val="1"/>
    </w:lvl>
  </w:abstractNum>
  <w:abstractNum w:abstractNumId="26">
    <w:nsid w:val="75C6C33A"/>
    <w:multiLevelType w:val="hybridMultilevel"/>
    <w:lvl w:ilvl="0">
      <w:lvlJc w:val="left"/>
      <w:lvlText w:val="(%1)"/>
      <w:numFmt w:val="lowerLetter"/>
      <w:start w:val="1"/>
    </w:lvl>
  </w:abstractNum>
  <w:abstractNum w:abstractNumId="27">
    <w:nsid w:val="12E685FB"/>
    <w:multiLevelType w:val="hybridMultilevel"/>
    <w:lvl w:ilvl="0">
      <w:lvlJc w:val="left"/>
      <w:lvlText w:val="(%1)"/>
      <w:numFmt w:val="lowerLetter"/>
      <w:start w:val="4"/>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1)"/>
      <w:numFmt w:val="decimal"/>
      <w:start w:val="1"/>
    </w:lvl>
  </w:abstractNum>
  <w:abstractNum w:abstractNumId="41">
    <w:nsid w:val="15B5AF5C"/>
    <w:multiLevelType w:val="hybridMultilevel"/>
    <w:lvl w:ilvl="0">
      <w:lvlJc w:val="left"/>
      <w:lvlText w:val="(%1)"/>
      <w:numFmt w:val="decimal"/>
      <w:start w:val="4"/>
    </w:lvl>
  </w:abstractNum>
  <w:abstractNum w:abstractNumId="42">
    <w:nsid w:val="741226BB"/>
    <w:multiLevelType w:val="hybridMultilevel"/>
    <w:lvl w:ilvl="0">
      <w:lvlJc w:val="left"/>
      <w:lvlText w:val="(%1)"/>
      <w:numFmt w:val="decimal"/>
      <w:start w:val="2"/>
    </w:lvl>
  </w:abstractNum>
  <w:abstractNum w:abstractNumId="43">
    <w:nsid w:val="D34B6A8"/>
    <w:multiLevelType w:val="hybridMultilevel"/>
    <w:lvl w:ilvl="0">
      <w:lvlJc w:val="left"/>
      <w:lvlText w:val="(%1)"/>
      <w:numFmt w:val="decimal"/>
      <w:start w:val="1"/>
    </w:lvl>
  </w:abstractNum>
  <w:abstractNum w:abstractNumId="44">
    <w:nsid w:val="10233C99"/>
    <w:multiLevelType w:val="hybridMultilevel"/>
    <w:lvl w:ilvl="0">
      <w:lvlJc w:val="left"/>
      <w:lvlText w:val="(%1)"/>
      <w:numFmt w:val="decimal"/>
      <w:start w:val="3"/>
    </w:lvl>
  </w:abstractNum>
  <w:abstractNum w:abstractNumId="45">
    <w:nsid w:val="3F6AB60F"/>
    <w:multiLevelType w:val="hybridMultilevel"/>
    <w:lvl w:ilvl="0">
      <w:lvlJc w:val="left"/>
      <w:lvlText w:val="%1."/>
      <w:numFmt w:val="decimal"/>
      <w:start w:val="3"/>
    </w:lvl>
  </w:abstractNum>
  <w:abstractNum w:abstractNumId="46">
    <w:nsid w:val="61574095"/>
    <w:multiLevelType w:val="hybridMultilevel"/>
    <w:lvl w:ilvl="0">
      <w:lvlJc w:val="left"/>
      <w:lvlText w:val="%1."/>
      <w:numFmt w:val="decimal"/>
      <w:start w:val="1"/>
    </w:lvl>
  </w:abstractNum>
  <w:abstractNum w:abstractNumId="47">
    <w:nsid w:val="7E0C57B1"/>
    <w:multiLevelType w:val="hybridMultilevel"/>
    <w:lvl w:ilvl="0">
      <w:lvlJc w:val="left"/>
      <w:lvlText w:val="%1."/>
      <w:numFmt w:val="decimal"/>
      <w:start w:val="2"/>
    </w:lvl>
  </w:abstractNum>
  <w:abstractNum w:abstractNumId="48">
    <w:nsid w:val="77AE35EB"/>
    <w:multiLevelType w:val="hybridMultilevel"/>
    <w:lvl w:ilvl="0">
      <w:lvlJc w:val="left"/>
      <w:lvlText w:val="%1."/>
      <w:numFmt w:val="decimal"/>
      <w:start w:val="3"/>
    </w:lvl>
  </w:abstractNum>
  <w:abstractNum w:abstractNumId="49">
    <w:nsid w:val="579BE4F1"/>
    <w:multiLevelType w:val="hybridMultilevel"/>
    <w:lvl w:ilvl="0">
      <w:lvlJc w:val="left"/>
      <w:lvlText w:val="%1."/>
      <w:numFmt w:val="decimal"/>
      <w:start w:val="4"/>
    </w:lvl>
  </w:abstractNum>
  <w:abstractNum w:abstractNumId="50">
    <w:nsid w:val="310C50B3"/>
    <w:multiLevelType w:val="hybridMultilevel"/>
    <w:lvl w:ilvl="0">
      <w:lvlJc w:val="left"/>
      <w:lvlText w:val="%1."/>
      <w:numFmt w:val="decimal"/>
      <w:start w:val="5"/>
    </w:lvl>
  </w:abstractNum>
  <w:abstractNum w:abstractNumId="51">
    <w:nsid w:val="5FF87E05"/>
    <w:multiLevelType w:val="hybridMultilevel"/>
    <w:lvl w:ilvl="0">
      <w:lvlJc w:val="left"/>
      <w:lvlText w:val="%1."/>
      <w:numFmt w:val="decimal"/>
      <w:start w:val="6"/>
    </w:lvl>
  </w:abstractNum>
  <w:abstractNum w:abstractNumId="52">
    <w:nsid w:val="2F305DEF"/>
    <w:multiLevelType w:val="hybridMultilevel"/>
    <w:lvl w:ilvl="0">
      <w:lvlJc w:val="left"/>
      <w:lvlText w:val="%1)"/>
      <w:numFmt w:val="lowerLetter"/>
      <w:start w:val="1"/>
    </w:lvl>
  </w:abstractNum>
  <w:abstractNum w:abstractNumId="53">
    <w:nsid w:val="25A70BF7"/>
    <w:multiLevelType w:val="hybridMultilevel"/>
    <w:lvl w:ilvl="0">
      <w:lvlJc w:val="left"/>
      <w:lvlText w:val="%1."/>
      <w:numFmt w:val="decimal"/>
      <w:start w:val="7"/>
    </w:lvl>
  </w:abstractNum>
  <w:abstractNum w:abstractNumId="54">
    <w:nsid w:val="1DBABF00"/>
    <w:multiLevelType w:val="hybridMultilevel"/>
    <w:lvl w:ilvl="0">
      <w:lvlJc w:val="left"/>
      <w:lvlText w:val="(%1)"/>
      <w:numFmt w:val="lowerLetter"/>
      <w:start w:val="7"/>
    </w:lvl>
  </w:abstractNum>
  <w:abstractNum w:abstractNumId="55">
    <w:nsid w:val="4AD084E9"/>
    <w:multiLevelType w:val="hybridMultilevel"/>
    <w:lvl w:ilvl="0">
      <w:lvlJc w:val="left"/>
      <w:lvlText w:val="%1."/>
      <w:numFmt w:val="decimal"/>
      <w:start w:val="1"/>
    </w:lvl>
  </w:abstractNum>
  <w:abstractNum w:abstractNumId="56">
    <w:nsid w:val="1F48EAA1"/>
    <w:multiLevelType w:val="hybridMultilevel"/>
    <w:lvl w:ilvl="0">
      <w:lvlJc w:val="left"/>
      <w:lvlText w:val="(%1)"/>
      <w:numFmt w:val="lowerLetter"/>
      <w:start w:val="2"/>
    </w:lvl>
  </w:abstractNum>
  <w:abstractNum w:abstractNumId="57">
    <w:nsid w:val="1381823A"/>
    <w:multiLevelType w:val="hybridMultilevel"/>
    <w:lvl w:ilvl="0">
      <w:lvlJc w:val="left"/>
      <w:lvlText w:val="%1."/>
      <w:numFmt w:val="decimal"/>
      <w:start w:val="2"/>
    </w:lvl>
  </w:abstractNum>
  <w:abstractNum w:abstractNumId="58">
    <w:nsid w:val="5DB70AE5"/>
    <w:multiLevelType w:val="hybridMultilevel"/>
    <w:lvl w:ilvl="0">
      <w:lvlJc w:val="left"/>
      <w:lvlText w:val="%1."/>
      <w:numFmt w:val="decimal"/>
      <w:start w:val="3"/>
    </w:lvl>
  </w:abstractNum>
  <w:abstractNum w:abstractNumId="59">
    <w:nsid w:val="100F8FCA"/>
    <w:multiLevelType w:val="hybridMultilevel"/>
    <w:lvl w:ilvl="0">
      <w:lvlJc w:val="left"/>
      <w:lvlText w:val="%1."/>
      <w:numFmt w:val="decimal"/>
      <w:start w:val="4"/>
    </w:lvl>
  </w:abstractNum>
  <w:abstractNum w:abstractNumId="60">
    <w:nsid w:val="6590700B"/>
    <w:multiLevelType w:val="hybridMultilevel"/>
    <w:lvl w:ilvl="0">
      <w:lvlJc w:val="left"/>
      <w:lvlText w:val="%1."/>
      <w:numFmt w:val="decimal"/>
      <w:start w:val="5"/>
    </w:lvl>
  </w:abstractNum>
  <w:abstractNum w:abstractNumId="61">
    <w:nsid w:val="15014ACB"/>
    <w:multiLevelType w:val="hybridMultilevel"/>
    <w:lvl w:ilvl="0">
      <w:lvlJc w:val="left"/>
      <w:lvlText w:val="%1."/>
      <w:numFmt w:val="decimal"/>
      <w:start w:val="6"/>
    </w:lvl>
  </w:abstractNum>
  <w:abstractNum w:abstractNumId="62">
    <w:nsid w:val="5F5E7FD0"/>
    <w:multiLevelType w:val="hybridMultilevel"/>
    <w:lvl w:ilvl="0">
      <w:lvlJc w:val="left"/>
      <w:lvlText w:val="%1."/>
      <w:numFmt w:val="decimal"/>
      <w:start w:val="7"/>
    </w:lvl>
  </w:abstractNum>
  <w:abstractNum w:abstractNumId="63">
    <w:nsid w:val="98A3148"/>
    <w:multiLevelType w:val="hybridMultilevel"/>
    <w:lvl w:ilvl="0">
      <w:lvlJc w:val="left"/>
      <w:lvlText w:val="(%1)"/>
      <w:numFmt w:val="lowerLetter"/>
      <w:start w:val="1"/>
    </w:lvl>
  </w:abstractNum>
  <w:abstractNum w:abstractNumId="64">
    <w:nsid w:val="799D0247"/>
    <w:multiLevelType w:val="hybridMultilevel"/>
    <w:lvl w:ilvl="0">
      <w:lvlJc w:val="left"/>
      <w:lvlText w:val="(%1)"/>
      <w:numFmt w:val="lowerLetter"/>
      <w:start w:val="2"/>
    </w:lvl>
  </w:abstractNum>
  <w:abstractNum w:abstractNumId="65">
    <w:nsid w:val="6B94764"/>
    <w:multiLevelType w:val="hybridMultilevel"/>
    <w:lvl w:ilvl="0">
      <w:lvlJc w:val="left"/>
      <w:lvlText w:val="%1"/>
      <w:numFmt w:val="decimal"/>
      <w:start w:val="1"/>
    </w:lvl>
    <w:lvl w:ilvl="1">
      <w:lvlJc w:val="left"/>
      <w:lvlText w:val="(%2)"/>
      <w:numFmt w:val="lowerLetter"/>
      <w:start w:val="1"/>
    </w:lvl>
  </w:abstractNum>
  <w:abstractNum w:abstractNumId="66">
    <w:nsid w:val="42C296BD"/>
    <w:multiLevelType w:val="hybridMultilevel"/>
    <w:lvl w:ilvl="0">
      <w:lvlJc w:val="left"/>
      <w:lvlText w:val="%1."/>
      <w:numFmt w:val="decimal"/>
      <w:start w:val="8"/>
    </w:lvl>
    <w:lvl w:ilvl="1">
      <w:lvlJc w:val="left"/>
      <w:lvlText w:val="%2"/>
      <w:numFmt w:val="lowerLetter"/>
      <w:start w:val="1"/>
    </w:lvl>
  </w:abstractNum>
  <w:abstractNum w:abstractNumId="67">
    <w:nsid w:val="168E121F"/>
    <w:multiLevelType w:val="hybridMultilevel"/>
    <w:lvl w:ilvl="0">
      <w:lvlJc w:val="left"/>
      <w:lvlText w:val="(%1)"/>
      <w:numFmt w:val="lowerLetter"/>
      <w:start w:val="1"/>
    </w:lvl>
  </w:abstractNum>
  <w:abstractNum w:abstractNumId="68">
    <w:nsid w:val="1EBA5D23"/>
    <w:multiLevelType w:val="hybridMultilevel"/>
    <w:lvl w:ilvl="0">
      <w:lvlJc w:val="left"/>
      <w:lvlText w:val="(%1)"/>
      <w:numFmt w:val="lowerRoman"/>
      <w:start w:val="2"/>
    </w:lvl>
  </w:abstractNum>
  <w:abstractNum w:abstractNumId="69">
    <w:nsid w:val="661E3F1E"/>
    <w:multiLevelType w:val="hybridMultilevel"/>
    <w:lvl w:ilvl="0">
      <w:lvlJc w:val="left"/>
      <w:lvlText w:val="%1."/>
      <w:numFmt w:val="decimal"/>
      <w:start w:val="1"/>
    </w:lvl>
  </w:abstractNum>
  <w:abstractNum w:abstractNumId="70">
    <w:nsid w:val="5DC79EA8"/>
    <w:multiLevelType w:val="hybridMultilevel"/>
    <w:lvl w:ilvl="0">
      <w:lvlJc w:val="left"/>
      <w:lvlText w:val="%1)"/>
      <w:numFmt w:val="lowerLetter"/>
      <w:start w:val="1"/>
    </w:lvl>
  </w:abstractNum>
  <w:abstractNum w:abstractNumId="71">
    <w:nsid w:val="540A471C"/>
    <w:multiLevelType w:val="hybridMultilevel"/>
    <w:lvl w:ilvl="0">
      <w:lvlJc w:val="left"/>
      <w:lvlText w:val="%1."/>
      <w:numFmt w:val="decimal"/>
      <w:start w:val="5"/>
    </w:lvl>
  </w:abstractNum>
  <w:abstractNum w:abstractNumId="72">
    <w:nsid w:val="7BD3EE7B"/>
    <w:multiLevelType w:val="hybridMultilevel"/>
    <w:lvl w:ilvl="0">
      <w:lvlJc w:val="left"/>
      <w:lvlText w:val="%1)"/>
      <w:numFmt w:val="lowerLetter"/>
      <w:start w:val="1"/>
    </w:lvl>
  </w:abstractNum>
  <w:abstractNum w:abstractNumId="73">
    <w:nsid w:val="51D9C564"/>
    <w:multiLevelType w:val="hybridMultilevel"/>
    <w:lvl w:ilvl="0">
      <w:lvlJc w:val="left"/>
      <w:lvlText w:val="%1."/>
      <w:numFmt w:val="decimal"/>
      <w:start w:val="1"/>
    </w:lvl>
  </w:abstractNum>
  <w:abstractNum w:abstractNumId="74">
    <w:nsid w:val="613EFDC5"/>
    <w:multiLevelType w:val="hybridMultilevel"/>
    <w:lvl w:ilvl="0">
      <w:lvlJc w:val="left"/>
      <w:lvlText w:val="%1)"/>
      <w:numFmt w:val="lowerLetter"/>
      <w:start w:val="1"/>
    </w:lvl>
  </w:abstractNum>
  <w:abstractNum w:abstractNumId="75">
    <w:nsid w:val="BF72B14"/>
    <w:multiLevelType w:val="hybridMultilevel"/>
    <w:lvl w:ilvl="0">
      <w:lvlJc w:val="left"/>
      <w:lvlText w:val="%1."/>
      <w:numFmt w:val="decimal"/>
      <w:start w:val="5"/>
    </w:lvl>
  </w:abstractNum>
  <w:abstractNum w:abstractNumId="76">
    <w:nsid w:val="11447B7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2019-12-29T07:17:13Z</dcterms:created>
  <dcterms:modified xsi:type="dcterms:W3CDTF">2019-12-29T07:17:13Z</dcterms:modified>
</cp:coreProperties>
</file>