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March 7, 2017 (December 23, 2016)</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445" w:right="259" w:bottom="1440" w:gutter="0" w:footer="0" w:header="0"/>
        </w:sectPr>
      </w:pPr>
    </w:p>
    <w:p>
      <w:pPr>
        <w:spacing w:after="0" w:line="207"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2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600" w:space="720"/>
            <w:col w:w="2860" w:space="720"/>
            <w:col w:w="2500"/>
          </w:cols>
          <w:pgMar w:left="240" w:top="445" w:right="259" w:bottom="1440" w:gutter="0" w:footer="0" w:header="0"/>
          <w:type w:val="continuous"/>
        </w:sectPr>
      </w:pP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 and Zip Code)</w:t>
      </w:r>
    </w:p>
    <w:p>
      <w:pPr>
        <w:sectPr>
          <w:pgSz w:w="11900" w:h="16838" w:orient="portrait"/>
          <w:cols w:equalWidth="0" w:num="1">
            <w:col w:w="11400"/>
          </w:cols>
          <w:pgMar w:left="240" w:top="445" w:right="259" w:bottom="1440" w:gutter="0" w:footer="0" w:header="0"/>
          <w:type w:val="continuous"/>
        </w:sect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This Form 8-K/A amends the Current Report on Form 8-K, filed on December 23, 2016 (the “Initial Form 8-K”), to provide the historical financial statement information of XpresSpa and the pro forma financial information referred to in parts (a) and (b) of Item 9.01 below relating to the Merger (as defined below).</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reported, on December 23, 2016, FHXMS, LLC (“</w:t>
      </w:r>
      <w:r>
        <w:rPr>
          <w:rFonts w:ascii="Arial" w:cs="Arial" w:eastAsia="Arial" w:hAnsi="Arial"/>
          <w:sz w:val="18"/>
          <w:szCs w:val="18"/>
          <w:u w:val="single" w:color="auto"/>
          <w:color w:val="auto"/>
        </w:rPr>
        <w:t>Merger Sub</w:t>
      </w:r>
      <w:r>
        <w:rPr>
          <w:rFonts w:ascii="Arial" w:cs="Arial" w:eastAsia="Arial" w:hAnsi="Arial"/>
          <w:sz w:val="18"/>
          <w:szCs w:val="18"/>
          <w:color w:val="auto"/>
        </w:rPr>
        <w:t>”), a Delaware limited liability company and wholly-owned subsidiary of FORM Holdings Corp., a Delaware corporation (“</w:t>
      </w:r>
      <w:r>
        <w:rPr>
          <w:rFonts w:ascii="Arial" w:cs="Arial" w:eastAsia="Arial" w:hAnsi="Arial"/>
          <w:sz w:val="18"/>
          <w:szCs w:val="18"/>
          <w:u w:val="single" w:color="auto"/>
          <w:color w:val="auto"/>
        </w:rPr>
        <w:t>FORM</w:t>
      </w:r>
      <w:r>
        <w:rPr>
          <w:rFonts w:ascii="Arial" w:cs="Arial" w:eastAsia="Arial" w:hAnsi="Arial"/>
          <w:sz w:val="18"/>
          <w:szCs w:val="18"/>
          <w:color w:val="auto"/>
        </w:rPr>
        <w:t>”), merged with and into XpresSpa Holdings, LLC, a Delaware limited liability company (“</w:t>
      </w:r>
      <w:r>
        <w:rPr>
          <w:rFonts w:ascii="Arial" w:cs="Arial" w:eastAsia="Arial" w:hAnsi="Arial"/>
          <w:sz w:val="18"/>
          <w:szCs w:val="18"/>
          <w:u w:val="single" w:color="auto"/>
          <w:color w:val="auto"/>
        </w:rPr>
        <w:t>XpresSpa</w:t>
      </w:r>
      <w:r>
        <w:rPr>
          <w:rFonts w:ascii="Arial" w:cs="Arial" w:eastAsia="Arial" w:hAnsi="Arial"/>
          <w:sz w:val="18"/>
          <w:szCs w:val="18"/>
          <w:color w:val="auto"/>
        </w:rPr>
        <w:t>”), with XpresSpa being the surviving entity and a wholly-owned subsidiary of FORM, pursuant to the terms and conditions of the previously announced Agreement and Plan of Merger, dated as of August 8, 2016, as subsequently amended on September 8, 2016 and October 25, 2016, by and among FORM, Merger Sub, XpresSpa, the unitholders of XpresSpa who are parties thereto or who become parties thereto (the “</w:t>
      </w:r>
      <w:r>
        <w:rPr>
          <w:rFonts w:ascii="Arial" w:cs="Arial" w:eastAsia="Arial" w:hAnsi="Arial"/>
          <w:sz w:val="18"/>
          <w:szCs w:val="18"/>
          <w:u w:val="single" w:color="auto"/>
          <w:color w:val="auto"/>
        </w:rPr>
        <w:t>Unitholders</w:t>
      </w:r>
      <w:r>
        <w:rPr>
          <w:rFonts w:ascii="Arial" w:cs="Arial" w:eastAsia="Arial" w:hAnsi="Arial"/>
          <w:sz w:val="18"/>
          <w:szCs w:val="18"/>
          <w:color w:val="auto"/>
        </w:rPr>
        <w:t>”) and Mistral XH Representative, LLC, as representative of the Unitholders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noted, all other information in the Initial Form 8-K remains unchanged.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 Acquired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audited consolidated financial statements of XpresSpa as of and for the years ended December 31, 2015 and 2014, together with the report of BDO USA, LLP with respect thereto, and the unaudited consolidated financial statements of XpresSpa as of September 30, 2016 and for the nine months ended September 30, 2016 and 2015, are included as Exhibit 99.1 attached hereto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pro forma consolidated and condensed financial statements as of September 30, 2016 and for the nine months ended September 30, 2016 and the unaudited pro forma consolidated and condensed statement of operations for the year ended December 31, 2015 are included as Exhibit 99.2 attached hereto and are incorporated herein by reference.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9800" w:type="dxa"/>
            <w:vAlign w:val="bottom"/>
          </w:tcPr>
          <w:p>
            <w:pPr>
              <w:spacing w:after="0"/>
              <w:rPr>
                <w:sz w:val="20"/>
                <w:szCs w:val="20"/>
                <w:color w:val="auto"/>
              </w:rPr>
            </w:pPr>
          </w:p>
        </w:tc>
      </w:tr>
      <w:tr>
        <w:trPr>
          <w:trHeight w:val="432"/>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9800" w:type="dxa"/>
            <w:vAlign w:val="bottom"/>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2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9"/>
                <w:szCs w:val="19"/>
                <w:color w:val="auto"/>
              </w:rPr>
            </w:pPr>
          </w:p>
        </w:tc>
        <w:tc>
          <w:tcPr>
            <w:tcW w:w="9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Consent of BDO USA, LLP relating to XpresSpa’s financial statements as of and for the years ended December 31, 2015 and 2014.</w:t>
            </w:r>
          </w:p>
        </w:tc>
      </w:tr>
      <w:tr>
        <w:trPr>
          <w:trHeight w:val="404"/>
        </w:trPr>
        <w:tc>
          <w:tcPr>
            <w:tcW w:w="1380" w:type="dxa"/>
            <w:vAlign w:val="bottom"/>
            <w:gridSpan w:val="2"/>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The audited consolidated financial statements of XpresSpa as of December 31, 2015 and 2014, and for each of the two years in the year</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ended December 31, 2015, and the related report of BDO USA, LLP with respect thereto and the unaudited consolidated financial</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statements of XpresSpa as of September 30, 2016 and for the nine months ended September 30, 2016 and 2015.</w:t>
            </w:r>
          </w:p>
        </w:tc>
      </w:tr>
      <w:tr>
        <w:trPr>
          <w:trHeight w:val="418"/>
        </w:trPr>
        <w:tc>
          <w:tcPr>
            <w:tcW w:w="1380" w:type="dxa"/>
            <w:vAlign w:val="bottom"/>
            <w:gridSpan w:val="2"/>
          </w:tcPr>
          <w:p>
            <w:pPr>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The unaudited pro forma consolidated and condensed financial statements as of September 30, 2016 and for the nine months ended</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September 30, 2016 and unaudited pro forma consolidated and condensed statement of operations for the period ended December 31,</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2015.</w:t>
            </w:r>
          </w:p>
        </w:tc>
      </w:tr>
      <w:tr>
        <w:trPr>
          <w:trHeight w:val="675"/>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3"/>
          </w:tcPr>
          <w:p>
            <w:pPr>
              <w:ind w:left="220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Dated: March 7, 2017</w:t>
            </w:r>
          </w:p>
        </w:tc>
        <w:tc>
          <w:tcPr>
            <w:tcW w:w="7660" w:type="dxa"/>
            <w:vAlign w:val="bottom"/>
            <w:gridSpan w:val="3"/>
          </w:tcPr>
          <w:p>
            <w:pPr>
              <w:ind w:left="2200"/>
              <w:spacing w:after="0"/>
              <w:rPr>
                <w:sz w:val="20"/>
                <w:szCs w:val="20"/>
                <w:color w:val="auto"/>
              </w:rPr>
            </w:pPr>
            <w:r>
              <w:rPr>
                <w:rFonts w:ascii="Arial" w:cs="Arial" w:eastAsia="Arial" w:hAnsi="Arial"/>
                <w:sz w:val="18"/>
                <w:szCs w:val="18"/>
                <w:color w:val="auto"/>
              </w:rPr>
              <w:t>By:  /s/ Andrew D. Perlman</w:t>
            </w:r>
          </w:p>
        </w:tc>
      </w:tr>
      <w:tr>
        <w:trPr>
          <w:trHeight w:val="195"/>
        </w:trPr>
        <w:tc>
          <w:tcPr>
            <w:tcW w:w="37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02945" cy="266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94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Auditor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S-3 (File No. 333-205303) and Form S-8 (File Nos. 333-210257, 333-182853 and 333-181477) of FORM Holdings Corp. of our report dated August 15, 2016, relating to the consolidated financial statements of XpresSpa Holdings, LLC for the years ended December 31, 2015 and 2014, included in the Current Report on Form 8-K/A of FORM Holdings Corp.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XpresSpa Holdings, LLC</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and Subsidiaries</w:t>
      </w:r>
    </w:p>
    <w:p>
      <w:pPr>
        <w:spacing w:after="0" w:line="18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Consolidated Financial Statements</w:t>
      </w:r>
    </w:p>
    <w:p>
      <w:pPr>
        <w:spacing w:after="0" w:line="13" w:lineRule="exact"/>
        <w:rPr>
          <w:sz w:val="20"/>
          <w:szCs w:val="20"/>
          <w:color w:val="auto"/>
        </w:rPr>
      </w:pPr>
    </w:p>
    <w:p>
      <w:pPr>
        <w:ind w:left="4520" w:right="40"/>
        <w:spacing w:after="0" w:line="259" w:lineRule="auto"/>
        <w:rPr>
          <w:sz w:val="20"/>
          <w:szCs w:val="20"/>
          <w:color w:val="auto"/>
        </w:rPr>
      </w:pPr>
      <w:r>
        <w:rPr>
          <w:rFonts w:ascii="Arial" w:cs="Arial" w:eastAsia="Arial" w:hAnsi="Arial"/>
          <w:sz w:val="18"/>
          <w:szCs w:val="18"/>
          <w:color w:val="auto"/>
        </w:rPr>
        <w:t>Nine Months Ended September 30, 2016 and Years Ended December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555625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22"/>
          <w:szCs w:val="22"/>
          <w:b w:val="1"/>
          <w:bCs w:val="1"/>
          <w:color w:val="auto"/>
        </w:rPr>
        <w:t>XpresSpa Holdings, LLC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Consolidated Financial Statements</w:t>
      </w:r>
    </w:p>
    <w:p>
      <w:pPr>
        <w:spacing w:after="0" w:line="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Nine Months Ended September 30, 2016 and</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Years Ended December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Independent Auditor’s Report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Balance Sheets as of September 30, 2016 (Unaudited) and December 31, 2015 and 2014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Statements of Operations for the Nine Months Ended September 30, 2016 (Unaudited) and 2015 (Unaudited) and for the Years Ended</w:t>
            </w: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2015 and 2014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Statements of Comprehensive Loss for the Nine Months Ended September 30, 2016 (Unaudited) and 2015 (Unaudited) and for the Years</w:t>
            </w: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Ended December 31, 2015 and 2014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Statements of Changes in Members’ Equity for the Nine Months Ended September 30, 2016 (Unaudited) and for the Years Ended and</w:t>
            </w: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2015 and 2014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Statements of Cash Flows for the Nine Months Ended September 30, 2016 (Unaudited) and 2015 (Unaudited) and for the Years Ended</w:t>
            </w: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December 31, 2015 and 2014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to Consolidated Financial Statements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0480" w:type="dxa"/>
            <w:vAlign w:val="bottom"/>
            <w:tcBorders>
              <w:bottom w:val="single" w:sz="8" w:color="auto"/>
            </w:tcBorders>
          </w:tcPr>
          <w:p>
            <w:pPr>
              <w:ind w:left="5620"/>
              <w:spacing w:after="0"/>
              <w:rPr>
                <w:sz w:val="20"/>
                <w:szCs w:val="20"/>
                <w:color w:val="auto"/>
              </w:rPr>
            </w:pPr>
            <w:r>
              <w:rPr>
                <w:rFonts w:ascii="Arial" w:cs="Arial" w:eastAsia="Arial" w:hAnsi="Arial"/>
                <w:sz w:val="22"/>
                <w:szCs w:val="22"/>
                <w:b w:val="1"/>
                <w:bCs w:val="1"/>
                <w:color w:val="auto"/>
              </w:rPr>
              <w:t>2</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XpresSpa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financial statements of XpresSpa Holdings, LLC and its subsidiaries, which comprise the consolidated balance sheets as of December 31, 2015 and 2014, and the related consolidated statements of operations, comprehensive loss, changes in members’ equity, and cash flows for the years then ended, and the related notes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00" w:lineRule="exact"/>
        <w:rPr>
          <w:sz w:val="20"/>
          <w:szCs w:val="20"/>
          <w:color w:val="auto"/>
        </w:rPr>
      </w:pPr>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Opinion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XpresSpa Holdings, LLC and its subsidiaries as of December 31, 2015 and 2014, and the results of their operations and their cash flows for the years then ended in accordance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15, 2016</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2,733,108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4,177,465</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2,191,575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55,550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49,920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43,019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net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2,485,248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2,538,367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1,877,847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368,237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383,866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684,449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5,642,143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7,149,618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4,796,890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Spa Leasehold Improvements, Property and Equipment, Net (Note 3)</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14,191,245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14,422,011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14,428,849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634,306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634,306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495,718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Pending location acquisition costs (Note 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8"/>
                <w:szCs w:val="18"/>
                <w:color w:val="auto"/>
              </w:rPr>
              <w:t>Intangible assets, net (Note 6)</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1,338,739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1,843,970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2,063,652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Security deposits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792,925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467,872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2,765,970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2,966,148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3,032,619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22,599,358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24,537,777</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22,258,358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1,507,340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1,578,244</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2,346,545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taxes payable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3,477,652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3,109,501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1,528,926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8"/>
                <w:szCs w:val="18"/>
                <w:color w:val="auto"/>
              </w:rPr>
              <w:t>Notes payable – credit card financing</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467,621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 payable – member (Note 8)</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5,478,113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4,713,245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3,900,971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8"/>
                <w:szCs w:val="18"/>
                <w:color w:val="auto"/>
              </w:rPr>
              <w:t>Note payable, net – member (Note 7)</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5,895,181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5,722,955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payable – bank (Note 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5,951,409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207,641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260,057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257,026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to affiliates (Note 9)</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175,163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175,163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Other Liabilities</w:t>
            </w: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6,277,985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6,158,175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6,383,598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11,756,098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10,871,420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10,284,569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 (Note 11):</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8"/>
                <w:szCs w:val="18"/>
                <w:color w:val="auto"/>
              </w:rPr>
              <w:t>Series C preferred</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1,733,830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Series B preferred</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8"/>
                <w:szCs w:val="18"/>
                <w:color w:val="auto"/>
              </w:rPr>
              <w:t>Series A preferred</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6,999,110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6,999,110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units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23,726,136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23,726,136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23,726,136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294,300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294,300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(26,877,711)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(20,806,333)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(12,665,713)</w:t>
            </w: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(435,933)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(449,944)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(86,302)</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XpresSpa Holdings, LLC and Subsidiaries Members’ Equity</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8,689,732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12,263,269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10,974,121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2,153,528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1,403,088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999,668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Members’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10,843,260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13,666,357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11,973,789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22,599,358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24,537,777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22,258,358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Nine Months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Nine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160" w:type="dxa"/>
            <w:vAlign w:val="bottom"/>
          </w:tcPr>
          <w:p>
            <w:pPr>
              <w:spacing w:after="0"/>
              <w:rPr>
                <w:sz w:val="18"/>
                <w:szCs w:val="18"/>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Services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26,252,829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24,541,670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32,457,355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32,045,406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6,164,996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4,743,491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6,385,582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5,301,124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32,417,825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29,285,161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38,842,937</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37,346,530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Services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20,888,116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18,951,277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25,109,831</w:t>
            </w:r>
          </w:p>
        </w:tc>
        <w:tc>
          <w:tcPr>
            <w:tcW w:w="16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23,711,044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2,101,002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1,925,465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2,559,656</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1,846,503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Cost of Revenues</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22,989,118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20,876,742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27,669,487</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25,557,547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9,428,707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8,408,419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11,173,450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11,788,983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14,677,724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13,433,435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18,451,996</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15,668,716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w w:val="98"/>
              </w:rPr>
              <w:t>Loss From Operations Before Special Charges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(5,249,017)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(5,025,016)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(7,278,546)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(3,879,733)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Special Charges: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disposal of property and equipment (Note 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(121,542)</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(767,593)</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(5,319,990)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(5,025,016)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(7,400,088)</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(4,647,326)</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Arial" w:cs="Arial" w:eastAsia="Arial" w:hAnsi="Arial"/>
                <w:sz w:val="18"/>
                <w:szCs w:val="18"/>
                <w:color w:val="auto"/>
              </w:rPr>
              <w:t>Finance costs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30,102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32,395</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50,417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824,767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635,834</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Other Expenses</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825,038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489,259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668,229</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240,985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Loss Before Provision for Income Taxes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(6,145,028)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(5,514,275)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(8,068,317)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(4,888,311)</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Provision for Income Taxes (Note 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tax expense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7,261</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(6,166,585)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(5,588,720)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(8,075,578)</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(4,906,593)</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Net Loss (Income) Attributable to Noncontrolling Interests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16,817</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(108,970)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Net Loss Attributable to XpresSpa Holdings, LLC and</w:t>
            </w: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20" w:type="dxa"/>
            <w:vAlign w:val="bottom"/>
            <w:vMerge w:val="continue"/>
          </w:tcPr>
          <w:p>
            <w:pPr>
              <w:spacing w:after="0"/>
              <w:rPr>
                <w:sz w:val="15"/>
                <w:szCs w:val="15"/>
                <w:color w:val="auto"/>
              </w:rPr>
            </w:pPr>
          </w:p>
        </w:tc>
        <w:tc>
          <w:tcPr>
            <w:tcW w:w="8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(6,071,378)</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(5,607,984)</w:t>
            </w: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(8,058,761)</w:t>
            </w: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(5,015,563)</w:t>
            </w:r>
          </w:p>
        </w:tc>
        <w:tc>
          <w:tcPr>
            <w:tcW w:w="0" w:type="dxa"/>
            <w:vAlign w:val="bottom"/>
          </w:tcPr>
          <w:p>
            <w:pPr>
              <w:spacing w:after="0"/>
              <w:rPr>
                <w:sz w:val="1"/>
                <w:szCs w:val="1"/>
                <w:color w:val="auto"/>
              </w:rPr>
            </w:pPr>
          </w:p>
        </w:tc>
      </w:tr>
      <w:tr>
        <w:trPr>
          <w:trHeight w:val="221"/>
        </w:trPr>
        <w:tc>
          <w:tcPr>
            <w:tcW w:w="4620" w:type="dxa"/>
            <w:vAlign w:val="bottom"/>
          </w:tcPr>
          <w:p>
            <w:pPr>
              <w:ind w:left="140"/>
              <w:spacing w:after="0"/>
              <w:rPr>
                <w:sz w:val="20"/>
                <w:szCs w:val="20"/>
                <w:color w:val="auto"/>
              </w:rPr>
            </w:pPr>
            <w:r>
              <w:rPr>
                <w:rFonts w:ascii="Arial" w:cs="Arial" w:eastAsia="Arial" w:hAnsi="Arial"/>
                <w:sz w:val="18"/>
                <w:szCs w:val="18"/>
                <w:b w:val="1"/>
                <w:bCs w:val="1"/>
                <w:color w:val="auto"/>
              </w:rPr>
              <w:t>Subsidiaries</w:t>
            </w:r>
          </w:p>
        </w:tc>
        <w:tc>
          <w:tcPr>
            <w:tcW w:w="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Nine Months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Nine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4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178"/>
        </w:trPr>
        <w:tc>
          <w:tcPr>
            <w:tcW w:w="43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Loss Attributable to XpresSpa</w:t>
            </w: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Holdings, LLC and Subsidiaries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(6,071,378)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(5,607,984)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(8,058,761)</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(5,015,563)</w:t>
            </w: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w w:val="99"/>
              </w:rPr>
              <w:t>Foreign Currency Translation Adjustment (Note 14)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14,011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(326,347)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(363,642)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(81,834)</w:t>
            </w:r>
          </w:p>
        </w:tc>
      </w:tr>
      <w:tr>
        <w:trPr>
          <w:trHeight w:val="21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(6,057,367</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(5,934,331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(8,422,403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(5,097,397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2" w:name="page13"/>
    <w:bookmarkEnd w:id="12"/>
    <w:p>
      <w:pPr>
        <w:jc w:val="center"/>
        <w:ind w:right="100"/>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 ended December 31, 2014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9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5"/>
          </w:tcPr>
          <w:p>
            <w:pPr>
              <w:jc w:val="center"/>
              <w:ind w:right="19"/>
              <w:spacing w:after="0" w:line="119" w:lineRule="exact"/>
              <w:rPr>
                <w:sz w:val="20"/>
                <w:szCs w:val="20"/>
                <w:color w:val="auto"/>
              </w:rPr>
            </w:pPr>
            <w:r>
              <w:rPr>
                <w:rFonts w:ascii="Arial" w:cs="Arial" w:eastAsia="Arial" w:hAnsi="Arial"/>
                <w:sz w:val="13"/>
                <w:szCs w:val="13"/>
                <w:b w:val="1"/>
                <w:bCs w:val="1"/>
                <w:color w:val="auto"/>
              </w:rPr>
              <w:t>Accumulated</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P-1 Preferred</w:t>
            </w:r>
          </w:p>
        </w:tc>
        <w:tc>
          <w:tcPr>
            <w:tcW w:w="40" w:type="dxa"/>
            <w:vAlign w:val="bottom"/>
          </w:tcPr>
          <w:p>
            <w:pPr>
              <w:spacing w:after="0"/>
              <w:rPr>
                <w:sz w:val="12"/>
                <w:szCs w:val="12"/>
                <w:color w:val="auto"/>
              </w:rPr>
            </w:pPr>
          </w:p>
        </w:tc>
        <w:tc>
          <w:tcPr>
            <w:tcW w:w="9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P-2 Preferred</w:t>
            </w:r>
          </w:p>
        </w:tc>
        <w:tc>
          <w:tcPr>
            <w:tcW w:w="9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P-3 Preferred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Old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New</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5"/>
            <w:vMerge w:val="restart"/>
          </w:tcPr>
          <w:p>
            <w:pPr>
              <w:jc w:val="right"/>
              <w:ind w:right="79"/>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8"/>
            <w:vMerge w:val="restart"/>
          </w:tcPr>
          <w:p>
            <w:pPr>
              <w:ind w:left="40"/>
              <w:spacing w:after="0"/>
              <w:rPr>
                <w:sz w:val="20"/>
                <w:szCs w:val="20"/>
                <w:color w:val="auto"/>
              </w:rPr>
            </w:pPr>
            <w:r>
              <w:rPr>
                <w:rFonts w:ascii="Arial" w:cs="Arial" w:eastAsia="Arial" w:hAnsi="Arial"/>
                <w:sz w:val="14"/>
                <w:szCs w:val="14"/>
                <w:b w:val="1"/>
                <w:bCs w:val="1"/>
                <w:color w:val="auto"/>
                <w:w w:val="94"/>
              </w:rPr>
              <w:t>Noncontrolling</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1000" w:type="dxa"/>
            <w:vAlign w:val="bottom"/>
            <w:gridSpan w:val="5"/>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4"/>
                <w:szCs w:val="14"/>
                <w:color w:val="auto"/>
              </w:rPr>
            </w:pPr>
          </w:p>
        </w:tc>
        <w:tc>
          <w:tcPr>
            <w:tcW w:w="7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Units</w:t>
            </w:r>
          </w:p>
        </w:tc>
        <w:tc>
          <w:tcPr>
            <w:tcW w:w="1960" w:type="dxa"/>
            <w:vAlign w:val="bottom"/>
            <w:gridSpan w:val="11"/>
          </w:tcPr>
          <w:p>
            <w:pPr>
              <w:ind w:left="20"/>
              <w:spacing w:after="0"/>
              <w:rPr>
                <w:sz w:val="20"/>
                <w:szCs w:val="20"/>
                <w:color w:val="auto"/>
              </w:rPr>
            </w:pPr>
            <w:r>
              <w:rPr>
                <w:rFonts w:ascii="Arial" w:cs="Arial" w:eastAsia="Arial" w:hAnsi="Arial"/>
                <w:sz w:val="14"/>
                <w:szCs w:val="14"/>
                <w:b w:val="1"/>
                <w:bCs w:val="1"/>
                <w:color w:val="auto"/>
                <w:w w:val="94"/>
              </w:rPr>
              <w:t>Common Units Common Units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Interests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2014</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4,900,641</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16,799,287</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1,880,684</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(3,102,873)</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(7,650,150)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(4,468)</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5"/>
            <w:shd w:val="clear" w:color="auto" w:fill="CCEEFF"/>
          </w:tcPr>
          <w:p>
            <w:pPr>
              <w:jc w:val="right"/>
              <w:spacing w:after="0" w:line="142" w:lineRule="exact"/>
              <w:rPr>
                <w:sz w:val="20"/>
                <w:szCs w:val="20"/>
                <w:color w:val="auto"/>
              </w:rPr>
            </w:pPr>
            <w:r>
              <w:rPr>
                <w:rFonts w:ascii="Arial" w:cs="Arial" w:eastAsia="Arial" w:hAnsi="Arial"/>
                <w:sz w:val="14"/>
                <w:szCs w:val="14"/>
                <w:color w:val="auto"/>
              </w:rPr>
              <w:t>988,237</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$ 13,811,358</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Capital contributed (Note 11)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3,241,230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2,336,022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3"/>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388,000</w:t>
            </w:r>
          </w:p>
        </w:tc>
        <w:tc>
          <w:tcPr>
            <w:tcW w:w="8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5,965,252</w:t>
            </w: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Syndication costs (Note 11)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(128,855)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(128,855)</w:t>
            </w: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Distributions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(2,200,000)</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3"/>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(485,539)</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(2,685,539)</w:t>
            </w: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Recapitalization transaction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(4,900,641)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95"/>
              </w:rPr>
              <w:t>(16,799,287)</w:t>
            </w:r>
          </w:p>
        </w:tc>
        <w:tc>
          <w:tcPr>
            <w:tcW w:w="14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(4,993,059)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3,102,873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23,590,114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60" w:type="dxa"/>
            <w:vAlign w:val="bottom"/>
            <w:gridSpan w:val="6"/>
          </w:tcPr>
          <w:p>
            <w:pPr>
              <w:jc w:val="right"/>
              <w:ind w:right="19"/>
              <w:spacing w:after="0" w:line="149" w:lineRule="exact"/>
              <w:rPr>
                <w:sz w:val="20"/>
                <w:szCs w:val="20"/>
                <w:color w:val="auto"/>
              </w:rPr>
            </w:pPr>
            <w:r>
              <w:rPr>
                <w:rFonts w:ascii="Arial" w:cs="Arial" w:eastAsia="Arial" w:hAnsi="Arial"/>
                <w:sz w:val="14"/>
                <w:szCs w:val="14"/>
                <w:color w:val="auto"/>
              </w:rPr>
              <w:t>(5,015,563)</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108,970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(4,906,593)</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w w:val="94"/>
              </w:rPr>
              <w:t>Foreign currency translation adjustment (Note 14)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gridSpan w:val="3"/>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(81,834)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(81,834)</w:t>
            </w:r>
          </w:p>
        </w:tc>
        <w:tc>
          <w:tcPr>
            <w:tcW w:w="0" w:type="dxa"/>
            <w:vAlign w:val="bottom"/>
          </w:tcPr>
          <w:p>
            <w:pPr>
              <w:spacing w:after="0"/>
              <w:rPr>
                <w:sz w:val="1"/>
                <w:szCs w:val="1"/>
                <w:color w:val="auto"/>
              </w:rPr>
            </w:pPr>
          </w:p>
        </w:tc>
      </w:tr>
      <w:tr>
        <w:trPr>
          <w:trHeight w:val="156"/>
        </w:trPr>
        <w:tc>
          <w:tcPr>
            <w:tcW w:w="29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December 31, 2014</w:t>
            </w: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23,726,136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w w:val="94"/>
              </w:rPr>
              <w:t>$ (12,665,713</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(86,302</w:t>
            </w:r>
          </w:p>
        </w:tc>
        <w:tc>
          <w:tcPr>
            <w:tcW w:w="10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5"/>
          </w:tcPr>
          <w:p>
            <w:pPr>
              <w:jc w:val="right"/>
              <w:spacing w:after="0" w:line="155" w:lineRule="exact"/>
              <w:rPr>
                <w:sz w:val="20"/>
                <w:szCs w:val="20"/>
                <w:color w:val="auto"/>
              </w:rPr>
            </w:pPr>
            <w:r>
              <w:rPr>
                <w:rFonts w:ascii="Arial" w:cs="Arial" w:eastAsia="Arial" w:hAnsi="Arial"/>
                <w:sz w:val="14"/>
                <w:szCs w:val="14"/>
                <w:color w:val="auto"/>
              </w:rPr>
              <w:t>999,668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11,973,789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4"/>
                <w:szCs w:val="14"/>
                <w:i w:val="1"/>
                <w:iCs w:val="1"/>
                <w:color w:val="auto"/>
              </w:rPr>
              <w:t>Year ended December 31, 2015</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9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5"/>
          </w:tcPr>
          <w:p>
            <w:pPr>
              <w:jc w:val="center"/>
              <w:ind w:right="48"/>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920" w:type="dxa"/>
            <w:vAlign w:val="bottom"/>
            <w:gridSpan w:val="6"/>
            <w:vMerge w:val="restart"/>
          </w:tcPr>
          <w:p>
            <w:pPr>
              <w:jc w:val="right"/>
              <w:ind w:right="39"/>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6"/>
            <w:vMerge w:val="restart"/>
          </w:tcPr>
          <w:p>
            <w:pPr>
              <w:jc w:val="right"/>
              <w:ind w:right="60"/>
              <w:spacing w:after="0"/>
              <w:rPr>
                <w:sz w:val="20"/>
                <w:szCs w:val="20"/>
                <w:color w:val="auto"/>
              </w:rPr>
            </w:pPr>
            <w:r>
              <w:rPr>
                <w:rFonts w:ascii="Arial" w:cs="Arial" w:eastAsia="Arial" w:hAnsi="Arial"/>
                <w:sz w:val="14"/>
                <w:szCs w:val="14"/>
                <w:b w:val="1"/>
                <w:bCs w:val="1"/>
                <w:color w:val="auto"/>
                <w:w w:val="92"/>
              </w:rPr>
              <w:t>Noncontrolling</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w w:val="96"/>
              </w:rPr>
              <w:t>Common Units</w:t>
            </w:r>
          </w:p>
        </w:tc>
        <w:tc>
          <w:tcPr>
            <w:tcW w:w="40" w:type="dxa"/>
            <w:vAlign w:val="bottom"/>
          </w:tcPr>
          <w:p>
            <w:pPr>
              <w:spacing w:after="0"/>
              <w:rPr>
                <w:sz w:val="12"/>
                <w:szCs w:val="12"/>
                <w:color w:val="auto"/>
              </w:rPr>
            </w:pPr>
          </w:p>
        </w:tc>
        <w:tc>
          <w:tcPr>
            <w:tcW w:w="124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9"/>
              </w:rPr>
              <w:t>Series A Preferred</w:t>
            </w:r>
          </w:p>
        </w:tc>
        <w:tc>
          <w:tcPr>
            <w:tcW w:w="11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1"/>
              </w:rPr>
              <w:t>Series B Preferred</w:t>
            </w:r>
          </w:p>
        </w:tc>
        <w:tc>
          <w:tcPr>
            <w:tcW w:w="10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920" w:type="dxa"/>
            <w:vAlign w:val="bottom"/>
            <w:gridSpan w:val="6"/>
            <w:vMerge w:val="continue"/>
          </w:tcPr>
          <w:p>
            <w:pPr>
              <w:spacing w:after="0"/>
              <w:rPr>
                <w:sz w:val="12"/>
                <w:szCs w:val="12"/>
                <w:color w:val="auto"/>
              </w:rPr>
            </w:pPr>
          </w:p>
        </w:tc>
        <w:tc>
          <w:tcPr>
            <w:tcW w:w="110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6"/>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1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6"/>
              </w:rPr>
              <w:t>Paid-in Capital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w w:val="93"/>
              </w:rPr>
              <w:t>Deficit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Interests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2014</w:t>
            </w:r>
          </w:p>
        </w:tc>
        <w:tc>
          <w:tcPr>
            <w:tcW w:w="8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23,726,136</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(12,665,713)</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(86,302)</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19"/>
              <w:spacing w:after="0" w:line="142"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999,668</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800" w:type="dxa"/>
            <w:vAlign w:val="bottom"/>
            <w:tcBorders>
              <w:top w:val="single" w:sz="8" w:color="auto"/>
              <w:right w:val="single" w:sz="8" w:color="CCEEFF"/>
            </w:tcBorders>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$ 11,973,789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Capital contributed (Note 11)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6,999,110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2,500,000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666,776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1"/>
              </w:rPr>
              <w:t>10,165,886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(328,398)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(328,398)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Issuance of warrants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294,300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ind w:right="3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294,300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Deconsolidation of noncontrolling interest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(81,859)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81,859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2"/>
              </w:rPr>
              <w:t>(8,058,761)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(16,817)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(8,075,578)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w w:val="94"/>
              </w:rPr>
              <w:t>Foreign currency translation adjustment (Note 14)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(363,642)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(363,642)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December 31, 2015</w:t>
            </w:r>
          </w:p>
        </w:tc>
        <w:tc>
          <w:tcPr>
            <w:tcW w:w="80" w:type="dxa"/>
            <w:vAlign w:val="bottom"/>
            <w:gridSpan w:val="2"/>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23,726,136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6,999,110</w:t>
            </w:r>
          </w:p>
        </w:tc>
        <w:tc>
          <w:tcPr>
            <w:tcW w:w="100" w:type="dxa"/>
            <w:vAlign w:val="bottom"/>
          </w:tcPr>
          <w:p>
            <w:pPr>
              <w:spacing w:after="0"/>
              <w:rPr>
                <w:sz w:val="13"/>
                <w:szCs w:val="13"/>
                <w:color w:val="auto"/>
              </w:rPr>
            </w:pPr>
          </w:p>
        </w:tc>
        <w:tc>
          <w:tcPr>
            <w:tcW w:w="380" w:type="dxa"/>
            <w:vAlign w:val="bottom"/>
            <w:tcBorders>
              <w:top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2,500,000</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294,300</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0"/>
              </w:rPr>
              <w:t>(20,806,333</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(449,944</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gridSpan w:val="2"/>
          </w:tcPr>
          <w:p>
            <w:pPr>
              <w:jc w:val="right"/>
              <w:ind w:right="19"/>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1,403,088</w:t>
            </w: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w w:val="88"/>
              </w:rPr>
              <w:t>$ 13,666,357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Nine Months ended September 30, 2016 (Unaudited)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9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center"/>
              <w:ind w:right="59"/>
              <w:spacing w:after="0" w:line="119" w:lineRule="exact"/>
              <w:rPr>
                <w:sz w:val="20"/>
                <w:szCs w:val="20"/>
                <w:color w:val="auto"/>
              </w:rPr>
            </w:pPr>
            <w:r>
              <w:rPr>
                <w:rFonts w:ascii="Arial" w:cs="Arial" w:eastAsia="Arial" w:hAnsi="Arial"/>
                <w:sz w:val="13"/>
                <w:szCs w:val="13"/>
                <w:b w:val="1"/>
                <w:bCs w:val="1"/>
                <w:color w:val="auto"/>
              </w:rPr>
              <w:t>Accumulated</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Series A</w:t>
            </w:r>
          </w:p>
        </w:tc>
        <w:tc>
          <w:tcPr>
            <w:tcW w:w="4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Series B</w:t>
            </w:r>
          </w:p>
        </w:tc>
        <w:tc>
          <w:tcPr>
            <w:tcW w:w="80" w:type="dxa"/>
            <w:vAlign w:val="bottom"/>
          </w:tcPr>
          <w:p>
            <w:pPr>
              <w:spacing w:after="0"/>
              <w:rPr>
                <w:sz w:val="12"/>
                <w:szCs w:val="12"/>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Series C</w:t>
            </w:r>
          </w:p>
        </w:tc>
        <w:tc>
          <w:tcPr>
            <w:tcW w:w="10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860" w:type="dxa"/>
            <w:vAlign w:val="bottom"/>
            <w:gridSpan w:val="2"/>
          </w:tcPr>
          <w:p>
            <w:pPr>
              <w:jc w:val="center"/>
              <w:ind w:right="239"/>
              <w:spacing w:after="0" w:line="149"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 Units</w:t>
            </w: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40" w:type="dxa"/>
            <w:vAlign w:val="bottom"/>
            <w:gridSpan w:val="3"/>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4"/>
            <w:vMerge w:val="continue"/>
          </w:tcPr>
          <w:p>
            <w:pPr>
              <w:spacing w:after="0"/>
              <w:rPr>
                <w:sz w:val="12"/>
                <w:szCs w:val="12"/>
                <w:color w:val="auto"/>
              </w:rPr>
            </w:pPr>
          </w:p>
        </w:tc>
        <w:tc>
          <w:tcPr>
            <w:tcW w:w="8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Preferred</w:t>
            </w:r>
          </w:p>
        </w:tc>
        <w:tc>
          <w:tcPr>
            <w:tcW w:w="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Preferred</w:t>
            </w: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Preferred</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86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Interests</w:t>
            </w: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2016</w:t>
            </w: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23,726,136</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$ 6,999,110</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$ 2,500,000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294,300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(20,806,333)</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(449,944)</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1,403,088</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$ 13,666,357</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line="149" w:lineRule="exact"/>
              <w:rPr>
                <w:sz w:val="20"/>
                <w:szCs w:val="20"/>
                <w:color w:val="auto"/>
              </w:rPr>
            </w:pPr>
            <w:r>
              <w:rPr>
                <w:rFonts w:ascii="Arial" w:cs="Arial" w:eastAsia="Arial" w:hAnsi="Arial"/>
                <w:sz w:val="14"/>
                <w:szCs w:val="14"/>
                <w:color w:val="auto"/>
              </w:rPr>
              <w:t>Capital contributed (Note 11)</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750,000</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1,733,830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1,104,017</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3,587,847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(258,370)</w:t>
            </w:r>
          </w:p>
        </w:tc>
        <w:tc>
          <w:tcPr>
            <w:tcW w:w="8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(258,370)</w:t>
            </w:r>
          </w:p>
        </w:tc>
        <w:tc>
          <w:tcPr>
            <w:tcW w:w="0" w:type="dxa"/>
            <w:vAlign w:val="bottom"/>
          </w:tcPr>
          <w:p>
            <w:pPr>
              <w:spacing w:after="0"/>
              <w:rPr>
                <w:sz w:val="1"/>
                <w:szCs w:val="1"/>
                <w:color w:val="auto"/>
              </w:rPr>
            </w:pPr>
          </w:p>
        </w:tc>
      </w:tr>
      <w:tr>
        <w:trPr>
          <w:trHeight w:val="149"/>
        </w:trPr>
        <w:tc>
          <w:tcPr>
            <w:tcW w:w="29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(6,071,378)</w:t>
            </w:r>
          </w:p>
        </w:tc>
        <w:tc>
          <w:tcPr>
            <w:tcW w:w="180" w:type="dxa"/>
            <w:vAlign w:val="bottom"/>
          </w:tcPr>
          <w:p>
            <w:pPr>
              <w:spacing w:after="0"/>
              <w:rPr>
                <w:sz w:val="12"/>
                <w:szCs w:val="12"/>
                <w:color w:val="auto"/>
              </w:rPr>
            </w:pPr>
          </w:p>
        </w:tc>
        <w:tc>
          <w:tcPr>
            <w:tcW w:w="8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(95,207)</w:t>
            </w:r>
          </w:p>
        </w:tc>
        <w:tc>
          <w:tcPr>
            <w:tcW w:w="8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(6,166,585)</w:t>
            </w: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Foreign currency translation adjustment (Note 14)</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14,011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line="142" w:lineRule="exact"/>
              <w:rPr>
                <w:sz w:val="20"/>
                <w:szCs w:val="20"/>
                <w:color w:val="auto"/>
              </w:rPr>
            </w:pPr>
            <w:r>
              <w:rPr>
                <w:rFonts w:ascii="Arial" w:cs="Arial" w:eastAsia="Arial" w:hAnsi="Arial"/>
                <w:sz w:val="14"/>
                <w:szCs w:val="14"/>
                <w:b w:val="1"/>
                <w:bCs w:val="1"/>
                <w:color w:val="auto"/>
              </w:rPr>
              <w:t>Balance, September 30, 2016</w:t>
            </w: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23,726,136</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$ 6,999,110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$ 3,250,000</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1,733,830</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294,300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(26,877,711</w:t>
            </w:r>
          </w:p>
        </w:tc>
        <w:tc>
          <w:tcPr>
            <w:tcW w:w="160" w:type="dxa"/>
            <w:vAlign w:val="bottom"/>
          </w:tcPr>
          <w:p>
            <w:pPr>
              <w:jc w:val="right"/>
              <w:ind w:right="28"/>
              <w:spacing w:after="0" w:line="142"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(435,933</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2,153,528</w:t>
            </w:r>
          </w:p>
        </w:tc>
        <w:tc>
          <w:tcPr>
            <w:tcW w:w="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$ 10,843,260</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520"/>
          </w:cols>
          <w:pgMar w:left="240" w:top="895" w:right="1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Nine Months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76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Nine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(6,166,585)</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(5,588,720)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(8,075,578)</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(4,906,593)</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Adjustments to reconcile net loss to net cash used in</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2,915,334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3,575,591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4,332,694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3,741,949</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disposal of property and equipment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121,542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767,593</w:t>
            </w:r>
          </w:p>
        </w:tc>
        <w:tc>
          <w:tcPr>
            <w:tcW w:w="0" w:type="dxa"/>
            <w:vAlign w:val="bottom"/>
          </w:tcPr>
          <w:p>
            <w:pPr>
              <w:spacing w:after="0"/>
              <w:rPr>
                <w:sz w:val="1"/>
                <w:szCs w:val="1"/>
                <w:color w:val="auto"/>
              </w:rPr>
            </w:pPr>
          </w:p>
        </w:tc>
      </w:tr>
      <w:tr>
        <w:trPr>
          <w:trHeight w:val="216"/>
        </w:trPr>
        <w:tc>
          <w:tcPr>
            <w:tcW w:w="4440" w:type="dxa"/>
            <w:vAlign w:val="bottom"/>
          </w:tcPr>
          <w:p>
            <w:pPr>
              <w:ind w:left="400"/>
              <w:spacing w:after="0"/>
              <w:rPr>
                <w:sz w:val="20"/>
                <w:szCs w:val="20"/>
                <w:color w:val="auto"/>
              </w:rPr>
            </w:pPr>
            <w:r>
              <w:rPr>
                <w:rFonts w:ascii="Arial" w:cs="Arial" w:eastAsia="Arial" w:hAnsi="Arial"/>
                <w:sz w:val="18"/>
                <w:szCs w:val="18"/>
                <w:color w:val="auto"/>
              </w:rPr>
              <w:t>Accretion of debt discount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88,943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62,288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102,000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deferred finance charges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51,667</w:t>
            </w:r>
          </w:p>
        </w:tc>
        <w:tc>
          <w:tcPr>
            <w:tcW w:w="0" w:type="dxa"/>
            <w:vAlign w:val="bottom"/>
          </w:tcPr>
          <w:p>
            <w:pPr>
              <w:spacing w:after="0"/>
              <w:rPr>
                <w:sz w:val="1"/>
                <w:szCs w:val="1"/>
                <w:color w:val="auto"/>
              </w:rPr>
            </w:pPr>
          </w:p>
        </w:tc>
      </w:tr>
      <w:tr>
        <w:trPr>
          <w:trHeight w:val="216"/>
        </w:trPr>
        <w:tc>
          <w:tcPr>
            <w:tcW w:w="444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16"/>
        </w:trPr>
        <w:tc>
          <w:tcPr>
            <w:tcW w:w="4440" w:type="dxa"/>
            <w:vAlign w:val="bottom"/>
          </w:tcPr>
          <w:p>
            <w:pPr>
              <w:ind w:left="5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59,541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(205,511)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(668,275)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(290,602)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300,509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(259,244)</w:t>
            </w:r>
          </w:p>
        </w:tc>
        <w:tc>
          <w:tcPr>
            <w:tcW w:w="0" w:type="dxa"/>
            <w:vAlign w:val="bottom"/>
          </w:tcPr>
          <w:p>
            <w:pPr>
              <w:spacing w:after="0"/>
              <w:rPr>
                <w:sz w:val="1"/>
                <w:szCs w:val="1"/>
                <w:color w:val="auto"/>
              </w:rPr>
            </w:pPr>
          </w:p>
        </w:tc>
      </w:tr>
      <w:tr>
        <w:trPr>
          <w:trHeight w:val="216"/>
        </w:trPr>
        <w:tc>
          <w:tcPr>
            <w:tcW w:w="4440" w:type="dxa"/>
            <w:vAlign w:val="bottom"/>
          </w:tcPr>
          <w:p>
            <w:pPr>
              <w:ind w:left="520"/>
              <w:spacing w:after="0"/>
              <w:rPr>
                <w:sz w:val="20"/>
                <w:szCs w:val="20"/>
                <w:color w:val="auto"/>
              </w:rPr>
            </w:pPr>
            <w:r>
              <w:rPr>
                <w:rFonts w:ascii="Arial" w:cs="Arial" w:eastAsia="Arial" w:hAnsi="Arial"/>
                <w:sz w:val="18"/>
                <w:szCs w:val="18"/>
                <w:color w:val="auto"/>
              </w:rPr>
              <w:t>Security deposits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(322,632)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(149,409)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(151,409)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(167,077)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Pending location costs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(337,398)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112,868</w:t>
            </w:r>
          </w:p>
        </w:tc>
        <w:tc>
          <w:tcPr>
            <w:tcW w:w="0" w:type="dxa"/>
            <w:vAlign w:val="bottom"/>
          </w:tcPr>
          <w:p>
            <w:pPr>
              <w:spacing w:after="0"/>
              <w:rPr>
                <w:sz w:val="1"/>
                <w:szCs w:val="1"/>
                <w:color w:val="auto"/>
              </w:rPr>
            </w:pPr>
          </w:p>
        </w:tc>
      </w:tr>
      <w:tr>
        <w:trPr>
          <w:trHeight w:val="216"/>
        </w:trPr>
        <w:tc>
          <w:tcPr>
            <w:tcW w:w="444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(73,923)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(866,019)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(753,273)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1,051,022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expenses and taxes payable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402,187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1,598,362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(1,106,948)</w:t>
            </w:r>
          </w:p>
        </w:tc>
        <w:tc>
          <w:tcPr>
            <w:tcW w:w="0" w:type="dxa"/>
            <w:vAlign w:val="bottom"/>
          </w:tcPr>
          <w:p>
            <w:pPr>
              <w:spacing w:after="0"/>
              <w:rPr>
                <w:sz w:val="1"/>
                <w:szCs w:val="1"/>
                <w:color w:val="auto"/>
              </w:rPr>
            </w:pPr>
          </w:p>
        </w:tc>
      </w:tr>
      <w:tr>
        <w:trPr>
          <w:trHeight w:val="216"/>
        </w:trPr>
        <w:tc>
          <w:tcPr>
            <w:tcW w:w="4440" w:type="dxa"/>
            <w:vAlign w:val="bottom"/>
          </w:tcPr>
          <w:p>
            <w:pPr>
              <w:ind w:left="520"/>
              <w:spacing w:after="0"/>
              <w:rPr>
                <w:sz w:val="20"/>
                <w:szCs w:val="20"/>
                <w:color w:val="auto"/>
              </w:rPr>
            </w:pPr>
            <w:r>
              <w:rPr>
                <w:rFonts w:ascii="Arial" w:cs="Arial" w:eastAsia="Arial" w:hAnsi="Arial"/>
                <w:sz w:val="18"/>
                <w:szCs w:val="18"/>
                <w:color w:val="auto"/>
              </w:rPr>
              <w:t>Deferred rent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(52,416)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45,654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3,031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(46,610)</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(3,094,008)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(2,729,484)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(2,989,398)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(1,048,310)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intangible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(234,141)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(620,044)</w:t>
            </w: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Arial" w:cs="Arial" w:eastAsia="Arial" w:hAnsi="Arial"/>
                <w:sz w:val="18"/>
                <w:szCs w:val="18"/>
                <w:color w:val="auto"/>
              </w:rPr>
              <w:t>Acquisition of property and equipment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(2,145,802)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(3,114,768)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(4,145,533)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(4,208,279)</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(138,588)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(138,588)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ind w:left="78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(2,145,802)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(3,487,497)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(4,407,794)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(4,918,323)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Arial" w:cs="Arial" w:eastAsia="Arial" w:hAnsi="Arial"/>
                <w:sz w:val="18"/>
                <w:szCs w:val="18"/>
                <w:color w:val="auto"/>
              </w:rPr>
              <w:t>Members’ contributions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2,483,830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6,730,155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9,499,110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5,577,252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Members’ distributions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(2,200,000)</w:t>
            </w: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Arial" w:cs="Arial" w:eastAsia="Arial" w:hAnsi="Arial"/>
                <w:sz w:val="18"/>
                <w:szCs w:val="18"/>
                <w:color w:val="auto"/>
              </w:rPr>
              <w:t>Noncontrolling interests’ contributions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1,104,017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666,776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666,776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388,000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 distributions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(258,370)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(328,398)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(328,398)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(485,539)</w:t>
            </w: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Arial" w:cs="Arial" w:eastAsia="Arial" w:hAnsi="Arial"/>
                <w:sz w:val="18"/>
                <w:szCs w:val="18"/>
                <w:color w:val="auto"/>
              </w:rPr>
              <w:t>Proceeds from long-term debt - member</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6,000,000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short-term debt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Arial" w:cs="Arial" w:eastAsia="Arial" w:hAnsi="Arial"/>
                <w:sz w:val="18"/>
                <w:szCs w:val="18"/>
                <w:color w:val="auto"/>
              </w:rPr>
              <w:t>Repayment of short-term debt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(532,379)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short-term debt - bank</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Arial" w:cs="Arial" w:eastAsia="Arial" w:hAnsi="Arial"/>
                <w:sz w:val="18"/>
                <w:szCs w:val="18"/>
                <w:color w:val="auto"/>
              </w:rPr>
              <w:t>Proceeds from note payable - bank</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2,700,000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financing costs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(128,584)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(109,264)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(19,270)</w:t>
            </w:r>
          </w:p>
        </w:tc>
        <w:tc>
          <w:tcPr>
            <w:tcW w:w="0" w:type="dxa"/>
            <w:vAlign w:val="bottom"/>
          </w:tcPr>
          <w:p>
            <w:pPr>
              <w:spacing w:after="0"/>
              <w:rPr>
                <w:sz w:val="1"/>
                <w:szCs w:val="1"/>
                <w:color w:val="auto"/>
              </w:rPr>
            </w:pPr>
          </w:p>
        </w:tc>
      </w:tr>
      <w:tr>
        <w:trPr>
          <w:trHeight w:val="216"/>
        </w:trPr>
        <w:tc>
          <w:tcPr>
            <w:tcW w:w="4440" w:type="dxa"/>
            <w:vAlign w:val="bottom"/>
          </w:tcPr>
          <w:p>
            <w:pPr>
              <w:ind w:left="140"/>
              <w:spacing w:after="0"/>
              <w:rPr>
                <w:sz w:val="20"/>
                <w:szCs w:val="20"/>
                <w:color w:val="auto"/>
              </w:rPr>
            </w:pPr>
            <w:r>
              <w:rPr>
                <w:rFonts w:ascii="Arial" w:cs="Arial" w:eastAsia="Arial" w:hAnsi="Arial"/>
                <w:sz w:val="18"/>
                <w:szCs w:val="18"/>
                <w:color w:val="auto"/>
              </w:rPr>
              <w:t>Syndication costs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(128,855)</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3,797,098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6,939,949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9,728,224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5,831,588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(345,142)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Net (Decrease) Increase in Cash and Cash Equivalents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1,985,890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4,177,465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2,191,575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2,191,575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2,408,454</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2,733,108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2,895,395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4,177,465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2,191,575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w w:val="97"/>
              </w:rPr>
              <w:t>Supplemental Disclosures of Cash Flow Information:</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paid during the period for:</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00"/>
              <w:spacing w:after="0"/>
              <w:rPr>
                <w:sz w:val="20"/>
                <w:szCs w:val="20"/>
                <w:color w:val="auto"/>
              </w:rPr>
            </w:pPr>
            <w:r>
              <w:rPr>
                <w:rFonts w:ascii="Arial" w:cs="Arial" w:eastAsia="Arial" w:hAnsi="Arial"/>
                <w:sz w:val="18"/>
                <w:szCs w:val="18"/>
                <w:color w:val="auto"/>
              </w:rPr>
              <w:t>Interest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674,218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433,078</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515,834</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190,568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XpresSpa Holdings, LLC (“Holdings”), a limited liability company, was formed in the State of Delaware on January 11, 2012 in conjunction with the restructuring and recapitalization of the XpresSpa business (“XpresSpa”). Holdings and its subsidiaries (collectively, the “Company”) are engaged primarily in the business of operating spa facilities in airport terminals both in domestic airports and international markets. As of December 31, 2015 the Company was operating forty-six stores in nineteen domestic and one foreign airport; at September 30, 2016, the Company was operating forty-seven stores in nineteen domestic and one foreign airport.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Holdings is a limited liability company formed under the Delaware Limited Liability Act (the “Act”). The parties to the limited liability company agreement are designated as members. Under the Act, the members are not liable for the debts of the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financial statements have been prepared for the purpose of complying with the provisions of Article 3-05 of Regulation S-X promulgated by the U.S. Securities and Exchange Commission (“SEC”), which required certain information with respect to acquired businesses to be included with certain filings with the SEC of the acquirer, FORM Holdings Corp. (“FORM”).</w:t>
      </w:r>
    </w:p>
    <w:p>
      <w:pPr>
        <w:spacing w:after="0" w:line="181"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Holdings, its wholly-owned subsidiaries and other subsidiaries in which it holds either a majority interest or a noncontrolling interest but exercises significant influence and control. All significant intercompany transactions and balances are eliminated in consolidation. The Company follows Accounting Standards Codification (“ASC”) 810, “Consolidation.” Accordingly, the third-party holdings of equity interests, referred to as noncontrolling interests, are presented on the consolidated balance sheet and consolidated statements of operations and changes in members’ equity.</w:t>
      </w:r>
    </w:p>
    <w:p>
      <w:pPr>
        <w:spacing w:after="0" w:line="188"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Cash equivalents include amounts due from third-party financial institutions for credit and debit card transactions. These receivables typically settle in less than five days and were $316,902 (unaudited), $162,688 and $144,250 at September 30, 2016 and December 31, 2015 and 2014, respectively.</w:t>
      </w:r>
    </w:p>
    <w:p>
      <w:pPr>
        <w:spacing w:after="0" w:line="147"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are stated at the historical carrying amount net of any allowances for doubtful accounts. At September 30, 2016 and December 31, 2015 and 2014, there was no allowance for doubtful accounts. Accounts receivable are periodically evaluated for collectability based on past credit history with customers and their current financial condition. Customer accounts are written off when all attempts to collect have been exhausted. Recoveries of accounts receivable previously written off are recorded as revenue when received.</w:t>
      </w:r>
    </w:p>
    <w:p>
      <w:pPr>
        <w:spacing w:after="0" w:line="187"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consisting of purchased finished goods and service supplies is stated at the lower of cost (first-in, first-out) or market.</w:t>
      </w:r>
    </w:p>
    <w:p>
      <w:pPr>
        <w:spacing w:after="0" w:line="225"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Equipment and Depreciation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are recorded at cost and depreciated using the straight-line method over the estimated useful lives of the assets once placed in service.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repairs are charged to operations as incurred.</w:t>
      </w: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 are amortized using the straight-line method over the lesser of the term of the related lease or their estimated economic useful life.</w:t>
      </w:r>
    </w:p>
    <w:p>
      <w:pPr>
        <w:spacing w:after="0" w:line="248"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Long-Lived Assets and Intangible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and intangible assets (including, location acquisition costs and definite-lived trademarks) subject to depreciation or amortization, are reviewed for impairment when events and circumstances indicate that the carrying value may not be recoverable. Impairment exists when the carrying value of the asset is greater than the undiscounted future cash flows expected to be provided by the asset. The amount of impairment, if any, is the excess of the carrying value over its recoverable value. There was no impairment recognized by the Company in 2015 and 2014 or for the nine months ending September 30, 2016 and 2015.</w:t>
      </w:r>
    </w:p>
    <w:p>
      <w:pPr>
        <w:spacing w:after="0" w:line="188"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balances at financial institutions to secure bonds and letters of credit as required by various airports.</w:t>
      </w:r>
    </w:p>
    <w:p>
      <w:pPr>
        <w:spacing w:after="0" w:line="225"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Deferred financing costs are amortized over the life of the related debt using the straight-line method, which approximates the effective interest method.</w:t>
      </w:r>
    </w:p>
    <w:p>
      <w:pPr>
        <w:spacing w:after="0" w:line="237"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87"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Holdings, a limited liability company, is treated as a partnership for income tax reporting purposes at both the federal and state levels. Accordingly, Holdings does not pay income taxes other than taxes in certain state and local jurisdictions. Members are taxed individually on their respective share of earnings.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state and local income taxes in accordance with the asset and liability method of accounting for income taxes prescribed by ASC 740, “Income Taxes.” Under the asset and liability method of ASC 740, deferred tax assets and liabilities are recognized for the future tax consequences attributable to differences between the financial statement carrying amounts of existing assets and liabilities and their respective tax bases and operating losses.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tax assets and liabilities, as it relates to state and local taxes, are measured using enacted tax rates expected to apply to the taxable income in the years in which those temporary differences are expected to be recovered or settled. Under ASC 740, the effect on deferred tax assets and liabilities of a change in tax rates is recognized in income in the period that includes the enactment date.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740 clarifies the accounting for uncertainty in income taxes recognized in the financial statements in accordance with other provisions contained within this guidance. This topic prescribes a recognition threshold and a measurement attribute for the financial statements recognition and measurement of tax positions taken or expected to be taken in a tax return. For those benefits to be recognized, a tax position must be more likely than not to be sustained upon examination by the taxing authorities. The amount recognized is measured as the largest amount of benefit that is greater than 50% likely of being realized upon ultimate audit settlement. No adjustment was necessary in for year ending December 31, 2015 or 2014 or nine months ending September 30, 2016 or September 30, 2015 as a result of this guidance.</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files income tax returns in the U.S. Federal and various state and local jurisdictions. For Federal income tax purposes, the 2013, 2014 and 2015 tax years remain open for examination by the tax authorities under the normal three-year statute of limitations. For state tax purposes, the 2012 through 2015 tax years remain open for examination by the tax authorities under a four-year statute of limitations.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interest and penalties, if any, related to uncertain tax positions in income tax expense. For the nine months ended September 30, 2016, September 30, 2015 and years ended December 31, 2015 and 2014, there were no interest and penalties recognized.</w:t>
      </w:r>
    </w:p>
    <w:p>
      <w:pPr>
        <w:spacing w:after="0" w:line="170"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policy is to expense advertising costs as incurred. Advertising costs aggregating $295,874 (unaudited) and $457,331 (unaudited) for nine months ended September 30, 2016 and 2015, respectively, and $542,837 and $721,743 for the years ended December 31, 2015 and 2014, respectively, are included in selling, general and administrative expenses on the consolidated statements of operations.</w:t>
      </w:r>
    </w:p>
    <w:p>
      <w:pPr>
        <w:spacing w:after="0" w:line="181"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Sales Tax</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excludes from its revenues all sales taxes assessed to its customers. Sales taxes assessed on revenues are recorded as accrued liabilities on the consolidated balance sheets until remitted to the state agencies.</w:t>
      </w:r>
    </w:p>
    <w:p>
      <w:pPr>
        <w:spacing w:after="0" w:line="170"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Syndication Costs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Syndication costs consist of transaction fees and legal and professional fees associated with the offering and issuance of member units. These costs are recorded as a reduction of the capital contributed with respect to the units issued.</w:t>
      </w:r>
    </w:p>
    <w:p>
      <w:pPr>
        <w:spacing w:after="0" w:line="170"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recognizes revenues from product and service sales at the point of sale, net of discounts and applicable sales taxes. The Company records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from its wholesale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e-commerce businesses at the time the goods are shipped.</w:t>
      </w:r>
    </w:p>
    <w:p>
      <w:pPr>
        <w:spacing w:after="0" w:line="211"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follows the provisions of ASC 820, “Fair Value Measurement,” which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developed based on the best information available in the circumstances (unobservable inputs).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hierarchy consists of three broad levels, which gives the highest priority to unadjusted quoted prices in active markets for identical assets or liabilities (Level 1) and the lowest priority to unobservable inputs (Level 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amount included in due to affiliates is not considered to be reported at fair value as the amount is owed to a related party and does not bear interest.</w:t>
      </w: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financial instruments primarily consist of cash, accounts receivable, accounts payable and long-term debt. The carrying amounts of these items are considered a reasonable estimate of fair value at September 30, 2016 and December 31, 2015 and 2014, due to their short-term classification or having market rates.</w:t>
      </w:r>
    </w:p>
    <w:p>
      <w:pPr>
        <w:spacing w:after="0" w:line="181"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cash in financial institutions primarily in the United States and the Netherlands. Cash balances exceed insured limits in the respective countries. Management believes no significant credit risk exists with respect to its cash as of September 30, 2016 and December 31, 2015 and 2014. The Company has not experienced losses in such accounts.</w:t>
      </w:r>
    </w:p>
    <w:p>
      <w:pPr>
        <w:spacing w:after="0" w:line="181"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a lease contains an escalation of the minimum rent, the Company recognizes the related rent expense on a straight-line basis and records the difference between the recognized rental expense and the amounts payable under the lease as a long-term deferred rent liability. Landlord allowances are amortized by the straight-line method over the term of the lease as a reduction of rent expense.</w:t>
      </w:r>
    </w:p>
    <w:p>
      <w:pPr>
        <w:spacing w:after="0" w:line="181"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Comprehensive loss includes certain gains and losses which are excluded from net income and, as such, these amounts are recorded directly as an adjustment to members’ equity. The Company’s comprehensive loss is comprised of foreign exchange translation adjustments.</w:t>
      </w:r>
    </w:p>
    <w:p>
      <w:pPr>
        <w:spacing w:after="0" w:line="170"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Noncontrolling interest is the proportionate interest in the subsidiaries’ assets and liabilities not held by the group. It is separately disclosed in the consolidated balance sheets and deducted in the consolidated statements of operations to account for the amounts not owned by the group.</w:t>
      </w:r>
    </w:p>
    <w:p>
      <w:pPr>
        <w:spacing w:after="0" w:line="147"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Exchange Currency Translation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of the foreign subsidiaries of Holdings are translated into United States dollars. Assets and liabilities have been translated at year-end exchange rates and revenues and expenses have been translated at average rates for the year. The translation adjustments arising from the use of different exchange rates are included as other comprehensive loss within the consolidated statements of changes in members’ equity. Gains and losses resulting from foreign currency transactions are included within the consolidated statements of operations.</w:t>
      </w:r>
    </w:p>
    <w:p>
      <w:pPr>
        <w:spacing w:after="0" w:line="187"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period have been reclassified to conform to the current year’s presentation.</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2. Inventory</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color w:val="auto"/>
              </w:rPr>
              <w:t>Inventory consisted of the following:</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December 31,</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2,356,067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2,339,501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1,744,488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Service supplies</w:t>
            </w:r>
          </w:p>
        </w:tc>
        <w:tc>
          <w:tcPr>
            <w:tcW w:w="16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129,181</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198,866</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133,359</w:t>
            </w:r>
          </w:p>
        </w:tc>
      </w:tr>
      <w:tr>
        <w:trPr>
          <w:trHeight w:val="210"/>
        </w:trPr>
        <w:tc>
          <w:tcPr>
            <w:tcW w:w="640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inventory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2,485,248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2,538,367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1,877,847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Finished goods are net of markdowns of $45,651 (unaudited) as of September 30, 2016 and $45,651 and $23,830 as of December 31,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Spa Leasehold Improvements,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Spa leasehold improvements, property and equipment include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December 31,</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Useful Lives</w:t>
            </w: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 Years</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3,928,333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3,356,570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3,300,279</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2,704,710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2,652,704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2,510,142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3 - 5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 corporate headquarters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1,049,122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862,385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Leasehold improvements - spa facilities</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27,179,382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24,633,908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24,102,268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1 - 10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1,021,244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2,172,593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977,854</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Spa equipment - idle</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128,587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175,400</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35,882,791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33,933,042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31,928,328</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21,691,546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19,511,031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17,499,479</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14,191,245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14,422,011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14,428,849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Depreciation and leasehold amortization expenses for assets placed in service aggregated $2,419,344 (unaudited) and $3,043,233 (unaudited) for the nine months ended September 30, 2016 and 2015, respectively, and $3,780,608 and $3,526,585 for the years ended December 31, 2015 and 2014,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Pending Location Acquisition Costs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Pending location acquisition costs in the amount of $20,000 and $155,500 as of December 31, 2015 and 2014, respectively, include lease acquisition and related expenses incurred in connection with spa locations under lease negotiation or in the bidding process at December 31, 2015 and 2014, respectively.</w:t>
      </w: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provision for income taxes is based on the taxable income, which excludes certain expense items that are not deductible for income tax purposes. The provision for current taxes of $21,557 (unaudited) and $74,445 (unaudited) for the nine months ended September 30, 2016 and 2015, respectively, and $7,261 and $18,282 for the years ended December 31, 2015 and 2014, respectively, consists primarily of state taxes based on revenue.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income taxes are provided for on the temporary differences between the financial reporting basis and the tax basis of the Company’s assets and liabilities.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The components of the deferred tax asset are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December 31,</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timing differences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58,254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58,254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124,473</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124,473</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66,059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1,877</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(184,604)</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(184,604)</w:t>
            </w: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(136,310)</w:t>
            </w:r>
          </w:p>
        </w:tc>
      </w:tr>
      <w:tr>
        <w:trPr>
          <w:trHeight w:val="210"/>
        </w:trPr>
        <w:tc>
          <w:tcPr>
            <w:tcW w:w="640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deferred tax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valuation allowance has been established for all deferred tax assets. This is due to uncertainty that sufficient taxable income will be generated to utilize these assets. The valuation allowance increased by $48,294 and $9,402 for the years ended December 31, 2015 and 2014,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pre-tax apportioned net operating losses of approximately $11,850,000 which will begin to expire in 2033.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September 30, 2016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5"/>
              </w:rPr>
              <w:t>Accumulated</w:t>
            </w: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Useful Lives</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Amortization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tcPr>
          <w:p>
            <w:pPr>
              <w:ind w:left="120"/>
              <w:spacing w:after="0"/>
              <w:rPr>
                <w:sz w:val="20"/>
                <w:szCs w:val="20"/>
                <w:color w:val="auto"/>
              </w:rPr>
            </w:pPr>
            <w:r>
              <w:rPr>
                <w:rFonts w:ascii="Arial" w:cs="Arial" w:eastAsia="Arial" w:hAnsi="Arial"/>
                <w:sz w:val="18"/>
                <w:szCs w:val="18"/>
                <w:b w:val="1"/>
                <w:bCs w:val="1"/>
                <w:color w:val="auto"/>
              </w:rPr>
              <w:t>Book Value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 Years</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acquisition costs</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2,752,145</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1,535,692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1,216,453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Trademarks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293,305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171,019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122,286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3,045,450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1,706,711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1,338,739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December 31, 2015</w:t>
            </w: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5"/>
              </w:rPr>
              <w:t>Accumulated</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Useful Lives</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Amortization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3"/>
          </w:tcPr>
          <w:p>
            <w:pPr>
              <w:ind w:left="120"/>
              <w:spacing w:after="0"/>
              <w:rPr>
                <w:sz w:val="20"/>
                <w:szCs w:val="20"/>
                <w:color w:val="auto"/>
              </w:rPr>
            </w:pPr>
            <w:r>
              <w:rPr>
                <w:rFonts w:ascii="Arial" w:cs="Arial" w:eastAsia="Arial" w:hAnsi="Arial"/>
                <w:sz w:val="18"/>
                <w:szCs w:val="18"/>
                <w:b w:val="1"/>
                <w:bCs w:val="1"/>
                <w:color w:val="auto"/>
              </w:rPr>
              <w:t>Book Value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 Years</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acquisition costs</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2,030,757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1,042,100</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988,657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w w:val="92"/>
              </w:rPr>
              <w:t>Lease acquisition costs – locations scheduled to open in 2016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718,358</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718,358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293,305</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136,955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0"/>
        </w:trPr>
        <w:tc>
          <w:tcPr>
            <w:tcW w:w="4580" w:type="dxa"/>
            <w:vAlign w:val="bottom"/>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3,042,420</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1,198,450</w:t>
            </w:r>
          </w:p>
        </w:tc>
        <w:tc>
          <w:tcPr>
            <w:tcW w:w="240" w:type="dxa"/>
            <w:vAlign w:val="bottom"/>
            <w:gridSpan w:val="2"/>
          </w:tcPr>
          <w:p>
            <w:pPr>
              <w:spacing w:after="0"/>
              <w:rPr>
                <w:sz w:val="18"/>
                <w:szCs w:val="18"/>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1,843,970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31, 2014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Accumulated</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Useful Lives</w:t>
            </w:r>
          </w:p>
        </w:tc>
      </w:tr>
      <w:tr>
        <w:trPr>
          <w:trHeight w:val="234"/>
        </w:trPr>
        <w:tc>
          <w:tcPr>
            <w:tcW w:w="4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Book Value</w:t>
            </w:r>
          </w:p>
        </w:tc>
        <w:tc>
          <w:tcPr>
            <w:tcW w:w="20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 Years</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acquisition costs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1,625,306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520,069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1,105,237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w w:val="95"/>
              </w:rPr>
              <w:t>Lease acquisition costs - locations scheduled to open in 2015</w:t>
            </w:r>
          </w:p>
        </w:tc>
        <w:tc>
          <w:tcPr>
            <w:tcW w:w="3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795,680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795,680</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289,030</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162,735</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r>
      <w:tr>
        <w:trPr>
          <w:trHeight w:val="210"/>
        </w:trPr>
        <w:tc>
          <w:tcPr>
            <w:tcW w:w="4700" w:type="dxa"/>
            <w:vAlign w:val="bottom"/>
          </w:tcPr>
          <w:p>
            <w:pPr>
              <w:ind w:left="6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2,710,016</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646,364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2,063,652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aggregated $495,990 (unaudited), $532,358 (unaudited), $552,086 and $215,364 for the nine months ended September 30, 2016 and September 30, 2015 and years ended December 31,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future amortization expense is estimated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ending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4820" w:type="dxa"/>
            <w:vAlign w:val="bottom"/>
            <w:tcBorders>
              <w:top w:val="single" w:sz="8" w:color="auto"/>
            </w:tcBorders>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2017</w:t>
            </w:r>
          </w:p>
        </w:tc>
        <w:tc>
          <w:tcPr>
            <w:tcW w:w="4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290,877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262,656</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2019</w:t>
            </w:r>
          </w:p>
        </w:tc>
        <w:tc>
          <w:tcPr>
            <w:tcW w:w="4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237,516</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211,885</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Thereafter</w:t>
            </w:r>
          </w:p>
        </w:tc>
        <w:tc>
          <w:tcPr>
            <w:tcW w:w="4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511,622</w:t>
            </w:r>
          </w:p>
        </w:tc>
      </w:tr>
      <w:tr>
        <w:trPr>
          <w:trHeight w:val="223"/>
        </w:trPr>
        <w:tc>
          <w:tcPr>
            <w:tcW w:w="544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1,843,970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Notes Payable</w:t>
      </w:r>
    </w:p>
    <w:p>
      <w:pPr>
        <w:spacing w:after="0" w:line="229"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Note Payable, Net - Member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22, 2015, the Company entered into a credit agreement and secured promissory note (collectively, the “credit agreement”) with a member. This credit facility replaced the Company’s pre-existing bank debt and provides for additional working capital. The credit agreement provides for interest on the outstanding principal of the loan at a rate per annum of 12%. Interest is payable as follows: (i) 10% annual interest, calculated on a monthly basis, which is payable in arrears on the last business day of each month plus (ii) 2% annual interest, calculated on a monthly basis, which shall accrue monthly and become due and payable on the first and second anniversary dates. The credit facility is secured by substantially all of the assets of the Company, had an outstanding principal balance of $6,000,000 at December 31, 2015 and matures on April 22, 2017.</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the terms of the credit agreement, 90 days after the effective date and prior to the maturity date, the member has the right to convert up to $3,000,000 of the outstanding principal amount of the loan into common units of the Company at a purchase price equal to the lesser of the purchase price per unit in the most recent issuance of common units or $1 per common unit. This conversion right was determined to be a beneficial conversion feature.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the Company issued a warrant to the member to purchase, for a period of four years from the date of issuance, up to 600,000 Series A preferred units at an initial price of $1 per unit, subject to adjustment.</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allocated the proceeds from the note payable to the beneficial conversion feature, the warrants and the note based on their estimated fair values. The fair value of the beneficial conversion feature and warrants at issuance of $294,300 was recorded as a debt discount. The Company recorded accretion expense of $88,943 (unaudited) and $62,288 (unaudited) during the nine months ended September 30, 2016 and 2015, respectively, and $102,000 during the year ended December 31, 2015 in accretion of this discount.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8, 2016, this note payable was amended. The credit facility was increased to $6,500,000 and the maturity date was extended to May 1, 2018 with an additional one-year extension to May 1, 2019. The amendment changed the monthly interest rate to 9.24% and modified certain covenants. In connection with the amendment, the member waived all existing covenant defaults as of December 31, 2015 and through August 8, 2016. The Company incurred $500,000 of deferred financing costs which are being amortized over the life of the note payable.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September 30, 2016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Note payable</w:t>
            </w:r>
          </w:p>
        </w:tc>
        <w:tc>
          <w:tcPr>
            <w:tcW w:w="4120" w:type="dxa"/>
            <w:vAlign w:val="bottom"/>
            <w:tcBorders>
              <w:top w:val="single" w:sz="8" w:color="auto"/>
            </w:tcBorders>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Less: Debt discounts</w:t>
            </w:r>
          </w:p>
        </w:tc>
        <w:tc>
          <w:tcPr>
            <w:tcW w:w="3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103,357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financing charges</w:t>
            </w:r>
          </w:p>
        </w:tc>
        <w:tc>
          <w:tcPr>
            <w:tcW w:w="3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501,462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780" w:type="dxa"/>
            <w:vAlign w:val="bottom"/>
          </w:tcPr>
          <w:p>
            <w:pPr>
              <w:ind w:left="140"/>
              <w:spacing w:after="0"/>
              <w:rPr>
                <w:sz w:val="20"/>
                <w:szCs w:val="20"/>
                <w:color w:val="auto"/>
              </w:rPr>
            </w:pPr>
            <w:r>
              <w:rPr>
                <w:rFonts w:ascii="Arial" w:cs="Arial" w:eastAsia="Arial" w:hAnsi="Arial"/>
                <w:sz w:val="18"/>
                <w:szCs w:val="18"/>
                <w:color w:val="auto"/>
              </w:rPr>
              <w:t>Current portion</w:t>
            </w:r>
          </w:p>
        </w:tc>
        <w:tc>
          <w:tcPr>
            <w:tcW w:w="3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57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Long-term debt</w:t>
            </w:r>
          </w:p>
        </w:tc>
        <w:tc>
          <w:tcPr>
            <w:tcW w:w="37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5,895,181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December 31, 2015</w:t>
            </w:r>
          </w:p>
        </w:tc>
        <w:tc>
          <w:tcPr>
            <w:tcW w:w="3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40" w:type="dxa"/>
            <w:vAlign w:val="bottom"/>
            <w:tcBorders>
              <w:bottom w:val="single" w:sz="8" w:color="auto"/>
            </w:tcBorders>
            <w:gridSpan w:val="2"/>
            <w:vMerge w:val="continue"/>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payable</w:t>
            </w:r>
          </w:p>
        </w:tc>
        <w:tc>
          <w:tcPr>
            <w:tcW w:w="41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Less: Debt discounts</w:t>
            </w:r>
          </w:p>
        </w:tc>
        <w:tc>
          <w:tcPr>
            <w:tcW w:w="3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192,300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financing charges</w:t>
            </w:r>
          </w:p>
        </w:tc>
        <w:tc>
          <w:tcPr>
            <w:tcW w:w="3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84,745</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5,722,955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5780" w:type="dxa"/>
            <w:vAlign w:val="bottom"/>
          </w:tcPr>
          <w:p>
            <w:pPr>
              <w:ind w:left="300"/>
              <w:spacing w:after="0"/>
              <w:rPr>
                <w:sz w:val="20"/>
                <w:szCs w:val="20"/>
                <w:color w:val="auto"/>
              </w:rPr>
            </w:pPr>
            <w:r>
              <w:rPr>
                <w:rFonts w:ascii="Arial" w:cs="Arial" w:eastAsia="Arial" w:hAnsi="Arial"/>
                <w:sz w:val="18"/>
                <w:szCs w:val="18"/>
                <w:color w:val="auto"/>
              </w:rPr>
              <w:t>Long-term debt</w:t>
            </w:r>
          </w:p>
        </w:tc>
        <w:tc>
          <w:tcPr>
            <w:tcW w:w="37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5,722,955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(b)</w:t>
            </w:r>
          </w:p>
        </w:tc>
        <w:tc>
          <w:tcPr>
            <w:tcW w:w="5780" w:type="dxa"/>
            <w:vAlign w:val="bottom"/>
            <w:vMerge w:val="restart"/>
          </w:tcPr>
          <w:p>
            <w:pPr>
              <w:ind w:left="160"/>
              <w:spacing w:after="0"/>
              <w:rPr>
                <w:sz w:val="20"/>
                <w:szCs w:val="20"/>
                <w:color w:val="auto"/>
              </w:rPr>
            </w:pPr>
            <w:r>
              <w:rPr>
                <w:rFonts w:ascii="Arial" w:cs="Arial" w:eastAsia="Arial" w:hAnsi="Arial"/>
                <w:sz w:val="18"/>
                <w:szCs w:val="18"/>
                <w:b w:val="1"/>
                <w:bCs w:val="1"/>
                <w:i w:val="1"/>
                <w:iCs w:val="1"/>
                <w:color w:val="auto"/>
              </w:rPr>
              <w:t>Note Payable - Bank</w:t>
            </w:r>
          </w:p>
        </w:tc>
        <w:tc>
          <w:tcPr>
            <w:tcW w:w="3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5780" w:type="dxa"/>
            <w:vAlign w:val="bottom"/>
            <w:vMerge w:val="continue"/>
          </w:tcPr>
          <w:p>
            <w:pPr>
              <w:spacing w:after="0"/>
              <w:rPr>
                <w:sz w:val="24"/>
                <w:szCs w:val="24"/>
                <w:color w:val="auto"/>
              </w:rPr>
            </w:pPr>
          </w:p>
        </w:tc>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15, 2012, the Company, in conjunction with the recapitalization and restructuring of XpresSpa, entered into an amended and restated credit agreement (the “agreement”) with a commercial lender which provided for a financing commitment of $10,000,000 with a maturity date of December 31, 2015. In April 2015, the total outstanding balance of $6,000,000 on this note was repaid with the proceeds from the note payable – member.</w:t>
      </w:r>
    </w:p>
    <w:p>
      <w:pPr>
        <w:spacing w:after="0" w:line="147"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Note Payable – Credit Card Financing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2016, the Company entered into a loan and security agreement with a lender. The loan, in the form of an advance against certain future credit card transactions, is for a maximum of $1,000,000 and is secured by certain assets of the Company. The Company received proceeds of $1,000,000, to be used for working capital. The loan, and issuance fee of $35,000, is repaid on a daily basis from proceeds of certain credit card transactions. As of September 30, 2016, the outstanding balance of the advance is $467,621 (unaudited).</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Loan Payable - Member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outstanding loan from a member in the amount of $25,500 (unaudited) at September 30, 2016, December 31, 2015 and 2014 is unsecured, noninterest bearing and is payable upon demand.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Transactions With Affiliates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received advances from noncontrolling members of certain subsidiaries aggregating $175,163 (unaudited) at September 30, 2016, December 31, 2015 and 2014. The advances represent collateral for the noncontrolling members’ pro rata share of lease security deposits which the Company has satisfied by letters of credit. The advances are noninterest bearing and will be repaid upon the expiration of the leases and the letters of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Minimum Future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obligated under multiple lease agreements for its spa locations. These agreements primarily require payment of rent as a percentage of gross sales, and a minimum annual guarantee (“MAG”) rent payment. The MAG for the locations under lease during the term of the agreements range from $5,000 to $250,000 per year adjusted on each anniversary date. In addition, the Company has entered into a lease agreement for its corporate offices in New York 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future minimum commitments under noncancelable lease agreements are as follows: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ending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4,418,692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3,865,603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3,326,293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2,304,837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2,080,097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2,674,184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18,669,706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5"/>
            <w:vMerge w:val="restart"/>
          </w:tcPr>
          <w:p>
            <w:pPr>
              <w:spacing w:after="0"/>
              <w:rPr>
                <w:sz w:val="20"/>
                <w:szCs w:val="20"/>
                <w:color w:val="auto"/>
              </w:rPr>
            </w:pPr>
            <w:r>
              <w:rPr>
                <w:rFonts w:ascii="Arial" w:cs="Arial" w:eastAsia="Arial" w:hAnsi="Arial"/>
                <w:sz w:val="18"/>
                <w:szCs w:val="18"/>
                <w:color w:val="auto"/>
              </w:rPr>
              <w:t>The following is a summary of rental expense, under all lease agreements:</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Nine months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Nine months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ended</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rent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250,739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305,263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337,875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Minimum annual guarantee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20"/>
              <w:spacing w:after="0"/>
              <w:rPr>
                <w:sz w:val="20"/>
                <w:szCs w:val="20"/>
                <w:color w:val="auto"/>
              </w:rPr>
            </w:pPr>
            <w:r>
              <w:rPr>
                <w:rFonts w:ascii="Arial" w:cs="Arial" w:eastAsia="Arial" w:hAnsi="Arial"/>
                <w:sz w:val="18"/>
                <w:szCs w:val="18"/>
                <w:color w:val="auto"/>
              </w:rPr>
              <w:t>2,724,142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2,535,497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3,356,381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3,160,923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6"/>
              </w:rPr>
              <w:t>Additional rent as a percentage of sales in excess of MAG</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1,403,795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1,472,281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1,482,015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660"/>
              <w:spacing w:after="0"/>
              <w:rPr>
                <w:sz w:val="20"/>
                <w:szCs w:val="20"/>
                <w:color w:val="auto"/>
              </w:rPr>
            </w:pPr>
            <w:r>
              <w:rPr>
                <w:rFonts w:ascii="Arial" w:cs="Arial" w:eastAsia="Arial" w:hAnsi="Arial"/>
                <w:sz w:val="18"/>
                <w:szCs w:val="18"/>
                <w:color w:val="auto"/>
              </w:rPr>
              <w:t>Total rent expense</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7"/>
              </w:rPr>
              <w:t>4,378,676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3,940,255</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5,166,537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4,947,921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Service Provider and Monitoring and Management Agreements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bound under the terms of certain service provider agreements with noncontrolling members of 14 operating spa subsidiaries which provide local marketing, public relations, customer service, human resource and other management services. The agreements provide for one-year terms that renew automatically and management fees ranging from 2.09 to 4.5% of gross revenues of the respective operating spas.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23, 2012, the Company entered into a monitoring and management agreement (“the M&amp;M agreement”) with an affiliate of a member. The M&amp;M agreement provides for an annual monitoring fee of $250,000 plus out-of-pocket expenses, payable in quarterly installments in exchange for certain monitoring and management services rendered. The M&amp;M agreement expires on the earlier of fifteen (15) years from the effective date with automatic one-year extensions or such time the member ceases to hold an interest in the Company. Monitoring fees and out-of-pocket expenses aggregating $238,114 (unaudited), $214,999 (unaudited), $305,387 and $268,536 are included in selling, general and administrative expenses on the consolidated statements of operations for nine months ended September 30, 2016 and 2015, and for the years ended December 31, 2015 and 2014, respectively.</w:t>
      </w:r>
    </w:p>
    <w:p>
      <w:pPr>
        <w:spacing w:after="0" w:line="165"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Deposits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rental security deposits, the Company has provided cash collateral for a portion of these deposits at September 30, 2016 and December 31, 2015 and 2014 and guaranteed the remaining balances. This collateral totaled $238,053 (unaudited) and $238,053 and $140,000 and is included in Security Deposits on the consolidated balance sheets at September 30, 2016 and December 31, 2015 and 2014, respectively. The Company has guaranteed the remaining $1,324,099 (unaudited) and $707,417 and $416,035 at September 30, 2016 and December 31, 2015 and 2014, respectively. These deposits are required through the respective lease terms.</w:t>
      </w:r>
    </w:p>
    <w:p>
      <w:pPr>
        <w:spacing w:after="0" w:line="188"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had outstanding letters of credit totaling $569,000 (unaudited), $1,180,140 and $844,950 at September 30, 2016, and December 31, 2015 and 2014, respectively.</w:t>
      </w:r>
    </w:p>
    <w:p>
      <w:pPr>
        <w:spacing w:after="0" w:line="170"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Amiral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29, 2016, Amiral Holdings SAS (“Amiral”) filed a preliminary relief proceeding in the Netherlands against the Company’s subsidiary, XpresSpa Europe B.V. (“XpresSpa Europe”), relating to the failed acquisition by Amiral of XpresSpa Europe. On October 7, 2016, Amiral initiated proceedings before the District Court in Amsterdam seeking the transfer of shares in XpresSpa Europe to Amiral and damages.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 2016, Amiral filed a complaint for breach of contract against XpresSpa related to a failed merger between Amiral and the Company, before the Supreme Court of the State of New York, County of New York. On November 23, 2016, a temporary restraining order was granted, enjoining XpresSpa and other parties from closing the merger between XpresSpa and FORM pending Amiral fulfilling certain conditions, which Amiral, on December 22, 2016, indicated that it would not meet, thus having the effect of dissolving the temporary restraining order.</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 2017, the Company, Amiral, and several related parties entered into a settlement agreement under which Amiral will receive $250,032 face value of FORM’s Series D Preferred Shares from former Company shareholders. The parties have withdrawn all claims asserted against each other. No liability is expected or recorded for these proceedings, as the matters are settled.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Disputes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Effective October 2014, the Company terminated its former Airport Concession Disadvantaged Business Enterprise (“ACDBE”) partner, Cordial Endeavor Concessions of Atlanta, LLC (“Cordial”), in several store locations at Hartsfield-Jackson Atlanta International Airport. In April 2015, Cordial filed a complaint with the Federal Aviation Administration (“FAA”) (which oversees the City of Atlanta with regard to airport ACDBE programs) and, in December 2015, the FAA mandated that the City of Atlanta review XpresSpa’s request to substitute new partners in lieu of Cordial and Cordial’s claims of retaliation. In response to the FAA ruling, pursuant to a corrective action plan approved by the FAA, the City of Atlanta held two hearings in February 2016 and ruled in favor of the Company on both issues. Cordial submitted a further complaint to the FAA claiming that the City of Atlanta was biased against Cordial and that the City of Atlanta’s decision was wrong. In October 2016, the FAA sent a letter to the City of Atlanta directing that the City of Atlanta retract previous findings on Cordial’s allegations and engage an independent third party to investigate issues previously decided by the City of Atlanta. The FAA also directed that the City of Atlanta determine monies potentially due to Cordial.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2016, Cordial filed a Part 16 complaint with the FAA.</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3, 2017, the Company filed a lawsuit in the Supreme Court of the State of New York, County of New York against Cordial and several related parties alleging breach of contract, unjust enrichment, breach of fiduciary duty, fraudulent inducement, fraudulent concealment, tortious interference, and breach of good faith and fair dealing (the “Cordial Litigation”). On March 3, 2017, the Company filed a first amended complaint against Cordial.</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4, 2017, the Company filed a lawsuit in the United States District Court for the Southern District of New York against its former attorney, Kevin Ross, and his law firm alleging malpractice, unjust enrichment, breach of fiduciary duty, fraudulent inducement, fraudulent concealment, tortious interference, and promissory estoppel (the “Ross Litigation”). On March 2, 2017, the defendants filed a letter with the Court requesting a pre-motion conference in anticipation of the defendants’ filing of a motion to dismiss.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Both the Cordial Litigation and Ross Litigation are pending before the respective courts; no schedule has been set in either matter.</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2014, four former XpresSpa employees who worked at XpresSpa locations in John F. Kennedy International Airport and LaGuardia Airport filed a putative class and collective action wage-hour litigation in the U.S. District Court for the Eastern District of New York. Plaintiffs claim that they and other spa technicians were misclassified as exempt commissioned salespersons. Plaintiffs also assert class claims for unpaid overtime on behalf of New York spa technicians under the New York Labor Law, and discriminatory employment practices under New York State and City laws. On September 23, 2016, the court conditionally certified the class. The parties held a mediation on February 28, 2017 and reached agreement on a settlement in principle. The parties are in the process of drafting a formal settlement agreement incorporating the agreed-upon terms. In addition, there are three complaints filed against the Company with the Equal Employment Opportunity Commission for unlawful termination of employment and discriminatory employment practices.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also regularly subject to claims, suits and other proceedings involving commercial disputes, labor and employment, personal injury and other matters. Such claims, suits and other proceedings could result in fines, civil or criminal penalties or other adverse consequences.</w:t>
      </w:r>
    </w:p>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 liability and the estimated amount of a loss related to such matters.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the Company’s outstanding legal matters, based on its current knowledge, the Company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matters described above, and assessed the probability and likelihood of the occurrence of liability. Based on its estimate, it has accrued $650,000 in liability, included in the Company’s accrued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Member Units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6, 2013, under the terms of a Membership Interest Purchase Agreement (the “MIPA”), the Company authorized the sale and issuance of 5,250,000 P-3 preferred units at a stated value of $1 per unit to the members of the Company including investors of the founding member. The MIPA provided for the commitment and sale of all authorized units in two tranches consisting of an initial sale of 2,000,000 P-3 preferred units completed upon execution of the MIPA in 2013 and the balance of 3,250,000 P-3 preferred units completed in March 2014. The Company received cash proceeds of $3,241,230 in 2014.</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28, 2014, the Company entered into a recapitalization transaction whereby the existing P-1, P-2 and P-3 preferred units and common units, as defined in the second amended and restated operating agreement, were converted to new common units. Simultaneously, under the terms of a MIPA, 4,400,000 common units were issued to certain participating members in exchange for a capital contribution of $2,200,000. The 4,400,000 common units were valued at $2,336,022 at the time of the transaction. This resulted in a charge of $136,022 to selling, general and administrative expenses in the year ended December 31, 2014.</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2015 and 2014, the Company had 74,368,310 common units authorized, issued and outstanding. Common units represent fractional ownership of the Company and have rights and obligations as specified in the fourth amended and restated operating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and August 2015, under the terms of a MIPA, the Company authorized the sale and issuance of 7,000,000 Series A preferred units at a stated value of $1 per unit to the members of the Company including investors of the founding member. The Company received cash proceeds of $4,999,110 and $2,000,000 in January 2015 and August 2015, respectively.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12, 2015, under the terms of a MIPA, the Company authorized the sale and issuance of 3,000,000 Series B preferred units at a stated value of $1 per unit to the members of the Company including investors of the founding member. Under this agreement, these units are being sold in stages. In the first stage, the Company sold 1,500,000 Series B preferred units and received cash proceeds of $1,500,000 on November 12, 2015. In the second stage, the Company sold 1,000,000 Series B preferred units and received cash proceeds of $1,000,000 on December 30, 2015. In the third stage, the Company sold 250,000 Series B preferred units in April 2016 and received cash proceeds of $250,000. The Series B preferred units include a 15% preferred yield.</w:t>
      </w:r>
    </w:p>
    <w:p>
      <w:pPr>
        <w:spacing w:after="0" w:line="36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27, 2016, under the terms of a MIPA, the Company authorized the sale and issuance of 500,000 Series B preferred units at a stated value of $1 per unit to a member of the Company. The Company received cash proceeds of $500,000 in January 2016.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accrued and unpaid yield on Series B preferred units was $391,849 (unaudited) and $41,506 at September 30, 2016 and December 31, 2015, respectively.</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8, 2016, the Company authorized and issued, and FORM irrevocably subscribed for and agreed to purchase, 1,733,826 Series C preferred units, at a per unit purchase price of $1.00 for an aggregate purchase price of $1,733,826 (see Note 15 for subsequent event with FORM). The Series C Preferred Units have a preference in the amount of its initial investment and a 12% accruing yield for the first year or until the closing of the Merger and thereafter, if the Merger has not closed, shall be entitled to a liquidation preference equal to two times the amount of its initial investment plus any accrued but unpaid yield thereon. The Company received cash proceeds on August 9, 2016. The accrued and unpaid yield on Series C preferred units was $30,211 (unaudited) at September 30,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2016 and 2015, the Company received contributions from noncontrolling interests aggregating $1,104,017 (unaudited) and $666,776 (unaudited), respectively, and made distributions to noncontrolling interests aggregating $258,370 (unaudited) and $328,398 (unaudited),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2015 and 2014, the Company received contributions from noncontrolling interests aggregating $666,776 and $388,000, respectively, and made distributions to noncontrolling interests aggregating $328,398 and $485,539,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Syndication Costs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incurred syndication costs of $128,855 for the year ended December 31, 2014 in conjunction with the issuance of P-3 preferred units. Syndication costs have been presented as a reduction of the capital contributed by P-3 preferred unitholders on the consolidated statement of changes in members’ equity for the year ended December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 Termination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incurred $128,844 (unaudited) and $478,361 for the nine months ended September 30, 2016 and year ended December 31, 2015, respectively, of lease termination fees and related expenses in conjunction with the termination of retail spa leases which were never placed in service. These costs are included in selling, general and administrative expenses on the consolidated statements of operations for the nine months ended September 30, 2016 and year ended December 30, 2015,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Loss on Disposal of Property and Equipment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closed certain retail spa locations as a result of airport terminal renovations and lease expirations which occurred during the nine months ended September 30, 2016, September 30, 2015 and the years ended December 31, 2015 and 2014. As a result, the remaining undepreciated cost of property and equipment related to these locations aggregating $70,973 (unaudited), $-0-, $121,542 and $767,593 is included in loss on disposal of property and equipment on the consolidated statements of operations for the nine months ended September 30, 2016 and 2015 and years ended December 31, 2015 and 2014, respectively.</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XpresSpa Holdings, LLC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Foreign Currency Translation Adjustment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operations of the foreign subsidiaries located in the Netherlands and the United Arab Emirates have been consolidated in U.S. dollars which differ from their functional currency; as a result, the foreign currency translation exchange gain (loss) in the amount of $14,011 (unaudited), $(326,347) (unaudited), $(363,642) and $(81,834) has been presented as a component of comprehensive loss for the nine months ended September 30, 2016 and 2015 and years ended December 31, 2015 and 2014,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subsequent events through March 7, 2017, the date on which the consolidated financial statements were available to be issued.</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23, 2016 XpresSpa completed a merger with FXHMS, LLC, a wholly-owned subsidiary of FORM with XpresSpa being the surviving entity and wholly-owned subsidiary of FORM. At that date the then-outstanding common and preferred units of XpresSpa were cancelled and automatically converted into the right to receive the following:</w:t>
      </w:r>
    </w:p>
    <w:p>
      <w:pPr>
        <w:spacing w:after="0" w:line="181"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2,500,000 shares of FORM common stock with a par value of $.01 per share,</w:t>
      </w:r>
    </w:p>
    <w:p>
      <w:pPr>
        <w:spacing w:after="0" w:line="225"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494,792 shares of newly designated Series D convertible preferred stock, with a par value of $.01 per share, of FORM with an aggregate initial liquidation preference of $23,750,000, accruing dividends at 9% per annum and which are initially convertible into 3,958,336 shares of FORM common stock, and</w:t>
      </w:r>
    </w:p>
    <w:p>
      <w:pPr>
        <w:spacing w:after="0" w:line="181"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in each case, subject to adjustment in the event of a stock split, dividend or similar events.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consummation of the merger, as of December 23, 2016, the former members of XpresSpa own approximately 18% of the outstanding shares of FORM common stock (or 33% of the outstanding shares of FORM common stock calculated on a fully diluted basis) and the stockholders of FORM prior to the merger own approximately 82% of the outstanding shares of FORM common stock (or 67% of the outstanding shares of FORM common stock calculated on a fully diluted basis).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2017, the total number of shares of FORM’s Series D preferred stock was decreased from 494,792 shares to 491,427 shares with an aggregate initial liquidation preference of $23,588,000, which are initially convertible into 3,931,416 shares of FORM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events or transactions requiring disclosure or adjustment in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AND CONDENSED FINANCIAL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unaudited pro forma consolidated and condensed financial data is intended to show how the Merger might have affected historical financial statements if the Merger had been completed on September 30, 2016, for the purposes of the balance sheet and shows the statements of operations for the nine-month period ended September 30, 2016 and the year ended December 31, 2015, and was prepared based on the historical financial position and results of operations reported by FORM and XpresSpa. The following should be read in conjunction with the audited historical financial statements of FORM and XpresSpa and the notes thereto, the sections entitled “FORM’s Management’s Discussion and Analysis of Financial Condition and Results of Operations” beginning on page 106 of Amendment No. 1 to FORM’s Registration Statement on Form S-4 (File No. 333-213566) (the “S-4 Registration Statement”) and “XpresSpa’s Management’s Discussion and Analysis of Financial Condition and Results of Operations” beginning on page 130 of the S-4 Registration Statement, and the other information contained in the S-4 Registration Statement.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Merger was accounted for using the acquisition method of accounting in accordance with ASC 805, Business Combinations, which requires that one of the two companies in the Merger be designated as the acquirer for accounting purposes based on the evidence available. It was determined that FORM is the acquiring entity for accounting purposes. In identifying FORM as the acquiring entity, the companies took into account the composition of FORM’s Board of Directors, the designation of certain senior management positions, including its Chief Executive Officer and Chief Financial Officer, as well as the fact that existing stock holders of FORM continue to own approximately 82% of FORM after completion of the Merger (or 67% on a fully 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UNAUDITED PRO FORMA CONSOLIDATED AND CONDENSED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271780</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271780</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271780</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271780</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271780</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271780</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271780</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XpresSpa</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Holdings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Holdings,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7"/>
            <w:vMerge w:val="restart"/>
          </w:tcPr>
          <w:p>
            <w:pPr>
              <w:ind w:left="580"/>
              <w:spacing w:after="0"/>
              <w:rPr>
                <w:sz w:val="20"/>
                <w:szCs w:val="20"/>
                <w:color w:val="auto"/>
              </w:rPr>
            </w:pPr>
            <w:r>
              <w:rPr>
                <w:rFonts w:ascii="Arial" w:cs="Arial" w:eastAsia="Arial" w:hAnsi="Arial"/>
                <w:sz w:val="14"/>
                <w:szCs w:val="14"/>
                <w:b w:val="1"/>
                <w:bCs w:val="1"/>
                <w:color w:val="auto"/>
                <w:w w:val="98"/>
              </w:rPr>
              <w:t>Pro Forma Adjustments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Corp.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LLC</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7"/>
            <w:vMerge w:val="continue"/>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Condensed</w:t>
            </w: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30"/>
              <w:spacing w:after="0" w:line="149" w:lineRule="exact"/>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right"/>
              <w:ind w:right="448"/>
              <w:spacing w:after="0"/>
              <w:rPr>
                <w:sz w:val="20"/>
                <w:szCs w:val="20"/>
                <w:color w:val="auto"/>
              </w:rPr>
            </w:pPr>
            <w:r>
              <w:rPr>
                <w:rFonts w:ascii="Arial" w:cs="Arial" w:eastAsia="Arial" w:hAnsi="Arial"/>
                <w:sz w:val="14"/>
                <w:szCs w:val="14"/>
                <w:b w:val="1"/>
                <w:bCs w:val="1"/>
                <w:color w:val="auto"/>
              </w:rPr>
              <w:t>(c)</w:t>
            </w:r>
          </w:p>
        </w:tc>
        <w:tc>
          <w:tcPr>
            <w:tcW w:w="22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w:t>
            </w:r>
          </w:p>
        </w:tc>
        <w:tc>
          <w:tcPr>
            <w:tcW w:w="20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Current assets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21,679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62" w:lineRule="exact"/>
              <w:rPr>
                <w:sz w:val="20"/>
                <w:szCs w:val="20"/>
                <w:color w:val="auto"/>
              </w:rPr>
            </w:pPr>
            <w:r>
              <w:rPr>
                <w:rFonts w:ascii="Arial" w:cs="Arial" w:eastAsia="Arial" w:hAnsi="Arial"/>
                <w:sz w:val="12"/>
                <w:szCs w:val="12"/>
                <w:color w:val="auto"/>
              </w:rPr>
              <w:t>2,733</w:t>
            </w:r>
            <w:r>
              <w:rPr>
                <w:rFonts w:ascii="Arial" w:cs="Arial" w:eastAsia="Arial" w:hAnsi="Arial"/>
                <w:sz w:val="18"/>
                <w:szCs w:val="18"/>
                <w:color w:val="auto"/>
                <w:vertAlign w:val="superscript"/>
              </w:rPr>
              <w:t>(f)</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24,412</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1,833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8"/>
                <w:szCs w:val="18"/>
                <w:color w:val="auto"/>
                <w:vertAlign w:val="subscript"/>
              </w:rPr>
              <w:t>56</w:t>
            </w:r>
            <w:r>
              <w:rPr>
                <w:rFonts w:ascii="Arial" w:cs="Arial" w:eastAsia="Arial" w:hAnsi="Arial"/>
                <w:sz w:val="9"/>
                <w:szCs w:val="9"/>
                <w:color w:val="auto"/>
              </w:rPr>
              <w:t>(f)</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1,889</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Inventory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20"/>
              <w:spacing w:after="0" w:line="162" w:lineRule="exact"/>
              <w:rPr>
                <w:sz w:val="20"/>
                <w:szCs w:val="20"/>
                <w:color w:val="auto"/>
              </w:rPr>
            </w:pPr>
            <w:r>
              <w:rPr>
                <w:rFonts w:ascii="Arial" w:cs="Arial" w:eastAsia="Arial" w:hAnsi="Arial"/>
                <w:sz w:val="12"/>
                <w:szCs w:val="12"/>
                <w:color w:val="auto"/>
              </w:rPr>
              <w:t>2,485</w:t>
            </w:r>
            <w:r>
              <w:rPr>
                <w:rFonts w:ascii="Arial" w:cs="Arial" w:eastAsia="Arial" w:hAnsi="Arial"/>
                <w:sz w:val="18"/>
                <w:szCs w:val="18"/>
                <w:color w:val="auto"/>
                <w:vertAlign w:val="superscript"/>
              </w:rPr>
              <w:t>(f)</w:t>
            </w:r>
          </w:p>
        </w:tc>
        <w:tc>
          <w:tcPr>
            <w:tcW w:w="180" w:type="dxa"/>
            <w:vAlign w:val="bottom"/>
          </w:tcPr>
          <w:p>
            <w:pPr>
              <w:spacing w:after="0"/>
              <w:rPr>
                <w:sz w:val="14"/>
                <w:szCs w:val="14"/>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gridSpan w:val="2"/>
          </w:tcPr>
          <w:p>
            <w:pPr>
              <w:jc w:val="center"/>
              <w:ind w:left="49"/>
              <w:spacing w:after="0" w:line="162" w:lineRule="exact"/>
              <w:rPr>
                <w:sz w:val="20"/>
                <w:szCs w:val="20"/>
                <w:color w:val="auto"/>
              </w:rPr>
            </w:pPr>
            <w:r>
              <w:rPr>
                <w:rFonts w:ascii="Arial" w:cs="Arial" w:eastAsia="Arial" w:hAnsi="Arial"/>
                <w:sz w:val="18"/>
                <w:szCs w:val="18"/>
                <w:color w:val="auto"/>
                <w:vertAlign w:val="subscript"/>
              </w:rPr>
              <w:t>124</w:t>
            </w:r>
            <w:r>
              <w:rPr>
                <w:rFonts w:ascii="Arial" w:cs="Arial" w:eastAsia="Arial" w:hAnsi="Arial"/>
                <w:sz w:val="9"/>
                <w:szCs w:val="9"/>
                <w:color w:val="auto"/>
              </w:rPr>
              <w:t>(l)</w:t>
            </w:r>
          </w:p>
        </w:tc>
        <w:tc>
          <w:tcPr>
            <w:tcW w:w="20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3,017</w:t>
            </w: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Other current assets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3"/>
                <w:szCs w:val="13"/>
                <w:color w:val="auto"/>
              </w:rPr>
              <w:t>368</w:t>
            </w:r>
            <w:r>
              <w:rPr>
                <w:rFonts w:ascii="Arial" w:cs="Arial" w:eastAsia="Arial" w:hAnsi="Arial"/>
                <w:sz w:val="20"/>
                <w:szCs w:val="20"/>
                <w:color w:val="auto"/>
                <w:vertAlign w:val="superscript"/>
              </w:rPr>
              <w:t>(f)</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42"/>
        </w:trPr>
        <w:tc>
          <w:tcPr>
            <w:tcW w:w="29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Investment in XpresSpa</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1,734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(1,734</w:t>
            </w:r>
          </w:p>
        </w:tc>
        <w:tc>
          <w:tcPr>
            <w:tcW w:w="3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400"/>
              <w:spacing w:after="0" w:line="142" w:lineRule="exact"/>
              <w:rPr>
                <w:sz w:val="20"/>
                <w:szCs w:val="20"/>
                <w:color w:val="auto"/>
              </w:rPr>
            </w:pPr>
            <w:r>
              <w:rPr>
                <w:rFonts w:ascii="Arial" w:cs="Arial" w:eastAsia="Arial" w:hAnsi="Arial"/>
                <w:sz w:val="14"/>
                <w:szCs w:val="14"/>
                <w:color w:val="auto"/>
                <w:w w:val="85"/>
              </w:rPr>
              <w:t>—</w:t>
            </w:r>
          </w:p>
        </w:tc>
        <w:tc>
          <w:tcPr>
            <w:tcW w:w="3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25,996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5,642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(1,734)</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124</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30,028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20" w:type="dxa"/>
            <w:vAlign w:val="bottom"/>
          </w:tcPr>
          <w:p>
            <w:pPr>
              <w:spacing w:after="0" w:line="130" w:lineRule="exact"/>
              <w:rPr>
                <w:sz w:val="20"/>
                <w:szCs w:val="20"/>
                <w:color w:val="auto"/>
              </w:rPr>
            </w:pPr>
            <w:r>
              <w:rPr>
                <w:rFonts w:ascii="Arial" w:cs="Arial" w:eastAsia="Arial" w:hAnsi="Arial"/>
                <w:sz w:val="14"/>
                <w:szCs w:val="14"/>
                <w:color w:val="auto"/>
              </w:rPr>
              <w:t>Spa leasehold improvements, property and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14,191</w:t>
            </w:r>
            <w:r>
              <w:rPr>
                <w:rFonts w:ascii="Arial" w:cs="Arial" w:eastAsia="Arial" w:hAnsi="Arial"/>
                <w:sz w:val="23"/>
                <w:szCs w:val="23"/>
                <w:color w:val="auto"/>
                <w:vertAlign w:val="superscript"/>
              </w:rPr>
              <w:t>(f)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jc w:val="center"/>
              <w:ind w:left="69"/>
              <w:spacing w:after="0"/>
              <w:rPr>
                <w:sz w:val="20"/>
                <w:szCs w:val="20"/>
                <w:color w:val="auto"/>
              </w:rPr>
            </w:pPr>
            <w:r>
              <w:rPr>
                <w:rFonts w:ascii="Arial" w:cs="Arial" w:eastAsia="Arial" w:hAnsi="Arial"/>
                <w:sz w:val="14"/>
                <w:szCs w:val="14"/>
                <w:color w:val="auto"/>
                <w:w w:val="82"/>
              </w:rPr>
              <w:t>756</w:t>
            </w:r>
            <w:r>
              <w:rPr>
                <w:rFonts w:ascii="Arial" w:cs="Arial" w:eastAsia="Arial" w:hAnsi="Arial"/>
                <w:sz w:val="23"/>
                <w:szCs w:val="23"/>
                <w:color w:val="auto"/>
                <w:w w:val="82"/>
                <w:vertAlign w:val="superscript"/>
              </w:rPr>
              <w:t>(k)</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tcPr>
          <w:p>
            <w:pPr>
              <w:ind w:left="180"/>
              <w:spacing w:after="0"/>
              <w:rPr>
                <w:sz w:val="20"/>
                <w:szCs w:val="20"/>
                <w:color w:val="auto"/>
              </w:rPr>
            </w:pPr>
            <w:r>
              <w:rPr>
                <w:rFonts w:ascii="Arial" w:cs="Arial" w:eastAsia="Arial" w:hAnsi="Arial"/>
                <w:sz w:val="14"/>
                <w:szCs w:val="14"/>
                <w:color w:val="auto"/>
              </w:rPr>
              <w:t>equipment, net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14,947</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Cash – restricted</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2"/>
                <w:szCs w:val="12"/>
                <w:color w:val="auto"/>
              </w:rPr>
              <w:t>634</w:t>
            </w:r>
            <w:r>
              <w:rPr>
                <w:rFonts w:ascii="Arial" w:cs="Arial" w:eastAsia="Arial" w:hAnsi="Arial"/>
                <w:sz w:val="18"/>
                <w:szCs w:val="18"/>
                <w:color w:val="auto"/>
                <w:vertAlign w:val="superscript"/>
              </w:rPr>
              <w:t>(f)</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3,315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1,339</w:t>
            </w:r>
          </w:p>
        </w:tc>
        <w:tc>
          <w:tcPr>
            <w:tcW w:w="180" w:type="dxa"/>
            <w:vAlign w:val="bottom"/>
          </w:tcPr>
          <w:p>
            <w:pPr>
              <w:spacing w:after="0"/>
              <w:rPr>
                <w:sz w:val="16"/>
                <w:szCs w:val="16"/>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center"/>
              <w:ind w:left="9"/>
              <w:spacing w:after="0" w:line="189" w:lineRule="exact"/>
              <w:rPr>
                <w:sz w:val="20"/>
                <w:szCs w:val="20"/>
                <w:color w:val="auto"/>
              </w:rPr>
            </w:pPr>
            <w:r>
              <w:rPr>
                <w:rFonts w:ascii="Arial" w:cs="Arial" w:eastAsia="Arial" w:hAnsi="Arial"/>
                <w:sz w:val="13"/>
                <w:szCs w:val="13"/>
                <w:color w:val="auto"/>
                <w:w w:val="96"/>
              </w:rPr>
              <w:t>(1,339)</w:t>
            </w:r>
            <w:r>
              <w:rPr>
                <w:rFonts w:ascii="Arial" w:cs="Arial" w:eastAsia="Arial" w:hAnsi="Arial"/>
                <w:sz w:val="21"/>
                <w:szCs w:val="21"/>
                <w:color w:val="auto"/>
                <w:w w:val="96"/>
                <w:vertAlign w:val="superscript"/>
              </w:rPr>
              <w:t>(m)</w:t>
            </w:r>
          </w:p>
        </w:tc>
        <w:tc>
          <w:tcPr>
            <w:tcW w:w="200" w:type="dxa"/>
            <w:vAlign w:val="bottom"/>
          </w:tcPr>
          <w:p>
            <w:pPr>
              <w:spacing w:after="0"/>
              <w:rPr>
                <w:sz w:val="16"/>
                <w:szCs w:val="16"/>
                <w:color w:val="auto"/>
              </w:rPr>
            </w:pPr>
          </w:p>
        </w:tc>
        <w:tc>
          <w:tcPr>
            <w:tcW w:w="96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13,619</w:t>
            </w:r>
            <w:r>
              <w:rPr>
                <w:rFonts w:ascii="Arial" w:cs="Arial" w:eastAsia="Arial" w:hAnsi="Arial"/>
                <w:sz w:val="21"/>
                <w:szCs w:val="21"/>
                <w:color w:val="auto"/>
                <w:vertAlign w:val="superscript"/>
              </w:rPr>
              <w:t>(p)</w:t>
            </w:r>
          </w:p>
        </w:tc>
        <w:tc>
          <w:tcPr>
            <w:tcW w:w="1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16,934</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4,863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2"/>
                <w:szCs w:val="12"/>
                <w:color w:val="auto"/>
              </w:rPr>
              <w:t>18,432</w:t>
            </w:r>
            <w:r>
              <w:rPr>
                <w:rFonts w:ascii="Arial" w:cs="Arial" w:eastAsia="Arial" w:hAnsi="Arial"/>
                <w:sz w:val="18"/>
                <w:szCs w:val="18"/>
                <w:color w:val="auto"/>
                <w:vertAlign w:val="superscript"/>
              </w:rPr>
              <w:t>(q)(r)</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23,295</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1,143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line="176" w:lineRule="exact"/>
              <w:rPr>
                <w:sz w:val="20"/>
                <w:szCs w:val="20"/>
                <w:color w:val="auto"/>
              </w:rPr>
            </w:pPr>
            <w:r>
              <w:rPr>
                <w:rFonts w:ascii="Arial" w:cs="Arial" w:eastAsia="Arial" w:hAnsi="Arial"/>
                <w:sz w:val="13"/>
                <w:szCs w:val="13"/>
                <w:color w:val="auto"/>
              </w:rPr>
              <w:t>793</w:t>
            </w:r>
            <w:r>
              <w:rPr>
                <w:rFonts w:ascii="Arial" w:cs="Arial" w:eastAsia="Arial" w:hAnsi="Arial"/>
                <w:sz w:val="20"/>
                <w:szCs w:val="20"/>
                <w:color w:val="auto"/>
                <w:vertAlign w:val="superscript"/>
              </w:rPr>
              <w:t>(f)</w:t>
            </w:r>
          </w:p>
        </w:tc>
        <w:tc>
          <w:tcPr>
            <w:tcW w:w="180" w:type="dxa"/>
            <w:vAlign w:val="bottom"/>
          </w:tcPr>
          <w:p>
            <w:pPr>
              <w:spacing w:after="0"/>
              <w:rPr>
                <w:sz w:val="15"/>
                <w:szCs w:val="15"/>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1,936</w:t>
            </w:r>
          </w:p>
        </w:tc>
        <w:tc>
          <w:tcPr>
            <w:tcW w:w="0" w:type="dxa"/>
            <w:vAlign w:val="bottom"/>
          </w:tcPr>
          <w:p>
            <w:pPr>
              <w:spacing w:after="0"/>
              <w:rPr>
                <w:sz w:val="1"/>
                <w:szCs w:val="1"/>
                <w:color w:val="auto"/>
              </w:rPr>
            </w:pPr>
          </w:p>
        </w:tc>
      </w:tr>
      <w:tr>
        <w:trPr>
          <w:trHeight w:val="156"/>
        </w:trPr>
        <w:tc>
          <w:tcPr>
            <w:tcW w:w="29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35,317</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22,599</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(1,734</w:t>
            </w:r>
          </w:p>
        </w:tc>
        <w:tc>
          <w:tcPr>
            <w:tcW w:w="3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(459</w:t>
            </w:r>
          </w:p>
        </w:tc>
        <w:tc>
          <w:tcPr>
            <w:tcW w:w="340" w:type="dxa"/>
            <w:vAlign w:val="bottom"/>
            <w:tcBorders>
              <w:top w:val="single" w:sz="8" w:color="CCEEFF"/>
              <w:bottom w:val="single" w:sz="8" w:color="CCEEFF"/>
            </w:tcBorders>
            <w:shd w:val="clear" w:color="auto" w:fill="CCEEFF"/>
          </w:tcPr>
          <w:p>
            <w:pPr>
              <w:jc w:val="right"/>
              <w:ind w:right="208"/>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32,051</w:t>
            </w:r>
          </w:p>
        </w:tc>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87,774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Accounts payable, accrued expenses and other</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liabilities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7,421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5,010</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1,095</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13,526</w:t>
            </w: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Loan payable – credit card financing</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3"/>
                <w:szCs w:val="13"/>
                <w:color w:val="auto"/>
              </w:rPr>
              <w:t>468</w:t>
            </w:r>
            <w:r>
              <w:rPr>
                <w:rFonts w:ascii="Arial" w:cs="Arial" w:eastAsia="Arial" w:hAnsi="Arial"/>
                <w:sz w:val="20"/>
                <w:szCs w:val="20"/>
                <w:color w:val="auto"/>
                <w:vertAlign w:val="superscript"/>
              </w:rPr>
              <w:t>(f)</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42"/>
        </w:trPr>
        <w:tc>
          <w:tcPr>
            <w:tcW w:w="2920" w:type="dxa"/>
            <w:vAlign w:val="bottom"/>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7,874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5,478</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440"/>
              <w:spacing w:after="0" w:line="142" w:lineRule="exact"/>
              <w:rPr>
                <w:sz w:val="20"/>
                <w:szCs w:val="20"/>
                <w:color w:val="auto"/>
              </w:rPr>
            </w:pPr>
            <w:r>
              <w:rPr>
                <w:rFonts w:ascii="Arial" w:cs="Arial" w:eastAsia="Arial" w:hAnsi="Arial"/>
                <w:sz w:val="14"/>
                <w:szCs w:val="14"/>
                <w:color w:val="auto"/>
                <w:w w:val="85"/>
              </w:rPr>
              <w: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1,095</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400"/>
              <w:spacing w:after="0" w:line="142" w:lineRule="exact"/>
              <w:rPr>
                <w:sz w:val="20"/>
                <w:szCs w:val="20"/>
                <w:color w:val="auto"/>
              </w:rPr>
            </w:pPr>
            <w:r>
              <w:rPr>
                <w:rFonts w:ascii="Arial" w:cs="Arial" w:eastAsia="Arial" w:hAnsi="Arial"/>
                <w:sz w:val="14"/>
                <w:szCs w:val="14"/>
                <w:color w:val="auto"/>
                <w:w w:val="85"/>
              </w:rPr>
              <w:t>—</w:t>
            </w: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14,447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Long-term liabilities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Derivative warrant liabilities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89"/>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3"/>
                <w:szCs w:val="13"/>
                <w:color w:val="auto"/>
              </w:rPr>
              <w:t>383</w:t>
            </w:r>
            <w:r>
              <w:rPr>
                <w:rFonts w:ascii="Arial" w:cs="Arial" w:eastAsia="Arial" w:hAnsi="Arial"/>
                <w:sz w:val="21"/>
                <w:szCs w:val="21"/>
                <w:color w:val="auto"/>
                <w:vertAlign w:val="superscript"/>
              </w:rPr>
              <w:t>(f)</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left="69"/>
              <w:spacing w:after="0" w:line="189" w:lineRule="exact"/>
              <w:rPr>
                <w:sz w:val="20"/>
                <w:szCs w:val="20"/>
                <w:color w:val="auto"/>
              </w:rPr>
            </w:pPr>
            <w:r>
              <w:rPr>
                <w:rFonts w:ascii="Arial" w:cs="Arial" w:eastAsia="Arial" w:hAnsi="Arial"/>
                <w:sz w:val="13"/>
                <w:szCs w:val="13"/>
                <w:color w:val="auto"/>
                <w:w w:val="96"/>
              </w:rPr>
              <w:t>(208)</w:t>
            </w:r>
            <w:r>
              <w:rPr>
                <w:rFonts w:ascii="Arial" w:cs="Arial" w:eastAsia="Arial" w:hAnsi="Arial"/>
                <w:sz w:val="21"/>
                <w:szCs w:val="21"/>
                <w:color w:val="auto"/>
                <w:w w:val="96"/>
                <w:vertAlign w:val="superscript"/>
              </w:rPr>
              <w:t>(n)</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Arial" w:cs="Arial" w:eastAsia="Arial" w:hAnsi="Arial"/>
                <w:sz w:val="14"/>
                <w:szCs w:val="14"/>
                <w:color w:val="auto"/>
              </w:rPr>
              <w:t>Note payable – member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line="176" w:lineRule="exact"/>
              <w:rPr>
                <w:sz w:val="20"/>
                <w:szCs w:val="20"/>
                <w:color w:val="auto"/>
              </w:rPr>
            </w:pPr>
            <w:r>
              <w:rPr>
                <w:rFonts w:ascii="Arial" w:cs="Arial" w:eastAsia="Arial" w:hAnsi="Arial"/>
                <w:sz w:val="13"/>
                <w:szCs w:val="13"/>
                <w:color w:val="auto"/>
              </w:rPr>
              <w:t>5,895</w:t>
            </w:r>
            <w:r>
              <w:rPr>
                <w:rFonts w:ascii="Arial" w:cs="Arial" w:eastAsia="Arial" w:hAnsi="Arial"/>
                <w:sz w:val="20"/>
                <w:szCs w:val="20"/>
                <w:color w:val="auto"/>
                <w:vertAlign w:val="superscript"/>
              </w:rPr>
              <w:t>(f)</w:t>
            </w:r>
          </w:p>
        </w:tc>
        <w:tc>
          <w:tcPr>
            <w:tcW w:w="180" w:type="dxa"/>
            <w:vAlign w:val="bottom"/>
          </w:tcPr>
          <w:p>
            <w:pPr>
              <w:spacing w:after="0"/>
              <w:rPr>
                <w:sz w:val="15"/>
                <w:szCs w:val="15"/>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center"/>
              <w:ind w:left="69"/>
              <w:spacing w:after="0" w:line="176" w:lineRule="exact"/>
              <w:rPr>
                <w:sz w:val="20"/>
                <w:szCs w:val="20"/>
                <w:color w:val="auto"/>
              </w:rPr>
            </w:pPr>
            <w:r>
              <w:rPr>
                <w:rFonts w:ascii="Arial" w:cs="Arial" w:eastAsia="Arial" w:hAnsi="Arial"/>
                <w:sz w:val="13"/>
                <w:szCs w:val="13"/>
                <w:color w:val="auto"/>
                <w:w w:val="89"/>
              </w:rPr>
              <w:t>605</w:t>
            </w:r>
            <w:r>
              <w:rPr>
                <w:rFonts w:ascii="Arial" w:cs="Arial" w:eastAsia="Arial" w:hAnsi="Arial"/>
                <w:sz w:val="20"/>
                <w:szCs w:val="20"/>
                <w:color w:val="auto"/>
                <w:w w:val="89"/>
                <w:vertAlign w:val="superscript"/>
              </w:rPr>
              <w:t>(o)</w:t>
            </w:r>
          </w:p>
        </w:tc>
        <w:tc>
          <w:tcPr>
            <w:tcW w:w="20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6,500</w:t>
            </w: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8,594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11,756</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color w:val="auto"/>
                <w:w w:val="85"/>
              </w:rPr>
              <w:t>—</w:t>
            </w: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1,095</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w:t>
            </w:r>
          </w:p>
        </w:tc>
        <w:tc>
          <w:tcPr>
            <w:tcW w:w="3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21,842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line="142" w:lineRule="exact"/>
              <w:rPr>
                <w:sz w:val="20"/>
                <w:szCs w:val="20"/>
                <w:color w:val="auto"/>
              </w:rPr>
            </w:pPr>
            <w:r>
              <w:rPr>
                <w:rFonts w:ascii="Arial" w:cs="Arial" w:eastAsia="Arial" w:hAnsi="Arial"/>
                <w:sz w:val="14"/>
                <w:szCs w:val="14"/>
                <w:b w:val="1"/>
                <w:bCs w:val="1"/>
                <w:color w:val="auto"/>
              </w:rPr>
              <w:t>Commitments and contingencies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20" w:type="dxa"/>
            <w:vAlign w:val="bottom"/>
          </w:tcPr>
          <w:p>
            <w:pPr>
              <w:spacing w:after="0" w:line="130" w:lineRule="exact"/>
              <w:rPr>
                <w:sz w:val="20"/>
                <w:szCs w:val="20"/>
                <w:color w:val="auto"/>
              </w:rPr>
            </w:pPr>
            <w:r>
              <w:rPr>
                <w:rFonts w:ascii="Arial" w:cs="Arial" w:eastAsia="Arial" w:hAnsi="Arial"/>
                <w:sz w:val="14"/>
                <w:szCs w:val="14"/>
                <w:color w:val="auto"/>
              </w:rPr>
              <w:t>FORM Series A Convertible Preferred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tcPr>
          <w:p>
            <w:pPr>
              <w:ind w:left="180"/>
              <w:spacing w:after="0"/>
              <w:rPr>
                <w:sz w:val="20"/>
                <w:szCs w:val="20"/>
                <w:color w:val="auto"/>
              </w:rPr>
            </w:pPr>
            <w:r>
              <w:rPr>
                <w:rFonts w:ascii="Arial" w:cs="Arial" w:eastAsia="Arial" w:hAnsi="Arial"/>
                <w:sz w:val="14"/>
                <w:szCs w:val="14"/>
                <w:color w:val="auto"/>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FORM Series B Convertible Preferred</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FORM Series C Junior Preferred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FORM Series D Convertible Preferred</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12"/>
              <w:spacing w:after="0" w:line="297" w:lineRule="exact"/>
              <w:rPr>
                <w:sz w:val="20"/>
                <w:szCs w:val="20"/>
                <w:color w:val="auto"/>
              </w:rPr>
            </w:pPr>
            <w:r>
              <w:rPr>
                <w:rFonts w:ascii="Arial" w:cs="Arial" w:eastAsia="Arial" w:hAnsi="Arial"/>
                <w:sz w:val="28"/>
                <w:szCs w:val="28"/>
                <w:color w:val="auto"/>
                <w:vertAlign w:val="subscript"/>
              </w:rPr>
              <w:t>5</w:t>
            </w:r>
            <w:r>
              <w:rPr>
                <w:rFonts w:ascii="Arial" w:cs="Arial" w:eastAsia="Arial" w:hAnsi="Arial"/>
                <w:sz w:val="12"/>
                <w:szCs w:val="12"/>
                <w:color w:val="auto"/>
              </w:rPr>
              <w:t>(g)</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FORM 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12"/>
              <w:spacing w:after="0" w:line="162" w:lineRule="exact"/>
              <w:rPr>
                <w:sz w:val="20"/>
                <w:szCs w:val="20"/>
                <w:color w:val="auto"/>
              </w:rPr>
            </w:pPr>
            <w:r>
              <w:rPr>
                <w:rFonts w:ascii="Arial" w:cs="Arial" w:eastAsia="Arial" w:hAnsi="Arial"/>
                <w:sz w:val="18"/>
                <w:szCs w:val="18"/>
                <w:color w:val="auto"/>
                <w:vertAlign w:val="subscript"/>
              </w:rPr>
              <w:t>25</w:t>
            </w:r>
            <w:r>
              <w:rPr>
                <w:rFonts w:ascii="Arial" w:cs="Arial" w:eastAsia="Arial" w:hAnsi="Arial"/>
                <w:sz w:val="9"/>
                <w:szCs w:val="9"/>
                <w:color w:val="auto"/>
              </w:rPr>
              <w:t>(h)</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XpresSpa Series C Preferred stock</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1,734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(1,734)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XpresSpa Series B Preferred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3,250</w:t>
            </w:r>
          </w:p>
        </w:tc>
        <w:tc>
          <w:tcPr>
            <w:tcW w:w="180" w:type="dxa"/>
            <w:vAlign w:val="bottom"/>
          </w:tcPr>
          <w:p>
            <w:pPr>
              <w:spacing w:after="0"/>
              <w:rPr>
                <w:sz w:val="12"/>
                <w:szCs w:val="12"/>
                <w:color w:val="auto"/>
              </w:rPr>
            </w:pPr>
          </w:p>
        </w:tc>
        <w:tc>
          <w:tcPr>
            <w:tcW w:w="7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(3,250)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XpresSpa Series A Preferred stock</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6,999</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(6,999)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XpresSpa 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23,726</w:t>
            </w:r>
          </w:p>
        </w:tc>
        <w:tc>
          <w:tcPr>
            <w:tcW w:w="180" w:type="dxa"/>
            <w:vAlign w:val="bottom"/>
          </w:tcPr>
          <w:p>
            <w:pPr>
              <w:spacing w:after="0"/>
              <w:rPr>
                <w:sz w:val="12"/>
                <w:szCs w:val="12"/>
                <w:color w:val="auto"/>
              </w:rPr>
            </w:pPr>
          </w:p>
        </w:tc>
        <w:tc>
          <w:tcPr>
            <w:tcW w:w="7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(23,726)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243,450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(294)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2"/>
                <w:szCs w:val="12"/>
                <w:color w:val="auto"/>
              </w:rPr>
              <w:t>35,636</w:t>
            </w:r>
            <w:r>
              <w:rPr>
                <w:rFonts w:ascii="Arial" w:cs="Arial" w:eastAsia="Arial" w:hAnsi="Arial"/>
                <w:sz w:val="18"/>
                <w:szCs w:val="18"/>
                <w:color w:val="auto"/>
                <w:vertAlign w:val="superscript"/>
              </w:rPr>
              <w:t>(h)(i)</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279,086</w:t>
            </w:r>
          </w:p>
        </w:tc>
        <w:tc>
          <w:tcPr>
            <w:tcW w:w="0" w:type="dxa"/>
            <w:vAlign w:val="bottom"/>
          </w:tcPr>
          <w:p>
            <w:pPr>
              <w:spacing w:after="0"/>
              <w:rPr>
                <w:sz w:val="1"/>
                <w:szCs w:val="1"/>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(216,885)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(26,878)</w:t>
            </w:r>
          </w:p>
        </w:tc>
        <w:tc>
          <w:tcPr>
            <w:tcW w:w="18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26,878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(1,095)</w:t>
            </w:r>
          </w:p>
        </w:tc>
        <w:tc>
          <w:tcPr>
            <w:tcW w:w="220" w:type="dxa"/>
            <w:vAlign w:val="bottom"/>
          </w:tcPr>
          <w:p>
            <w:pPr>
              <w:spacing w:after="0"/>
              <w:rPr>
                <w:sz w:val="12"/>
                <w:szCs w:val="12"/>
                <w:color w:val="auto"/>
              </w:rPr>
            </w:pPr>
          </w:p>
        </w:tc>
        <w:tc>
          <w:tcPr>
            <w:tcW w:w="8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(217,980)</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(436)</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436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9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stockholders’ equity</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26,723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8,689</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(8,689</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35,666</w:t>
            </w:r>
          </w:p>
        </w:tc>
        <w:tc>
          <w:tcPr>
            <w:tcW w:w="3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(1,095</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400"/>
              <w:spacing w:after="0" w:line="142" w:lineRule="exact"/>
              <w:rPr>
                <w:sz w:val="20"/>
                <w:szCs w:val="20"/>
                <w:color w:val="auto"/>
              </w:rPr>
            </w:pPr>
            <w:r>
              <w:rPr>
                <w:rFonts w:ascii="Arial" w:cs="Arial" w:eastAsia="Arial" w:hAnsi="Arial"/>
                <w:sz w:val="14"/>
                <w:szCs w:val="14"/>
                <w:color w:val="auto"/>
                <w:w w:val="85"/>
              </w:rPr>
              <w:t>—</w:t>
            </w:r>
          </w:p>
        </w:tc>
        <w:tc>
          <w:tcPr>
            <w:tcW w:w="3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61,294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Noncontrolling interests</w:t>
            </w:r>
          </w:p>
        </w:tc>
        <w:tc>
          <w:tcPr>
            <w:tcW w:w="2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2,154</w:t>
            </w:r>
          </w:p>
        </w:tc>
        <w:tc>
          <w:tcPr>
            <w:tcW w:w="2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2,484</w:t>
            </w:r>
          </w:p>
        </w:tc>
        <w:tc>
          <w:tcPr>
            <w:tcW w:w="3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(j)</w:t>
            </w: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ind w:left="400"/>
              <w:spacing w:after="0" w:line="155" w:lineRule="exact"/>
              <w:rPr>
                <w:sz w:val="20"/>
                <w:szCs w:val="20"/>
                <w:color w:val="auto"/>
              </w:rPr>
            </w:pPr>
            <w:r>
              <w:rPr>
                <w:rFonts w:ascii="Arial" w:cs="Arial" w:eastAsia="Arial" w:hAnsi="Arial"/>
                <w:sz w:val="14"/>
                <w:szCs w:val="14"/>
                <w:color w:val="auto"/>
                <w:w w:val="85"/>
              </w:rPr>
              <w:t>—</w:t>
            </w:r>
          </w:p>
        </w:tc>
        <w:tc>
          <w:tcPr>
            <w:tcW w:w="3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4,638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members’ equity</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26,723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10,843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(8,689</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38,150</w:t>
            </w:r>
          </w:p>
        </w:tc>
        <w:tc>
          <w:tcPr>
            <w:tcW w:w="3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(1,095</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400"/>
              <w:spacing w:after="0" w:line="142" w:lineRule="exact"/>
              <w:rPr>
                <w:sz w:val="20"/>
                <w:szCs w:val="20"/>
                <w:color w:val="auto"/>
              </w:rPr>
            </w:pPr>
            <w:r>
              <w:rPr>
                <w:rFonts w:ascii="Arial" w:cs="Arial" w:eastAsia="Arial" w:hAnsi="Arial"/>
                <w:sz w:val="14"/>
                <w:szCs w:val="14"/>
                <w:color w:val="auto"/>
                <w:w w:val="85"/>
              </w:rPr>
              <w:t>—</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65,932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2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35,317</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22,599</w:t>
            </w:r>
          </w:p>
        </w:tc>
        <w:tc>
          <w:tcPr>
            <w:tcW w:w="2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(8,689</w:t>
            </w:r>
          </w:p>
        </w:tc>
        <w:tc>
          <w:tcPr>
            <w:tcW w:w="140" w:type="dxa"/>
            <w:vAlign w:val="bottom"/>
            <w:tcBorders>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38,150</w:t>
            </w:r>
          </w:p>
        </w:tc>
        <w:tc>
          <w:tcPr>
            <w:tcW w:w="3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397</w:t>
            </w:r>
          </w:p>
        </w:tc>
        <w:tc>
          <w:tcPr>
            <w:tcW w:w="3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87,774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-5814060</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-5814060</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-5814060</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-5814060</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-5814060</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-5814060</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-5814060</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-5814060</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ind w:left="492" w:hanging="492"/>
        <w:spacing w:after="0"/>
        <w:tabs>
          <w:tab w:leader="none" w:pos="4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Elimination of XpresSpa’s equity from the historical balance sheet as a result of the acquisition.</w:t>
      </w:r>
    </w:p>
    <w:p>
      <w:pPr>
        <w:spacing w:after="0" w:line="225" w:lineRule="exact"/>
        <w:rPr>
          <w:rFonts w:ascii="Arial" w:cs="Arial" w:eastAsia="Arial" w:hAnsi="Arial"/>
          <w:sz w:val="18"/>
          <w:szCs w:val="18"/>
          <w:color w:val="auto"/>
        </w:rPr>
      </w:pPr>
    </w:p>
    <w:p>
      <w:pPr>
        <w:jc w:val="both"/>
        <w:ind w:left="492" w:hanging="492"/>
        <w:spacing w:after="0" w:line="276" w:lineRule="auto"/>
        <w:tabs>
          <w:tab w:leader="none" w:pos="492"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the purchase price allocation related to the fair value of the securities, including shares of common stock, warrants, and shares of Series D Convertible Preferred Stock, issued by FORM as the purchase consideration for the acquisition. The finalization of FORM’s purchase accounting assessment may result in changes to the valuation of the individual securities. In addition, it represents the cash invested by FORM to XpresSpa as part of a subscription agreement whereby FORM purchased from XpresSpa an aggregate of 1,733,826 Series C Preferred Units of XpresSpa, at a per unit purchase price of $1.00 per unit, and treated as consideration for purchase price allocation.</w:t>
      </w:r>
    </w:p>
    <w:p>
      <w:pPr>
        <w:spacing w:after="0" w:line="172" w:lineRule="exact"/>
        <w:rPr>
          <w:rFonts w:ascii="Arial" w:cs="Arial" w:eastAsia="Arial" w:hAnsi="Arial"/>
          <w:sz w:val="17"/>
          <w:szCs w:val="17"/>
          <w:color w:val="auto"/>
        </w:rPr>
      </w:pPr>
    </w:p>
    <w:p>
      <w:pPr>
        <w:ind w:left="492" w:hanging="492"/>
        <w:spacing w:after="0" w:line="277" w:lineRule="auto"/>
        <w:tabs>
          <w:tab w:leader="none" w:pos="4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direct acquisition costs of $353 incurred by FORM and reasonable out-of-pocket fees and expenses incurred by XpresSpa in connection with the acquisition of $742.</w:t>
      </w:r>
    </w:p>
    <w:p>
      <w:pPr>
        <w:spacing w:after="0" w:line="170" w:lineRule="exact"/>
        <w:rPr>
          <w:rFonts w:ascii="Arial" w:cs="Arial" w:eastAsia="Arial" w:hAnsi="Arial"/>
          <w:sz w:val="18"/>
          <w:szCs w:val="18"/>
          <w:color w:val="auto"/>
        </w:rPr>
      </w:pPr>
    </w:p>
    <w:p>
      <w:pPr>
        <w:ind w:left="492" w:hanging="492"/>
        <w:spacing w:after="0"/>
        <w:tabs>
          <w:tab w:leader="none" w:pos="4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adjustments to assets and liabilities to fair value as a result of the acquisition.</w:t>
      </w:r>
    </w:p>
    <w:p>
      <w:pPr>
        <w:spacing w:after="0" w:line="225" w:lineRule="exact"/>
        <w:rPr>
          <w:rFonts w:ascii="Arial" w:cs="Arial" w:eastAsia="Arial" w:hAnsi="Arial"/>
          <w:sz w:val="18"/>
          <w:szCs w:val="18"/>
          <w:color w:val="auto"/>
        </w:rPr>
      </w:pPr>
    </w:p>
    <w:p>
      <w:pPr>
        <w:jc w:val="both"/>
        <w:ind w:left="492" w:hanging="492"/>
        <w:spacing w:after="0" w:line="264" w:lineRule="auto"/>
        <w:tabs>
          <w:tab w:leader="none" w:pos="4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purchase price allocation of the acquisition of XpresSpa. The finalization of FORM’s purchase accounting assessment may result in changes to the valuation of assets acquired, particularly in regards to assets including inventory and spa leasehold improvements, property and equipment, which could be material.</w:t>
      </w:r>
    </w:p>
    <w:p>
      <w:pPr>
        <w:spacing w:after="0" w:line="181" w:lineRule="exact"/>
        <w:rPr>
          <w:rFonts w:ascii="Arial" w:cs="Arial" w:eastAsia="Arial" w:hAnsi="Arial"/>
          <w:sz w:val="18"/>
          <w:szCs w:val="18"/>
          <w:color w:val="auto"/>
        </w:rPr>
      </w:pPr>
    </w:p>
    <w:p>
      <w:pPr>
        <w:ind w:left="492" w:hanging="492"/>
        <w:spacing w:after="0" w:line="277" w:lineRule="auto"/>
        <w:tabs>
          <w:tab w:leader="none" w:pos="4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value of these assets and liabilities represents their book value. The finalization of FORM’s purchase accounting assessment may result in the changes to the acquired assets and liabilities.</w:t>
      </w:r>
    </w:p>
    <w:p>
      <w:pPr>
        <w:spacing w:after="0" w:line="170" w:lineRule="exact"/>
        <w:rPr>
          <w:rFonts w:ascii="Arial" w:cs="Arial" w:eastAsia="Arial" w:hAnsi="Arial"/>
          <w:sz w:val="18"/>
          <w:szCs w:val="18"/>
          <w:color w:val="auto"/>
        </w:rPr>
      </w:pPr>
    </w:p>
    <w:p>
      <w:pPr>
        <w:ind w:left="492" w:right="20" w:hanging="492"/>
        <w:spacing w:after="0" w:line="277" w:lineRule="auto"/>
        <w:tabs>
          <w:tab w:leader="none" w:pos="4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fair value of the 491,427 shares of FORM’s Series D Convertible Preferred Stock issued to XpresSpa as consideration for the acquisition.</w:t>
      </w:r>
    </w:p>
    <w:p>
      <w:pPr>
        <w:spacing w:after="0" w:line="170" w:lineRule="exact"/>
        <w:rPr>
          <w:rFonts w:ascii="Arial" w:cs="Arial" w:eastAsia="Arial" w:hAnsi="Arial"/>
          <w:sz w:val="18"/>
          <w:szCs w:val="18"/>
          <w:color w:val="auto"/>
        </w:rPr>
      </w:pPr>
    </w:p>
    <w:p>
      <w:pPr>
        <w:ind w:left="492" w:hanging="492"/>
        <w:spacing w:after="0" w:line="277" w:lineRule="auto"/>
        <w:tabs>
          <w:tab w:leader="none" w:pos="4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fair value of the 2,500,000 shares of FORM common stock, par value $0.01 per share, issued at $2.09 per share as of December 23, 2016 to XpresSpa as consideration for the acquisition.</w:t>
      </w:r>
    </w:p>
    <w:p>
      <w:pPr>
        <w:spacing w:after="0" w:line="170" w:lineRule="exact"/>
        <w:rPr>
          <w:rFonts w:ascii="Arial" w:cs="Arial" w:eastAsia="Arial" w:hAnsi="Arial"/>
          <w:sz w:val="18"/>
          <w:szCs w:val="18"/>
          <w:color w:val="auto"/>
        </w:rPr>
      </w:pPr>
    </w:p>
    <w:p>
      <w:pPr>
        <w:ind w:left="492" w:hanging="492"/>
        <w:spacing w:after="0" w:line="277" w:lineRule="auto"/>
        <w:tabs>
          <w:tab w:leader="none" w:pos="4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the fair value of the 2,500,000 warrants ($2,689) FORM issued to XpresSpa as consideration for the acquisition, accounted for as equity warrants.</w:t>
      </w:r>
    </w:p>
    <w:p>
      <w:pPr>
        <w:spacing w:after="0" w:line="170" w:lineRule="exact"/>
        <w:rPr>
          <w:rFonts w:ascii="Arial" w:cs="Arial" w:eastAsia="Arial" w:hAnsi="Arial"/>
          <w:sz w:val="18"/>
          <w:szCs w:val="18"/>
          <w:color w:val="auto"/>
        </w:rPr>
      </w:pPr>
    </w:p>
    <w:p>
      <w:pPr>
        <w:ind w:left="492" w:hanging="492"/>
        <w:spacing w:after="0"/>
        <w:tabs>
          <w:tab w:leader="none" w:pos="4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purchase price allocation to noncontrolling interest for the portion of individual locations owned by other partners.</w:t>
      </w:r>
    </w:p>
    <w:p>
      <w:pPr>
        <w:spacing w:after="0" w:line="225" w:lineRule="exact"/>
        <w:rPr>
          <w:rFonts w:ascii="Arial" w:cs="Arial" w:eastAsia="Arial" w:hAnsi="Arial"/>
          <w:sz w:val="18"/>
          <w:szCs w:val="18"/>
          <w:color w:val="auto"/>
        </w:rPr>
      </w:pPr>
    </w:p>
    <w:p>
      <w:pPr>
        <w:ind w:left="492" w:hanging="492"/>
        <w:spacing w:after="0"/>
        <w:tabs>
          <w:tab w:leader="none" w:pos="4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estimated fair value adjustment to fixed assets as a result of the acquisition.</w:t>
      </w:r>
    </w:p>
    <w:p>
      <w:pPr>
        <w:spacing w:after="0" w:line="225" w:lineRule="exact"/>
        <w:rPr>
          <w:rFonts w:ascii="Arial" w:cs="Arial" w:eastAsia="Arial" w:hAnsi="Arial"/>
          <w:sz w:val="18"/>
          <w:szCs w:val="18"/>
          <w:color w:val="auto"/>
        </w:rPr>
      </w:pPr>
    </w:p>
    <w:p>
      <w:pPr>
        <w:ind w:left="492" w:hanging="492"/>
        <w:spacing w:after="0"/>
        <w:tabs>
          <w:tab w:leader="none" w:pos="4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estimated fair value adjustment to inventory as a result of the acquisition.</w:t>
      </w:r>
    </w:p>
    <w:p>
      <w:pPr>
        <w:spacing w:after="0" w:line="225" w:lineRule="exact"/>
        <w:rPr>
          <w:rFonts w:ascii="Arial" w:cs="Arial" w:eastAsia="Arial" w:hAnsi="Arial"/>
          <w:sz w:val="18"/>
          <w:szCs w:val="18"/>
          <w:color w:val="auto"/>
        </w:rPr>
      </w:pPr>
    </w:p>
    <w:p>
      <w:pPr>
        <w:ind w:left="492" w:hanging="492"/>
        <w:spacing w:after="0"/>
        <w:tabs>
          <w:tab w:leader="none" w:pos="4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elimination of the book value of XpresSpa’s intangible assets, which included tradename and lease acquisition costs.</w:t>
      </w:r>
    </w:p>
    <w:p>
      <w:pPr>
        <w:spacing w:after="0" w:line="225" w:lineRule="exact"/>
        <w:rPr>
          <w:rFonts w:ascii="Arial" w:cs="Arial" w:eastAsia="Arial" w:hAnsi="Arial"/>
          <w:sz w:val="18"/>
          <w:szCs w:val="18"/>
          <w:color w:val="auto"/>
        </w:rPr>
      </w:pPr>
    </w:p>
    <w:p>
      <w:pPr>
        <w:ind w:left="492" w:hanging="492"/>
        <w:spacing w:after="0"/>
        <w:tabs>
          <w:tab w:leader="none" w:pos="4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elimination of the book value of XpresSpa’s deferred rent liability.</w:t>
      </w:r>
    </w:p>
    <w:p>
      <w:pPr>
        <w:spacing w:after="0" w:line="225" w:lineRule="exact"/>
        <w:rPr>
          <w:rFonts w:ascii="Arial" w:cs="Arial" w:eastAsia="Arial" w:hAnsi="Arial"/>
          <w:sz w:val="18"/>
          <w:szCs w:val="18"/>
          <w:color w:val="auto"/>
        </w:rPr>
      </w:pPr>
    </w:p>
    <w:p>
      <w:pPr>
        <w:ind w:left="492" w:hanging="492"/>
        <w:spacing w:after="0"/>
        <w:tabs>
          <w:tab w:leader="none" w:pos="492"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the adjustment to increase the principal amount of XpresSpa's notes payable to $6,500 as agreed upon with the holder of the notes.</w:t>
      </w:r>
    </w:p>
    <w:p>
      <w:pPr>
        <w:spacing w:after="0" w:line="236" w:lineRule="exact"/>
        <w:rPr>
          <w:rFonts w:ascii="Arial" w:cs="Arial" w:eastAsia="Arial" w:hAnsi="Arial"/>
          <w:sz w:val="17"/>
          <w:szCs w:val="17"/>
          <w:color w:val="auto"/>
        </w:rPr>
      </w:pPr>
    </w:p>
    <w:p>
      <w:pPr>
        <w:ind w:left="492" w:hanging="492"/>
        <w:spacing w:after="0"/>
        <w:tabs>
          <w:tab w:leader="none" w:pos="492"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fair value adjustments to intangible assets as a result of the acquisition including brands ($13,307) and customer relationships ($312).</w:t>
      </w:r>
    </w:p>
    <w:p>
      <w:pPr>
        <w:spacing w:after="0" w:line="248" w:lineRule="exact"/>
        <w:rPr>
          <w:rFonts w:ascii="Arial" w:cs="Arial" w:eastAsia="Arial" w:hAnsi="Arial"/>
          <w:sz w:val="16"/>
          <w:szCs w:val="16"/>
          <w:color w:val="auto"/>
        </w:rPr>
      </w:pPr>
    </w:p>
    <w:p>
      <w:pPr>
        <w:ind w:left="492" w:hanging="492"/>
        <w:spacing w:after="0"/>
        <w:tabs>
          <w:tab w:leader="none" w:pos="4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fair value adjustment to goodwill as a result of the acquisition based on the purchase price allocation.</w:t>
      </w:r>
    </w:p>
    <w:p>
      <w:pPr>
        <w:spacing w:after="0" w:line="225" w:lineRule="exact"/>
        <w:rPr>
          <w:rFonts w:ascii="Arial" w:cs="Arial" w:eastAsia="Arial" w:hAnsi="Arial"/>
          <w:sz w:val="18"/>
          <w:szCs w:val="18"/>
          <w:color w:val="auto"/>
        </w:rPr>
      </w:pPr>
    </w:p>
    <w:p>
      <w:pPr>
        <w:jc w:val="both"/>
        <w:ind w:left="492" w:hanging="492"/>
        <w:spacing w:after="0" w:line="286" w:lineRule="auto"/>
        <w:tabs>
          <w:tab w:leader="none" w:pos="49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XpresSpa acquisition is treated as an asset deal for tax purposes. As such, goodwill will be amortized over 15 years for tax purposes. In addition, intangible assets may have different useful lives for accounting and tax purposes. No income tax provision (benefit) is reflected for any pro forma adjustments as FORM and XpresSpa maintained a full valuation allowance against all 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542925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1" w:name="page32"/>
    <w:bookmarkEnd w:id="31"/>
    <w:p>
      <w:pPr>
        <w:jc w:val="center"/>
        <w:ind w:left="260" w:right="1700"/>
        <w:spacing w:after="0" w:line="266" w:lineRule="auto"/>
        <w:rPr>
          <w:sz w:val="20"/>
          <w:szCs w:val="20"/>
          <w:color w:val="auto"/>
        </w:rPr>
      </w:pPr>
      <w:r>
        <w:rPr>
          <w:rFonts w:ascii="Arial" w:cs="Arial" w:eastAsia="Arial" w:hAnsi="Arial"/>
          <w:sz w:val="18"/>
          <w:szCs w:val="18"/>
          <w:b w:val="1"/>
          <w:bCs w:val="1"/>
          <w:color w:val="auto"/>
        </w:rPr>
        <w:t xml:space="preserve">UNAUDITED PRO FORMA CONSOLIDATED AND CONDENSED STATEMENT OF OPERATIONS FOR THE NINE MONTH PERIOD ENDED SEPTEMBER 30, 2016 </w:t>
      </w:r>
      <w:r>
        <w:rPr>
          <w:rFonts w:ascii="Arial" w:cs="Arial" w:eastAsia="Arial" w:hAnsi="Arial"/>
          <w:sz w:val="18"/>
          <w:szCs w:val="18"/>
          <w:i w:val="1"/>
          <w:iCs w:val="1"/>
          <w:color w:val="auto"/>
        </w:rPr>
        <w:t>(in thousands, except share and per share data)</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4"/>
                <w:szCs w:val="14"/>
                <w:color w:val="auto"/>
              </w:rPr>
            </w:pPr>
          </w:p>
        </w:tc>
        <w:tc>
          <w:tcPr>
            <w:tcW w:w="9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2"/>
              </w:rPr>
              <w:t>XpresSpa</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0"/>
              </w:rPr>
              <w:t>Holdings</w:t>
            </w:r>
          </w:p>
        </w:tc>
        <w:tc>
          <w:tcPr>
            <w:tcW w:w="120" w:type="dxa"/>
            <w:vAlign w:val="bottom"/>
          </w:tcPr>
          <w:p>
            <w:pPr>
              <w:spacing w:after="0"/>
              <w:rPr>
                <w:sz w:val="12"/>
                <w:szCs w:val="12"/>
                <w:color w:val="auto"/>
              </w:rPr>
            </w:pPr>
          </w:p>
        </w:tc>
        <w:tc>
          <w:tcPr>
            <w:tcW w:w="920" w:type="dxa"/>
            <w:vAlign w:val="bottom"/>
            <w:gridSpan w:val="2"/>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Holdings,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5"/>
            <w:vMerge w:val="restart"/>
          </w:tcPr>
          <w:p>
            <w:pPr>
              <w:jc w:val="right"/>
              <w:ind w:right="328"/>
              <w:spacing w:after="0"/>
              <w:rPr>
                <w:sz w:val="20"/>
                <w:szCs w:val="20"/>
                <w:color w:val="auto"/>
              </w:rPr>
            </w:pPr>
            <w:r>
              <w:rPr>
                <w:rFonts w:ascii="Arial" w:cs="Arial" w:eastAsia="Arial" w:hAnsi="Arial"/>
                <w:sz w:val="14"/>
                <w:szCs w:val="14"/>
                <w:b w:val="1"/>
                <w:bCs w:val="1"/>
                <w:color w:val="auto"/>
                <w:w w:val="98"/>
              </w:rPr>
              <w:t>Pro Forma Adjustments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2"/>
              </w:rPr>
              <w:t>Corp.</w:t>
            </w:r>
          </w:p>
        </w:tc>
        <w:tc>
          <w:tcPr>
            <w:tcW w:w="120" w:type="dxa"/>
            <w:vAlign w:val="bottom"/>
          </w:tcPr>
          <w:p>
            <w:pPr>
              <w:spacing w:after="0"/>
              <w:rPr>
                <w:sz w:val="14"/>
                <w:szCs w:val="14"/>
                <w:color w:val="auto"/>
              </w:rPr>
            </w:pPr>
          </w:p>
        </w:tc>
        <w:tc>
          <w:tcPr>
            <w:tcW w:w="92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20" w:type="dxa"/>
            <w:vAlign w:val="bottom"/>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color w:val="auto"/>
              </w:rPr>
              <w:t>(a)</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4"/>
                <w:szCs w:val="14"/>
                <w:color w:val="auto"/>
              </w:rPr>
              <w:t>(b)</w:t>
            </w:r>
          </w:p>
        </w:tc>
        <w:tc>
          <w:tcPr>
            <w:tcW w:w="220" w:type="dxa"/>
            <w:vAlign w:val="bottom"/>
          </w:tcPr>
          <w:p>
            <w:pPr>
              <w:spacing w:after="0"/>
              <w:rPr>
                <w:sz w:val="14"/>
                <w:szCs w:val="14"/>
                <w:color w:val="auto"/>
              </w:rPr>
            </w:pPr>
          </w:p>
        </w:tc>
        <w:tc>
          <w:tcPr>
            <w:tcW w:w="820" w:type="dxa"/>
            <w:vAlign w:val="bottom"/>
            <w:gridSpan w:val="2"/>
          </w:tcPr>
          <w:p>
            <w:pPr>
              <w:jc w:val="right"/>
              <w:ind w:right="428"/>
              <w:spacing w:after="0"/>
              <w:rPr>
                <w:sz w:val="20"/>
                <w:szCs w:val="20"/>
                <w:color w:val="auto"/>
              </w:rPr>
            </w:pPr>
            <w:r>
              <w:rPr>
                <w:rFonts w:ascii="Arial" w:cs="Arial" w:eastAsia="Arial" w:hAnsi="Arial"/>
                <w:sz w:val="14"/>
                <w:szCs w:val="14"/>
                <w:color w:val="auto"/>
              </w:rPr>
              <w:t>(c)</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16,511</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32,418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CCEEFF"/>
            </w:tcBorders>
            <w:gridSpan w:val="2"/>
            <w:shd w:val="clear" w:color="auto" w:fill="CCEEFF"/>
          </w:tcPr>
          <w:p>
            <w:pPr>
              <w:jc w:val="right"/>
              <w:ind w:right="196"/>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CCEEFF"/>
            </w:tcBorders>
            <w:gridSpan w:val="2"/>
            <w:shd w:val="clear" w:color="auto" w:fill="CCEEFF"/>
          </w:tcPr>
          <w:p>
            <w:pPr>
              <w:jc w:val="right"/>
              <w:ind w:right="139"/>
              <w:spacing w:after="0" w:line="142" w:lineRule="exact"/>
              <w:rPr>
                <w:sz w:val="20"/>
                <w:szCs w:val="20"/>
                <w:color w:val="auto"/>
              </w:rPr>
            </w:pPr>
            <w:r>
              <w:rPr>
                <w:rFonts w:ascii="Arial" w:cs="Arial" w:eastAsia="Arial" w:hAnsi="Arial"/>
                <w:sz w:val="14"/>
                <w:szCs w:val="14"/>
                <w:color w:val="auto"/>
              </w:rPr>
              <w:t>48,929</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4"/>
                <w:szCs w:val="14"/>
                <w:color w:val="auto"/>
              </w:rPr>
              <w:t>Operating expenses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(34,609)</w:t>
            </w:r>
          </w:p>
        </w:tc>
        <w:tc>
          <w:tcPr>
            <w:tcW w:w="120" w:type="dxa"/>
            <w:vAlign w:val="bottom"/>
          </w:tcPr>
          <w:p>
            <w:pPr>
              <w:spacing w:after="0"/>
              <w:rPr>
                <w:sz w:val="17"/>
                <w:szCs w:val="17"/>
                <w:color w:val="auto"/>
              </w:rPr>
            </w:pP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(37,667)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2,419</w:t>
            </w:r>
          </w:p>
        </w:tc>
        <w:tc>
          <w:tcPr>
            <w:tcW w:w="220" w:type="dxa"/>
            <w:vAlign w:val="bottom"/>
          </w:tcPr>
          <w:p>
            <w:pPr>
              <w:spacing w:after="0"/>
              <w:rPr>
                <w:sz w:val="17"/>
                <w:szCs w:val="17"/>
                <w:color w:val="auto"/>
              </w:rPr>
            </w:pP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(4,797)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4"/>
                <w:szCs w:val="14"/>
                <w:color w:val="auto"/>
              </w:rPr>
              <w:t>(1,219)</w:t>
            </w:r>
            <w:r>
              <w:rPr>
                <w:rFonts w:ascii="Arial" w:cs="Arial" w:eastAsia="Arial" w:hAnsi="Arial"/>
                <w:sz w:val="23"/>
                <w:szCs w:val="23"/>
                <w:color w:val="auto"/>
                <w:vertAlign w:val="superscript"/>
              </w:rPr>
              <w:t>(d)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99"/>
              <w:spacing w:after="0"/>
              <w:rPr>
                <w:sz w:val="20"/>
                <w:szCs w:val="20"/>
                <w:color w:val="auto"/>
              </w:rPr>
            </w:pPr>
            <w:r>
              <w:rPr>
                <w:rFonts w:ascii="Arial" w:cs="Arial" w:eastAsia="Arial" w:hAnsi="Arial"/>
                <w:sz w:val="14"/>
                <w:szCs w:val="14"/>
                <w:color w:val="auto"/>
              </w:rPr>
              <w:t>(75,377)</w:t>
            </w:r>
          </w:p>
        </w:tc>
        <w:tc>
          <w:tcPr>
            <w:tcW w:w="0" w:type="dxa"/>
            <w:vAlign w:val="bottom"/>
          </w:tcPr>
          <w:p>
            <w:pPr>
              <w:spacing w:after="0"/>
              <w:rPr>
                <w:sz w:val="1"/>
                <w:szCs w:val="1"/>
                <w:color w:val="auto"/>
              </w:rPr>
            </w:pPr>
          </w:p>
        </w:tc>
      </w:tr>
      <w:tr>
        <w:trPr>
          <w:trHeight w:val="142"/>
        </w:trPr>
        <w:tc>
          <w:tcPr>
            <w:tcW w:w="3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loss</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(18,098)</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(5,249)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2,419</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(4,797)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(1,219)</w:t>
            </w:r>
          </w:p>
        </w:tc>
        <w:tc>
          <w:tcPr>
            <w:tcW w:w="2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(26,448)</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Non-operating expense, net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(228)</w:t>
            </w:r>
          </w:p>
        </w:tc>
        <w:tc>
          <w:tcPr>
            <w:tcW w:w="120" w:type="dxa"/>
            <w:vAlign w:val="bottom"/>
          </w:tcPr>
          <w:p>
            <w:pPr>
              <w:spacing w:after="0"/>
              <w:rPr>
                <w:sz w:val="12"/>
                <w:szCs w:val="12"/>
                <w:color w:val="auto"/>
              </w:rPr>
            </w:pPr>
          </w:p>
        </w:tc>
        <w:tc>
          <w:tcPr>
            <w:tcW w:w="9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(71)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96"/>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(1,697)</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(825)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96"/>
              <w:spacing w:after="0"/>
              <w:rPr>
                <w:sz w:val="20"/>
                <w:szCs w:val="20"/>
                <w:color w:val="auto"/>
              </w:rPr>
            </w:pPr>
            <w:r>
              <w:rPr>
                <w:rFonts w:ascii="Arial" w:cs="Arial" w:eastAsia="Arial" w:hAnsi="Arial"/>
                <w:sz w:val="14"/>
                <w:szCs w:val="14"/>
                <w:color w:val="auto"/>
              </w:rPr>
              <w:t>172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(2,350)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6"/>
              <w:spacing w:after="0"/>
              <w:rPr>
                <w:sz w:val="20"/>
                <w:szCs w:val="20"/>
                <w:color w:val="auto"/>
              </w:rPr>
            </w:pPr>
            <w:r>
              <w:rPr>
                <w:rFonts w:ascii="Arial" w:cs="Arial" w:eastAsia="Arial" w:hAnsi="Arial"/>
                <w:sz w:val="12"/>
                <w:szCs w:val="12"/>
                <w:color w:val="auto"/>
              </w:rPr>
              <w:t>(e)</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14"/>
                <w:szCs w:val="14"/>
                <w:color w:val="auto"/>
              </w:rPr>
              <w:t>(20,023)</w:t>
            </w:r>
          </w:p>
        </w:tc>
        <w:tc>
          <w:tcPr>
            <w:tcW w:w="120" w:type="dxa"/>
            <w:vAlign w:val="bottom"/>
          </w:tcPr>
          <w:p>
            <w:pPr>
              <w:spacing w:after="0"/>
              <w:rPr>
                <w:sz w:val="14"/>
                <w:szCs w:val="14"/>
                <w:color w:val="auto"/>
              </w:rPr>
            </w:pPr>
          </w:p>
        </w:tc>
        <w:tc>
          <w:tcPr>
            <w:tcW w:w="920" w:type="dxa"/>
            <w:vAlign w:val="bottom"/>
            <w:gridSpan w:val="2"/>
          </w:tcPr>
          <w:p>
            <w:pPr>
              <w:jc w:val="right"/>
              <w:ind w:right="8"/>
              <w:spacing w:after="0"/>
              <w:rPr>
                <w:sz w:val="20"/>
                <w:szCs w:val="20"/>
                <w:color w:val="auto"/>
              </w:rPr>
            </w:pPr>
            <w:r>
              <w:rPr>
                <w:rFonts w:ascii="Arial" w:cs="Arial" w:eastAsia="Arial" w:hAnsi="Arial"/>
                <w:sz w:val="14"/>
                <w:szCs w:val="14"/>
                <w:color w:val="auto"/>
              </w:rPr>
              <w:t>(6,145)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2,419</w:t>
            </w:r>
          </w:p>
        </w:tc>
        <w:tc>
          <w:tcPr>
            <w:tcW w:w="220" w:type="dxa"/>
            <w:vAlign w:val="bottom"/>
          </w:tcPr>
          <w:p>
            <w:pPr>
              <w:spacing w:after="0"/>
              <w:rPr>
                <w:sz w:val="14"/>
                <w:szCs w:val="14"/>
                <w:color w:val="auto"/>
              </w:rPr>
            </w:pP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(4,797)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(1,047)</w:t>
            </w:r>
          </w:p>
        </w:tc>
        <w:tc>
          <w:tcPr>
            <w:tcW w:w="2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99"/>
              <w:spacing w:after="0"/>
              <w:rPr>
                <w:sz w:val="20"/>
                <w:szCs w:val="20"/>
                <w:color w:val="auto"/>
              </w:rPr>
            </w:pPr>
            <w:r>
              <w:rPr>
                <w:rFonts w:ascii="Arial" w:cs="Arial" w:eastAsia="Arial" w:hAnsi="Arial"/>
                <w:sz w:val="14"/>
                <w:szCs w:val="14"/>
                <w:color w:val="auto"/>
              </w:rPr>
              <w:t>(29,097)</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96"/>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4"/>
                <w:szCs w:val="14"/>
                <w:color w:val="auto"/>
              </w:rPr>
              <w:t>(21)</w:t>
            </w:r>
            <w:r>
              <w:rPr>
                <w:rFonts w:ascii="Arial" w:cs="Arial" w:eastAsia="Arial" w:hAnsi="Arial"/>
                <w:sz w:val="23"/>
                <w:szCs w:val="23"/>
                <w:color w:val="auto"/>
                <w:vertAlign w:val="superscript"/>
              </w:rPr>
              <w:t>(g)</w:t>
            </w: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(20,023)</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2,419</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(4,797)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(1,047)</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(29,118)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noncontrolling interest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96"/>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loss attributable to the company</w:t>
            </w: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(20,023</w:t>
            </w:r>
          </w:p>
        </w:tc>
        <w:tc>
          <w:tcPr>
            <w:tcW w:w="220" w:type="dxa"/>
            <w:vAlign w:val="bottom"/>
            <w:tcBorders>
              <w:bottom w:val="single" w:sz="8" w:color="CCEEFF"/>
            </w:tcBorders>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(6,071</w:t>
            </w:r>
          </w:p>
        </w:tc>
        <w:tc>
          <w:tcPr>
            <w:tcW w:w="140" w:type="dxa"/>
            <w:vAlign w:val="bottom"/>
            <w:tcBorders>
              <w:bottom w:val="single" w:sz="8" w:color="CCEEFF"/>
            </w:tcBorders>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2,419</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(4,797</w:t>
            </w:r>
          </w:p>
        </w:tc>
        <w:tc>
          <w:tcPr>
            <w:tcW w:w="140" w:type="dxa"/>
            <w:vAlign w:val="bottom"/>
            <w:tcBorders>
              <w:bottom w:val="single" w:sz="8" w:color="CCEEFF"/>
            </w:tcBorders>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(1,047</w:t>
            </w:r>
          </w:p>
        </w:tc>
        <w:tc>
          <w:tcPr>
            <w:tcW w:w="2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(29,023</w:t>
            </w:r>
          </w:p>
        </w:tc>
        <w:tc>
          <w:tcPr>
            <w:tcW w:w="180" w:type="dxa"/>
            <w:vAlign w:val="bottom"/>
            <w:tcBorders>
              <w:bottom w:val="single" w:sz="8" w:color="CCEEFF"/>
            </w:tcBorders>
          </w:tcPr>
          <w:p>
            <w:pPr>
              <w:jc w:val="right"/>
              <w:ind w:right="9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6"/>
        </w:trPr>
        <w:tc>
          <w:tcPr>
            <w:tcW w:w="34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Basic loss per share</w:t>
            </w:r>
          </w:p>
        </w:tc>
        <w:tc>
          <w:tcPr>
            <w:tcW w:w="18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(1.35</w:t>
            </w:r>
          </w:p>
        </w:tc>
        <w:tc>
          <w:tcPr>
            <w:tcW w:w="220" w:type="dxa"/>
            <w:vAlign w:val="bottom"/>
            <w:shd w:val="clear" w:color="auto" w:fill="CCEEFF"/>
          </w:tcPr>
          <w:p>
            <w:pPr>
              <w:jc w:val="right"/>
              <w:ind w:right="88"/>
              <w:spacing w:after="0" w:line="144" w:lineRule="exact"/>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(1.67</w:t>
            </w:r>
          </w:p>
        </w:tc>
        <w:tc>
          <w:tcPr>
            <w:tcW w:w="180" w:type="dxa"/>
            <w:vAlign w:val="bottom"/>
            <w:shd w:val="clear" w:color="auto" w:fill="CCEEFF"/>
          </w:tcPr>
          <w:p>
            <w:pPr>
              <w:jc w:val="right"/>
              <w:ind w:right="9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Diluted loss per share</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9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69"/>
        </w:trPr>
        <w:tc>
          <w:tcPr>
            <w:tcW w:w="346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(1.35</w:t>
            </w:r>
          </w:p>
        </w:tc>
        <w:tc>
          <w:tcPr>
            <w:tcW w:w="2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(1.67</w:t>
            </w:r>
          </w:p>
        </w:tc>
        <w:tc>
          <w:tcPr>
            <w:tcW w:w="1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3460" w:type="dxa"/>
            <w:vAlign w:val="bottom"/>
            <w:shd w:val="clear" w:color="auto" w:fill="CCEEFF"/>
          </w:tcPr>
          <w:p>
            <w:pPr>
              <w:spacing w:after="0" w:line="84" w:lineRule="exact"/>
              <w:rPr>
                <w:sz w:val="20"/>
                <w:szCs w:val="20"/>
                <w:color w:val="auto"/>
              </w:rPr>
            </w:pPr>
            <w:r>
              <w:rPr>
                <w:rFonts w:ascii="Arial" w:cs="Arial" w:eastAsia="Arial" w:hAnsi="Arial"/>
                <w:sz w:val="9"/>
                <w:szCs w:val="9"/>
                <w:color w:val="auto"/>
              </w:rPr>
              <w:t>Weighted-average number of shares outstanding during the</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period:</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4"/>
                <w:szCs w:val="14"/>
                <w:color w:val="auto"/>
              </w:rPr>
              <w:t>Basic</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14,880,925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76"/>
              <w:spacing w:after="0" w:line="189" w:lineRule="exact"/>
              <w:rPr>
                <w:sz w:val="20"/>
                <w:szCs w:val="20"/>
                <w:color w:val="auto"/>
              </w:rPr>
            </w:pPr>
            <w:r>
              <w:rPr>
                <w:rFonts w:ascii="Arial" w:cs="Arial" w:eastAsia="Arial" w:hAnsi="Arial"/>
                <w:sz w:val="13"/>
                <w:szCs w:val="13"/>
                <w:color w:val="auto"/>
              </w:rPr>
              <w:t>2,500,000</w:t>
            </w:r>
            <w:r>
              <w:rPr>
                <w:rFonts w:ascii="Arial" w:cs="Arial" w:eastAsia="Arial" w:hAnsi="Arial"/>
                <w:sz w:val="21"/>
                <w:szCs w:val="21"/>
                <w:color w:val="auto"/>
                <w:vertAlign w:val="superscript"/>
              </w:rPr>
              <w:t>(f)</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17,380,925</w:t>
            </w:r>
          </w:p>
        </w:tc>
        <w:tc>
          <w:tcPr>
            <w:tcW w:w="0" w:type="dxa"/>
            <w:vAlign w:val="bottom"/>
          </w:tcPr>
          <w:p>
            <w:pPr>
              <w:spacing w:after="0"/>
              <w:rPr>
                <w:sz w:val="1"/>
                <w:szCs w:val="1"/>
                <w:color w:val="auto"/>
              </w:rPr>
            </w:pPr>
          </w:p>
        </w:tc>
      </w:tr>
      <w:tr>
        <w:trPr>
          <w:trHeight w:val="143"/>
        </w:trPr>
        <w:tc>
          <w:tcPr>
            <w:tcW w:w="346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Diluted</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14,880,925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2,500,000</w:t>
            </w:r>
          </w:p>
        </w:tc>
        <w:tc>
          <w:tcPr>
            <w:tcW w:w="260" w:type="dxa"/>
            <w:vAlign w:val="bottom"/>
            <w:tcBorders>
              <w:top w:val="single" w:sz="8" w:color="CCEEFF"/>
              <w:bottom w:val="single" w:sz="8" w:color="CCEEFF"/>
            </w:tcBorders>
            <w:shd w:val="clear" w:color="auto" w:fill="CCEEFF"/>
          </w:tcPr>
          <w:p>
            <w:pPr>
              <w:spacing w:after="0" w:line="113" w:lineRule="exact"/>
              <w:rPr>
                <w:sz w:val="20"/>
                <w:szCs w:val="20"/>
                <w:color w:val="auto"/>
              </w:rPr>
            </w:pPr>
            <w:r>
              <w:rPr>
                <w:rFonts w:ascii="Arial" w:cs="Arial" w:eastAsia="Arial" w:hAnsi="Arial"/>
                <w:sz w:val="12"/>
                <w:szCs w:val="12"/>
                <w:color w:val="auto"/>
              </w:rPr>
              <w:t>(f)</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17,380,925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2" w:name="page33"/>
    <w:bookmarkEnd w:id="32"/>
    <w:p>
      <w:pPr>
        <w:ind w:left="572" w:hanging="572"/>
        <w:spacing w:after="0" w:line="342" w:lineRule="auto"/>
        <w:tabs>
          <w:tab w:leader="none" w:pos="572"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reversal of the amortization expense for the first nine months of 2016 for XpresSpa’s intangible assets, which have been eliminated in the purchase price allocation. Refer to tickmark (m) on the unaudited pro forma consolidated and condensed balance sheet as of September 30, 2016.</w:t>
      </w:r>
    </w:p>
    <w:p>
      <w:pPr>
        <w:spacing w:after="0" w:line="123" w:lineRule="exact"/>
        <w:rPr>
          <w:rFonts w:ascii="Arial" w:cs="Arial" w:eastAsia="Arial" w:hAnsi="Arial"/>
          <w:sz w:val="16"/>
          <w:szCs w:val="16"/>
          <w:color w:val="auto"/>
        </w:rPr>
      </w:pPr>
    </w:p>
    <w:p>
      <w:pPr>
        <w:ind w:left="572" w:hanging="572"/>
        <w:spacing w:after="0" w:line="277" w:lineRule="auto"/>
        <w:tabs>
          <w:tab w:leader="none" w:pos="5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reversal of the depreciation expense for the first nine months of 2016 for XpresSpa’s fixed assets, which were fair valued and as such have a new depreciation value for the nine-month period ended September 30, 2016. Refer to tickmark (c) below.</w:t>
      </w:r>
    </w:p>
    <w:p>
      <w:pPr>
        <w:spacing w:after="0" w:line="170" w:lineRule="exact"/>
        <w:rPr>
          <w:rFonts w:ascii="Arial" w:cs="Arial" w:eastAsia="Arial" w:hAnsi="Arial"/>
          <w:sz w:val="18"/>
          <w:szCs w:val="18"/>
          <w:color w:val="auto"/>
        </w:rPr>
      </w:pPr>
    </w:p>
    <w:p>
      <w:pPr>
        <w:jc w:val="both"/>
        <w:ind w:left="572" w:hanging="572"/>
        <w:spacing w:after="0" w:line="264" w:lineRule="auto"/>
        <w:tabs>
          <w:tab w:leader="none" w:pos="5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estimated depreciation of fixed assets ($3,016) and the amortization of intangible assets ($1,781) that were adjusted to fair value as a result of the acquisition. Refer to tickmarks (k) and (p) on the unaudited pro forma consolidated and condensed balance sheet as of September 30, 2016.</w:t>
      </w:r>
    </w:p>
    <w:p>
      <w:pPr>
        <w:spacing w:after="0" w:line="181" w:lineRule="exact"/>
        <w:rPr>
          <w:rFonts w:ascii="Arial" w:cs="Arial" w:eastAsia="Arial" w:hAnsi="Arial"/>
          <w:sz w:val="18"/>
          <w:szCs w:val="18"/>
          <w:color w:val="auto"/>
        </w:rPr>
      </w:pPr>
    </w:p>
    <w:p>
      <w:pPr>
        <w:jc w:val="both"/>
        <w:ind w:left="572" w:hanging="572"/>
        <w:spacing w:after="0" w:line="264" w:lineRule="auto"/>
        <w:tabs>
          <w:tab w:leader="none" w:pos="5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additional expenses related to acquisition costs ($1,095) and the adjustment to costs of goods sold due to the estimated fair value adjustment to inventory ($124) as a result of the acquisition. Refer to tickmarks (c) and (l) on the unaudited pro forma consolidated and condensed balance sheet as of September 30, 2016.</w:t>
      </w:r>
    </w:p>
    <w:p>
      <w:pPr>
        <w:spacing w:after="0" w:line="181" w:lineRule="exact"/>
        <w:rPr>
          <w:rFonts w:ascii="Arial" w:cs="Arial" w:eastAsia="Arial" w:hAnsi="Arial"/>
          <w:sz w:val="18"/>
          <w:szCs w:val="18"/>
          <w:color w:val="auto"/>
        </w:rPr>
      </w:pPr>
    </w:p>
    <w:p>
      <w:pPr>
        <w:jc w:val="both"/>
        <w:ind w:left="572" w:hanging="572"/>
        <w:spacing w:after="0" w:line="264" w:lineRule="auto"/>
        <w:tabs>
          <w:tab w:leader="none" w:pos="5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adjustment to remove the interest expense for the amortization of the debt issuance costs and the accretion of the debt discount due to the fair value adjustment to notes payable as a result of the acquisition. Refer to tickmark (o) on the unaudited pro forma consolidated and condensed balance sheet as of September 30, 2016.</w:t>
      </w:r>
    </w:p>
    <w:p>
      <w:pPr>
        <w:spacing w:after="0" w:line="181" w:lineRule="exact"/>
        <w:rPr>
          <w:rFonts w:ascii="Arial" w:cs="Arial" w:eastAsia="Arial" w:hAnsi="Arial"/>
          <w:sz w:val="18"/>
          <w:szCs w:val="18"/>
          <w:color w:val="auto"/>
        </w:rPr>
      </w:pPr>
    </w:p>
    <w:p>
      <w:pPr>
        <w:jc w:val="both"/>
        <w:ind w:left="572" w:hanging="572"/>
        <w:spacing w:after="0" w:line="255" w:lineRule="auto"/>
        <w:tabs>
          <w:tab w:leader="none" w:pos="5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2,500,000 shares of FORM common stock issued to equity holders of XpresSpa at the time of acquisition. The 750,574 shares of FORM common stock sold by FORM to Mistral as a result of a subscription agreement between the two parties entered into on August 8, 2016 had been issued as of August 8, 2016 and are therefore not included in the pro forma adjustment. Also not included in the diluted weighted-average number of shares outstanding are the warrants to purchase an aggregate of 2,500,000 shares of FORM common stock and FORM preferred stock convertible into 3,931,416 shares of FORM common stock, which were issued to equity holders of XpresSpa at the time of acquisition, because of their antidilutive effect on the calculation.</w:t>
      </w:r>
    </w:p>
    <w:p>
      <w:pPr>
        <w:spacing w:after="0" w:line="193" w:lineRule="exact"/>
        <w:rPr>
          <w:rFonts w:ascii="Arial" w:cs="Arial" w:eastAsia="Arial" w:hAnsi="Arial"/>
          <w:sz w:val="18"/>
          <w:szCs w:val="18"/>
          <w:color w:val="auto"/>
        </w:rPr>
      </w:pPr>
    </w:p>
    <w:p>
      <w:pPr>
        <w:jc w:val="both"/>
        <w:ind w:left="572" w:hanging="572"/>
        <w:spacing w:after="0" w:line="286" w:lineRule="auto"/>
        <w:tabs>
          <w:tab w:leader="none" w:pos="572"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XpresSpa acquisition is treated as an asset deal for tax purposes. As such, goodwill will be amortized over 15 years for tax purposes. In addition, intangible assets may have different useful lives for accounting and tax purposes. No income tax provision (benefit) is reflected for any pro forma adjustments as FORM and XpresSpa maintained a full valuation allowance against all 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UNAUDITED PRO FORMA CONSOLIDATED AND CONDENSED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268"/>
              <w:spacing w:after="0"/>
              <w:rPr>
                <w:sz w:val="20"/>
                <w:szCs w:val="20"/>
                <w:color w:val="auto"/>
              </w:rPr>
            </w:pPr>
            <w:r>
              <w:rPr>
                <w:rFonts w:ascii="Arial" w:cs="Arial" w:eastAsia="Arial" w:hAnsi="Arial"/>
                <w:sz w:val="14"/>
                <w:szCs w:val="14"/>
                <w:b w:val="1"/>
                <w:bCs w:val="1"/>
                <w:color w:val="auto"/>
                <w:w w:val="92"/>
              </w:rPr>
              <w:t>XpresSpa</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99"/>
              <w:spacing w:after="0" w:line="149" w:lineRule="exact"/>
              <w:rPr>
                <w:sz w:val="20"/>
                <w:szCs w:val="20"/>
                <w:color w:val="auto"/>
              </w:rPr>
            </w:pPr>
            <w:r>
              <w:rPr>
                <w:rFonts w:ascii="Arial" w:cs="Arial" w:eastAsia="Arial" w:hAnsi="Arial"/>
                <w:sz w:val="14"/>
                <w:szCs w:val="14"/>
                <w:b w:val="1"/>
                <w:bCs w:val="1"/>
                <w:color w:val="auto"/>
                <w:w w:val="93"/>
              </w:rPr>
              <w:t>Holdings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6"/>
            <w:vMerge w:val="restart"/>
          </w:tcPr>
          <w:p>
            <w:pPr>
              <w:jc w:val="right"/>
              <w:ind w:right="408"/>
              <w:spacing w:after="0"/>
              <w:rPr>
                <w:sz w:val="20"/>
                <w:szCs w:val="20"/>
                <w:color w:val="auto"/>
              </w:rPr>
            </w:pPr>
            <w:r>
              <w:rPr>
                <w:rFonts w:ascii="Arial" w:cs="Arial" w:eastAsia="Arial" w:hAnsi="Arial"/>
                <w:sz w:val="14"/>
                <w:szCs w:val="14"/>
                <w:b w:val="1"/>
                <w:bCs w:val="1"/>
                <w:color w:val="auto"/>
                <w:w w:val="98"/>
              </w:rPr>
              <w:t>Pro Forma Adjustments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8"/>
              </w:rPr>
              <w:t>Corp.</w:t>
            </w:r>
          </w:p>
        </w:tc>
        <w:tc>
          <w:tcPr>
            <w:tcW w:w="114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6"/>
              </w:rPr>
              <w:t>Holdings, LLC</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color w:val="auto"/>
              </w:rPr>
              <w:t>(b)</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508"/>
              <w:spacing w:after="0"/>
              <w:rPr>
                <w:sz w:val="20"/>
                <w:szCs w:val="20"/>
                <w:color w:val="auto"/>
              </w:rPr>
            </w:pPr>
            <w:r>
              <w:rPr>
                <w:rFonts w:ascii="Arial" w:cs="Arial" w:eastAsia="Arial" w:hAnsi="Arial"/>
                <w:sz w:val="14"/>
                <w:szCs w:val="14"/>
                <w:color w:val="auto"/>
              </w:rPr>
              <w:t>(c)</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22,687</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38,843</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CCEEFF"/>
            </w:tcBorders>
            <w:gridSpan w:val="2"/>
            <w:shd w:val="clear" w:color="auto" w:fill="CCEEFF"/>
          </w:tcPr>
          <w:p>
            <w:pPr>
              <w:jc w:val="right"/>
              <w:ind w:right="99"/>
              <w:spacing w:after="0" w:line="142" w:lineRule="exact"/>
              <w:rPr>
                <w:sz w:val="20"/>
                <w:szCs w:val="20"/>
                <w:color w:val="auto"/>
              </w:rPr>
            </w:pPr>
            <w:r>
              <w:rPr>
                <w:rFonts w:ascii="Arial" w:cs="Arial" w:eastAsia="Arial" w:hAnsi="Arial"/>
                <w:sz w:val="14"/>
                <w:szCs w:val="14"/>
                <w:color w:val="auto"/>
              </w:rPr>
              <w:t>61,530</w:t>
            </w:r>
          </w:p>
        </w:tc>
        <w:tc>
          <w:tcPr>
            <w:tcW w:w="0" w:type="dxa"/>
            <w:vAlign w:val="bottom"/>
          </w:tcPr>
          <w:p>
            <w:pPr>
              <w:spacing w:after="0"/>
              <w:rPr>
                <w:sz w:val="1"/>
                <w:szCs w:val="1"/>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19"/>
              <w:spacing w:after="0"/>
              <w:rPr>
                <w:sz w:val="20"/>
                <w:szCs w:val="20"/>
                <w:color w:val="auto"/>
              </w:rPr>
            </w:pPr>
            <w:r>
              <w:rPr>
                <w:rFonts w:ascii="Arial" w:cs="Arial" w:eastAsia="Arial" w:hAnsi="Arial"/>
                <w:sz w:val="14"/>
                <w:szCs w:val="14"/>
                <w:color w:val="auto"/>
              </w:rPr>
              <w:t>(33,031)</w:t>
            </w:r>
          </w:p>
        </w:tc>
        <w:tc>
          <w:tcPr>
            <w:tcW w:w="120" w:type="dxa"/>
            <w:vAlign w:val="bottom"/>
          </w:tcPr>
          <w:p>
            <w:pPr>
              <w:spacing w:after="0"/>
              <w:rPr>
                <w:sz w:val="17"/>
                <w:szCs w:val="17"/>
                <w:color w:val="auto"/>
              </w:rPr>
            </w:pPr>
          </w:p>
        </w:tc>
        <w:tc>
          <w:tcPr>
            <w:tcW w:w="1020" w:type="dxa"/>
            <w:vAlign w:val="bottom"/>
            <w:gridSpan w:val="2"/>
          </w:tcPr>
          <w:p>
            <w:pPr>
              <w:jc w:val="right"/>
              <w:ind w:right="88"/>
              <w:spacing w:after="0"/>
              <w:rPr>
                <w:sz w:val="20"/>
                <w:szCs w:val="20"/>
                <w:color w:val="auto"/>
              </w:rPr>
            </w:pPr>
            <w:r>
              <w:rPr>
                <w:rFonts w:ascii="Arial" w:cs="Arial" w:eastAsia="Arial" w:hAnsi="Arial"/>
                <w:sz w:val="14"/>
                <w:szCs w:val="14"/>
                <w:color w:val="auto"/>
              </w:rPr>
              <w:t>(46,243)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3,781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(6,465)</w:t>
            </w:r>
          </w:p>
        </w:tc>
        <w:tc>
          <w:tcPr>
            <w:tcW w:w="200" w:type="dxa"/>
            <w:vAlign w:val="bottom"/>
          </w:tcPr>
          <w:p>
            <w:pPr>
              <w:spacing w:after="0"/>
              <w:rPr>
                <w:sz w:val="17"/>
                <w:szCs w:val="17"/>
                <w:color w:val="auto"/>
              </w:rPr>
            </w:pPr>
          </w:p>
        </w:tc>
        <w:tc>
          <w:tcPr>
            <w:tcW w:w="1000" w:type="dxa"/>
            <w:vAlign w:val="bottom"/>
            <w:gridSpan w:val="2"/>
          </w:tcPr>
          <w:p>
            <w:pPr>
              <w:jc w:val="right"/>
              <w:ind w:right="36"/>
              <w:spacing w:after="0" w:line="202" w:lineRule="exact"/>
              <w:rPr>
                <w:sz w:val="20"/>
                <w:szCs w:val="20"/>
                <w:color w:val="auto"/>
              </w:rPr>
            </w:pPr>
            <w:r>
              <w:rPr>
                <w:rFonts w:ascii="Arial" w:cs="Arial" w:eastAsia="Arial" w:hAnsi="Arial"/>
                <w:sz w:val="14"/>
                <w:szCs w:val="14"/>
                <w:color w:val="auto"/>
              </w:rPr>
              <w:t>(2,721)</w:t>
            </w:r>
            <w:r>
              <w:rPr>
                <w:rFonts w:ascii="Arial" w:cs="Arial" w:eastAsia="Arial" w:hAnsi="Arial"/>
                <w:sz w:val="23"/>
                <w:szCs w:val="23"/>
                <w:color w:val="auto"/>
                <w:vertAlign w:val="superscript"/>
              </w:rPr>
              <w:t>(d)</w:t>
            </w:r>
          </w:p>
        </w:tc>
        <w:tc>
          <w:tcPr>
            <w:tcW w:w="100" w:type="dxa"/>
            <w:vAlign w:val="bottom"/>
          </w:tcPr>
          <w:p>
            <w:pPr>
              <w:spacing w:after="0"/>
              <w:rPr>
                <w:sz w:val="17"/>
                <w:szCs w:val="17"/>
                <w:color w:val="auto"/>
              </w:rPr>
            </w:pPr>
          </w:p>
        </w:tc>
        <w:tc>
          <w:tcPr>
            <w:tcW w:w="960" w:type="dxa"/>
            <w:vAlign w:val="bottom"/>
            <w:gridSpan w:val="2"/>
          </w:tcPr>
          <w:p>
            <w:pPr>
              <w:jc w:val="right"/>
              <w:ind w:right="59"/>
              <w:spacing w:after="0"/>
              <w:rPr>
                <w:sz w:val="20"/>
                <w:szCs w:val="20"/>
                <w:color w:val="auto"/>
              </w:rPr>
            </w:pPr>
            <w:r>
              <w:rPr>
                <w:rFonts w:ascii="Arial" w:cs="Arial" w:eastAsia="Arial" w:hAnsi="Arial"/>
                <w:sz w:val="14"/>
                <w:szCs w:val="14"/>
                <w:color w:val="auto"/>
              </w:rPr>
              <w:t>(84,127)</w:t>
            </w:r>
          </w:p>
        </w:tc>
        <w:tc>
          <w:tcPr>
            <w:tcW w:w="0" w:type="dxa"/>
            <w:vAlign w:val="bottom"/>
          </w:tcPr>
          <w:p>
            <w:pPr>
              <w:spacing w:after="0"/>
              <w:rPr>
                <w:sz w:val="1"/>
                <w:szCs w:val="1"/>
                <w:color w:val="auto"/>
              </w:rPr>
            </w:pPr>
          </w:p>
        </w:tc>
      </w:tr>
      <w:tr>
        <w:trPr>
          <w:trHeight w:val="142"/>
        </w:trPr>
        <w:tc>
          <w:tcPr>
            <w:tcW w:w="3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loss</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(10,344)</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(7,400)</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552</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3,781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(6,465)</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(2,721)</w:t>
            </w: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(22,597)</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Non-operating income (expense), net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814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236"/>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62"/>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(2,594)</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(636)</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(3,055)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36"/>
              <w:spacing w:after="0"/>
              <w:rPr>
                <w:sz w:val="20"/>
                <w:szCs w:val="20"/>
                <w:color w:val="auto"/>
              </w:rPr>
            </w:pPr>
            <w:r>
              <w:rPr>
                <w:rFonts w:ascii="Arial" w:cs="Arial" w:eastAsia="Arial" w:hAnsi="Arial"/>
                <w:sz w:val="12"/>
                <w:szCs w:val="12"/>
                <w:color w:val="auto"/>
              </w:rPr>
              <w:t>(e)</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8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19"/>
              <w:spacing w:after="0"/>
              <w:rPr>
                <w:sz w:val="20"/>
                <w:szCs w:val="20"/>
                <w:color w:val="auto"/>
              </w:rPr>
            </w:pPr>
            <w:r>
              <w:rPr>
                <w:rFonts w:ascii="Arial" w:cs="Arial" w:eastAsia="Arial" w:hAnsi="Arial"/>
                <w:sz w:val="14"/>
                <w:szCs w:val="14"/>
                <w:color w:val="auto"/>
              </w:rPr>
              <w:t>(12,124)</w:t>
            </w:r>
          </w:p>
        </w:tc>
        <w:tc>
          <w:tcPr>
            <w:tcW w:w="12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Arial" w:cs="Arial" w:eastAsia="Arial" w:hAnsi="Arial"/>
                <w:sz w:val="14"/>
                <w:szCs w:val="14"/>
                <w:color w:val="auto"/>
              </w:rPr>
              <w:t>(8,068)</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3,781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(6,465)</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(2,546)</w:t>
            </w: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59"/>
              <w:spacing w:after="0"/>
              <w:rPr>
                <w:sz w:val="20"/>
                <w:szCs w:val="20"/>
                <w:color w:val="auto"/>
              </w:rPr>
            </w:pPr>
            <w:r>
              <w:rPr>
                <w:rFonts w:ascii="Arial" w:cs="Arial" w:eastAsia="Arial" w:hAnsi="Arial"/>
                <w:sz w:val="14"/>
                <w:szCs w:val="14"/>
                <w:color w:val="auto"/>
              </w:rPr>
              <w:t>(24,870)</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Income tax benefit (expense)</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3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3"/>
                <w:szCs w:val="13"/>
                <w:color w:val="auto"/>
              </w:rPr>
              <w:t>859</w:t>
            </w:r>
            <w:r>
              <w:rPr>
                <w:rFonts w:ascii="Arial" w:cs="Arial" w:eastAsia="Arial" w:hAnsi="Arial"/>
                <w:sz w:val="20"/>
                <w:szCs w:val="20"/>
                <w:color w:val="auto"/>
                <w:vertAlign w:val="superscript"/>
              </w:rPr>
              <w:t>(g)</w:t>
            </w:r>
          </w:p>
        </w:tc>
        <w:tc>
          <w:tcPr>
            <w:tcW w:w="0" w:type="dxa"/>
            <w:vAlign w:val="bottom"/>
          </w:tcPr>
          <w:p>
            <w:pPr>
              <w:spacing w:after="0"/>
              <w:rPr>
                <w:sz w:val="1"/>
                <w:szCs w:val="1"/>
                <w:color w:val="auto"/>
              </w:rPr>
            </w:pPr>
          </w:p>
        </w:tc>
      </w:tr>
      <w:tr>
        <w:trPr>
          <w:trHeight w:val="142"/>
        </w:trPr>
        <w:tc>
          <w:tcPr>
            <w:tcW w:w="3480" w:type="dxa"/>
            <w:vAlign w:val="bottom"/>
          </w:tcPr>
          <w:p>
            <w:pPr>
              <w:spacing w:after="0" w:line="142" w:lineRule="exact"/>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(11,258)</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(8,075)</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552</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(6,465)</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(2,546)</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(24,011)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noncontrolling interest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3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loss attributable to the company</w:t>
            </w:r>
          </w:p>
        </w:tc>
        <w:tc>
          <w:tcPr>
            <w:tcW w:w="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(11,157</w:t>
            </w:r>
          </w:p>
        </w:tc>
        <w:tc>
          <w:tcPr>
            <w:tcW w:w="200" w:type="dxa"/>
            <w:vAlign w:val="bottom"/>
            <w:tcBorders>
              <w:bottom w:val="single" w:sz="8" w:color="CCEEFF"/>
            </w:tcBorders>
          </w:tcPr>
          <w:p>
            <w:pPr>
              <w:jc w:val="right"/>
              <w:ind w:right="11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(8,058</w:t>
            </w:r>
          </w:p>
        </w:tc>
        <w:tc>
          <w:tcPr>
            <w:tcW w:w="220" w:type="dxa"/>
            <w:vAlign w:val="bottom"/>
            <w:tcBorders>
              <w:bottom w:val="single" w:sz="8" w:color="CCEEFF"/>
            </w:tcBorders>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552</w:t>
            </w: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3,781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(6,465</w:t>
            </w:r>
          </w:p>
        </w:tc>
        <w:tc>
          <w:tcPr>
            <w:tcW w:w="220" w:type="dxa"/>
            <w:vAlign w:val="bottom"/>
            <w:tcBorders>
              <w:bottom w:val="single" w:sz="8" w:color="CCEEFF"/>
            </w:tcBorders>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(2,546</w:t>
            </w:r>
          </w:p>
        </w:tc>
        <w:tc>
          <w:tcPr>
            <w:tcW w:w="3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(23,893</w:t>
            </w:r>
          </w:p>
        </w:tc>
        <w:tc>
          <w:tcPr>
            <w:tcW w:w="140" w:type="dxa"/>
            <w:vAlign w:val="bottom"/>
            <w:tcBorders>
              <w:bottom w:val="single" w:sz="8" w:color="CCEEFF"/>
            </w:tcBorders>
          </w:tcPr>
          <w:p>
            <w:pPr>
              <w:jc w:val="right"/>
              <w:ind w:right="5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6"/>
        </w:trPr>
        <w:tc>
          <w:tcPr>
            <w:tcW w:w="34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Basic loss per share</w:t>
            </w:r>
          </w:p>
        </w:tc>
        <w:tc>
          <w:tcPr>
            <w:tcW w:w="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(1.09</w:t>
            </w:r>
          </w:p>
        </w:tc>
        <w:tc>
          <w:tcPr>
            <w:tcW w:w="200" w:type="dxa"/>
            <w:vAlign w:val="bottom"/>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(1.77</w:t>
            </w:r>
          </w:p>
        </w:tc>
        <w:tc>
          <w:tcPr>
            <w:tcW w:w="140" w:type="dxa"/>
            <w:vAlign w:val="bottom"/>
            <w:shd w:val="clear" w:color="auto" w:fill="CCEEFF"/>
          </w:tcPr>
          <w:p>
            <w:pPr>
              <w:jc w:val="right"/>
              <w:ind w:right="5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Diluted loss per share</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1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5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69"/>
        </w:trPr>
        <w:tc>
          <w:tcPr>
            <w:tcW w:w="348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(1.09</w:t>
            </w:r>
          </w:p>
        </w:tc>
        <w:tc>
          <w:tcPr>
            <w:tcW w:w="2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(1.77</w:t>
            </w:r>
          </w:p>
        </w:tc>
        <w:tc>
          <w:tcPr>
            <w:tcW w:w="14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3480" w:type="dxa"/>
            <w:vAlign w:val="bottom"/>
            <w:shd w:val="clear" w:color="auto" w:fill="CCEEFF"/>
          </w:tcPr>
          <w:p>
            <w:pPr>
              <w:spacing w:after="0" w:line="84" w:lineRule="exact"/>
              <w:rPr>
                <w:sz w:val="20"/>
                <w:szCs w:val="20"/>
                <w:color w:val="auto"/>
              </w:rPr>
            </w:pPr>
            <w:r>
              <w:rPr>
                <w:rFonts w:ascii="Arial" w:cs="Arial" w:eastAsia="Arial" w:hAnsi="Arial"/>
                <w:sz w:val="9"/>
                <w:szCs w:val="9"/>
                <w:color w:val="auto"/>
              </w:rPr>
              <w:t>Weighted-average number of shares outstanding during the</w:t>
            </w: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period:</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160"/>
              <w:spacing w:after="0"/>
              <w:rPr>
                <w:sz w:val="20"/>
                <w:szCs w:val="20"/>
                <w:color w:val="auto"/>
              </w:rPr>
            </w:pPr>
            <w:r>
              <w:rPr>
                <w:rFonts w:ascii="Arial" w:cs="Arial" w:eastAsia="Arial" w:hAnsi="Arial"/>
                <w:sz w:val="14"/>
                <w:szCs w:val="14"/>
                <w:color w:val="auto"/>
              </w:rPr>
              <w:t>Basic</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10,217,734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16"/>
              <w:spacing w:after="0" w:line="189" w:lineRule="exact"/>
              <w:rPr>
                <w:sz w:val="20"/>
                <w:szCs w:val="20"/>
                <w:color w:val="auto"/>
              </w:rPr>
            </w:pPr>
            <w:r>
              <w:rPr>
                <w:rFonts w:ascii="Arial" w:cs="Arial" w:eastAsia="Arial" w:hAnsi="Arial"/>
                <w:sz w:val="13"/>
                <w:szCs w:val="13"/>
                <w:color w:val="auto"/>
              </w:rPr>
              <w:t>3,250,574</w:t>
            </w:r>
            <w:r>
              <w:rPr>
                <w:rFonts w:ascii="Arial" w:cs="Arial" w:eastAsia="Arial" w:hAnsi="Arial"/>
                <w:sz w:val="21"/>
                <w:szCs w:val="21"/>
                <w:color w:val="auto"/>
                <w:vertAlign w:val="superscript"/>
              </w:rPr>
              <w:t>(f)</w:t>
            </w:r>
          </w:p>
        </w:tc>
        <w:tc>
          <w:tcPr>
            <w:tcW w:w="100" w:type="dxa"/>
            <w:vAlign w:val="bottom"/>
          </w:tcPr>
          <w:p>
            <w:pPr>
              <w:spacing w:after="0"/>
              <w:rPr>
                <w:sz w:val="19"/>
                <w:szCs w:val="19"/>
                <w:color w:val="auto"/>
              </w:rPr>
            </w:pPr>
          </w:p>
        </w:tc>
        <w:tc>
          <w:tcPr>
            <w:tcW w:w="960" w:type="dxa"/>
            <w:vAlign w:val="bottom"/>
            <w:gridSpan w:val="2"/>
          </w:tcPr>
          <w:p>
            <w:pPr>
              <w:jc w:val="right"/>
              <w:ind w:right="99"/>
              <w:spacing w:after="0"/>
              <w:rPr>
                <w:sz w:val="20"/>
                <w:szCs w:val="20"/>
                <w:color w:val="auto"/>
              </w:rPr>
            </w:pPr>
            <w:r>
              <w:rPr>
                <w:rFonts w:ascii="Arial" w:cs="Arial" w:eastAsia="Arial" w:hAnsi="Arial"/>
                <w:sz w:val="14"/>
                <w:szCs w:val="14"/>
                <w:color w:val="auto"/>
              </w:rPr>
              <w:t>13,468,308</w:t>
            </w:r>
          </w:p>
        </w:tc>
        <w:tc>
          <w:tcPr>
            <w:tcW w:w="0" w:type="dxa"/>
            <w:vAlign w:val="bottom"/>
          </w:tcPr>
          <w:p>
            <w:pPr>
              <w:spacing w:after="0"/>
              <w:rPr>
                <w:sz w:val="1"/>
                <w:szCs w:val="1"/>
                <w:color w:val="auto"/>
              </w:rPr>
            </w:pPr>
          </w:p>
        </w:tc>
      </w:tr>
      <w:tr>
        <w:trPr>
          <w:trHeight w:val="143"/>
        </w:trPr>
        <w:tc>
          <w:tcPr>
            <w:tcW w:w="3480" w:type="dxa"/>
            <w:vAlign w:val="bottom"/>
            <w:tcBorders>
              <w:top w:val="single" w:sz="8" w:color="CCEEFF"/>
              <w:bottom w:val="single" w:sz="8" w:color="CCEEFF"/>
            </w:tcBorders>
            <w:shd w:val="clear" w:color="auto" w:fill="CCEEFF"/>
          </w:tcPr>
          <w:p>
            <w:pPr>
              <w:ind w:left="160"/>
              <w:spacing w:after="0" w:line="143" w:lineRule="exact"/>
              <w:rPr>
                <w:sz w:val="20"/>
                <w:szCs w:val="20"/>
                <w:color w:val="auto"/>
              </w:rPr>
            </w:pPr>
            <w:r>
              <w:rPr>
                <w:rFonts w:ascii="Arial" w:cs="Arial" w:eastAsia="Arial" w:hAnsi="Arial"/>
                <w:sz w:val="14"/>
                <w:szCs w:val="14"/>
                <w:color w:val="auto"/>
              </w:rPr>
              <w:t>Diluted</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10,217,734</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3,250,574</w:t>
            </w:r>
          </w:p>
        </w:tc>
        <w:tc>
          <w:tcPr>
            <w:tcW w:w="300" w:type="dxa"/>
            <w:vAlign w:val="bottom"/>
            <w:tcBorders>
              <w:top w:val="single" w:sz="8" w:color="CCEEFF"/>
              <w:bottom w:val="single" w:sz="8" w:color="CCEEFF"/>
            </w:tcBorders>
            <w:shd w:val="clear" w:color="auto" w:fill="CCEEFF"/>
          </w:tcPr>
          <w:p>
            <w:pPr>
              <w:spacing w:after="0" w:line="113" w:lineRule="exact"/>
              <w:rPr>
                <w:sz w:val="20"/>
                <w:szCs w:val="20"/>
                <w:color w:val="auto"/>
              </w:rPr>
            </w:pPr>
            <w:r>
              <w:rPr>
                <w:rFonts w:ascii="Arial" w:cs="Arial" w:eastAsia="Arial" w:hAnsi="Arial"/>
                <w:sz w:val="12"/>
                <w:szCs w:val="12"/>
                <w:color w:val="auto"/>
              </w:rPr>
              <w:t>(f)</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13,468,308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4" w:name="page35"/>
    <w:bookmarkEnd w:id="34"/>
    <w:p>
      <w:pPr>
        <w:ind w:left="572" w:hanging="572"/>
        <w:spacing w:after="0" w:line="308" w:lineRule="auto"/>
        <w:tabs>
          <w:tab w:leader="none" w:pos="572"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the reversal of the 2015 amortization expense for XpresSpa’s intangible assets, which have been eliminated in the purchase price allocation. Refer to tickmark (m) on the unaudited pro forma consolidated and condensed balance sheet as of September 30, 2016.</w:t>
      </w:r>
    </w:p>
    <w:p>
      <w:pPr>
        <w:spacing w:after="0" w:line="146" w:lineRule="exact"/>
        <w:rPr>
          <w:rFonts w:ascii="Arial" w:cs="Arial" w:eastAsia="Arial" w:hAnsi="Arial"/>
          <w:sz w:val="17"/>
          <w:szCs w:val="17"/>
          <w:color w:val="auto"/>
        </w:rPr>
      </w:pPr>
    </w:p>
    <w:p>
      <w:pPr>
        <w:ind w:left="572" w:hanging="572"/>
        <w:spacing w:after="0" w:line="277" w:lineRule="auto"/>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reversal of the depreciation expense for the first nine months of 2016 for XpresSpa’s fixed assets, which were fair valued and as such have a new depreciation value for the nine-month period ended September 30, 2016. Refer to tickmark (c) below.</w:t>
      </w:r>
    </w:p>
    <w:p>
      <w:pPr>
        <w:spacing w:after="0" w:line="170" w:lineRule="exact"/>
        <w:rPr>
          <w:rFonts w:ascii="Arial" w:cs="Arial" w:eastAsia="Arial" w:hAnsi="Arial"/>
          <w:sz w:val="18"/>
          <w:szCs w:val="18"/>
          <w:color w:val="auto"/>
        </w:rPr>
      </w:pPr>
    </w:p>
    <w:p>
      <w:pPr>
        <w:jc w:val="both"/>
        <w:ind w:left="572" w:hanging="572"/>
        <w:spacing w:after="0" w:line="264" w:lineRule="auto"/>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estimated depreciation of fixed assets ($4,091) and the amortization of intangible assets ($2,374) that were adjusted to fair value as a result of the acquisition. Refer to tickmarks (k) and (p) on the unaudited pro forma consolidated and condensed balance sheet as of September 30, 2016.</w:t>
      </w:r>
    </w:p>
    <w:p>
      <w:pPr>
        <w:spacing w:after="0" w:line="181" w:lineRule="exact"/>
        <w:rPr>
          <w:rFonts w:ascii="Arial" w:cs="Arial" w:eastAsia="Arial" w:hAnsi="Arial"/>
          <w:sz w:val="18"/>
          <w:szCs w:val="18"/>
          <w:color w:val="auto"/>
        </w:rPr>
      </w:pPr>
    </w:p>
    <w:p>
      <w:pPr>
        <w:jc w:val="both"/>
        <w:ind w:left="572" w:hanging="572"/>
        <w:spacing w:after="0" w:line="264" w:lineRule="auto"/>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additional expenses related to acquisition costs ($2,597) and the adjustment to costs of goods sold due to the estimated fair value adjustment to inventory ($124) as a result of the acquisition. Refer to tickmarks (c) and (l) on the unaudited pro forma consolidated and condensed balance sheet as of September 30, 2016.</w:t>
      </w:r>
    </w:p>
    <w:p>
      <w:pPr>
        <w:spacing w:after="0" w:line="181" w:lineRule="exact"/>
        <w:rPr>
          <w:rFonts w:ascii="Arial" w:cs="Arial" w:eastAsia="Arial" w:hAnsi="Arial"/>
          <w:sz w:val="18"/>
          <w:szCs w:val="18"/>
          <w:color w:val="auto"/>
        </w:rPr>
      </w:pPr>
    </w:p>
    <w:p>
      <w:pPr>
        <w:jc w:val="both"/>
        <w:ind w:left="572" w:hanging="572"/>
        <w:spacing w:after="0" w:line="264" w:lineRule="auto"/>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adjustment to remove the interest expense for the amortization of the debt issuance costs and the accretion of the debt discount due to the fair value adjustment to notes payable as a result of the acquisition. Refer to tickmark (o) on the unaudited pro forma consolidated and condensed balance sheet as of September 30, 2016.</w:t>
      </w:r>
    </w:p>
    <w:p>
      <w:pPr>
        <w:spacing w:after="0" w:line="181" w:lineRule="exact"/>
        <w:rPr>
          <w:rFonts w:ascii="Arial" w:cs="Arial" w:eastAsia="Arial" w:hAnsi="Arial"/>
          <w:sz w:val="18"/>
          <w:szCs w:val="18"/>
          <w:color w:val="auto"/>
        </w:rPr>
      </w:pPr>
    </w:p>
    <w:p>
      <w:pPr>
        <w:jc w:val="both"/>
        <w:ind w:left="572" w:hanging="572"/>
        <w:spacing w:after="0" w:line="276" w:lineRule="auto"/>
        <w:tabs>
          <w:tab w:leader="none" w:pos="572"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the 2,500,000 shares of FORM common stock issued to equity holders of XpresSpa at the time of acquisition and 750,574 shares of FORM common stock sold by FORM to Mistral Spa Holdings, LLC as a result of a subscription agreement between the two parties entered into on August 8, 2016. Not included in the diluted weighted-average number of shares outstanding are the warrants to purchase an aggregate of 2,500,000 shares of FORM common stock and FORM preferred stock convertible into 3,931,416 shares of FORM common stock, which were issued to equity holders of XpresSpa at the time of acquisition, because of their antidilutive effect on the calculation.</w:t>
      </w:r>
    </w:p>
    <w:p>
      <w:pPr>
        <w:spacing w:after="0" w:line="172" w:lineRule="exact"/>
        <w:rPr>
          <w:rFonts w:ascii="Arial" w:cs="Arial" w:eastAsia="Arial" w:hAnsi="Arial"/>
          <w:sz w:val="17"/>
          <w:szCs w:val="17"/>
          <w:color w:val="auto"/>
        </w:rPr>
      </w:pPr>
    </w:p>
    <w:p>
      <w:pPr>
        <w:jc w:val="both"/>
        <w:ind w:left="572" w:hanging="572"/>
        <w:spacing w:after="0" w:line="286" w:lineRule="auto"/>
        <w:tabs>
          <w:tab w:leader="none" w:pos="57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XpresSpa acquisition is treated as an asset deal for tax purposes. As such, goodwill will be amortized over 15 years for tax purposes. In addition, intangible assets may have different useful lives for accounting and tax purposes. No income tax provision (benefit) is reflected for any pro forma adjustments as FORM and XpresSpa maintained a full valuation allowance against all 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542925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NOTE TO THE UNAUDITED PRO FORMA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CONDENSED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unaudited pro forma consolidated and condensed financial statements presented for XpresSpa are based on the assumptions and adjustments described in the accompanying notes. The unaudited pro forma consolidated and condensed balance sheet as of September 30, 2016, gives effect to the purchase price allocation of approximately $37,400, based upon payment of cash of $1,734, issuance of FORM Common Stock with the fair value of $5,225, issuance of FORM Warrants with the fair value of $2,689 and issuance of FORM Preferred Stock of $27,752 utilizing the closing stock price of $2.09 on December 23, 2016. Please refer to the Purchase Price Allocation table below for the allocation of the purchase price. In addition, transaction costs of $1,095 representing legal, valuation, accounting and other costs incurred during the transaction are included in retained earnings.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pro forma consolidated and condensed statements of operations for the year ended December 31, 2015 and for the nine months ended September 30, 2016, gives effect to amortization of the value assigned to the acquired intangible assets, including the brand, favorable lease arrangements and customer relationship.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283210</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w:t>
            </w:r>
          </w:p>
        </w:tc>
        <w:tc>
          <w:tcPr>
            <w:tcW w:w="3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FORM Common Stock</w:t>
            </w: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FORM Warrants</w:t>
            </w: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FORM Preferred Stock</w:t>
            </w: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27,752</w:t>
            </w: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9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Allocated to</w:t>
            </w:r>
          </w:p>
        </w:tc>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80" w:type="dxa"/>
            <w:vAlign w:val="bottom"/>
            <w:vMerge w:val="continue"/>
          </w:tcPr>
          <w:p>
            <w:pPr>
              <w:spacing w:after="0"/>
              <w:rPr>
                <w:sz w:val="17"/>
                <w:szCs w:val="17"/>
                <w:color w:val="auto"/>
              </w:rPr>
            </w:pPr>
          </w:p>
        </w:tc>
        <w:tc>
          <w:tcPr>
            <w:tcW w:w="3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assets</w:t>
            </w:r>
          </w:p>
        </w:tc>
        <w:tc>
          <w:tcPr>
            <w:tcW w:w="41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16"/>
        </w:trPr>
        <w:tc>
          <w:tcPr>
            <w:tcW w:w="588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Brand</w:t>
            </w: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13,307</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Customer relations</w:t>
            </w: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18,432</w:t>
            </w:r>
          </w:p>
        </w:tc>
        <w:tc>
          <w:tcPr>
            <w:tcW w:w="0" w:type="dxa"/>
            <w:vAlign w:val="bottom"/>
          </w:tcPr>
          <w:p>
            <w:pPr>
              <w:spacing w:after="0"/>
              <w:rPr>
                <w:sz w:val="1"/>
                <w:szCs w:val="1"/>
                <w:color w:val="auto"/>
              </w:rPr>
            </w:pPr>
          </w:p>
        </w:tc>
      </w:tr>
      <w:tr>
        <w:trPr>
          <w:trHeight w:val="230"/>
        </w:trPr>
        <w:tc>
          <w:tcPr>
            <w:tcW w:w="588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9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Letter"/>
      <w:start w:val="1"/>
    </w:lvl>
  </w:abstractNum>
  <w:abstractNum w:abstractNumId="2">
    <w:nsid w:val="3F2DBA31"/>
    <w:multiLevelType w:val="hybridMultilevel"/>
    <w:lvl w:ilvl="0">
      <w:lvlJc w:val="left"/>
      <w:lvlText w:val="(%1)"/>
      <w:numFmt w:val="lowerLetter"/>
      <w:start w:val="2"/>
    </w:lvl>
  </w:abstractNum>
  <w:abstractNum w:abstractNumId="3">
    <w:nsid w:val="7C83E458"/>
    <w:multiLevelType w:val="hybridMultilevel"/>
    <w:lvl w:ilvl="0">
      <w:lvlJc w:val="left"/>
      <w:lvlText w:val="(%1)"/>
      <w:numFmt w:val="lowerLetter"/>
      <w:start w:val="3"/>
    </w:lvl>
  </w:abstractNum>
  <w:abstractNum w:abstractNumId="4">
    <w:nsid w:val="257130A3"/>
    <w:multiLevelType w:val="hybridMultilevel"/>
    <w:lvl w:ilvl="0">
      <w:lvlJc w:val="left"/>
      <w:lvlText w:val="(%1)"/>
      <w:numFmt w:val="lowerLetter"/>
      <w:start w:val="4"/>
    </w:lvl>
  </w:abstractNum>
  <w:abstractNum w:abstractNumId="5">
    <w:nsid w:val="62BBD95A"/>
    <w:multiLevelType w:val="hybridMultilevel"/>
    <w:lvl w:ilvl="0">
      <w:lvlJc w:val="left"/>
      <w:lvlText w:val="(%1)"/>
      <w:numFmt w:val="lowerLetter"/>
      <w:start w:val="5"/>
    </w:lvl>
  </w:abstractNum>
  <w:abstractNum w:abstractNumId="6">
    <w:nsid w:val="436C6125"/>
    <w:multiLevelType w:val="hybridMultilevel"/>
    <w:lvl w:ilvl="0">
      <w:lvlJc w:val="left"/>
      <w:lvlText w:val="(%1)"/>
      <w:numFmt w:val="lowerLetter"/>
      <w:start w:val="6"/>
    </w:lvl>
  </w:abstractNum>
  <w:abstractNum w:abstractNumId="7">
    <w:nsid w:val="628C895D"/>
    <w:multiLevelType w:val="hybridMultilevel"/>
    <w:lvl w:ilvl="0">
      <w:lvlJc w:val="left"/>
      <w:lvlText w:val="(%1)"/>
      <w:numFmt w:val="lowerLetter"/>
      <w:start w:val="7"/>
    </w:lvl>
  </w:abstractNum>
  <w:abstractNum w:abstractNumId="8">
    <w:nsid w:val="333AB105"/>
    <w:multiLevelType w:val="hybridMultilevel"/>
    <w:lvl w:ilvl="0">
      <w:lvlJc w:val="left"/>
      <w:lvlText w:val="(%1)"/>
      <w:numFmt w:val="lowerLetter"/>
      <w:start w:val="8"/>
    </w:lvl>
  </w:abstractNum>
  <w:abstractNum w:abstractNumId="9">
    <w:nsid w:val="721DA317"/>
    <w:multiLevelType w:val="hybridMultilevel"/>
    <w:lvl w:ilvl="0">
      <w:lvlJc w:val="left"/>
      <w:lvlText w:val="(%1)"/>
      <w:numFmt w:val="lowerRoman"/>
      <w:start w:val="1"/>
    </w:lvl>
  </w:abstractNum>
  <w:abstractNum w:abstractNumId="10">
    <w:nsid w:val="2443A858"/>
    <w:multiLevelType w:val="hybridMultilevel"/>
    <w:lvl w:ilvl="0">
      <w:lvlJc w:val="left"/>
      <w:lvlText w:val="(%1)"/>
      <w:numFmt w:val="lowerLetter"/>
      <w:start w:val="10"/>
    </w:lvl>
  </w:abstractNum>
  <w:abstractNum w:abstractNumId="11">
    <w:nsid w:val="2D1D5AE9"/>
    <w:multiLevelType w:val="hybridMultilevel"/>
    <w:lvl w:ilvl="0">
      <w:lvlJc w:val="left"/>
      <w:lvlText w:val="(%1)"/>
      <w:numFmt w:val="lowerLetter"/>
      <w:start w:val="11"/>
    </w:lvl>
  </w:abstractNum>
  <w:abstractNum w:abstractNumId="12">
    <w:nsid w:val="6763845E"/>
    <w:multiLevelType w:val="hybridMultilevel"/>
    <w:lvl w:ilvl="0">
      <w:lvlJc w:val="left"/>
      <w:lvlText w:val="(%1)"/>
      <w:numFmt w:val="lowerLetter"/>
      <w:start w:val="12"/>
    </w:lvl>
  </w:abstractNum>
  <w:abstractNum w:abstractNumId="13">
    <w:nsid w:val="75A2A8D4"/>
    <w:multiLevelType w:val="hybridMultilevel"/>
    <w:lvl w:ilvl="0">
      <w:lvlJc w:val="left"/>
      <w:lvlText w:val="(%1)"/>
      <w:numFmt w:val="lowerLetter"/>
      <w:start w:val="13"/>
    </w:lvl>
  </w:abstractNum>
  <w:abstractNum w:abstractNumId="14">
    <w:nsid w:val="8EDBDAB"/>
    <w:multiLevelType w:val="hybridMultilevel"/>
    <w:lvl w:ilvl="0">
      <w:lvlJc w:val="left"/>
      <w:lvlText w:val="(%1)"/>
      <w:numFmt w:val="lowerLetter"/>
      <w:start w:val="14"/>
    </w:lvl>
  </w:abstractNum>
  <w:abstractNum w:abstractNumId="15">
    <w:nsid w:val="79838CB2"/>
    <w:multiLevelType w:val="hybridMultilevel"/>
    <w:lvl w:ilvl="0">
      <w:lvlJc w:val="left"/>
      <w:lvlText w:val="(%1)"/>
      <w:numFmt w:val="lowerLetter"/>
      <w:start w:val="15"/>
    </w:lvl>
  </w:abstractNum>
  <w:abstractNum w:abstractNumId="16">
    <w:nsid w:val="4353D0CD"/>
    <w:multiLevelType w:val="hybridMultilevel"/>
    <w:lvl w:ilvl="0">
      <w:lvlJc w:val="left"/>
      <w:lvlText w:val="(%1)"/>
      <w:numFmt w:val="lowerLetter"/>
      <w:start w:val="16"/>
    </w:lvl>
  </w:abstractNum>
  <w:abstractNum w:abstractNumId="17">
    <w:nsid w:val="B03E0C6"/>
    <w:multiLevelType w:val="hybridMultilevel"/>
    <w:lvl w:ilvl="0">
      <w:lvlJc w:val="left"/>
      <w:lvlText w:val="(%1)"/>
      <w:numFmt w:val="lowerLetter"/>
      <w:start w:val="17"/>
    </w:lvl>
  </w:abstractNum>
  <w:abstractNum w:abstractNumId="18">
    <w:nsid w:val="189A769B"/>
    <w:multiLevelType w:val="hybridMultilevel"/>
    <w:lvl w:ilvl="0">
      <w:lvlJc w:val="left"/>
      <w:lvlText w:val="(%1)"/>
      <w:numFmt w:val="lowerLetter"/>
      <w:start w:val="18"/>
    </w:lvl>
  </w:abstractNum>
  <w:abstractNum w:abstractNumId="19">
    <w:nsid w:val="54E49EB4"/>
    <w:multiLevelType w:val="hybridMultilevel"/>
    <w:lvl w:ilvl="0">
      <w:lvlJc w:val="left"/>
      <w:lvlText w:val="(%1)"/>
      <w:numFmt w:val="lowerLetter"/>
      <w:start w:val="19"/>
    </w:lvl>
  </w:abstractNum>
  <w:abstractNum w:abstractNumId="20">
    <w:nsid w:val="71F32454"/>
    <w:multiLevelType w:val="hybridMultilevel"/>
    <w:lvl w:ilvl="0">
      <w:lvlJc w:val="left"/>
      <w:lvlText w:val="(%1)"/>
      <w:numFmt w:val="lowerLetter"/>
      <w:start w:val="20"/>
    </w:lvl>
  </w:abstractNum>
  <w:abstractNum w:abstractNumId="21">
    <w:nsid w:val="2CA88611"/>
    <w:multiLevelType w:val="hybridMultilevel"/>
    <w:lvl w:ilvl="0">
      <w:lvlJc w:val="left"/>
      <w:lvlText w:val="(%1)"/>
      <w:numFmt w:val="lowerLetter"/>
      <w:start w:val="21"/>
    </w:lvl>
  </w:abstractNum>
  <w:abstractNum w:abstractNumId="22">
    <w:nsid w:val="836C40E"/>
    <w:multiLevelType w:val="hybridMultilevel"/>
    <w:lvl w:ilvl="0">
      <w:lvlJc w:val="left"/>
      <w:lvlText w:val="(%1)"/>
      <w:numFmt w:val="lowerRoman"/>
      <w:start w:val="5"/>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3"/>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2"/>
    </w:lvl>
  </w:abstractNum>
  <w:abstractNum w:abstractNumId="27">
    <w:nsid w:val="7C3DBD3D"/>
    <w:multiLevelType w:val="hybridMultilevel"/>
    <w:lvl w:ilvl="0">
      <w:lvlJc w:val="left"/>
      <w:lvlText w:val="(%1)"/>
      <w:numFmt w:val="lowerLetter"/>
      <w:start w:val="3"/>
    </w:lvl>
  </w:abstractNum>
  <w:abstractNum w:abstractNumId="28">
    <w:nsid w:val="737B8DDC"/>
    <w:multiLevelType w:val="hybridMultilevel"/>
    <w:lvl w:ilvl="0">
      <w:lvlJc w:val="left"/>
      <w:lvlText w:val="(%1)"/>
      <w:numFmt w:val="lowerLetter"/>
      <w:start w:val="4"/>
    </w:lvl>
  </w:abstractNum>
  <w:abstractNum w:abstractNumId="29">
    <w:nsid w:val="6CEAF087"/>
    <w:multiLevelType w:val="hybridMultilevel"/>
    <w:lvl w:ilvl="0">
      <w:lvlJc w:val="left"/>
      <w:lvlText w:val="(%1)"/>
      <w:numFmt w:val="lowerLetter"/>
      <w:start w:val="5"/>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2019-12-07T07:18:31Z</dcterms:created>
  <dcterms:modified xsi:type="dcterms:W3CDTF">2019-12-07T07:18:31Z</dcterms:modified>
</cp:coreProperties>
</file>