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20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December 17, 2020</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XpresSpa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5640" w:type="dxa"/>
            <w:vAlign w:val="bottom"/>
            <w:tcBorders>
              <w:bottom w:val="single" w:sz="8" w:color="auto"/>
            </w:tcBorders>
          </w:tcPr>
          <w:p>
            <w:pPr>
              <w:jc w:val="right"/>
              <w:ind w:right="2330"/>
              <w:spacing w:after="0"/>
              <w:rPr>
                <w:sz w:val="20"/>
                <w:szCs w:val="20"/>
                <w:color w:val="auto"/>
              </w:rPr>
            </w:pPr>
            <w:r>
              <w:rPr>
                <w:rFonts w:ascii="Times New Roman" w:cs="Times New Roman" w:eastAsia="Times New Roman" w:hAnsi="Times New Roman"/>
                <w:sz w:val="18"/>
                <w:szCs w:val="18"/>
                <w:b w:val="1"/>
                <w:bCs w:val="1"/>
                <w:color w:val="auto"/>
              </w:rPr>
              <w:t>001-34785</w:t>
            </w:r>
          </w:p>
        </w:tc>
        <w:tc>
          <w:tcPr>
            <w:tcW w:w="100" w:type="dxa"/>
            <w:vAlign w:val="bottom"/>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4680" w:type="dxa"/>
            <w:vAlign w:val="bottom"/>
            <w:tcBorders>
              <w:bottom w:val="single" w:sz="8" w:color="auto"/>
            </w:tcBorders>
            <w:gridSpan w:val="3"/>
          </w:tcPr>
          <w:p>
            <w:pPr>
              <w:jc w:val="right"/>
              <w:ind w:right="2230"/>
              <w:spacing w:after="0"/>
              <w:rPr>
                <w:sz w:val="20"/>
                <w:szCs w:val="20"/>
                <w:color w:val="auto"/>
              </w:rPr>
            </w:pPr>
            <w:r>
              <w:rPr>
                <w:rFonts w:ascii="Times New Roman" w:cs="Times New Roman" w:eastAsia="Times New Roman" w:hAnsi="Times New Roman"/>
                <w:sz w:val="18"/>
                <w:szCs w:val="18"/>
                <w:b w:val="1"/>
                <w:bCs w:val="1"/>
                <w:color w:val="auto"/>
              </w:rPr>
              <w:t>20-4988129</w:t>
            </w:r>
          </w:p>
        </w:tc>
      </w:tr>
      <w:tr>
        <w:trPr>
          <w:trHeight w:val="234"/>
        </w:trPr>
        <w:tc>
          <w:tcPr>
            <w:tcW w:w="5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(Commission File Number)</w:t>
            </w: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680" w:type="dxa"/>
            <w:vAlign w:val="bottom"/>
            <w:gridSpan w:val="3"/>
          </w:tcPr>
          <w:p>
            <w:pPr>
              <w:jc w:val="right"/>
              <w:ind w:right="141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454"/>
        </w:trPr>
        <w:tc>
          <w:tcPr>
            <w:tcW w:w="6560" w:type="dxa"/>
            <w:vAlign w:val="bottom"/>
            <w:gridSpan w:val="3"/>
          </w:tcPr>
          <w:p>
            <w:pPr>
              <w:jc w:val="center"/>
              <w:ind w:left="990"/>
              <w:spacing w:after="0"/>
              <w:rPr>
                <w:sz w:val="20"/>
                <w:szCs w:val="20"/>
                <w:color w:val="auto"/>
              </w:rPr>
            </w:pPr>
            <w:r>
              <w:rPr>
                <w:rFonts w:ascii="Times New Roman" w:cs="Times New Roman" w:eastAsia="Times New Roman" w:hAnsi="Times New Roman"/>
                <w:sz w:val="18"/>
                <w:szCs w:val="18"/>
                <w:b w:val="1"/>
                <w:bCs w:val="1"/>
                <w:color w:val="auto"/>
                <w:w w:val="96"/>
              </w:rPr>
              <w:t>254 West 31</w:t>
            </w:r>
            <w:r>
              <w:rPr>
                <w:rFonts w:ascii="Times New Roman" w:cs="Times New Roman" w:eastAsia="Times New Roman" w:hAnsi="Times New Roman"/>
                <w:sz w:val="29"/>
                <w:szCs w:val="29"/>
                <w:b w:val="1"/>
                <w:bCs w:val="1"/>
                <w:color w:val="auto"/>
                <w:w w:val="96"/>
                <w:vertAlign w:val="superscript"/>
              </w:rPr>
              <w:t>st</w:t>
            </w:r>
            <w:r>
              <w:rPr>
                <w:rFonts w:ascii="Times New Roman" w:cs="Times New Roman" w:eastAsia="Times New Roman" w:hAnsi="Times New Roman"/>
                <w:sz w:val="18"/>
                <w:szCs w:val="18"/>
                <w:b w:val="1"/>
                <w:bCs w:val="1"/>
                <w:color w:val="auto"/>
                <w:w w:val="96"/>
              </w:rPr>
              <w:t xml:space="preserve"> Street, 11</w:t>
            </w:r>
            <w:r>
              <w:rPr>
                <w:rFonts w:ascii="Times New Roman" w:cs="Times New Roman" w:eastAsia="Times New Roman" w:hAnsi="Times New Roman"/>
                <w:sz w:val="29"/>
                <w:szCs w:val="29"/>
                <w:b w:val="1"/>
                <w:bCs w:val="1"/>
                <w:color w:val="auto"/>
                <w:w w:val="96"/>
                <w:vertAlign w:val="superscript"/>
              </w:rPr>
              <w:t>th</w:t>
            </w:r>
            <w:r>
              <w:rPr>
                <w:rFonts w:ascii="Times New Roman" w:cs="Times New Roman" w:eastAsia="Times New Roman" w:hAnsi="Times New Roman"/>
                <w:sz w:val="18"/>
                <w:szCs w:val="18"/>
                <w:b w:val="1"/>
                <w:bCs w:val="1"/>
                <w:color w:val="auto"/>
                <w:w w:val="96"/>
              </w:rPr>
              <w:t xml:space="preserve"> Floor, New York, New York</w:t>
            </w:r>
          </w:p>
        </w:tc>
        <w:tc>
          <w:tcPr>
            <w:tcW w:w="4680" w:type="dxa"/>
            <w:vAlign w:val="bottom"/>
            <w:gridSpan w:val="3"/>
          </w:tcPr>
          <w:p>
            <w:pPr>
              <w:jc w:val="right"/>
              <w:ind w:right="1410"/>
              <w:spacing w:after="0"/>
              <w:rPr>
                <w:sz w:val="20"/>
                <w:szCs w:val="20"/>
                <w:color w:val="auto"/>
              </w:rPr>
            </w:pPr>
            <w:r>
              <w:rPr>
                <w:rFonts w:ascii="Times New Roman" w:cs="Times New Roman" w:eastAsia="Times New Roman" w:hAnsi="Times New Roman"/>
                <w:sz w:val="18"/>
                <w:szCs w:val="18"/>
                <w:b w:val="1"/>
                <w:bCs w:val="1"/>
                <w:color w:val="auto"/>
              </w:rPr>
              <w:t>10001</w:t>
            </w:r>
          </w:p>
        </w:tc>
      </w:tr>
      <w:tr>
        <w:trPr>
          <w:trHeight w:val="228"/>
        </w:trPr>
        <w:tc>
          <w:tcPr>
            <w:tcW w:w="6560" w:type="dxa"/>
            <w:vAlign w:val="bottom"/>
            <w:tcBorders>
              <w:top w:val="single" w:sz="8" w:color="auto"/>
            </w:tcBorders>
            <w:gridSpan w:val="3"/>
          </w:tcPr>
          <w:p>
            <w:pPr>
              <w:jc w:val="center"/>
              <w:ind w:left="101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0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3460" w:type="dxa"/>
            <w:vAlign w:val="bottom"/>
            <w:tcBorders>
              <w:top w:val="single" w:sz="8" w:color="auto"/>
            </w:tcBorders>
          </w:tcPr>
          <w:p>
            <w:pPr>
              <w:jc w:val="right"/>
              <w:ind w:right="125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(212) 309-7549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5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c>
          <w:tcPr>
            <w:tcW w:w="1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720" w:type="dxa"/>
            <w:vAlign w:val="bottom"/>
          </w:tcPr>
          <w:p>
            <w:pPr>
              <w:spacing w:after="0"/>
              <w:rPr>
                <w:sz w:val="20"/>
                <w:szCs w:val="20"/>
                <w:color w:val="auto"/>
              </w:rPr>
            </w:pPr>
          </w:p>
        </w:tc>
      </w:tr>
      <w:tr>
        <w:trPr>
          <w:trHeight w:val="439"/>
        </w:trPr>
        <w:tc>
          <w:tcPr>
            <w:tcW w:w="4500" w:type="dxa"/>
            <w:vAlign w:val="bottom"/>
            <w:gridSpan w:val="3"/>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0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4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920" w:type="dxa"/>
            <w:vAlign w:val="bottom"/>
            <w:tcBorders>
              <w:top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color w:val="auto"/>
                <w:w w:val="95"/>
              </w:rPr>
              <w:t>XSPA</w:t>
            </w:r>
          </w:p>
        </w:tc>
        <w:tc>
          <w:tcPr>
            <w:tcW w:w="100" w:type="dxa"/>
            <w:vAlign w:val="bottom"/>
          </w:tcPr>
          <w:p>
            <w:pPr>
              <w:spacing w:after="0"/>
              <w:rPr>
                <w:sz w:val="20"/>
                <w:szCs w:val="20"/>
                <w:color w:val="auto"/>
              </w:rPr>
            </w:pPr>
          </w:p>
        </w:tc>
        <w:tc>
          <w:tcPr>
            <w:tcW w:w="4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27" w:right="339" w:bottom="1440" w:gutter="0" w:footer="0" w:header="0"/>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212529"/>
        </w:rPr>
        <w:t>On December 17, 2020, XpresSpa Group, Inc., a Delaware corporation (the “Company”), entered into a Securities Purchase Agreement (the “Purchase Agreement”) with certain purchasers named therein (the “Purchasers”), pursuant to which the Company agreed to issue and sell, in a registered direct offering (the “Offering”), (i) 24,509,806 shares (the “Shares”) of the Company’s common stock, par value $0.01 per share (the “Common Stock”) and (ii) warrants exercisable for an aggregate of 24,509,806 shares of Common Stock (the “Warrants” and, together with the Shares, the “Securities”) at a combined offering price of $1.70 per share. The Warrants have an exercise price of $1.70 per share. Each Warrant is immediately exercisable and will expire 24 months from the issuance date.</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12529"/>
        </w:rPr>
        <w:t>A holder (together with its affiliates) may not exercise any portion of the Warrant to the extent that the holder would own more than 4.99% (or, at the holder’s option upon issuance, 9.99%) of the Company’s outstanding Common Stock immediately after exercise. However, upon at least 61 days’ prior notice from the holder to the Company, a holder with a 4.99% ownership blocker may increase the amount of ownership of outstanding Common Stock after exercising the holder’s Warrant up to 9.99% of the number of the Company’s Common Stock outstanding immediately after giving effect to the exercise, as such percentage ownership is determined in accordance with the terms of the Warrant.</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12529"/>
        </w:rPr>
        <w:t>The Purchase Agreement contains customary representations and warranties and agreements of the Company and the Purchasers and customary indemnification rights and obligations of the parties. The closing of the Offering occurred on December 21, 2020. The Company received gross proceeds of approximately $41.7 million in connection with the Offering, before deducting placement agent fees and related offering expenses.</w:t>
      </w:r>
    </w:p>
    <w:p>
      <w:pPr>
        <w:spacing w:after="0" w:line="17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 xml:space="preserve">Pursuant to a letter agreement, dated March </w:t>
      </w:r>
      <w:r>
        <w:rPr>
          <w:rFonts w:ascii="Times New Roman" w:cs="Times New Roman" w:eastAsia="Times New Roman" w:hAnsi="Times New Roman"/>
          <w:sz w:val="17"/>
          <w:szCs w:val="17"/>
          <w:color w:val="212529"/>
        </w:rPr>
        <w:t>25</w:t>
      </w:r>
      <w:r>
        <w:rPr>
          <w:rFonts w:ascii="Times New Roman" w:cs="Times New Roman" w:eastAsia="Times New Roman" w:hAnsi="Times New Roman"/>
          <w:sz w:val="17"/>
          <w:szCs w:val="17"/>
          <w:color w:val="auto"/>
        </w:rPr>
        <w:t xml:space="preserve">, 2020, as amended on June 16, 2020 and December 17, 2020 (the “Engagement Letter”), the Company engaged H.C. Wainwright &amp; Co., LLC (the “Placement Agent”) as placement agent in connection with the Offering. The Placement Agent agreed to use its reasonable best efforts to arrange for the sale of the Securities. The Company agreed to pay to the Placement Agent a cash fee of 7.5% of the aggregate gross proceeds raised in the Offering, plus a management fee equal to </w:t>
      </w:r>
      <w:r>
        <w:rPr>
          <w:rFonts w:ascii="Times New Roman" w:cs="Times New Roman" w:eastAsia="Times New Roman" w:hAnsi="Times New Roman"/>
          <w:sz w:val="17"/>
          <w:szCs w:val="17"/>
          <w:color w:val="212529"/>
        </w:rPr>
        <w:t>1.0</w:t>
      </w:r>
      <w:r>
        <w:rPr>
          <w:rFonts w:ascii="Times New Roman" w:cs="Times New Roman" w:eastAsia="Times New Roman" w:hAnsi="Times New Roman"/>
          <w:sz w:val="17"/>
          <w:szCs w:val="17"/>
          <w:color w:val="auto"/>
        </w:rPr>
        <w:t>% of the gross proceeds raised in the Offering and reimbursement of certain expenses and legal fees. Pursuant to the Engagement Letter, the Company also issued to designees of the Placement Agent warrants to purchase up to 8.0% of the aggregate number of shares of Common Stock sold in the transactions, or warrants to purchase up to 1,960,784 shares of Common Stock (the “Placement Agent Warrants”). The Placement Agent Warrants have substantially the same terms as the Warrants, except that the Placement Agent Warrants have an exercise price equal to 125% of the offering price per share (or $2.125 per share). The Company also agreed to pay the Placement Agent $25,000 for non-accountable expenses, to reimburse the Placement Agent’s legal fees in an amount up to $40,000 and to pay $12,900 for the Placement Agent’s clearing fees. Pursuant to the terms of the Engagement Letter, the Placement Agent has the right, for a period of twelve months following the closing of the Offerings, to act (i) as financial advisor in connection with any merger, consolidation or similar business combination by the Company and (ii) as sole book-running manager, sole underwriter or sole placement agent in connection with certain debt and equity financing transactions by the Company.</w:t>
      </w:r>
    </w:p>
    <w:p>
      <w:pPr>
        <w:spacing w:after="0" w:line="1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summaries of the Purchase Agreement, the Warrants and the Placement Agent Warrants do not purport to be complete and are subject to, and qualified in their entirety by, the forms of such documents attached as Exhibits 10.1, 4.1 and 4.2, respectively, to this Current Report on Form 8-K, which are incorporated herein by reference.</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12529"/>
        </w:rPr>
        <w:t xml:space="preserve">The Company is also issuing warrants to purchase up to an aggregate of 754,902 shares of Common Stock (“Palladium Warrants”) to Palladium Capital Advisors, LLC (“Palladium”), pursuant to a letter agreement with Palladium dated March 19, 2020 (the “Palladium Engagement Letter”) with Palladium Capital Advisors, LLC (“Palladium”), pursuant to the terms of the Palladium Engagement Letter which provides that fees are payable to Palladium for any sale of the Company’s securities that occurs during the term or within 18 months thereafter to specified investors. </w:t>
      </w:r>
      <w:r>
        <w:rPr>
          <w:rFonts w:ascii="Times New Roman" w:cs="Times New Roman" w:eastAsia="Times New Roman" w:hAnsi="Times New Roman"/>
          <w:sz w:val="18"/>
          <w:szCs w:val="18"/>
          <w:color w:val="000000"/>
        </w:rPr>
        <w:t>The Palladium Warrants have</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substantially the same terms as the Warrants.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212529"/>
        </w:rPr>
        <w:t xml:space="preserve">The shares of Common Stock and Warrants in the Offering and the Placement Agent Warrants and Palladium Warrants are being offered by the Company pursuant to a registration statement on Form S-3 (File No. 333-240084), which was filed with the Securities and Exchange Commission (the “Commission”) on July 24, 2020 and was declared effective by the Commission on August 5, 2020 (the “Registration Statement”). </w:t>
      </w:r>
      <w:r>
        <w:rPr>
          <w:rFonts w:ascii="Times New Roman" w:cs="Times New Roman" w:eastAsia="Times New Roman" w:hAnsi="Times New Roman"/>
          <w:sz w:val="18"/>
          <w:szCs w:val="18"/>
          <w:color w:val="000000"/>
        </w:rPr>
        <w:t>A copy of the opinion</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of Bryan Cave Leighton Paisner LLP relating to the legality of the issuance and sale of the Securities in the Offering is attached as Exhibit 5.1 hereto. This Current Report on Form 8-K shall not constitute an offer to sell or the solicitation of an offer to buy securities, nor shall there be any sale of securities in any state in which such offer, solicitation or sale would be unlawful prior to registration or qualification under the securities laws of any such 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229" w:lineRule="exact"/>
        <w:rPr>
          <w:sz w:val="20"/>
          <w:szCs w:val="20"/>
          <w:color w:val="auto"/>
        </w:rPr>
      </w:pPr>
    </w:p>
    <w:p>
      <w:pPr>
        <w:ind w:left="540" w:hanging="532"/>
        <w:spacing w:after="0"/>
        <w:tabs>
          <w:tab w:leader="none" w:pos="5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66"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color w:val="auto"/>
        </w:rPr>
        <w:t>Exhibit No.</w:t>
      </w:r>
      <w:r>
        <w:rPr>
          <w:sz w:val="20"/>
          <w:szCs w:val="20"/>
          <w:color w:val="auto"/>
        </w:rPr>
        <w:tab/>
      </w:r>
      <w:r>
        <w:rPr>
          <w:rFonts w:ascii="Times New Roman" w:cs="Times New Roman" w:eastAsia="Times New Roman" w:hAnsi="Times New Roman"/>
          <w:sz w:val="17"/>
          <w:szCs w:val="17"/>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46" w:lineRule="exact"/>
        <w:rPr>
          <w:sz w:val="20"/>
          <w:szCs w:val="20"/>
          <w:color w:val="auto"/>
        </w:rPr>
      </w:pPr>
    </w:p>
    <w:p>
      <w:pPr>
        <w:ind w:left="800"/>
        <w:spacing w:after="0"/>
        <w:tabs>
          <w:tab w:leader="none" w:pos="1240" w:val="left"/>
        </w:tabs>
        <w:rPr>
          <w:rFonts w:ascii="Times New Roman" w:cs="Times New Roman" w:eastAsia="Times New Roman" w:hAnsi="Times New Roman"/>
          <w:sz w:val="17"/>
          <w:szCs w:val="17"/>
          <w:u w:val="single" w:color="auto"/>
          <w:color w:val="0000EE"/>
        </w:rPr>
      </w:pPr>
      <w:hyperlink w:anchor="page5">
        <w:r>
          <w:rPr>
            <w:rFonts w:ascii="Times New Roman" w:cs="Times New Roman" w:eastAsia="Times New Roman" w:hAnsi="Times New Roman"/>
            <w:sz w:val="18"/>
            <w:szCs w:val="18"/>
            <w:u w:val="single" w:color="auto"/>
            <w:color w:val="0000EE"/>
          </w:rPr>
          <w:t>4.1</w:t>
        </w:r>
      </w:hyperlink>
      <w:r>
        <w:rPr>
          <w:rFonts w:ascii="Times New Roman" w:cs="Times New Roman" w:eastAsia="Times New Roman" w:hAnsi="Times New Roman"/>
          <w:sz w:val="18"/>
          <w:szCs w:val="18"/>
          <w:u w:val="single" w:color="auto"/>
          <w:color w:val="0000EE"/>
        </w:rPr>
        <w:tab/>
      </w:r>
      <w:hyperlink w:anchor="page5">
        <w:r>
          <w:rPr>
            <w:rFonts w:ascii="Times New Roman" w:cs="Times New Roman" w:eastAsia="Times New Roman" w:hAnsi="Times New Roman"/>
            <w:sz w:val="17"/>
            <w:szCs w:val="17"/>
            <w:u w:val="single" w:color="auto"/>
            <w:color w:val="0000EE"/>
          </w:rPr>
          <w:t>Form of Warrant.</w:t>
        </w:r>
      </w:hyperlink>
    </w:p>
    <w:p>
      <w:pPr>
        <w:spacing w:after="0" w:line="36" w:lineRule="exact"/>
        <w:rPr>
          <w:sz w:val="20"/>
          <w:szCs w:val="20"/>
          <w:color w:val="auto"/>
        </w:rPr>
      </w:pPr>
    </w:p>
    <w:p>
      <w:pPr>
        <w:ind w:left="800"/>
        <w:spacing w:after="0"/>
        <w:tabs>
          <w:tab w:leader="none" w:pos="1240" w:val="left"/>
        </w:tabs>
        <w:rPr>
          <w:rFonts w:ascii="Times New Roman" w:cs="Times New Roman" w:eastAsia="Times New Roman" w:hAnsi="Times New Roman"/>
          <w:sz w:val="17"/>
          <w:szCs w:val="17"/>
          <w:u w:val="single" w:color="auto"/>
          <w:color w:val="0000EE"/>
        </w:rPr>
      </w:pPr>
      <w:hyperlink w:anchor="page20">
        <w:r>
          <w:rPr>
            <w:rFonts w:ascii="Times New Roman" w:cs="Times New Roman" w:eastAsia="Times New Roman" w:hAnsi="Times New Roman"/>
            <w:sz w:val="18"/>
            <w:szCs w:val="18"/>
            <w:u w:val="single" w:color="auto"/>
            <w:color w:val="0000EE"/>
          </w:rPr>
          <w:t>4.2</w:t>
        </w:r>
      </w:hyperlink>
      <w:r>
        <w:rPr>
          <w:rFonts w:ascii="Times New Roman" w:cs="Times New Roman" w:eastAsia="Times New Roman" w:hAnsi="Times New Roman"/>
          <w:sz w:val="18"/>
          <w:szCs w:val="18"/>
          <w:u w:val="single" w:color="auto"/>
          <w:color w:val="0000EE"/>
        </w:rPr>
        <w:tab/>
      </w:r>
      <w:hyperlink w:anchor="page20">
        <w:r>
          <w:rPr>
            <w:rFonts w:ascii="Times New Roman" w:cs="Times New Roman" w:eastAsia="Times New Roman" w:hAnsi="Times New Roman"/>
            <w:sz w:val="17"/>
            <w:szCs w:val="17"/>
            <w:u w:val="single" w:color="auto"/>
            <w:color w:val="0000EE"/>
          </w:rPr>
          <w:t>Form of Placement Agent Warrant.</w:t>
        </w:r>
      </w:hyperlink>
    </w:p>
    <w:p>
      <w:pPr>
        <w:spacing w:after="0" w:line="36" w:lineRule="exact"/>
        <w:rPr>
          <w:sz w:val="20"/>
          <w:szCs w:val="20"/>
          <w:color w:val="auto"/>
        </w:rPr>
      </w:pPr>
    </w:p>
    <w:p>
      <w:pPr>
        <w:ind w:left="800"/>
        <w:spacing w:after="0"/>
        <w:tabs>
          <w:tab w:leader="none" w:pos="1240" w:val="left"/>
        </w:tabs>
        <w:rPr>
          <w:rFonts w:ascii="Times New Roman" w:cs="Times New Roman" w:eastAsia="Times New Roman" w:hAnsi="Times New Roman"/>
          <w:sz w:val="17"/>
          <w:szCs w:val="17"/>
          <w:u w:val="single" w:color="auto"/>
          <w:color w:val="0000EE"/>
        </w:rPr>
      </w:pPr>
      <w:hyperlink w:anchor="page36">
        <w:r>
          <w:rPr>
            <w:rFonts w:ascii="Times New Roman" w:cs="Times New Roman" w:eastAsia="Times New Roman" w:hAnsi="Times New Roman"/>
            <w:sz w:val="18"/>
            <w:szCs w:val="18"/>
            <w:u w:val="single" w:color="auto"/>
            <w:color w:val="0000EE"/>
          </w:rPr>
          <w:t>5.1</w:t>
        </w:r>
      </w:hyperlink>
      <w:r>
        <w:rPr>
          <w:rFonts w:ascii="Times New Roman" w:cs="Times New Roman" w:eastAsia="Times New Roman" w:hAnsi="Times New Roman"/>
          <w:sz w:val="18"/>
          <w:szCs w:val="18"/>
          <w:u w:val="single" w:color="auto"/>
          <w:color w:val="0000EE"/>
        </w:rPr>
        <w:tab/>
      </w:r>
      <w:hyperlink w:anchor="page36">
        <w:r>
          <w:rPr>
            <w:rFonts w:ascii="Times New Roman" w:cs="Times New Roman" w:eastAsia="Times New Roman" w:hAnsi="Times New Roman"/>
            <w:sz w:val="17"/>
            <w:szCs w:val="17"/>
            <w:u w:val="single" w:color="auto"/>
            <w:color w:val="0000EE"/>
          </w:rPr>
          <w:t>Opinion of Bryan Cave Leighton Paisner LLP.</w:t>
        </w:r>
      </w:hyperlink>
    </w:p>
    <w:p>
      <w:pPr>
        <w:spacing w:after="0" w:line="36" w:lineRule="exact"/>
        <w:rPr>
          <w:sz w:val="20"/>
          <w:szCs w:val="20"/>
          <w:color w:val="auto"/>
        </w:rPr>
      </w:pPr>
    </w:p>
    <w:p>
      <w:pPr>
        <w:ind w:left="700"/>
        <w:spacing w:after="0"/>
        <w:tabs>
          <w:tab w:leader="none" w:pos="1240" w:val="left"/>
        </w:tabs>
        <w:rPr>
          <w:rFonts w:ascii="Times New Roman" w:cs="Times New Roman" w:eastAsia="Times New Roman" w:hAnsi="Times New Roman"/>
          <w:sz w:val="17"/>
          <w:szCs w:val="17"/>
          <w:u w:val="single" w:color="auto"/>
          <w:color w:val="0000EE"/>
        </w:rPr>
      </w:pPr>
      <w:hyperlink w:anchor="page39">
        <w:r>
          <w:rPr>
            <w:rFonts w:ascii="Times New Roman" w:cs="Times New Roman" w:eastAsia="Times New Roman" w:hAnsi="Times New Roman"/>
            <w:sz w:val="18"/>
            <w:szCs w:val="18"/>
            <w:u w:val="single" w:color="auto"/>
            <w:color w:val="0000EE"/>
          </w:rPr>
          <w:t>10.1</w:t>
        </w:r>
      </w:hyperlink>
      <w:r>
        <w:rPr>
          <w:rFonts w:ascii="Times New Roman" w:cs="Times New Roman" w:eastAsia="Times New Roman" w:hAnsi="Times New Roman"/>
          <w:sz w:val="18"/>
          <w:szCs w:val="18"/>
          <w:u w:val="single" w:color="auto"/>
          <w:color w:val="0000EE"/>
        </w:rPr>
        <w:tab/>
      </w:r>
      <w:hyperlink w:anchor="page39">
        <w:r>
          <w:rPr>
            <w:rFonts w:ascii="Times New Roman" w:cs="Times New Roman" w:eastAsia="Times New Roman" w:hAnsi="Times New Roman"/>
            <w:sz w:val="17"/>
            <w:szCs w:val="17"/>
            <w:u w:val="single" w:color="auto"/>
            <w:color w:val="0000EE"/>
          </w:rPr>
          <w:t>Form of Securities Purchase Agreement.</w:t>
        </w:r>
      </w:hyperlink>
    </w:p>
    <w:p>
      <w:pPr>
        <w:spacing w:after="0" w:line="36" w:lineRule="exact"/>
        <w:rPr>
          <w:sz w:val="20"/>
          <w:szCs w:val="20"/>
          <w:color w:val="auto"/>
        </w:rPr>
      </w:pPr>
    </w:p>
    <w:p>
      <w:pPr>
        <w:jc w:val="right"/>
        <w:ind w:right="3719"/>
        <w:spacing w:after="0"/>
        <w:tabs>
          <w:tab w:leader="none" w:pos="5140" w:val="left"/>
        </w:tabs>
        <w:rPr>
          <w:rFonts w:ascii="Times New Roman" w:cs="Times New Roman" w:eastAsia="Times New Roman" w:hAnsi="Times New Roman"/>
          <w:sz w:val="17"/>
          <w:szCs w:val="17"/>
          <w:u w:val="single" w:color="auto"/>
          <w:color w:val="0000EE"/>
        </w:rPr>
      </w:pPr>
      <w:hyperlink w:anchor="page36">
        <w:r>
          <w:rPr>
            <w:rFonts w:ascii="Times New Roman" w:cs="Times New Roman" w:eastAsia="Times New Roman" w:hAnsi="Times New Roman"/>
            <w:sz w:val="18"/>
            <w:szCs w:val="18"/>
            <w:u w:val="single" w:color="auto"/>
            <w:color w:val="0000EE"/>
          </w:rPr>
          <w:t>23.1</w:t>
        </w:r>
      </w:hyperlink>
      <w:r>
        <w:rPr>
          <w:rFonts w:ascii="Times New Roman" w:cs="Times New Roman" w:eastAsia="Times New Roman" w:hAnsi="Times New Roman"/>
          <w:sz w:val="18"/>
          <w:szCs w:val="18"/>
          <w:color w:val="0000EE"/>
        </w:rPr>
        <w:tab/>
      </w:r>
      <w:hyperlink w:anchor="page36">
        <w:r>
          <w:rPr>
            <w:rFonts w:ascii="Times New Roman" w:cs="Times New Roman" w:eastAsia="Times New Roman" w:hAnsi="Times New Roman"/>
            <w:sz w:val="17"/>
            <w:szCs w:val="17"/>
            <w:u w:val="single" w:color="auto"/>
            <w:color w:val="0000EE"/>
          </w:rPr>
          <w:t>Consent of Bryan Cave Leighton Paisner LLP (included in Exhibit 5.1)</w:t>
        </w:r>
        <w:r>
          <w:rPr>
            <w:rFonts w:ascii="Times New Roman" w:cs="Times New Roman" w:eastAsia="Times New Roman" w:hAnsi="Times New Roman"/>
            <w:sz w:val="17"/>
            <w:szCs w:val="17"/>
            <w:color w:val="0000EE"/>
          </w:rPr>
          <w: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b w:val="1"/>
          <w:bCs w:val="1"/>
          <w:color w:val="auto"/>
        </w:rPr>
        <w:t>XpresSpa Group, Inc.</w:t>
      </w:r>
    </w:p>
    <w:p>
      <w:pPr>
        <w:spacing w:after="0" w:line="227" w:lineRule="exact"/>
        <w:rPr>
          <w:sz w:val="20"/>
          <w:szCs w:val="20"/>
          <w:color w:val="auto"/>
        </w:rPr>
      </w:pPr>
    </w:p>
    <w:p>
      <w:pPr>
        <w:spacing w:after="0"/>
        <w:tabs>
          <w:tab w:leader="none" w:pos="5580" w:val="left"/>
          <w:tab w:leader="none" w:pos="6060" w:val="left"/>
        </w:tabs>
        <w:rPr>
          <w:sz w:val="20"/>
          <w:szCs w:val="20"/>
          <w:color w:val="auto"/>
        </w:rPr>
      </w:pPr>
      <w:r>
        <w:rPr>
          <w:rFonts w:ascii="Times New Roman" w:cs="Times New Roman" w:eastAsia="Times New Roman" w:hAnsi="Times New Roman"/>
          <w:sz w:val="18"/>
          <w:szCs w:val="18"/>
          <w:color w:val="auto"/>
        </w:rPr>
        <w:t>Date: December 21, 2020</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i w:val="1"/>
          <w:iCs w:val="1"/>
          <w:color w:val="auto"/>
        </w:rPr>
        <w:t>/s/ Douglas Satzman</w:t>
      </w:r>
    </w:p>
    <w:p>
      <w:pPr>
        <w:spacing w:after="0" w:line="38"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Name:Douglas Satzman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-119380</wp:posOffset>
            </wp:positionV>
            <wp:extent cx="32746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21"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ind w:left="10360"/>
        <w:spacing w:after="0"/>
        <w:rPr>
          <w:sz w:val="20"/>
          <w:szCs w:val="20"/>
          <w:color w:val="auto"/>
        </w:rPr>
      </w:pPr>
      <w:r>
        <w:rPr>
          <w:rFonts w:ascii="Times New Roman" w:cs="Times New Roman" w:eastAsia="Times New Roman" w:hAnsi="Times New Roman"/>
          <w:sz w:val="17"/>
          <w:szCs w:val="17"/>
          <w:b w:val="1"/>
          <w:bCs w:val="1"/>
          <w:color w:val="auto"/>
        </w:rPr>
        <w:t>Exhibit 4.1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COMMON STOCK PURCHASE WARRANT</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XPRESSPA GROUP, INC.</w:t>
      </w:r>
    </w:p>
    <w:p>
      <w:pPr>
        <w:sectPr>
          <w:pgSz w:w="11900" w:h="16838" w:orient="portrait"/>
          <w:cols w:equalWidth="0" w:num="1">
            <w:col w:w="11240"/>
          </w:cols>
          <w:pgMar w:left="320" w:top="360" w:right="339" w:bottom="1440" w:gutter="0" w:footer="0" w:header="0"/>
        </w:sect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Warrant Shares: _______</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Initial Exercise Date: December 21, 2020</w:t>
      </w:r>
    </w:p>
    <w:p>
      <w:pPr>
        <w:spacing w:after="0" w:line="200" w:lineRule="exact"/>
        <w:rPr>
          <w:sz w:val="20"/>
          <w:szCs w:val="20"/>
          <w:color w:val="auto"/>
        </w:rPr>
      </w:pPr>
    </w:p>
    <w:p>
      <w:pPr>
        <w:sectPr>
          <w:pgSz w:w="11900" w:h="16838" w:orient="portrait"/>
          <w:cols w:equalWidth="0" w:num="2">
            <w:col w:w="7180" w:space="720"/>
            <w:col w:w="3340"/>
          </w:cols>
          <w:pgMar w:left="320" w:top="360" w:right="339" w:bottom="1440" w:gutter="0" w:footer="0" w:header="0"/>
          <w:type w:val="continuous"/>
        </w:sectPr>
      </w:pPr>
    </w:p>
    <w:p>
      <w:pPr>
        <w:spacing w:after="0" w:line="3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THIS COMMON STOCK PURCHASE WARRANT (the “</w:t>
      </w:r>
      <w:r>
        <w:rPr>
          <w:rFonts w:ascii="Times New Roman" w:cs="Times New Roman" w:eastAsia="Times New Roman" w:hAnsi="Times New Roman"/>
          <w:sz w:val="18"/>
          <w:szCs w:val="18"/>
          <w:u w:val="single" w:color="auto"/>
          <w:color w:val="auto"/>
        </w:rPr>
        <w:t>Warrant</w:t>
      </w:r>
      <w:r>
        <w:rPr>
          <w:rFonts w:ascii="Times New Roman" w:cs="Times New Roman" w:eastAsia="Times New Roman" w:hAnsi="Times New Roman"/>
          <w:sz w:val="18"/>
          <w:szCs w:val="18"/>
          <w:color w:val="auto"/>
        </w:rPr>
        <w:t>”) certifies that, for value received, _____________ or its assigns (the</w:t>
      </w:r>
    </w:p>
    <w:p>
      <w:pPr>
        <w:spacing w:after="0" w:line="2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is entitled, upon the terms and subject to the limitations on exercise and the conditions hereinafter set forth, at any time on or after December 21, 2020 (the “</w:t>
      </w:r>
      <w:r>
        <w:rPr>
          <w:rFonts w:ascii="Times New Roman" w:cs="Times New Roman" w:eastAsia="Times New Roman" w:hAnsi="Times New Roman"/>
          <w:sz w:val="18"/>
          <w:szCs w:val="18"/>
          <w:u w:val="single" w:color="auto"/>
          <w:color w:val="auto"/>
        </w:rPr>
        <w:t>Initial Exercise Date</w:t>
      </w:r>
      <w:r>
        <w:rPr>
          <w:rFonts w:ascii="Times New Roman" w:cs="Times New Roman" w:eastAsia="Times New Roman" w:hAnsi="Times New Roman"/>
          <w:sz w:val="18"/>
          <w:szCs w:val="18"/>
          <w:color w:val="auto"/>
        </w:rPr>
        <w:t>”) and on or prior to 5:00 p.m. (New York City time) on December 21, 2022 (the “</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but not thereafter, to subscribe for and purchase from XpresSpa Group,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up to ______ shares of Common Stock (the shares of</w:t>
      </w:r>
    </w:p>
    <w:p>
      <w:pPr>
        <w:spacing w:after="0" w:line="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Common Stock issuable upon exercise hereof being referred to as the “</w:t>
      </w:r>
      <w:r>
        <w:rPr>
          <w:rFonts w:ascii="Times New Roman" w:cs="Times New Roman" w:eastAsia="Times New Roman" w:hAnsi="Times New Roman"/>
          <w:sz w:val="18"/>
          <w:szCs w:val="18"/>
          <w:u w:val="single" w:color="auto"/>
          <w:color w:val="auto"/>
        </w:rPr>
        <w:t>Warrant Shares</w:t>
      </w:r>
      <w:r>
        <w:rPr>
          <w:rFonts w:ascii="Times New Roman" w:cs="Times New Roman" w:eastAsia="Times New Roman" w:hAnsi="Times New Roman"/>
          <w:sz w:val="18"/>
          <w:szCs w:val="18"/>
          <w:color w:val="auto"/>
        </w:rPr>
        <w:t>”) The purchase price of one share of Common Stock under this Warrant shall be equal to the Exercise Price, as defined in Section 2(b).</w:t>
      </w:r>
    </w:p>
    <w:p>
      <w:pPr>
        <w:spacing w:after="0" w:line="18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Capitalized terms used and not otherwise defined herein shall have the meanings set forth in that certain Securities Purchase Agreement (the “</w:t>
      </w:r>
      <w:r>
        <w:rPr>
          <w:rFonts w:ascii="Times New Roman" w:cs="Times New Roman" w:eastAsia="Times New Roman" w:hAnsi="Times New Roman"/>
          <w:sz w:val="18"/>
          <w:szCs w:val="18"/>
          <w:u w:val="single" w:color="auto"/>
          <w:color w:val="auto"/>
        </w:rPr>
        <w:t>Purchase Agreement</w:t>
      </w:r>
      <w:r>
        <w:rPr>
          <w:rFonts w:ascii="Times New Roman" w:cs="Times New Roman" w:eastAsia="Times New Roman" w:hAnsi="Times New Roman"/>
          <w:sz w:val="18"/>
          <w:szCs w:val="18"/>
          <w:color w:val="auto"/>
        </w:rPr>
        <w:t>”), dated December 17, 2020, among the Company and the purchasers signatory thereto.</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Exercise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644"/>
        <w:spacing w:after="0" w:line="252" w:lineRule="auto"/>
        <w:tabs>
          <w:tab w:leader="none" w:pos="237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Warrant</w:t>
      </w:r>
      <w:r>
        <w:rPr>
          <w:rFonts w:ascii="Times New Roman" w:cs="Times New Roman" w:eastAsia="Times New Roman" w:hAnsi="Times New Roman"/>
          <w:sz w:val="18"/>
          <w:szCs w:val="18"/>
          <w:color w:val="auto"/>
        </w:rPr>
        <w:t xml:space="preserve">. Exercise of the purchase rights represented by this Warrant may be made, in whole or in part, at any time or times on or after the Initial Exercise Date and on or before the Termination Date by delivery to the Company of a duly executed facsimile copy or PDF copy submitted by e-mail (or e-mail attachment) of the Notice of Exercise in the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Notice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Exercise</w:t>
      </w:r>
      <w:r>
        <w:rPr>
          <w:rFonts w:ascii="Times New Roman" w:cs="Times New Roman" w:eastAsia="Times New Roman" w:hAnsi="Times New Roman"/>
          <w:sz w:val="18"/>
          <w:szCs w:val="18"/>
          <w:color w:val="auto"/>
        </w:rPr>
        <w:t xml:space="preserve">”). Within the earlier of (i) two (2) Trading Days and (ii) the number of Trading Days comprising the Standard Settlement Period (as defined in Section 2(d)(i) herein) following the date of exercise as aforesaid, the Holder shall deliver the aggregate Exercise Price for the Warrant Shares specified in the applicable Notice of Exercise by wire transfer or cashier’s check drawn on a United States bank unless the cashless exercise procedure specified in Section 2(c) below is specified in the applicable Notice of Exercise. No ink-original Notice of Exercise shall be required, nor shall any medallion guarantee (or other type of guarantee or notarization) of any Notice of Exercise be required. Notwithstanding anything herein to the contrary,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within three (3) Trading Days of the date on which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Company shall deliver any objection to any Notice of Exercise within one (1) Business Day of receipt of such notice. </w:t>
      </w:r>
      <w:r>
        <w:rPr>
          <w:rFonts w:ascii="Times New Roman" w:cs="Times New Roman" w:eastAsia="Times New Roman" w:hAnsi="Times New Roman"/>
          <w:sz w:val="18"/>
          <w:szCs w:val="18"/>
          <w:b w:val="1"/>
          <w:bCs w:val="1"/>
          <w:color w:val="auto"/>
        </w:rPr>
        <w:t>The Holder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and any assignee, by acceptance of this Warrant, acknowledge and agree that, by reason of the provisions of this paragraph, following the purchase of a portion of the Warrant Shares hereunder, the number of Warrant Shares available for purchase hereunder at any given time may be less than the amount stated on the face hereof.</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5" w:name="page6"/>
    <w:bookmarkEnd w:id="5"/>
    <w:p>
      <w:pPr>
        <w:ind w:left="4" w:firstLine="644"/>
        <w:spacing w:after="0" w:line="286" w:lineRule="auto"/>
        <w:tabs>
          <w:tab w:leader="none" w:pos="181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xml:space="preserve">. The exercise price per share of Common Stock under this Warrant shall be </w:t>
      </w:r>
      <w:r>
        <w:rPr>
          <w:rFonts w:ascii="Times New Roman" w:cs="Times New Roman" w:eastAsia="Times New Roman" w:hAnsi="Times New Roman"/>
          <w:sz w:val="18"/>
          <w:szCs w:val="18"/>
          <w:b w:val="1"/>
          <w:bCs w:val="1"/>
          <w:color w:val="auto"/>
        </w:rPr>
        <w:t>$1.70</w:t>
      </w:r>
      <w:r>
        <w:rPr>
          <w:rFonts w:ascii="Times New Roman" w:cs="Times New Roman" w:eastAsia="Times New Roman" w:hAnsi="Times New Roman"/>
          <w:sz w:val="18"/>
          <w:szCs w:val="18"/>
          <w:color w:val="auto"/>
        </w:rPr>
        <w:t>, subject to adjustment hereunder (the “</w:t>
      </w: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w:t>
      </w:r>
    </w:p>
    <w:p>
      <w:pPr>
        <w:spacing w:after="0" w:line="158" w:lineRule="exact"/>
        <w:rPr>
          <w:rFonts w:ascii="Times New Roman" w:cs="Times New Roman" w:eastAsia="Times New Roman" w:hAnsi="Times New Roman"/>
          <w:sz w:val="18"/>
          <w:szCs w:val="18"/>
          <w:color w:val="auto"/>
        </w:rPr>
      </w:pPr>
    </w:p>
    <w:p>
      <w:pPr>
        <w:ind w:left="4" w:firstLine="644"/>
        <w:spacing w:after="0" w:line="282" w:lineRule="auto"/>
        <w:tabs>
          <w:tab w:leader="none" w:pos="168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Cashless Exercise</w:t>
      </w:r>
      <w:r>
        <w:rPr>
          <w:rFonts w:ascii="Times New Roman" w:cs="Times New Roman" w:eastAsia="Times New Roman" w:hAnsi="Times New Roman"/>
          <w:sz w:val="18"/>
          <w:szCs w:val="18"/>
          <w:color w:val="auto"/>
        </w:rPr>
        <w:t>. This Warrant may also be exercised, in whole or in part, at such time by means of a “cashless exercise” in which the Holder shall be entitled to receive a number of Warrant Shares equal to the quotient obtained by dividing [(A-B) (X)] by (A), where:</w:t>
      </w:r>
    </w:p>
    <w:p>
      <w:pPr>
        <w:spacing w:after="0" w:line="162" w:lineRule="exact"/>
        <w:rPr>
          <w:sz w:val="20"/>
          <w:szCs w:val="20"/>
          <w:color w:val="auto"/>
        </w:rPr>
      </w:pPr>
    </w:p>
    <w:p>
      <w:pPr>
        <w:ind w:left="1144" w:hanging="496"/>
        <w:spacing w:after="0" w:line="253" w:lineRule="auto"/>
        <w:tabs>
          <w:tab w:leader="none" w:pos="9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as applicable: (i) the VWAP on the Trading Day immediately preceding the date of the applicable Notice of Exercise if such Notice of Exercise is (1) both executed and delivered pursuant to Section 2(a) hereof on a day that is not a Trading Day or (2) both executed and delivered pursuant to Section 2(a) hereof on a Trading Day prior to the opening of “regular trading hours” (as defined in Rule 600(b)(68) of Regulation NMS promulgated under the federal securities laws) on such Trading Day, (ii) at the option of the Holder, either (y) the VWAP on the Trading Day immediately preceding the date of the applicable Notice of Exercise or (z) the Bid Price of the Common Stock on the principal Trading Market as reported by Bloomberg L.P. as of the time of the Holder’s execution of the applicable Notice of Exercise if such Notice of Exercise is executed during “regular trading hours” on a Trading Day and is delivered within two (2) hours thereafter (including until two (2) hours after the close of “regular trading hours” on a Trading Day) pursuant to Section 2(a) hereof or (iii) the VWAP on the date of the applicable Notice of Exercise if the date of such Notice of Exercise is a Trading Day and such Notice of Exercise is both executed and delivered pursuant to Section 2(a) hereof after the close of “regular trading hours” on such Trading Day;</w:t>
      </w:r>
    </w:p>
    <w:p>
      <w:pPr>
        <w:spacing w:after="0" w:line="191" w:lineRule="exact"/>
        <w:rPr>
          <w:rFonts w:ascii="Times New Roman" w:cs="Times New Roman" w:eastAsia="Times New Roman" w:hAnsi="Times New Roman"/>
          <w:sz w:val="18"/>
          <w:szCs w:val="18"/>
          <w:color w:val="auto"/>
        </w:rPr>
      </w:pPr>
    </w:p>
    <w:p>
      <w:pPr>
        <w:ind w:left="924" w:hanging="276"/>
        <w:spacing w:after="0"/>
        <w:tabs>
          <w:tab w:leader="none" w:pos="9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Exercise Price of this Warrant, as adjusted hereunder; and</w:t>
      </w:r>
    </w:p>
    <w:p>
      <w:pPr>
        <w:spacing w:after="0" w:line="225" w:lineRule="exact"/>
        <w:rPr>
          <w:sz w:val="20"/>
          <w:szCs w:val="20"/>
          <w:color w:val="auto"/>
        </w:rPr>
      </w:pPr>
    </w:p>
    <w:p>
      <w:pPr>
        <w:ind w:left="1224" w:hanging="576"/>
        <w:spacing w:after="0" w:line="282" w:lineRule="auto"/>
        <w:tabs>
          <w:tab w:leader="none" w:pos="957"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number of Warrant Shares that would be issuable upon exercise of this Warrant in accordance with the terms of this Warrant if such exercise were by means of a cash exercise rather than a cashless exercise.</w:t>
      </w:r>
    </w:p>
    <w:p>
      <w:pPr>
        <w:spacing w:after="0" w:line="162" w:lineRule="exact"/>
        <w:rPr>
          <w:sz w:val="20"/>
          <w:szCs w:val="20"/>
          <w:color w:val="auto"/>
        </w:rPr>
      </w:pPr>
    </w:p>
    <w:p>
      <w:pPr>
        <w:jc w:val="both"/>
        <w:ind w:left="4" w:firstLine="648"/>
        <w:spacing w:after="0" w:line="266" w:lineRule="auto"/>
        <w:rPr>
          <w:sz w:val="20"/>
          <w:szCs w:val="20"/>
          <w:color w:val="auto"/>
        </w:rPr>
      </w:pPr>
      <w:r>
        <w:rPr>
          <w:rFonts w:ascii="Times New Roman" w:cs="Times New Roman" w:eastAsia="Times New Roman" w:hAnsi="Times New Roman"/>
          <w:sz w:val="18"/>
          <w:szCs w:val="18"/>
          <w:color w:val="auto"/>
        </w:rPr>
        <w:t>If Warrant Shares are issued in such a cashless exercise, the parties acknowledge and agree that in accordance with Section 3(a)(9) of the Securities Act, the Warrant Shares shall take on the registered characteristics of the Warrants being exercised. The Company agrees not to take any position contrary to this Section 2(c).</w:t>
      </w:r>
    </w:p>
    <w:p>
      <w:pPr>
        <w:spacing w:after="0" w:line="176" w:lineRule="exact"/>
        <w:rPr>
          <w:sz w:val="20"/>
          <w:szCs w:val="20"/>
          <w:color w:val="auto"/>
        </w:rPr>
      </w:pPr>
    </w:p>
    <w:p>
      <w:pPr>
        <w:jc w:val="both"/>
        <w:ind w:left="4"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Bid Price</w:t>
      </w:r>
      <w:r>
        <w:rPr>
          <w:rFonts w:ascii="Times New Roman" w:cs="Times New Roman" w:eastAsia="Times New Roman" w:hAnsi="Times New Roman"/>
          <w:sz w:val="18"/>
          <w:szCs w:val="18"/>
          <w:color w:val="auto"/>
        </w:rPr>
        <w:t>” means, for any date, the price determined by the first of the following clauses that applies: (a) if the Common Stock is then listed or quoted on a Trading Market, the bid price of the Common Stock for the time in question (or the nearest preceding date) on the Trading Market on which the Common Stock is then listed or quoted as reported by Bloomberg L.P.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w:t>
      </w:r>
    </w:p>
    <w:p>
      <w:pPr>
        <w:spacing w:after="0" w:line="3" w:lineRule="exact"/>
        <w:rPr>
          <w:sz w:val="20"/>
          <w:szCs w:val="20"/>
          <w:color w:val="auto"/>
        </w:rPr>
      </w:pPr>
    </w:p>
    <w:p>
      <w:pPr>
        <w:jc w:val="both"/>
        <w:ind w:left="4" w:hanging="4"/>
        <w:spacing w:after="0" w:line="255" w:lineRule="auto"/>
        <w:tabs>
          <w:tab w:leader="none" w:pos="26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all other cases, the fair market value of a share of Common Stock as determined by an independent appraiser selected in good faith by the Purchasers of a majority in interest of the Securities then outstanding and reasonably acceptable to the Company, the fees and expenses of which shall be paid by the Company.</w:t>
      </w:r>
    </w:p>
    <w:p>
      <w:pPr>
        <w:spacing w:after="0" w:line="200" w:lineRule="exact"/>
        <w:rPr>
          <w:sz w:val="20"/>
          <w:szCs w:val="20"/>
          <w:color w:val="auto"/>
        </w:rPr>
      </w:pPr>
    </w:p>
    <w:p>
      <w:pPr>
        <w:spacing w:after="0" w:line="202"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0" w:right="339" w:bottom="1440" w:gutter="0" w:footer="0" w:header="0"/>
        </w:sectPr>
      </w:pPr>
    </w:p>
    <w:bookmarkStart w:id="6" w:name="page7"/>
    <w:bookmarkEnd w:id="6"/>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VWAP</w:t>
      </w:r>
      <w:r>
        <w:rPr>
          <w:rFonts w:ascii="Times New Roman" w:cs="Times New Roman" w:eastAsia="Times New Roman" w:hAnsi="Times New Roman"/>
          <w:sz w:val="18"/>
          <w:szCs w:val="18"/>
          <w:color w:val="auto"/>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L.P.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Purchasers of a majority in interest of the Securities then outstanding and reasonably acceptable to the Company, the fees and expenses of which shall be paid by the Company.</w:t>
      </w:r>
    </w:p>
    <w:p>
      <w:pPr>
        <w:spacing w:after="0" w:line="194" w:lineRule="exact"/>
        <w:rPr>
          <w:sz w:val="20"/>
          <w:szCs w:val="20"/>
          <w:color w:val="auto"/>
        </w:rPr>
      </w:pPr>
    </w:p>
    <w:p>
      <w:pPr>
        <w:ind w:left="640"/>
        <w:spacing w:after="0"/>
        <w:tabs>
          <w:tab w:leader="none" w:pos="2080" w:val="left"/>
        </w:tabs>
        <w:rPr>
          <w:sz w:val="20"/>
          <w:szCs w:val="20"/>
          <w:color w:val="auto"/>
        </w:rPr>
      </w:pPr>
      <w:r>
        <w:rPr>
          <w:rFonts w:ascii="Times New Roman" w:cs="Times New Roman" w:eastAsia="Times New Roman" w:hAnsi="Times New Roman"/>
          <w:sz w:val="18"/>
          <w:szCs w:val="18"/>
          <w:color w:val="auto"/>
        </w:rPr>
        <w:t>d)</w:t>
      </w:r>
      <w:r>
        <w:rPr>
          <w:sz w:val="20"/>
          <w:szCs w:val="20"/>
          <w:color w:val="auto"/>
        </w:rPr>
        <w:tab/>
      </w:r>
      <w:r>
        <w:rPr>
          <w:rFonts w:ascii="Times New Roman" w:cs="Times New Roman" w:eastAsia="Times New Roman" w:hAnsi="Times New Roman"/>
          <w:sz w:val="18"/>
          <w:szCs w:val="18"/>
          <w:u w:val="single" w:color="auto"/>
          <w:color w:val="auto"/>
        </w:rPr>
        <w:t>Mechanics of Exercise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460" w:firstLine="642"/>
        <w:spacing w:after="0" w:line="251" w:lineRule="auto"/>
        <w:tabs>
          <w:tab w:leader="none" w:pos="3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Warrant Shares Upon Exercise</w:t>
      </w:r>
      <w:r>
        <w:rPr>
          <w:rFonts w:ascii="Times New Roman" w:cs="Times New Roman" w:eastAsia="Times New Roman" w:hAnsi="Times New Roman"/>
          <w:sz w:val="18"/>
          <w:szCs w:val="18"/>
          <w:color w:val="auto"/>
        </w:rPr>
        <w:t>. The Company shall cause the Warrant Shares purchased hereunder to be transmitted by the Transfer Agent to the Holder by crediting the account of the Holder’s or its designee’s balance account with The Depository Trust Company through its Deposit or Withdrawal at Custodian system (“</w:t>
      </w:r>
      <w:r>
        <w:rPr>
          <w:rFonts w:ascii="Times New Roman" w:cs="Times New Roman" w:eastAsia="Times New Roman" w:hAnsi="Times New Roman"/>
          <w:sz w:val="18"/>
          <w:szCs w:val="18"/>
          <w:u w:val="single" w:color="auto"/>
          <w:color w:val="auto"/>
        </w:rPr>
        <w:t>DWAC</w:t>
      </w:r>
      <w:r>
        <w:rPr>
          <w:rFonts w:ascii="Times New Roman" w:cs="Times New Roman" w:eastAsia="Times New Roman" w:hAnsi="Times New Roman"/>
          <w:sz w:val="18"/>
          <w:szCs w:val="18"/>
          <w:color w:val="auto"/>
        </w:rPr>
        <w:t>”) if the Company is then a participant in such system and either (A) there is an effective registration statement permitting the issuance of the Warrant Shares to or resale of the Warrant Shares by Holder or this Warrant is being exercised by cashless exercise, and otherwise by physical delivery of a certificate, registered in the Company’s share register in the name of the Holder or its designee, for the number of Warrant Shares to which the Holder is entitled pursuant to such exercise to the address specified by the Holder in the Notice of Exercise by the date that is the earliest of (i) two (2) Trading Days after the delivery to the Company of the Notice of Exercise, (ii) one (1) Trading Day after delivery of the aggregate Exercise Price to the Company and (iii) the number of Trading Days comprising the Standard Settlement Period after the delivery to the Company of the Notice of Exercise (such date, the “</w:t>
      </w:r>
      <w:r>
        <w:rPr>
          <w:rFonts w:ascii="Times New Roman" w:cs="Times New Roman" w:eastAsia="Times New Roman" w:hAnsi="Times New Roman"/>
          <w:sz w:val="18"/>
          <w:szCs w:val="18"/>
          <w:u w:val="single" w:color="auto"/>
          <w:color w:val="auto"/>
        </w:rPr>
        <w:t>Warrant Share Delivery Date</w:t>
      </w:r>
      <w:r>
        <w:rPr>
          <w:rFonts w:ascii="Times New Roman" w:cs="Times New Roman" w:eastAsia="Times New Roman" w:hAnsi="Times New Roman"/>
          <w:sz w:val="18"/>
          <w:szCs w:val="18"/>
          <w:color w:val="auto"/>
        </w:rPr>
        <w:t>”). Upon delivery of the Notice of Exercise, the Holder shall be deemed for all corporate purposes to have become the holder of record of the Warrant Shares with respect to which this Warrant has been exercised, irrespective of the date of delivery of the Warrant Shares, provided that payment of the aggregate Exercise Price (other than in the case of a cashless exercise) is received within the earlier of (i) two (2) Trading Days and (ii) the number of Trading Days comprising the Standard Settlement Period following delivery of the Notice of Exercise. If the Company fails for any reason to deliver to the Holder the Warrant Shares subject to a Notice of Exercise by the Warrant Share Delivery Date, the Company shall pay to the Holder, in cash, as liquidated damages and not as a penalty, for each $1,000 of Warrant Shares subject to such exercise (based on the VWAP of the Common Stock on the date of the applicable Notice of Exercise), $10 per Trading Day (increasing to $20 per Trading Day on the fifth Trading Day after such liquidated damages begin to accrue) for each Trading Day after such Warrant Share Delivery Date until such Warrant Shares are delivered or Holder rescinds such exercise. The Company agrees to maintain a transfer agent that is a participant in the FAST program so long as this Warrant remains outstanding and exercisable. As used herein, “</w:t>
      </w:r>
      <w:r>
        <w:rPr>
          <w:rFonts w:ascii="Times New Roman" w:cs="Times New Roman" w:eastAsia="Times New Roman" w:hAnsi="Times New Roman"/>
          <w:sz w:val="18"/>
          <w:szCs w:val="18"/>
          <w:u w:val="single" w:color="auto"/>
          <w:color w:val="auto"/>
        </w:rPr>
        <w:t>Standard Settlement Period</w:t>
      </w:r>
      <w:r>
        <w:rPr>
          <w:rFonts w:ascii="Times New Roman" w:cs="Times New Roman" w:eastAsia="Times New Roman" w:hAnsi="Times New Roman"/>
          <w:sz w:val="18"/>
          <w:szCs w:val="18"/>
          <w:color w:val="auto"/>
        </w:rPr>
        <w:t>” means the standard settlement period, expressed in a number of Trading Days, on the Company’s primary Trading Market with respect to the Common Stock as in effect on the date of delivery of the Notice of Exercise.</w:t>
      </w:r>
    </w:p>
    <w:p>
      <w:pPr>
        <w:spacing w:after="0" w:line="205" w:lineRule="exact"/>
        <w:rPr>
          <w:sz w:val="20"/>
          <w:szCs w:val="20"/>
          <w:color w:val="auto"/>
        </w:rPr>
      </w:pPr>
    </w:p>
    <w:p>
      <w:pPr>
        <w:jc w:val="both"/>
        <w:ind w:left="1460" w:firstLine="567"/>
        <w:spacing w:after="0" w:line="261" w:lineRule="auto"/>
        <w:rPr>
          <w:sz w:val="20"/>
          <w:szCs w:val="20"/>
          <w:color w:val="auto"/>
        </w:rPr>
      </w:pPr>
      <w:r>
        <w:rPr>
          <w:rFonts w:ascii="Times New Roman" w:cs="Times New Roman" w:eastAsia="Times New Roman" w:hAnsi="Times New Roman"/>
          <w:sz w:val="18"/>
          <w:szCs w:val="18"/>
          <w:color w:val="auto"/>
        </w:rPr>
        <w:t xml:space="preserve">ii. </w:t>
      </w:r>
      <w:r>
        <w:rPr>
          <w:rFonts w:ascii="Times New Roman" w:cs="Times New Roman" w:eastAsia="Times New Roman" w:hAnsi="Times New Roman"/>
          <w:sz w:val="18"/>
          <w:szCs w:val="18"/>
          <w:u w:val="single" w:color="auto"/>
          <w:color w:val="auto"/>
        </w:rPr>
        <w:t>Delivery of New Warrants Upon Exercise</w:t>
      </w:r>
      <w:r>
        <w:rPr>
          <w:rFonts w:ascii="Times New Roman" w:cs="Times New Roman" w:eastAsia="Times New Roman" w:hAnsi="Times New Roman"/>
          <w:sz w:val="18"/>
          <w:szCs w:val="18"/>
          <w:color w:val="auto"/>
        </w:rPr>
        <w:t>. If this Warrant shall have been exercised in part, the Company shall, at the request of a Holder and upon surrender of this Warrant certificate, at the time of delivery of the Warrant Shares, deliver to the Holder a new Warrant evidencing the rights of the Holder to purchase the unpurchased Warrant Shares called for by this Warrant, which new Warrant shall in all other respects be identical with this Warrant.</w:t>
      </w:r>
    </w:p>
    <w:p>
      <w:pPr>
        <w:spacing w:after="0" w:line="180" w:lineRule="exact"/>
        <w:rPr>
          <w:sz w:val="20"/>
          <w:szCs w:val="20"/>
          <w:color w:val="auto"/>
        </w:rPr>
      </w:pPr>
    </w:p>
    <w:p>
      <w:pPr>
        <w:jc w:val="both"/>
        <w:ind w:left="1460" w:firstLine="642"/>
        <w:spacing w:after="0" w:line="266" w:lineRule="auto"/>
        <w:tabs>
          <w:tab w:leader="none" w:pos="336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Rescission Rights</w:t>
      </w:r>
      <w:r>
        <w:rPr>
          <w:rFonts w:ascii="Times New Roman" w:cs="Times New Roman" w:eastAsia="Times New Roman" w:hAnsi="Times New Roman"/>
          <w:sz w:val="18"/>
          <w:szCs w:val="18"/>
          <w:color w:val="auto"/>
        </w:rPr>
        <w:t>. If the Company fails to cause the Transfer Agent to transmit to the Holder the Warrant Shares pursuant to Section 2(d)(i) by the Warrant Share Delivery Date, then the Holder will have the right to rescind such exercise.</w:t>
      </w:r>
    </w:p>
    <w:p>
      <w:pPr>
        <w:spacing w:after="0" w:line="392"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7" w:name="page8"/>
    <w:bookmarkEnd w:id="7"/>
    <w:p>
      <w:pPr>
        <w:jc w:val="both"/>
        <w:ind w:left="1000" w:firstLine="642"/>
        <w:spacing w:after="0" w:line="252" w:lineRule="auto"/>
        <w:tabs>
          <w:tab w:leader="none" w:pos="275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 for Buy-In on Failure to Timely Deliver Warrant Shares Upon Exercise</w:t>
      </w:r>
      <w:r>
        <w:rPr>
          <w:rFonts w:ascii="Times New Roman" w:cs="Times New Roman" w:eastAsia="Times New Roman" w:hAnsi="Times New Roman"/>
          <w:sz w:val="18"/>
          <w:szCs w:val="18"/>
          <w:color w:val="auto"/>
        </w:rPr>
        <w:t>. In addition to any other rights available to the Holder, if the Company fails to cause the Transfer Agent to transmit to the Holder the Warrant Shares in accordance with the provisions of Section 2(d)(i) above pursuant to an exercise on or before the Warrant Share Delivery Date, and if after such date the Holder is required by its broker to purchase (in an open market transaction or otherwise) or the Holder’s brokerage firm otherwise purchases, shares of Common Stock to deliver in satisfaction of a sale by the Holder of the Warrant Shares which the Holder anticipated receiving upon such exercise (a “</w:t>
      </w:r>
      <w:r>
        <w:rPr>
          <w:rFonts w:ascii="Times New Roman" w:cs="Times New Roman" w:eastAsia="Times New Roman" w:hAnsi="Times New Roman"/>
          <w:sz w:val="18"/>
          <w:szCs w:val="18"/>
          <w:u w:val="single" w:color="auto"/>
          <w:color w:val="auto"/>
        </w:rPr>
        <w:t>Buy-In</w:t>
      </w:r>
      <w:r>
        <w:rPr>
          <w:rFonts w:ascii="Times New Roman" w:cs="Times New Roman" w:eastAsia="Times New Roman" w:hAnsi="Times New Roman"/>
          <w:sz w:val="18"/>
          <w:szCs w:val="18"/>
          <w:color w:val="auto"/>
        </w:rPr>
        <w:t>”), then the Company shall (A) pay in cash to the Holder the amount, if any, by which (x) the Holder’s total purchase price (including brokerage commissions, if any) for the shares of Common Stock so purchased exceeds (y) the amount obtained by multiplying (1) the number of Warrant Shares that the Company was required to deliver to the Holder in connection with the exercise at issue times (2) the price at which the sell order giving rise to such purchase obligation was executed, and (B) at the option of the Holder, either reinstate the portion of the Warrant and equivalent number of Warrant Shares for which such exercise was not honored (in which case such exercise shall be deemed rescinded) or deliver to the Holder the number of shares of Common Stock that would have been issued had the Company timely complied with its exercise and delivery obligations hereunder. For example, if the Holder purchases Common Stock having a total purchase price of $11,000 to cover a Buy-In with respect to an attempted exercise of shares of Common Stock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shares of Common Stock upon exercise of the Warrant as required pursuant to the terms hereof.</w:t>
      </w:r>
    </w:p>
    <w:p>
      <w:pPr>
        <w:spacing w:after="0" w:line="187" w:lineRule="exact"/>
        <w:rPr>
          <w:rFonts w:ascii="Times New Roman" w:cs="Times New Roman" w:eastAsia="Times New Roman" w:hAnsi="Times New Roman"/>
          <w:sz w:val="18"/>
          <w:szCs w:val="18"/>
          <w:color w:val="auto"/>
        </w:rPr>
      </w:pPr>
    </w:p>
    <w:p>
      <w:pPr>
        <w:jc w:val="both"/>
        <w:ind w:left="1000" w:firstLine="642"/>
        <w:spacing w:after="0" w:line="261" w:lineRule="auto"/>
        <w:tabs>
          <w:tab w:leader="none" w:pos="258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Fractional Shares or Scrip</w:t>
      </w:r>
      <w:r>
        <w:rPr>
          <w:rFonts w:ascii="Times New Roman" w:cs="Times New Roman" w:eastAsia="Times New Roman" w:hAnsi="Times New Roman"/>
          <w:sz w:val="18"/>
          <w:szCs w:val="18"/>
          <w:color w:val="auto"/>
        </w:rPr>
        <w:t>. No fractional shares or scrip representing fractional shares shall be issued upon the exercise of this Warrant.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w:t>
      </w:r>
    </w:p>
    <w:p>
      <w:pPr>
        <w:spacing w:after="0" w:line="179" w:lineRule="exact"/>
        <w:rPr>
          <w:rFonts w:ascii="Times New Roman" w:cs="Times New Roman" w:eastAsia="Times New Roman" w:hAnsi="Times New Roman"/>
          <w:sz w:val="18"/>
          <w:szCs w:val="18"/>
          <w:color w:val="auto"/>
        </w:rPr>
      </w:pPr>
    </w:p>
    <w:p>
      <w:pPr>
        <w:jc w:val="both"/>
        <w:ind w:left="1000" w:firstLine="642"/>
        <w:spacing w:after="0" w:line="253" w:lineRule="auto"/>
        <w:tabs>
          <w:tab w:leader="none" w:pos="272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Charges, Taxes and Expenses</w:t>
      </w:r>
      <w:r>
        <w:rPr>
          <w:rFonts w:ascii="Times New Roman" w:cs="Times New Roman" w:eastAsia="Times New Roman" w:hAnsi="Times New Roman"/>
          <w:sz w:val="18"/>
          <w:szCs w:val="18"/>
          <w:color w:val="auto"/>
        </w:rPr>
        <w:t xml:space="preserve">. Issuance of Warrant Shares shall be made without charge to the Holder for any issue or transfer tax or other incidental expense in respect of the issuance of such Warrant Shares, all of which taxes and expenses shall be paid by the Company, and such Warrant Shares shall be issued in the name of the Holder or in such name or names as may be directed by the Holder;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event that Warrant Shares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the Depository Trust Company (or another established clearing corporation performing similar functions) required for same-day electronic delivery of the Warrant Shares.</w:t>
      </w:r>
    </w:p>
    <w:p>
      <w:pPr>
        <w:spacing w:after="0" w:line="200" w:lineRule="exact"/>
        <w:rPr>
          <w:sz w:val="20"/>
          <w:szCs w:val="20"/>
          <w:color w:val="auto"/>
        </w:rPr>
      </w:pPr>
    </w:p>
    <w:p>
      <w:pPr>
        <w:spacing w:after="0" w:line="210"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8" w:name="page9"/>
    <w:bookmarkEnd w:id="8"/>
    <w:p>
      <w:pPr>
        <w:ind w:left="1000" w:firstLine="642"/>
        <w:spacing w:after="0" w:line="282" w:lineRule="auto"/>
        <w:tabs>
          <w:tab w:leader="none" w:pos="27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of Books</w:t>
      </w:r>
      <w:r>
        <w:rPr>
          <w:rFonts w:ascii="Times New Roman" w:cs="Times New Roman" w:eastAsia="Times New Roman" w:hAnsi="Times New Roman"/>
          <w:sz w:val="18"/>
          <w:szCs w:val="18"/>
          <w:color w:val="auto"/>
        </w:rPr>
        <w:t>. The Company will not close its stockholder books or records in any manner which prevents the timely exercise of this Warrant, pursuant to the terms hereof.</w:t>
      </w:r>
    </w:p>
    <w:p>
      <w:pPr>
        <w:spacing w:after="0" w:line="161" w:lineRule="exact"/>
        <w:rPr>
          <w:rFonts w:ascii="Times New Roman" w:cs="Times New Roman" w:eastAsia="Times New Roman" w:hAnsi="Times New Roman"/>
          <w:sz w:val="18"/>
          <w:szCs w:val="18"/>
          <w:color w:val="auto"/>
        </w:rPr>
      </w:pPr>
    </w:p>
    <w:p>
      <w:pPr>
        <w:jc w:val="both"/>
        <w:ind w:left="180" w:firstLine="652"/>
        <w:spacing w:after="0" w:line="251" w:lineRule="auto"/>
        <w:tabs>
          <w:tab w:leader="none" w:pos="129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Holder’s Exercise Limitations</w:t>
      </w:r>
      <w:r>
        <w:rPr>
          <w:rFonts w:ascii="Times New Roman" w:cs="Times New Roman" w:eastAsia="Times New Roman" w:hAnsi="Times New Roman"/>
          <w:sz w:val="18"/>
          <w:szCs w:val="18"/>
          <w:color w:val="auto"/>
        </w:rPr>
        <w:t>. The Company shall not effect any exercise of this Warrant, and a Holder shall not have the right to exercise any portion of this Warrant, pursuant to Section 2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(such Persons, “</w:t>
      </w:r>
      <w:r>
        <w:rPr>
          <w:rFonts w:ascii="Times New Roman" w:cs="Times New Roman" w:eastAsia="Times New Roman" w:hAnsi="Times New Roman"/>
          <w:sz w:val="18"/>
          <w:szCs w:val="18"/>
          <w:u w:val="single" w:color="auto"/>
          <w:color w:val="auto"/>
        </w:rPr>
        <w:t>Attribution Parties</w:t>
      </w:r>
      <w:r>
        <w:rPr>
          <w:rFonts w:ascii="Times New Roman" w:cs="Times New Roman" w:eastAsia="Times New Roman" w:hAnsi="Times New Roman"/>
          <w:sz w:val="18"/>
          <w:szCs w:val="18"/>
          <w:color w:val="auto"/>
        </w:rPr>
        <w:t>”)), would beneficially own in excess of the Beneficial Ownership Limitation (as defined below). For purposes of the foregoing sentence, the number of shares of Common Stock beneficially owned by the Holder and its Affiliates and Attribution Parties shall include the number of shares of Common Stock issuable upon exercise of this Warrant with respect to which such determination is being made, but shall exclude the number of shares of Common Stock which would be issuable upon (i) exercise of the remaining, nonexercised portion of this Warrant beneficially owned by the Holder or any of its Affiliates or Attribution Parties and (ii) exercise or conversion of the unexercised or nonconverted portion of any other securities of the Company (including, without limitation, any other Common Stock Equivalents) subject to a limitation on conversion or exercise analogous to the limitation contained herein beneficially owned by the Holder or any of its Affiliates or Attribution Parties. Except as set forth in the preceding sentence, for purposes of this Section 2(e),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2(e) applies, the determination of whether this Warrant is exercisable (in relation to other securities owned by the Holder together with any Affiliates and Attribution Parties) and of which portion of this Warrant is exercisable shall be in the sole discretion of the Holder, and the submission of a Notice of Exercise shall be deemed to be the Holder’s determination of whether this Warrant is exercisable (in relation to other securities owned by the Holder together with any Affiliates and Attribution Parties) and of which portion of this Warrant is exercisable, in each case subject to the Beneficial Ownership Limitation, and the Company shall have no obligation to verify or confirm the accuracy of such determination. In addition, a determination as to any group status as contemplated above shall be determined in accordance with Section 13(d) of the Exchange Act and the rules and regulations promulgated thereunder. For purposes of this Section 2(e), in determining the number of outstanding shares of Common Stock, a Holder may rely on the number of outstanding shares of Common Stock as reflected in (A) the Company’s most recent periodic or annual report filed with the Commission, as the case may be, (B) a more recent public announcement by the Company or (C) a more recent written notice by the Company or the Transfer Agent setting forth the number of shares of Common Stock outstanding. Upon the written or oral request of a Holder, the Company shall within one Trading Day confirm orally and in writing to the Holder the number of shares of Common Stock then outstanding. In any case, the number of outstanding shares of Common Stock shall be determined after giving effect to the conversion or exercise of securities of the Company, including this Warrant, by the Holder or its Affiliates or Attribution Parties since the date as of which such number of outstanding shares of Common Stock was reported. The “</w:t>
      </w:r>
      <w:r>
        <w:rPr>
          <w:rFonts w:ascii="Times New Roman" w:cs="Times New Roman" w:eastAsia="Times New Roman" w:hAnsi="Times New Roman"/>
          <w:sz w:val="18"/>
          <w:szCs w:val="18"/>
          <w:u w:val="single" w:color="auto"/>
          <w:color w:val="auto"/>
        </w:rPr>
        <w:t>Beneficial Ownership Limitation</w:t>
      </w:r>
      <w:r>
        <w:rPr>
          <w:rFonts w:ascii="Times New Roman" w:cs="Times New Roman" w:eastAsia="Times New Roman" w:hAnsi="Times New Roman"/>
          <w:sz w:val="18"/>
          <w:szCs w:val="18"/>
          <w:color w:val="auto"/>
        </w:rPr>
        <w:t>” shall be 4.99% of the number of shares of the Common Stock outstanding immediately after giving effect to the issuance of shares of Common Stock issuable upon exercise of this Warrant. The Holder, upon notice to the Company, may increase or decrease the Beneficial Ownership Limitation provisions of this Section 2(e), provided that the Beneficial Ownership Limitation in no event exceeds 9.99% of the number of shares of the Common Stock outstanding immediately after giving effect to the issuance of shares of Common Stock upon exercise of this Warrant held by the Holder and the provisions of this Section 2(e) shall continue to apply. Any increase in the Beneficial</w:t>
      </w:r>
    </w:p>
    <w:p>
      <w:pPr>
        <w:spacing w:after="0" w:line="2" w:lineRule="exact"/>
        <w:rPr>
          <w:sz w:val="20"/>
          <w:szCs w:val="20"/>
          <w:color w:val="auto"/>
        </w:rPr>
      </w:pPr>
    </w:p>
    <w:p>
      <w:pPr>
        <w:jc w:val="both"/>
        <w:ind w:left="180"/>
        <w:spacing w:after="0" w:line="231" w:lineRule="auto"/>
        <w:rPr>
          <w:sz w:val="20"/>
          <w:szCs w:val="20"/>
          <w:color w:val="auto"/>
        </w:rPr>
      </w:pPr>
      <w:r>
        <w:rPr>
          <w:rFonts w:ascii="Times New Roman" w:cs="Times New Roman" w:eastAsia="Times New Roman" w:hAnsi="Times New Roman"/>
          <w:sz w:val="18"/>
          <w:szCs w:val="18"/>
          <w:color w:val="auto"/>
        </w:rPr>
        <w:t>Ownership Limitation will not be effective until the 61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day after such notice is delivered to the Company. The provisions of this paragraph shall be construed and implemented in a manner otherwise than in strict conformity with the terms of this Section 2(e)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w:t>
      </w:r>
    </w:p>
    <w:p>
      <w:pPr>
        <w:spacing w:after="0" w:line="200" w:lineRule="exact"/>
        <w:rPr>
          <w:sz w:val="20"/>
          <w:szCs w:val="20"/>
          <w:color w:val="auto"/>
        </w:rPr>
      </w:pPr>
    </w:p>
    <w:p>
      <w:pPr>
        <w:spacing w:after="0" w:line="216"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Certain Adjustments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4"/>
        <w:spacing w:after="0" w:line="253" w:lineRule="auto"/>
        <w:tabs>
          <w:tab w:leader="none" w:pos="181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Dividends and Splits</w:t>
      </w:r>
      <w:r>
        <w:rPr>
          <w:rFonts w:ascii="Times New Roman" w:cs="Times New Roman" w:eastAsia="Times New Roman" w:hAnsi="Times New Roman"/>
          <w:sz w:val="18"/>
          <w:szCs w:val="18"/>
          <w:color w:val="auto"/>
        </w:rPr>
        <w:t>. If the Company, at any time while this Warrant is outstanding: (i) pays a stock dividend or otherwise makes a distribution or distributions on shares of its Common Stock or any other equity or equity equivalent securities payable in shares of Common Stock (which, for avoidance of doubt, shall not include any shares of Common Stock issued by the Company upon exercise of this Warrant), (ii) subdivides outstanding shares of Common Stock into a larger number of shares, (iii) combines (including by way of reverse stock split) outstanding shares of Common Stock into a smaller number of shares or (iv) issues by reclassification of shares of the Common Stock any shares of capital stock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Warrant shall be proportionately adjusted such that the aggregate Exercise Price of this Warrant shall remain unchanged. Any adjustment made pursuant to this Section 3(a)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spacing w:after="0" w:line="189" w:lineRule="exact"/>
        <w:rPr>
          <w:rFonts w:ascii="Times New Roman" w:cs="Times New Roman" w:eastAsia="Times New Roman" w:hAnsi="Times New Roman"/>
          <w:sz w:val="18"/>
          <w:szCs w:val="18"/>
          <w:color w:val="auto"/>
        </w:rPr>
      </w:pPr>
    </w:p>
    <w:p>
      <w:pPr>
        <w:jc w:val="both"/>
        <w:ind w:firstLine="644"/>
        <w:spacing w:after="0" w:line="253" w:lineRule="auto"/>
        <w:tabs>
          <w:tab w:leader="none" w:pos="176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Subsequent Rights Offerings</w:t>
      </w:r>
      <w:r>
        <w:rPr>
          <w:rFonts w:ascii="Times New Roman" w:cs="Times New Roman" w:eastAsia="Times New Roman" w:hAnsi="Times New Roman"/>
          <w:sz w:val="18"/>
          <w:szCs w:val="18"/>
          <w:color w:val="auto"/>
        </w:rPr>
        <w:t>. In addition to any adjustments pursuant to Section 3(a) above, if at any time the Company grants, issues or sells any Common Stock Equivalents or rights to purchase stock, warrants, securities or other property pro rata to the record holders of any class of shares of Common Stock (the “</w:t>
      </w:r>
      <w:r>
        <w:rPr>
          <w:rFonts w:ascii="Times New Roman" w:cs="Times New Roman" w:eastAsia="Times New Roman" w:hAnsi="Times New Roman"/>
          <w:sz w:val="18"/>
          <w:szCs w:val="18"/>
          <w:u w:val="single" w:color="auto"/>
          <w:color w:val="auto"/>
        </w:rPr>
        <w:t>Purchase Rights</w:t>
      </w:r>
      <w:r>
        <w:rPr>
          <w:rFonts w:ascii="Times New Roman" w:cs="Times New Roman" w:eastAsia="Times New Roman" w:hAnsi="Times New Roman"/>
          <w:sz w:val="18"/>
          <w:szCs w:val="18"/>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to the extent that the Holder’s right to participate in any such Purchase Right would result in the Holder exceeding the Beneficial Ownership Limitation,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Beneficial Ownership Limitation).</w:t>
      </w:r>
    </w:p>
    <w:p>
      <w:pPr>
        <w:spacing w:after="0" w:line="189" w:lineRule="exact"/>
        <w:rPr>
          <w:rFonts w:ascii="Times New Roman" w:cs="Times New Roman" w:eastAsia="Times New Roman" w:hAnsi="Times New Roman"/>
          <w:sz w:val="18"/>
          <w:szCs w:val="18"/>
          <w:color w:val="auto"/>
        </w:rPr>
      </w:pPr>
    </w:p>
    <w:p>
      <w:pPr>
        <w:jc w:val="both"/>
        <w:ind w:firstLine="644"/>
        <w:spacing w:after="0" w:line="253" w:lineRule="auto"/>
        <w:tabs>
          <w:tab w:leader="none" w:pos="1638" w:val="left"/>
        </w:tabs>
        <w:numPr>
          <w:ilvl w:val="0"/>
          <w:numId w:val="13"/>
        </w:numPr>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u w:val="single" w:color="auto"/>
          <w:color w:val="auto"/>
        </w:rPr>
        <w:t>Pro Rata Distributions</w:t>
      </w:r>
      <w:r>
        <w:rPr>
          <w:rFonts w:ascii="Times New Roman" w:cs="Times New Roman" w:eastAsia="Times New Roman" w:hAnsi="Times New Roman"/>
          <w:sz w:val="18"/>
          <w:szCs w:val="18"/>
          <w:color w:val="auto"/>
        </w:rPr>
        <w:t>. During such time as this Warrant is outstanding, if the Company shall declare or make any dividend (other than cash) or other distribution of its assets (or rights to acquire its assets) to holders of shares of Common Stock, by way of return of capital or otherwise (including, without limitation, any distribution of stock or other securities, property or options by way of a dividend, spin off, reclassification, corporate rearrangement, scheme of arrangement or other similar transaction) (a “</w:t>
      </w:r>
      <w:r>
        <w:rPr>
          <w:rFonts w:ascii="Times New Roman" w:cs="Times New Roman" w:eastAsia="Times New Roman" w:hAnsi="Times New Roman"/>
          <w:sz w:val="18"/>
          <w:szCs w:val="18"/>
          <w:u w:val="single" w:color="auto"/>
          <w:color w:val="auto"/>
        </w:rPr>
        <w:t>Distribution</w:t>
      </w:r>
      <w:r>
        <w:rPr>
          <w:rFonts w:ascii="Times New Roman" w:cs="Times New Roman" w:eastAsia="Times New Roman" w:hAnsi="Times New Roman"/>
          <w:sz w:val="18"/>
          <w:szCs w:val="18"/>
          <w:color w:val="auto"/>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the Beneficial Ownership Limitation) immediately before the date of which a record is taken for such Distribution, or, if no such record is taken, the date as of which the record holders of shares of Common Stock are to be determined for the participation in such Distribution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the Beneficial Ownership Limitation).</w:t>
      </w:r>
    </w:p>
    <w:p>
      <w:pPr>
        <w:spacing w:after="0" w:line="200" w:lineRule="exact"/>
        <w:rPr>
          <w:sz w:val="20"/>
          <w:szCs w:val="20"/>
          <w:color w:val="auto"/>
        </w:rPr>
      </w:pPr>
    </w:p>
    <w:p>
      <w:pPr>
        <w:spacing w:after="0" w:line="203"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0" w:name="page11"/>
    <w:bookmarkEnd w:id="10"/>
    <w:p>
      <w:pPr>
        <w:jc w:val="both"/>
        <w:ind w:left="4" w:firstLine="644"/>
        <w:spacing w:after="0" w:line="250" w:lineRule="auto"/>
        <w:tabs>
          <w:tab w:leader="none" w:pos="1652"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Fundamental Transaction</w:t>
      </w:r>
      <w:r>
        <w:rPr>
          <w:rFonts w:ascii="Times New Roman" w:cs="Times New Roman" w:eastAsia="Times New Roman" w:hAnsi="Times New Roman"/>
          <w:sz w:val="18"/>
          <w:szCs w:val="18"/>
          <w:color w:val="auto"/>
        </w:rPr>
        <w:t>. If, at any time while this Warrant is outstanding, (i) the Company, directly or indirectly, in one or more related transactions effects any merger or consolidation of the Company with or into another Person, (ii) the Company (and all of its Subsidiaries, taken as a whole), directly or indirectly, effects any sale, lease, license, assignment, transfer, conveyance or other disposition of all or substantially all of its assets in one or a series of related transactions, (iii) 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50% or more of the outstanding Common Stock, (iv) the Company,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merger or scheme of arrangement) with another Person or group of Persons whereby such other Person or group acquires more than 50% of the outstanding shares of Common Stock (not including any shares of Common Stock held by the other Person or other Persons making or party to, or associated or affiliated with the other Persons making or party to, such stock or share purchase agreement or other business combination) (each a “</w:t>
      </w:r>
      <w:r>
        <w:rPr>
          <w:rFonts w:ascii="Times New Roman" w:cs="Times New Roman" w:eastAsia="Times New Roman" w:hAnsi="Times New Roman"/>
          <w:sz w:val="18"/>
          <w:szCs w:val="18"/>
          <w:u w:val="single" w:color="auto"/>
          <w:color w:val="auto"/>
        </w:rPr>
        <w:t>Fundamental Transaction</w:t>
      </w:r>
      <w:r>
        <w:rPr>
          <w:rFonts w:ascii="Times New Roman" w:cs="Times New Roman" w:eastAsia="Times New Roman" w:hAnsi="Times New Roman"/>
          <w:sz w:val="18"/>
          <w:szCs w:val="18"/>
          <w:color w:val="auto"/>
        </w:rPr>
        <w:t>”), then, upon any subsequent exercise of this Warrant, the Holder shall have the right to receive, for each Warrant Share that would have been issuable upon such exercise immediately prior to the occurrence of such Fundamental Transaction, at the option of the Holder (without regard to any limitation in Section 2(e) on the exercise of this Warrant), the number of shares of Common Stock of the successor or acquiring corporation or of the Company, if it is the surviving corporation, and any additional consideration (the “</w:t>
      </w:r>
      <w:r>
        <w:rPr>
          <w:rFonts w:ascii="Times New Roman" w:cs="Times New Roman" w:eastAsia="Times New Roman" w:hAnsi="Times New Roman"/>
          <w:sz w:val="18"/>
          <w:szCs w:val="18"/>
          <w:u w:val="single" w:color="auto"/>
          <w:color w:val="auto"/>
        </w:rPr>
        <w:t>Alternate Consideration</w:t>
      </w:r>
      <w:r>
        <w:rPr>
          <w:rFonts w:ascii="Times New Roman" w:cs="Times New Roman" w:eastAsia="Times New Roman" w:hAnsi="Times New Roman"/>
          <w:sz w:val="18"/>
          <w:szCs w:val="18"/>
          <w:color w:val="auto"/>
        </w:rPr>
        <w:t xml:space="preserve">”) receivable as a result of such Fundamental Transaction by a holder of the number of shares of Common Stock for which this Warrant is exercisable immediately prior to such Fundamental Transaction (without regard to any limitation in Section 2(e)) on the exercise of this Warrant).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Warrant following such Fundamental Transaction. Notwithstanding anything to the contrary, in the event of a Fundamental Transaction, the Company or any Successor Entity (as defined below) shall, at the Holder’s option, exercisable at any time concurrently with, or within 30 days after, the consummation of the Fundamental Transaction (or, if later, the date of the public announcement of the applicable Fundamental Transaction), purchase this Warrant from the Holder by paying to the Holder an amount of cash equal to the Black Scholes Value (as defined below) of the remaining unexercised portion of this Warrant on the date of the consummation of such Fundamental Transaction;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if the Fundamental Transaction is not within the Company's control, including not approved by the Company's Board of Directors, Holder shall only be entitled to receive from the Company or any Successor Entity the same type or form of consideration (and in the same proportion), at the Black Scholes Value of the unexercised portion of this Warrant, that is being offered and paid to the holders of Common Stock of the Company in connection with the Fundamental Transaction, whether that consideration be in the form of cash, stock or any combination thereof, or whether the holders of Common Stock are given the choice to receive from among alternative forms of consideration in connection with the Fundamental Transaction;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if holders of Common Stock of the Company are not offered or paid any consideration in such Fundamental Transaction, such holders of Common Stock will be deemed to have received common stock of the Successor Entity (which Entity may be the Company following such Fundamental Transaction) in such Fundamental Transaction. “</w:t>
      </w:r>
      <w:r>
        <w:rPr>
          <w:rFonts w:ascii="Times New Roman" w:cs="Times New Roman" w:eastAsia="Times New Roman" w:hAnsi="Times New Roman"/>
          <w:sz w:val="18"/>
          <w:szCs w:val="18"/>
          <w:u w:val="single" w:color="auto"/>
          <w:color w:val="auto"/>
        </w:rPr>
        <w:t>Black Scholes Value</w:t>
      </w:r>
      <w:r>
        <w:rPr>
          <w:rFonts w:ascii="Times New Roman" w:cs="Times New Roman" w:eastAsia="Times New Roman" w:hAnsi="Times New Roman"/>
          <w:sz w:val="18"/>
          <w:szCs w:val="18"/>
          <w:color w:val="auto"/>
        </w:rPr>
        <w:t>” means the value of this Warrant based on the Black-Scholes Option Pricing Model obtained from the “OV” function on Bloomberg, L.P. (“</w:t>
      </w:r>
      <w:r>
        <w:rPr>
          <w:rFonts w:ascii="Times New Roman" w:cs="Times New Roman" w:eastAsia="Times New Roman" w:hAnsi="Times New Roman"/>
          <w:sz w:val="18"/>
          <w:szCs w:val="18"/>
          <w:u w:val="single" w:color="auto"/>
          <w:color w:val="auto"/>
        </w:rPr>
        <w:t>Bloomberg</w:t>
      </w:r>
      <w:r>
        <w:rPr>
          <w:rFonts w:ascii="Times New Roman" w:cs="Times New Roman" w:eastAsia="Times New Roman" w:hAnsi="Times New Roman"/>
          <w:sz w:val="18"/>
          <w:szCs w:val="18"/>
          <w:color w:val="auto"/>
        </w:rPr>
        <w:t>”) determined as of the day of consummation of the applicable Fundamental Transaction for pricing purposes and reflecting (A) a risk-free interest rate corresponding to the U.S. Treasury rate for a period equal to the time between the date of the public announcement of the applicable Fundamental Transaction and the Termination Date, (B) an expected volatility equal to the greater of 100% and the 100 day volatility obtained from the HVT function on Bloomberg (determined utilizing a 365 day annualization factor) as of the Trading Day immediately following the public announcement of the applicable Fundamental Transaction, (C) the underlying price per share used in such calculation shall be the greater of (i) the sum of the price per share being offered in cash, if any, plus the value of any non-cash consideration, if any, being offered in such Fundamental Transaction and (ii) the greater of (x) the last VWAP immediately prior to the public announcement of such Fundamental Transaction and (y) the last VWAP immediately prior to the consummation of such Fundamental Transaction and (D) a remaining option time equal to the time between the date of the public announcement of the applicable Fundamental Transaction and the Termination Date and (E) a zero cost of borrow. The payment of the Black Scholes Value will be made by wire transfer of immediately available funds within the later of (i) five Business Days of the Holder’s election and</w:t>
      </w:r>
    </w:p>
    <w:p>
      <w:pPr>
        <w:spacing w:after="0" w:line="37" w:lineRule="exact"/>
        <w:rPr>
          <w:rFonts w:ascii="Times New Roman" w:cs="Times New Roman" w:eastAsia="Times New Roman" w:hAnsi="Times New Roman"/>
          <w:sz w:val="18"/>
          <w:szCs w:val="18"/>
          <w:color w:val="auto"/>
        </w:rPr>
      </w:pPr>
    </w:p>
    <w:p>
      <w:pPr>
        <w:jc w:val="both"/>
        <w:ind w:left="4" w:hanging="4"/>
        <w:spacing w:after="0" w:line="251" w:lineRule="auto"/>
        <w:tabs>
          <w:tab w:leader="none" w:pos="28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of consummation of the Fundamental Transaction. The Company shall cause any successor entity in a Fundamental Transaction in which the Company is not the survivor (the “</w:t>
      </w:r>
      <w:r>
        <w:rPr>
          <w:rFonts w:ascii="Times New Roman" w:cs="Times New Roman" w:eastAsia="Times New Roman" w:hAnsi="Times New Roman"/>
          <w:sz w:val="18"/>
          <w:szCs w:val="18"/>
          <w:u w:val="single" w:color="auto"/>
          <w:color w:val="auto"/>
        </w:rPr>
        <w:t>Successor Entity</w:t>
      </w:r>
      <w:r>
        <w:rPr>
          <w:rFonts w:ascii="Times New Roman" w:cs="Times New Roman" w:eastAsia="Times New Roman" w:hAnsi="Times New Roman"/>
          <w:sz w:val="18"/>
          <w:szCs w:val="18"/>
          <w:color w:val="auto"/>
        </w:rPr>
        <w:t>”) to assume in writing all of the obligations of the Company under this Warrant and the other Transaction Documents in accordance with the provisions of this Section 3(d) pursuant to written agreements in form and substance reasonably satisfactory to the Holder and approved by the Holder (without unreasonable delay)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succeed to, and be substituted for (so that from and after the date of such Fundamental Transaction, the provisions of this Warrant and the other Transaction Documents referring to the “Company” shall refer instead to the Successor Entity), and may exercise every right and power of the Company and shall assume all of the obligations of the Company under this Warrant and the other Transaction Documents with the same effect as if such Successor Entity had been named as the Company herein.</w:t>
      </w:r>
    </w:p>
    <w:p>
      <w:pPr>
        <w:spacing w:after="0" w:line="200" w:lineRule="exact"/>
        <w:rPr>
          <w:sz w:val="20"/>
          <w:szCs w:val="20"/>
          <w:color w:val="auto"/>
        </w:rPr>
      </w:pPr>
    </w:p>
    <w:p>
      <w:pPr>
        <w:spacing w:after="0" w:line="206"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4" w:right="339" w:bottom="906" w:gutter="0" w:footer="0" w:header="0"/>
        </w:sectPr>
      </w:pPr>
    </w:p>
    <w:bookmarkStart w:id="11" w:name="page12"/>
    <w:bookmarkEnd w:id="11"/>
    <w:p>
      <w:pPr>
        <w:jc w:val="both"/>
        <w:ind w:left="-460" w:firstLine="644"/>
        <w:spacing w:after="0" w:line="266" w:lineRule="auto"/>
        <w:tabs>
          <w:tab w:leader="none" w:pos="1191"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Calculations</w:t>
      </w:r>
      <w:r>
        <w:rPr>
          <w:rFonts w:ascii="Times New Roman" w:cs="Times New Roman" w:eastAsia="Times New Roman" w:hAnsi="Times New Roman"/>
          <w:sz w:val="18"/>
          <w:szCs w:val="18"/>
          <w:color w:val="auto"/>
        </w:rPr>
        <w:t>. All calculations under this Section 3 shall be made to the nearest cent or the nearest 1/100th of a share, as the case may be. For purposes of this Section 3, the number of shares of Common Stock deemed to be issued and outstanding as of a given date shall be the sum of the number of shares of Common Stock (excluding treasury shares, if any) issued and outstanding.</w:t>
      </w:r>
    </w:p>
    <w:p>
      <w:pPr>
        <w:spacing w:after="0" w:line="175" w:lineRule="exact"/>
        <w:rPr>
          <w:rFonts w:ascii="Times New Roman" w:cs="Times New Roman" w:eastAsia="Times New Roman" w:hAnsi="Times New Roman"/>
          <w:sz w:val="18"/>
          <w:szCs w:val="18"/>
          <w:color w:val="auto"/>
        </w:rPr>
      </w:pPr>
    </w:p>
    <w:p>
      <w:pPr>
        <w:ind w:left="1160" w:hanging="976"/>
        <w:spacing w:after="0"/>
        <w:tabs>
          <w:tab w:leader="none" w:pos="11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Holder</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840" w:firstLine="640"/>
        <w:spacing w:after="0" w:line="261" w:lineRule="auto"/>
        <w:tabs>
          <w:tab w:leader="none" w:pos="2352"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 to Exercise Price</w:t>
      </w:r>
      <w:r>
        <w:rPr>
          <w:rFonts w:ascii="Times New Roman" w:cs="Times New Roman" w:eastAsia="Times New Roman" w:hAnsi="Times New Roman"/>
          <w:sz w:val="18"/>
          <w:szCs w:val="18"/>
          <w:color w:val="auto"/>
        </w:rPr>
        <w:t>. Whenever the Exercise Price is adjusted pursuant to any provision of this Section 3, the Company shall promptly deliver to the Holder by facsimile or email a notice setting forth the Exercise Price after such adjustment and any resulting adjustment to the number of Warrant Shares and setting forth a brief statement of the facts requiring such adjustment.</w:t>
      </w:r>
    </w:p>
    <w:p>
      <w:pPr>
        <w:spacing w:after="0" w:line="179" w:lineRule="exact"/>
        <w:rPr>
          <w:rFonts w:ascii="Times New Roman" w:cs="Times New Roman" w:eastAsia="Times New Roman" w:hAnsi="Times New Roman"/>
          <w:sz w:val="18"/>
          <w:szCs w:val="18"/>
          <w:color w:val="auto"/>
        </w:rPr>
      </w:pPr>
    </w:p>
    <w:p>
      <w:pPr>
        <w:jc w:val="both"/>
        <w:ind w:left="840" w:firstLine="640"/>
        <w:spacing w:after="0" w:line="251" w:lineRule="auto"/>
        <w:tabs>
          <w:tab w:leader="none" w:pos="2186"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Allow Exercise by Holder</w:t>
      </w:r>
      <w:r>
        <w:rPr>
          <w:rFonts w:ascii="Times New Roman" w:cs="Times New Roman" w:eastAsia="Times New Roman" w:hAnsi="Times New Roman"/>
          <w:sz w:val="18"/>
          <w:szCs w:val="18"/>
          <w:color w:val="auto"/>
        </w:rPr>
        <w:t>. If (A) the Company shall declare a dividend (or any other distribution in whatever form) on the Common Stock, (B) the Company shall declare a special nonrecurring cash dividend on or a redemption of the Common Stock, (C) the Company shall authorize the granting to all holders of the Common Stock rights or warrants to subscribe for or purchase any shares of capital stock of any class or of any rights, (D) the approval of any stockholders of the Company shall be required in connection with any reclassification of the Common Stock, any consolidation or merger to which the Company is a party, any sale or transfer of all or substantially all of the assets of the Company, or any compulsory share exchange whereby the Common Stock is converted into other securities, cash or property, or (E) the Company shall authorize the voluntary or involuntary dissolution, liquidation or winding up of the affairs of the Company, then, in each case, the Company shall cause to be delivered by facsimile or email to the Holder at its last facsimile number or email address as it shall appear upon the Warrant Register of the Company, at least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To the extent that any notice provided in this Warrant constitutes, or contains, material, non-public information regarding the Company or any of the Subsidiaries, the Company shall simultaneously file such notice with the Commission pursuant to a Current Report on Form 8-K. The Holder shall remain entitled to exercise this Warrant during the period commencing on the date of such notice to the effective date of the event triggering such notice except as may otherwise be expressly set forth herein.</w:t>
      </w:r>
    </w:p>
    <w:p>
      <w:pPr>
        <w:spacing w:after="0" w:line="200" w:lineRule="exact"/>
        <w:rPr>
          <w:sz w:val="20"/>
          <w:szCs w:val="20"/>
          <w:color w:val="auto"/>
        </w:rPr>
      </w:pPr>
    </w:p>
    <w:p>
      <w:pPr>
        <w:spacing w:after="0" w:line="222"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Transfer of Warrant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4"/>
        <w:spacing w:after="0" w:line="253" w:lineRule="auto"/>
        <w:tabs>
          <w:tab w:leader="none" w:pos="1611"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w:t>
      </w:r>
      <w:r>
        <w:rPr>
          <w:rFonts w:ascii="Times New Roman" w:cs="Times New Roman" w:eastAsia="Times New Roman" w:hAnsi="Times New Roman"/>
          <w:sz w:val="18"/>
          <w:szCs w:val="18"/>
          <w:color w:val="auto"/>
        </w:rPr>
        <w:t>. This Warrant and all rights hereunder (including, without limitation, any registration rights)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of the date on which the Holder delivers an assignment form to the Company assigning this Warrant in full. The Warrant, if properly assigned in accordance herewith, may be exercised by a new holder for the purchase of Warrant Shares without having a new Warrant issued.</w:t>
      </w:r>
    </w:p>
    <w:p>
      <w:pPr>
        <w:spacing w:after="0" w:line="191" w:lineRule="exact"/>
        <w:rPr>
          <w:rFonts w:ascii="Times New Roman" w:cs="Times New Roman" w:eastAsia="Times New Roman" w:hAnsi="Times New Roman"/>
          <w:sz w:val="18"/>
          <w:szCs w:val="18"/>
          <w:color w:val="auto"/>
        </w:rPr>
      </w:pPr>
    </w:p>
    <w:p>
      <w:pPr>
        <w:jc w:val="both"/>
        <w:ind w:firstLine="644"/>
        <w:spacing w:after="0" w:line="256" w:lineRule="auto"/>
        <w:tabs>
          <w:tab w:leader="none" w:pos="178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New Warrants</w:t>
      </w:r>
      <w:r>
        <w:rPr>
          <w:rFonts w:ascii="Times New Roman" w:cs="Times New Roman" w:eastAsia="Times New Roman" w:hAnsi="Times New Roman"/>
          <w:sz w:val="18"/>
          <w:szCs w:val="18"/>
          <w:color w:val="auto"/>
        </w:rPr>
        <w:t>.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Issue Date and shall be identical with this Warrant except as to the number of Warrant Shares issuable pursuant thereto.</w:t>
      </w:r>
    </w:p>
    <w:p>
      <w:pPr>
        <w:spacing w:after="0" w:line="187" w:lineRule="exact"/>
        <w:rPr>
          <w:rFonts w:ascii="Times New Roman" w:cs="Times New Roman" w:eastAsia="Times New Roman" w:hAnsi="Times New Roman"/>
          <w:sz w:val="18"/>
          <w:szCs w:val="18"/>
          <w:color w:val="auto"/>
        </w:rPr>
      </w:pPr>
    </w:p>
    <w:p>
      <w:pPr>
        <w:jc w:val="both"/>
        <w:ind w:firstLine="644"/>
        <w:spacing w:after="0" w:line="261" w:lineRule="auto"/>
        <w:tabs>
          <w:tab w:leader="none" w:pos="16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Warrant Register</w:t>
      </w:r>
      <w:r>
        <w:rPr>
          <w:rFonts w:ascii="Times New Roman" w:cs="Times New Roman" w:eastAsia="Times New Roman" w:hAnsi="Times New Roman"/>
          <w:sz w:val="18"/>
          <w:szCs w:val="18"/>
          <w:color w:val="auto"/>
        </w:rPr>
        <w:t>. The Company shall register this Warrant, upon records to be maintained by the Company for that purpose (the “</w:t>
      </w:r>
      <w:r>
        <w:rPr>
          <w:rFonts w:ascii="Times New Roman" w:cs="Times New Roman" w:eastAsia="Times New Roman" w:hAnsi="Times New Roman"/>
          <w:sz w:val="18"/>
          <w:szCs w:val="18"/>
          <w:u w:val="single" w:color="auto"/>
          <w:color w:val="auto"/>
        </w:rPr>
        <w:t>Warrant Register</w:t>
      </w:r>
      <w:r>
        <w:rPr>
          <w:rFonts w:ascii="Times New Roman" w:cs="Times New Roman" w:eastAsia="Times New Roman" w:hAnsi="Times New Roman"/>
          <w:sz w:val="18"/>
          <w:szCs w:val="18"/>
          <w:color w:val="auto"/>
        </w:rPr>
        <w:t>”),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4"/>
        <w:spacing w:after="0" w:line="258" w:lineRule="auto"/>
        <w:tabs>
          <w:tab w:leader="none" w:pos="177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Rights as Stockholder Until Exercise; No Settlement in Cash</w:t>
      </w:r>
      <w:r>
        <w:rPr>
          <w:rFonts w:ascii="Times New Roman" w:cs="Times New Roman" w:eastAsia="Times New Roman" w:hAnsi="Times New Roman"/>
          <w:sz w:val="18"/>
          <w:szCs w:val="18"/>
          <w:color w:val="auto"/>
        </w:rPr>
        <w:t>. This Warrant does not entitle the Holder to any voting rights, dividends or other rights as a stockholder of the Company prior to the exercise hereof as set forth in Section 2(d)(i), except as expressly set forth in Section 3. Without limiting any rights of a Holder to receive Warrant Shares on a “cashless exercise” pursuant to Section 2(c) or to receive cash payments pursuant to Section 2(d)(i) and Section 2(d)(iv) herein, in no event shall the Company be required to net cash settle an exercise of this Warrant.</w:t>
      </w:r>
    </w:p>
    <w:p>
      <w:pPr>
        <w:spacing w:after="0" w:line="399"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3" w:name="page14"/>
    <w:bookmarkEnd w:id="13"/>
    <w:p>
      <w:pPr>
        <w:jc w:val="both"/>
        <w:ind w:left="-460" w:firstLine="644"/>
        <w:spacing w:after="0" w:line="258" w:lineRule="auto"/>
        <w:tabs>
          <w:tab w:leader="none" w:pos="122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Loss, Theft, Destruction or Mutilation of Warrant</w:t>
      </w:r>
      <w:r>
        <w:rPr>
          <w:rFonts w:ascii="Times New Roman" w:cs="Times New Roman" w:eastAsia="Times New Roman" w:hAnsi="Times New Roman"/>
          <w:sz w:val="18"/>
          <w:szCs w:val="18"/>
          <w:color w:val="auto"/>
        </w:rPr>
        <w:t>. The Company covenants that upon receipt by the Company of evidence reasonably satisfactory to it of the loss, theft, destruction or mutilation of this Warrant or any stock certificate relating to the Warrant Shares, and in case of loss, theft or destruction, of indemnity or security reasonably satisfactory to it (which, in the case of the Warrant, shall not include the posting of any bond), and upon surrender and cancellation of such Warrant or stock certificate, if mutilated, the Company will make and deliver a new Warrant or stock certificate of like tenor and dated as of such cancellation, in lieu of such Warrant or stock certificate.</w:t>
      </w:r>
    </w:p>
    <w:p>
      <w:pPr>
        <w:spacing w:after="0" w:line="183" w:lineRule="exact"/>
        <w:rPr>
          <w:rFonts w:ascii="Times New Roman" w:cs="Times New Roman" w:eastAsia="Times New Roman" w:hAnsi="Times New Roman"/>
          <w:sz w:val="18"/>
          <w:szCs w:val="18"/>
          <w:color w:val="auto"/>
        </w:rPr>
      </w:pPr>
    </w:p>
    <w:p>
      <w:pPr>
        <w:jc w:val="both"/>
        <w:ind w:left="-460" w:firstLine="644"/>
        <w:spacing w:after="0" w:line="266" w:lineRule="auto"/>
        <w:tabs>
          <w:tab w:leader="none" w:pos="131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Saturdays, Sundays, Holidays, etc</w:t>
      </w:r>
      <w:r>
        <w:rPr>
          <w:rFonts w:ascii="Times New Roman" w:cs="Times New Roman" w:eastAsia="Times New Roman" w:hAnsi="Times New Roman"/>
          <w:sz w:val="18"/>
          <w:szCs w:val="18"/>
          <w:color w:val="auto"/>
        </w:rPr>
        <w:t>.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175" w:lineRule="exact"/>
        <w:rPr>
          <w:rFonts w:ascii="Times New Roman" w:cs="Times New Roman" w:eastAsia="Times New Roman" w:hAnsi="Times New Roman"/>
          <w:sz w:val="18"/>
          <w:szCs w:val="18"/>
          <w:color w:val="auto"/>
        </w:rPr>
      </w:pPr>
    </w:p>
    <w:p>
      <w:pPr>
        <w:ind w:left="1140" w:hanging="956"/>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Authorized Shares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80" w:firstLine="1296"/>
        <w:spacing w:after="0" w:line="253" w:lineRule="auto"/>
        <w:rPr>
          <w:sz w:val="20"/>
          <w:szCs w:val="20"/>
          <w:color w:val="auto"/>
        </w:rPr>
      </w:pPr>
      <w:r>
        <w:rPr>
          <w:rFonts w:ascii="Times New Roman" w:cs="Times New Roman" w:eastAsia="Times New Roman" w:hAnsi="Times New Roman"/>
          <w:sz w:val="18"/>
          <w:szCs w:val="18"/>
          <w:color w:val="auto"/>
        </w:rPr>
        <w:t>The Company covenants that, during the period the Warrant is outstanding, it will reserve from its authorized and unissued Common Stock a sufficient number of shares to provide for the issuance of the Warrant Shares upon the exercise of any purchase rights under this Warrant. The Company further covenants that its issuance of this Warrant shall constitute full authority to its officers who are charged with the duty of issuing the necessary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upon which the Common Stock may be listed.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spacing w:after="0" w:line="192" w:lineRule="exact"/>
        <w:rPr>
          <w:sz w:val="20"/>
          <w:szCs w:val="20"/>
          <w:color w:val="auto"/>
        </w:rPr>
      </w:pPr>
    </w:p>
    <w:p>
      <w:pPr>
        <w:jc w:val="both"/>
        <w:ind w:left="180" w:firstLine="648"/>
        <w:spacing w:after="0" w:line="253" w:lineRule="auto"/>
        <w:rPr>
          <w:sz w:val="20"/>
          <w:szCs w:val="20"/>
          <w:color w:val="auto"/>
        </w:rPr>
      </w:pPr>
      <w:r>
        <w:rPr>
          <w:rFonts w:ascii="Times New Roman" w:cs="Times New Roman" w:eastAsia="Times New Roman" w:hAnsi="Times New Roman"/>
          <w:sz w:val="18"/>
          <w:szCs w:val="18"/>
          <w:color w:val="auto"/>
        </w:rPr>
        <w:t>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spacing w:after="0" w:line="194" w:lineRule="exact"/>
        <w:rPr>
          <w:sz w:val="20"/>
          <w:szCs w:val="20"/>
          <w:color w:val="auto"/>
        </w:rPr>
      </w:pPr>
    </w:p>
    <w:p>
      <w:pPr>
        <w:jc w:val="both"/>
        <w:ind w:left="180" w:firstLine="648"/>
        <w:spacing w:after="0" w:line="266" w:lineRule="auto"/>
        <w:rPr>
          <w:sz w:val="20"/>
          <w:szCs w:val="20"/>
          <w:color w:val="auto"/>
        </w:rPr>
      </w:pPr>
      <w:r>
        <w:rPr>
          <w:rFonts w:ascii="Times New Roman" w:cs="Times New Roman" w:eastAsia="Times New Roman" w:hAnsi="Times New Roman"/>
          <w:sz w:val="18"/>
          <w:szCs w:val="18"/>
          <w:color w:val="auto"/>
        </w:rPr>
        <w:t>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spacing w:after="0" w:line="39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4" w:name="page15"/>
    <w:bookmarkEnd w:id="14"/>
    <w:p>
      <w:pPr>
        <w:ind w:left="-460" w:right="20" w:firstLine="644"/>
        <w:spacing w:after="0" w:line="282" w:lineRule="auto"/>
        <w:tabs>
          <w:tab w:leader="none" w:pos="135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Jurisdiction</w:t>
      </w:r>
      <w:r>
        <w:rPr>
          <w:rFonts w:ascii="Times New Roman" w:cs="Times New Roman" w:eastAsia="Times New Roman" w:hAnsi="Times New Roman"/>
          <w:sz w:val="18"/>
          <w:szCs w:val="18"/>
          <w:color w:val="auto"/>
        </w:rPr>
        <w:t>. All questions concerning the construction, validity, enforcement and interpretation of this Warrant shall be determined in accordance with the provisions of the Purchase Agreement.</w:t>
      </w:r>
    </w:p>
    <w:p>
      <w:pPr>
        <w:spacing w:after="0" w:line="161" w:lineRule="exact"/>
        <w:rPr>
          <w:rFonts w:ascii="Times New Roman" w:cs="Times New Roman" w:eastAsia="Times New Roman" w:hAnsi="Times New Roman"/>
          <w:sz w:val="18"/>
          <w:szCs w:val="18"/>
          <w:color w:val="auto"/>
        </w:rPr>
      </w:pPr>
    </w:p>
    <w:p>
      <w:pPr>
        <w:ind w:left="-460" w:firstLine="644"/>
        <w:spacing w:after="0" w:line="282" w:lineRule="auto"/>
        <w:tabs>
          <w:tab w:leader="none" w:pos="120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w:t>
      </w:r>
      <w:r>
        <w:rPr>
          <w:rFonts w:ascii="Times New Roman" w:cs="Times New Roman" w:eastAsia="Times New Roman" w:hAnsi="Times New Roman"/>
          <w:sz w:val="18"/>
          <w:szCs w:val="18"/>
          <w:color w:val="auto"/>
        </w:rPr>
        <w:t>. The Holder acknowledges that the Warrant Shares acquired upon the exercise of this Warrant, if not registered and the Holder does not utilize cashless exercise, will have restrictions upon resale imposed by state and federal securities laws.</w:t>
      </w:r>
    </w:p>
    <w:p>
      <w:pPr>
        <w:spacing w:after="0" w:line="161" w:lineRule="exact"/>
        <w:rPr>
          <w:rFonts w:ascii="Times New Roman" w:cs="Times New Roman" w:eastAsia="Times New Roman" w:hAnsi="Times New Roman"/>
          <w:sz w:val="18"/>
          <w:szCs w:val="18"/>
          <w:color w:val="auto"/>
        </w:rPr>
      </w:pPr>
    </w:p>
    <w:p>
      <w:pPr>
        <w:jc w:val="both"/>
        <w:ind w:left="-460" w:firstLine="644"/>
        <w:spacing w:after="0" w:line="256" w:lineRule="auto"/>
        <w:tabs>
          <w:tab w:leader="none" w:pos="117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Nonwaiver and Expenses</w:t>
      </w:r>
      <w:r>
        <w:rPr>
          <w:rFonts w:ascii="Times New Roman" w:cs="Times New Roman" w:eastAsia="Times New Roman" w:hAnsi="Times New Roman"/>
          <w:sz w:val="18"/>
          <w:szCs w:val="18"/>
          <w:color w:val="auto"/>
        </w:rPr>
        <w:t>. No course of dealing or any delay or failure to exercise any right hereunder on the part of Holder shall operate as a waiver of such right or otherwise prejudice the Holder’s rights, powers or remedies. Without limiting any other provision of this Warrant or the Purchase Agreement,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spacing w:after="0" w:line="187" w:lineRule="exact"/>
        <w:rPr>
          <w:rFonts w:ascii="Times New Roman" w:cs="Times New Roman" w:eastAsia="Times New Roman" w:hAnsi="Times New Roman"/>
          <w:sz w:val="18"/>
          <w:szCs w:val="18"/>
          <w:color w:val="auto"/>
        </w:rPr>
      </w:pPr>
    </w:p>
    <w:p>
      <w:pPr>
        <w:ind w:left="-460" w:right="20" w:firstLine="644"/>
        <w:spacing w:after="0" w:line="282" w:lineRule="auto"/>
        <w:tabs>
          <w:tab w:leader="none" w:pos="1147"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request or other document required or permitted to be given or delivered to the Holder by the Company shall be delivered in accordance with the notice provisions of the Purchase Agreement.</w:t>
      </w:r>
    </w:p>
    <w:p>
      <w:pPr>
        <w:spacing w:after="0" w:line="161"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119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of Liability</w:t>
      </w:r>
      <w:r>
        <w:rPr>
          <w:rFonts w:ascii="Times New Roman" w:cs="Times New Roman" w:eastAsia="Times New Roman" w:hAnsi="Times New Roman"/>
          <w:sz w:val="18"/>
          <w:szCs w:val="18"/>
          <w:color w:val="auto"/>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Common Stock or as a stockholder of the Company, whether such liability is asserted by the Company or by creditors of the Company.</w:t>
      </w:r>
    </w:p>
    <w:p>
      <w:pPr>
        <w:spacing w:after="0" w:line="179"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131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spacing w:after="0" w:line="179"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1201"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w:t>
      </w:r>
    </w:p>
    <w:p>
      <w:pPr>
        <w:spacing w:after="0" w:line="179" w:lineRule="exact"/>
        <w:rPr>
          <w:rFonts w:ascii="Times New Roman" w:cs="Times New Roman" w:eastAsia="Times New Roman" w:hAnsi="Times New Roman"/>
          <w:sz w:val="18"/>
          <w:szCs w:val="18"/>
          <w:color w:val="auto"/>
        </w:rPr>
      </w:pPr>
    </w:p>
    <w:p>
      <w:pPr>
        <w:ind w:left="-460" w:right="20" w:firstLine="644"/>
        <w:spacing w:after="0" w:line="282" w:lineRule="auto"/>
        <w:tabs>
          <w:tab w:leader="none" w:pos="131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This Warrant may be modified or amended or the provisions hereof waived with the written consent of the Company and the Holder.</w:t>
      </w:r>
    </w:p>
    <w:p>
      <w:pPr>
        <w:spacing w:after="0" w:line="378"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5" w:name="page16"/>
    <w:bookmarkEnd w:id="15"/>
    <w:p>
      <w:pPr>
        <w:jc w:val="both"/>
        <w:ind w:left="-460" w:firstLine="644"/>
        <w:spacing w:after="0" w:line="261" w:lineRule="auto"/>
        <w:tabs>
          <w:tab w:leader="none" w:pos="1211"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spacing w:after="0" w:line="179" w:lineRule="exact"/>
        <w:rPr>
          <w:rFonts w:ascii="Times New Roman" w:cs="Times New Roman" w:eastAsia="Times New Roman" w:hAnsi="Times New Roman"/>
          <w:sz w:val="18"/>
          <w:szCs w:val="18"/>
          <w:color w:val="auto"/>
        </w:rPr>
      </w:pPr>
    </w:p>
    <w:p>
      <w:pPr>
        <w:ind w:left="-460" w:firstLine="644"/>
        <w:spacing w:after="0" w:line="282" w:lineRule="auto"/>
        <w:tabs>
          <w:tab w:leader="none" w:pos="1282"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used in this Warrant are for the convenience of reference only and shall not, for any purpose, be deemed a part of this Warrant.</w:t>
      </w:r>
    </w:p>
    <w:p>
      <w:pPr>
        <w:spacing w:after="0" w:line="378"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00" w:lineRule="exact"/>
        <w:rPr>
          <w:sz w:val="20"/>
          <w:szCs w:val="20"/>
          <w:color w:val="auto"/>
        </w:rPr>
      </w:pPr>
    </w:p>
    <w:p>
      <w:pPr>
        <w:spacing w:after="0" w:line="24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6" w:name="page17"/>
    <w:bookmarkEnd w:id="16"/>
    <w:p>
      <w:pPr>
        <w:ind w:firstLine="1296"/>
        <w:spacing w:after="0" w:line="282" w:lineRule="auto"/>
        <w:rPr>
          <w:sz w:val="20"/>
          <w:szCs w:val="20"/>
          <w:color w:val="auto"/>
        </w:rPr>
      </w:pPr>
      <w:r>
        <w:rPr>
          <w:rFonts w:ascii="Times New Roman" w:cs="Times New Roman" w:eastAsia="Times New Roman" w:hAnsi="Times New Roman"/>
          <w:sz w:val="18"/>
          <w:szCs w:val="18"/>
          <w:color w:val="auto"/>
        </w:rPr>
        <w:t>IN WITNESS WHEREOF, the Company has caused this Warrant to be executed by its officer thereunto duly authorized as of the date first above indicated.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XPRESSPA GROUP, INC.</w:t>
      </w:r>
    </w:p>
    <w:p>
      <w:pPr>
        <w:spacing w:after="0" w:line="22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7" w:name="page18"/>
    <w:bookmarkEnd w:id="17"/>
    <w:p>
      <w:pPr>
        <w:jc w:val="right"/>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NOTICE OF EXERCISE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XPRESSPA GROUP, INC.</w:t>
      </w:r>
    </w:p>
    <w:p>
      <w:pPr>
        <w:spacing w:after="0" w:line="225" w:lineRule="exact"/>
        <w:rPr>
          <w:sz w:val="20"/>
          <w:szCs w:val="20"/>
          <w:color w:val="auto"/>
        </w:rPr>
      </w:pPr>
    </w:p>
    <w:p>
      <w:pPr>
        <w:ind w:right="20" w:firstLine="1304"/>
        <w:spacing w:after="0" w:line="282" w:lineRule="auto"/>
        <w:tabs>
          <w:tab w:leader="none" w:pos="165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hereby elects to purchase ________ Warrant Shares of the Company pursuant to the terms of the attached Warrant (only if exercised in full), and tenders herewith payment of the exercise price in full, together with all applicable transfer taxes, if any.</w:t>
      </w:r>
    </w:p>
    <w:p>
      <w:pPr>
        <w:spacing w:after="0" w:line="161" w:lineRule="exact"/>
        <w:rPr>
          <w:rFonts w:ascii="Times New Roman" w:cs="Times New Roman" w:eastAsia="Times New Roman" w:hAnsi="Times New Roman"/>
          <w:sz w:val="18"/>
          <w:szCs w:val="18"/>
          <w:color w:val="auto"/>
        </w:rPr>
      </w:pPr>
    </w:p>
    <w:p>
      <w:pPr>
        <w:ind w:left="1640" w:hanging="336"/>
        <w:spacing w:after="0"/>
        <w:tabs>
          <w:tab w:leader="none" w:pos="1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shall take the form of (check applicable box):</w:t>
      </w:r>
    </w:p>
    <w:p>
      <w:pPr>
        <w:spacing w:after="0" w:line="225" w:lineRule="exact"/>
        <w:rPr>
          <w:rFonts w:ascii="Times New Roman" w:cs="Times New Roman" w:eastAsia="Times New Roman" w:hAnsi="Times New Roman"/>
          <w:sz w:val="18"/>
          <w:szCs w:val="18"/>
          <w:color w:val="auto"/>
        </w:rPr>
      </w:pPr>
    </w:p>
    <w:p>
      <w:pPr>
        <w:ind w:left="2160" w:hanging="208"/>
        <w:spacing w:after="0"/>
        <w:tabs>
          <w:tab w:leader="none" w:pos="2160" w:val="left"/>
        </w:tabs>
        <w:numPr>
          <w:ilvl w:val="1"/>
          <w:numId w:val="2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in lawful money of the United States; or</w:t>
      </w:r>
    </w:p>
    <w:p>
      <w:pPr>
        <w:spacing w:after="0" w:line="225" w:lineRule="exact"/>
        <w:rPr>
          <w:rFonts w:ascii="MS PGothic" w:cs="MS PGothic" w:eastAsia="MS PGothic" w:hAnsi="MS PGothic"/>
          <w:sz w:val="18"/>
          <w:szCs w:val="18"/>
          <w:color w:val="auto"/>
        </w:rPr>
      </w:pPr>
    </w:p>
    <w:p>
      <w:pPr>
        <w:jc w:val="both"/>
        <w:ind w:left="1960" w:right="20" w:hanging="8"/>
        <w:spacing w:after="0" w:line="266" w:lineRule="auto"/>
        <w:tabs>
          <w:tab w:leader="none" w:pos="2181" w:val="left"/>
        </w:tabs>
        <w:numPr>
          <w:ilvl w:val="1"/>
          <w:numId w:val="2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if permitted the cancellation of such number of Warrant Shares as is necessary, in accordance with the formula set forth in subsection 2(c), to exercise this Warrant with respect to the maximum number of Warrant Shares purchasable pursuant to the cashless exercise procedure set forth in subsection 2(c).</w:t>
      </w:r>
    </w:p>
    <w:p>
      <w:pPr>
        <w:spacing w:after="0" w:line="175" w:lineRule="exact"/>
        <w:rPr>
          <w:rFonts w:ascii="MS PGothic" w:cs="MS PGothic" w:eastAsia="MS PGothic" w:hAnsi="MS PGothic"/>
          <w:sz w:val="18"/>
          <w:szCs w:val="18"/>
          <w:color w:val="auto"/>
        </w:rPr>
      </w:pPr>
    </w:p>
    <w:p>
      <w:pPr>
        <w:ind w:left="1640" w:hanging="336"/>
        <w:spacing w:after="0"/>
        <w:tabs>
          <w:tab w:leader="none" w:pos="1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issue said Warrant Shares in the name of the undersigned or in such other name as is specified below:</w:t>
      </w:r>
    </w:p>
    <w:p>
      <w:pPr>
        <w:spacing w:after="0" w:line="225" w:lineRule="exact"/>
        <w:rPr>
          <w:rFonts w:ascii="Times New Roman" w:cs="Times New Roman" w:eastAsia="Times New Roman" w:hAnsi="Times New Roman"/>
          <w:sz w:val="18"/>
          <w:szCs w:val="18"/>
          <w:color w:val="auto"/>
        </w:rPr>
      </w:pP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_______________________________</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Warrant Shares shall be delivered to the following DWAC Account Number:</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OF HOLDER]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Investing Entity: ________________________________________________________________________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Signature of Authorized Signatory of Investing Entity</w:t>
      </w:r>
      <w:r>
        <w:rPr>
          <w:rFonts w:ascii="Times New Roman" w:cs="Times New Roman" w:eastAsia="Times New Roman" w:hAnsi="Times New Roman"/>
          <w:sz w:val="18"/>
          <w:szCs w:val="18"/>
          <w:color w:val="auto"/>
        </w:rPr>
        <w:t>: _________________________________________________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Authorized Signatory: ___________________________________________________________________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Authorized Signatory: ____________________________________________________________________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________________________________________________________________________________________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8" w:name="page19"/>
    <w:bookmarkEnd w:id="18"/>
    <w:p>
      <w:pPr>
        <w:jc w:val="right"/>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9"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color w:val="auto"/>
        </w:rPr>
        <w:t>ASSIGNMENT FORM</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(To assign the foregoing Warrant, execute this form and supply required information. Do not use this form to purchase shares.)</w:t>
      </w:r>
    </w:p>
    <w:p>
      <w:pPr>
        <w:spacing w:after="0" w:line="20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FOR VALUE RECEIVED, the foregoing Warrant and all rights evidenced thereby are hereby assigned to</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636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______________________________________</w:t>
            </w:r>
          </w:p>
        </w:tc>
      </w:tr>
      <w:tr>
        <w:trPr>
          <w:trHeight w:val="216"/>
        </w:trPr>
        <w:tc>
          <w:tcPr>
            <w:tcW w:w="4880" w:type="dxa"/>
            <w:vAlign w:val="bottom"/>
          </w:tcPr>
          <w:p>
            <w:pPr>
              <w:spacing w:after="0"/>
              <w:rPr>
                <w:sz w:val="18"/>
                <w:szCs w:val="18"/>
                <w:color w:val="auto"/>
              </w:rPr>
            </w:pPr>
          </w:p>
        </w:tc>
        <w:tc>
          <w:tcPr>
            <w:tcW w:w="636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(Please Print)</w:t>
            </w: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Address:</w:t>
            </w:r>
          </w:p>
        </w:tc>
        <w:tc>
          <w:tcPr>
            <w:tcW w:w="636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______________________________________</w:t>
            </w:r>
          </w:p>
        </w:tc>
      </w:tr>
      <w:tr>
        <w:trPr>
          <w:trHeight w:val="216"/>
        </w:trPr>
        <w:tc>
          <w:tcPr>
            <w:tcW w:w="4880" w:type="dxa"/>
            <w:vAlign w:val="bottom"/>
          </w:tcPr>
          <w:p>
            <w:pPr>
              <w:spacing w:after="0"/>
              <w:rPr>
                <w:sz w:val="18"/>
                <w:szCs w:val="18"/>
                <w:color w:val="auto"/>
              </w:rPr>
            </w:pPr>
          </w:p>
        </w:tc>
        <w:tc>
          <w:tcPr>
            <w:tcW w:w="636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(Please Print)</w:t>
            </w: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Phone Number:</w:t>
            </w:r>
          </w:p>
        </w:tc>
        <w:tc>
          <w:tcPr>
            <w:tcW w:w="636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______________________________________</w:t>
            </w: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Email Address:</w:t>
            </w:r>
          </w:p>
        </w:tc>
        <w:tc>
          <w:tcPr>
            <w:tcW w:w="636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______________________________________</w:t>
            </w: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Dated: _______________ __, ______</w:t>
            </w:r>
          </w:p>
        </w:tc>
        <w:tc>
          <w:tcPr>
            <w:tcW w:w="6360" w:type="dxa"/>
            <w:vAlign w:val="bottom"/>
          </w:tcPr>
          <w:p>
            <w:pPr>
              <w:spacing w:after="0"/>
              <w:rPr>
                <w:sz w:val="18"/>
                <w:szCs w:val="18"/>
                <w:color w:val="auto"/>
              </w:rPr>
            </w:pP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Holder’s Signature:______________________________</w:t>
            </w:r>
          </w:p>
        </w:tc>
        <w:tc>
          <w:tcPr>
            <w:tcW w:w="6360" w:type="dxa"/>
            <w:vAlign w:val="bottom"/>
          </w:tcPr>
          <w:p>
            <w:pPr>
              <w:spacing w:after="0"/>
              <w:rPr>
                <w:sz w:val="18"/>
                <w:szCs w:val="18"/>
                <w:color w:val="auto"/>
              </w:rPr>
            </w:pPr>
          </w:p>
        </w:tc>
      </w:tr>
      <w:tr>
        <w:trPr>
          <w:trHeight w:val="234"/>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Holder’s Address:_______________________________</w:t>
            </w:r>
          </w:p>
        </w:tc>
        <w:tc>
          <w:tcPr>
            <w:tcW w:w="6360" w:type="dxa"/>
            <w:vAlign w:val="bottom"/>
          </w:tcPr>
          <w:p>
            <w:pPr>
              <w:spacing w:after="0"/>
              <w:rPr>
                <w:sz w:val="20"/>
                <w:szCs w:val="20"/>
                <w:color w:val="auto"/>
              </w:rPr>
            </w:pPr>
          </w:p>
        </w:tc>
      </w:tr>
      <w:tr>
        <w:trPr>
          <w:trHeight w:val="675"/>
        </w:trPr>
        <w:tc>
          <w:tcPr>
            <w:tcW w:w="4880" w:type="dxa"/>
            <w:vAlign w:val="bottom"/>
            <w:tcBorders>
              <w:bottom w:val="single" w:sz="8" w:color="auto"/>
            </w:tcBorders>
          </w:tcPr>
          <w:p>
            <w:pPr>
              <w:spacing w:after="0"/>
              <w:rPr>
                <w:sz w:val="24"/>
                <w:szCs w:val="24"/>
                <w:color w:val="auto"/>
              </w:rPr>
            </w:pPr>
          </w:p>
        </w:tc>
        <w:tc>
          <w:tcPr>
            <w:tcW w:w="63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19" w:name="page20"/>
    <w:bookmarkEnd w:id="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20" w:type="dxa"/>
            <w:vAlign w:val="bottom"/>
          </w:tcPr>
          <w:p>
            <w:pPr>
              <w:ind w:left="1980"/>
              <w:spacing w:after="0"/>
              <w:rPr>
                <w:sz w:val="20"/>
                <w:szCs w:val="20"/>
                <w:color w:val="auto"/>
              </w:rPr>
            </w:pPr>
            <w:r>
              <w:rPr>
                <w:rFonts w:ascii="Times New Roman" w:cs="Times New Roman" w:eastAsia="Times New Roman" w:hAnsi="Times New Roman"/>
                <w:sz w:val="18"/>
                <w:szCs w:val="18"/>
                <w:b w:val="1"/>
                <w:bCs w:val="1"/>
                <w:color w:val="auto"/>
                <w:w w:val="97"/>
              </w:rPr>
              <w:t>Exhibit 4.2</w:t>
            </w:r>
          </w:p>
        </w:tc>
      </w:tr>
      <w:tr>
        <w:trPr>
          <w:trHeight w:val="648"/>
        </w:trPr>
        <w:tc>
          <w:tcPr>
            <w:tcW w:w="1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420" w:type="dxa"/>
            <w:vAlign w:val="bottom"/>
            <w:gridSpan w:val="3"/>
          </w:tcPr>
          <w:p>
            <w:pPr>
              <w:jc w:val="center"/>
              <w:ind w:right="2730"/>
              <w:spacing w:after="0"/>
              <w:rPr>
                <w:sz w:val="20"/>
                <w:szCs w:val="20"/>
                <w:color w:val="auto"/>
              </w:rPr>
            </w:pPr>
            <w:r>
              <w:rPr>
                <w:rFonts w:ascii="Times New Roman" w:cs="Times New Roman" w:eastAsia="Times New Roman" w:hAnsi="Times New Roman"/>
                <w:sz w:val="18"/>
                <w:szCs w:val="18"/>
                <w:b w:val="1"/>
                <w:bCs w:val="1"/>
                <w:color w:val="auto"/>
                <w:w w:val="99"/>
              </w:rPr>
              <w:t>PLACEMENT AGENT COMMON STOCK PURCHASE WARRANT</w:t>
            </w:r>
          </w:p>
        </w:tc>
      </w:tr>
      <w:tr>
        <w:trPr>
          <w:trHeight w:val="432"/>
        </w:trPr>
        <w:tc>
          <w:tcPr>
            <w:tcW w:w="1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420" w:type="dxa"/>
            <w:vAlign w:val="bottom"/>
            <w:gridSpan w:val="3"/>
          </w:tcPr>
          <w:p>
            <w:pPr>
              <w:jc w:val="center"/>
              <w:ind w:right="2730"/>
              <w:spacing w:after="0"/>
              <w:rPr>
                <w:sz w:val="20"/>
                <w:szCs w:val="20"/>
                <w:color w:val="auto"/>
              </w:rPr>
            </w:pPr>
            <w:r>
              <w:rPr>
                <w:rFonts w:ascii="Times New Roman" w:cs="Times New Roman" w:eastAsia="Times New Roman" w:hAnsi="Times New Roman"/>
                <w:sz w:val="18"/>
                <w:szCs w:val="18"/>
                <w:b w:val="1"/>
                <w:bCs w:val="1"/>
                <w:color w:val="auto"/>
                <w:w w:val="97"/>
              </w:rPr>
              <w:t>XPRESSPA GROUP, INC.</w:t>
            </w:r>
          </w:p>
        </w:tc>
      </w:tr>
      <w:tr>
        <w:trPr>
          <w:trHeight w:val="392"/>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Warrant Shares:</w:t>
            </w:r>
          </w:p>
        </w:tc>
        <w:tc>
          <w:tcPr>
            <w:tcW w:w="1620" w:type="dxa"/>
            <w:vAlign w:val="bottom"/>
            <w:tcBorders>
              <w:bottom w:val="single" w:sz="8" w:color="auto"/>
            </w:tcBorders>
          </w:tcPr>
          <w:p>
            <w:pPr>
              <w:spacing w:after="0"/>
              <w:rPr>
                <w:sz w:val="24"/>
                <w:szCs w:val="24"/>
                <w:color w:val="auto"/>
              </w:rPr>
            </w:pPr>
          </w:p>
        </w:tc>
        <w:tc>
          <w:tcPr>
            <w:tcW w:w="8420" w:type="dxa"/>
            <w:vAlign w:val="bottom"/>
            <w:gridSpan w:val="3"/>
          </w:tcPr>
          <w:p>
            <w:pPr>
              <w:ind w:left="3920"/>
              <w:spacing w:after="0"/>
              <w:rPr>
                <w:sz w:val="20"/>
                <w:szCs w:val="20"/>
                <w:color w:val="auto"/>
              </w:rPr>
            </w:pPr>
            <w:r>
              <w:rPr>
                <w:rFonts w:ascii="Times New Roman" w:cs="Times New Roman" w:eastAsia="Times New Roman" w:hAnsi="Times New Roman"/>
                <w:sz w:val="18"/>
                <w:szCs w:val="18"/>
                <w:color w:val="auto"/>
              </w:rPr>
              <w:t>Initial Exercise Date: December 21,2020</w:t>
            </w:r>
          </w:p>
        </w:tc>
      </w:tr>
      <w:tr>
        <w:trPr>
          <w:trHeight w:val="412"/>
        </w:trPr>
        <w:tc>
          <w:tcPr>
            <w:tcW w:w="1200" w:type="dxa"/>
            <w:vAlign w:val="bottom"/>
          </w:tcPr>
          <w:p>
            <w:pPr>
              <w:spacing w:after="0"/>
              <w:rPr>
                <w:sz w:val="24"/>
                <w:szCs w:val="24"/>
                <w:color w:val="auto"/>
              </w:rPr>
            </w:pPr>
          </w:p>
        </w:tc>
        <w:tc>
          <w:tcPr>
            <w:tcW w:w="1004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THIS PLACEMENT AGENT COMMON STOCK PURCHASE WARRANT (the “Warrant”) certifies that, for value received,</w:t>
            </w:r>
          </w:p>
        </w:tc>
      </w:tr>
      <w:tr>
        <w:trPr>
          <w:trHeight w:val="20"/>
        </w:trPr>
        <w:tc>
          <w:tcPr>
            <w:tcW w:w="12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r>
    </w:tbl>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 or its assigns (the “</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is entitled, upon the terms and subject to the limitations on exercise and the conditions hereinafter set forth, at</w:t>
      </w:r>
    </w:p>
    <w:p>
      <w:pPr>
        <w:spacing w:after="0" w:line="2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any time on or after December 21, 2020 (the “</w:t>
      </w:r>
      <w:r>
        <w:rPr>
          <w:rFonts w:ascii="Times New Roman" w:cs="Times New Roman" w:eastAsia="Times New Roman" w:hAnsi="Times New Roman"/>
          <w:sz w:val="18"/>
          <w:szCs w:val="18"/>
          <w:u w:val="single" w:color="auto"/>
          <w:color w:val="auto"/>
        </w:rPr>
        <w:t>Initial Exercise Date</w:t>
      </w:r>
      <w:r>
        <w:rPr>
          <w:rFonts w:ascii="Times New Roman" w:cs="Times New Roman" w:eastAsia="Times New Roman" w:hAnsi="Times New Roman"/>
          <w:sz w:val="18"/>
          <w:szCs w:val="18"/>
          <w:color w:val="auto"/>
        </w:rPr>
        <w:t>”) and on or prior to 5:00 p.m. (New York City time) on December 21, 2022 (the “</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but not thereafter, to subscribe for and purchase from XpresSpa Group,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up to ______</w:t>
      </w:r>
    </w:p>
    <w:p>
      <w:pPr>
        <w:spacing w:after="0" w:line="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shares of Common Stock (the shares of Common Stock issuable upon exercise hereof being referred to as the “</w:t>
      </w:r>
      <w:r>
        <w:rPr>
          <w:rFonts w:ascii="Times New Roman" w:cs="Times New Roman" w:eastAsia="Times New Roman" w:hAnsi="Times New Roman"/>
          <w:sz w:val="18"/>
          <w:szCs w:val="18"/>
          <w:u w:val="single" w:color="auto"/>
          <w:color w:val="auto"/>
        </w:rPr>
        <w:t>Warrant Shares</w:t>
      </w:r>
      <w:r>
        <w:rPr>
          <w:rFonts w:ascii="Times New Roman" w:cs="Times New Roman" w:eastAsia="Times New Roman" w:hAnsi="Times New Roman"/>
          <w:sz w:val="18"/>
          <w:szCs w:val="18"/>
          <w:color w:val="auto"/>
        </w:rPr>
        <w:t>”) The purchase price of one share of Common Stock under this Warrant shall be equal to the Exercise Price, as defined in Section 2(b). This Warrant is issued pursuant to that certain Engagement Agreement, by and between the Company and H.C. Wainwright &amp; Co., LLC, dated as of March 25, 2020, as amended on June 16, 2020 and December 17, 2020.</w:t>
      </w:r>
    </w:p>
    <w:p>
      <w:pPr>
        <w:spacing w:after="0" w:line="18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Capitalized terms used and not otherwise defined herein shall have the meanings set forth in that certain Securities Purchase Agreement (the “</w:t>
      </w:r>
      <w:r>
        <w:rPr>
          <w:rFonts w:ascii="Times New Roman" w:cs="Times New Roman" w:eastAsia="Times New Roman" w:hAnsi="Times New Roman"/>
          <w:sz w:val="18"/>
          <w:szCs w:val="18"/>
          <w:u w:val="single" w:color="auto"/>
          <w:color w:val="auto"/>
        </w:rPr>
        <w:t>Purchase Agreement</w:t>
      </w:r>
      <w:r>
        <w:rPr>
          <w:rFonts w:ascii="Times New Roman" w:cs="Times New Roman" w:eastAsia="Times New Roman" w:hAnsi="Times New Roman"/>
          <w:sz w:val="18"/>
          <w:szCs w:val="18"/>
          <w:color w:val="auto"/>
        </w:rPr>
        <w:t>”), dated December 17, 2020, among the Company and the purchasers signatory thereto.</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Exercise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644"/>
        <w:spacing w:after="0" w:line="252" w:lineRule="auto"/>
        <w:tabs>
          <w:tab w:leader="none" w:pos="2379"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Warrant</w:t>
      </w:r>
      <w:r>
        <w:rPr>
          <w:rFonts w:ascii="Times New Roman" w:cs="Times New Roman" w:eastAsia="Times New Roman" w:hAnsi="Times New Roman"/>
          <w:sz w:val="18"/>
          <w:szCs w:val="18"/>
          <w:color w:val="auto"/>
        </w:rPr>
        <w:t xml:space="preserve">. Exercise of the purchase rights represented by this Warrant may be made, in whole or in part, at any time or times on or after the Initial Exercise Date and on or before the Termination Date by delivery to the Company of a duly executed facsimile copy or PDF copy submitted by e-mail (or e-mail attachment) of the Notice of Exercise in the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Notice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Exercise</w:t>
      </w:r>
      <w:r>
        <w:rPr>
          <w:rFonts w:ascii="Times New Roman" w:cs="Times New Roman" w:eastAsia="Times New Roman" w:hAnsi="Times New Roman"/>
          <w:sz w:val="18"/>
          <w:szCs w:val="18"/>
          <w:color w:val="auto"/>
        </w:rPr>
        <w:t xml:space="preserve">”). Within the earlier of (i) two (2) Trading Days and (ii) the number of Trading Days comprising the Standard Settlement Period (as defined in Section 2(d)(i) herein) following the date of exercise as aforesaid, the Holder shall deliver the aggregate Exercise Price for the Warrant Shares specified in the applicable Notice of Exercise by wire transfer or cashier’s check drawn on a United States bank unless the cashless exercise procedure specified in Section 2(c) below is specified in the applicable Notice of Exercise. No ink-original Notice of Exercise shall be required, nor shall any medallion guarantee (or other type of guarantee or notarization) of any Notice of Exercise be required. Notwithstanding anything herein to the contrary,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within three (3) Trading Days of the date on which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Company shall deliver any objection to any Notice of Exercise within one (1) Business Day of receipt of such notice. </w:t>
      </w:r>
      <w:r>
        <w:rPr>
          <w:rFonts w:ascii="Times New Roman" w:cs="Times New Roman" w:eastAsia="Times New Roman" w:hAnsi="Times New Roman"/>
          <w:sz w:val="18"/>
          <w:szCs w:val="18"/>
          <w:b w:val="1"/>
          <w:bCs w:val="1"/>
          <w:color w:val="auto"/>
        </w:rPr>
        <w:t>The Holder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and any assignee, by acceptance of this Warrant, acknowledge and agree that, by reason of the provisions of this paragraph, following the purchase of a portion of the Warrant Shares hereunder, the number of Warrant Shares available for purchase hereunder at any given time may be less than the amount stated on the face hereof.</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0" w:name="page21"/>
    <w:bookmarkEnd w:id="20"/>
    <w:p>
      <w:pPr>
        <w:ind w:left="-460" w:firstLine="644"/>
        <w:spacing w:after="0" w:line="286" w:lineRule="auto"/>
        <w:tabs>
          <w:tab w:leader="none" w:pos="1309"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xml:space="preserve">. The exercise price per share of Common Stock under this Warrant shall be </w:t>
      </w:r>
      <w:r>
        <w:rPr>
          <w:rFonts w:ascii="Times New Roman" w:cs="Times New Roman" w:eastAsia="Times New Roman" w:hAnsi="Times New Roman"/>
          <w:sz w:val="18"/>
          <w:szCs w:val="18"/>
          <w:b w:val="1"/>
          <w:bCs w:val="1"/>
          <w:color w:val="auto"/>
        </w:rPr>
        <w:t>$2.125</w:t>
      </w:r>
      <w:r>
        <w:rPr>
          <w:rFonts w:ascii="Times New Roman" w:cs="Times New Roman" w:eastAsia="Times New Roman" w:hAnsi="Times New Roman"/>
          <w:sz w:val="18"/>
          <w:szCs w:val="18"/>
          <w:color w:val="auto"/>
        </w:rPr>
        <w:t>, subject to adjustment hereunder (the “</w:t>
      </w: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w:t>
      </w:r>
    </w:p>
    <w:p>
      <w:pPr>
        <w:spacing w:after="0" w:line="158" w:lineRule="exact"/>
        <w:rPr>
          <w:rFonts w:ascii="Times New Roman" w:cs="Times New Roman" w:eastAsia="Times New Roman" w:hAnsi="Times New Roman"/>
          <w:sz w:val="18"/>
          <w:szCs w:val="18"/>
          <w:color w:val="auto"/>
        </w:rPr>
      </w:pPr>
    </w:p>
    <w:p>
      <w:pPr>
        <w:ind w:left="-460" w:firstLine="644"/>
        <w:spacing w:after="0" w:line="282" w:lineRule="auto"/>
        <w:tabs>
          <w:tab w:leader="none" w:pos="121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Cashless Exercise</w:t>
      </w:r>
      <w:r>
        <w:rPr>
          <w:rFonts w:ascii="Times New Roman" w:cs="Times New Roman" w:eastAsia="Times New Roman" w:hAnsi="Times New Roman"/>
          <w:sz w:val="18"/>
          <w:szCs w:val="18"/>
          <w:color w:val="auto"/>
        </w:rPr>
        <w:t>. This Warrant may also be exercised, in whole or in part, at such time by means of a “cashless exercise” in which the Holder shall be entitled to receive a number of Warrant Shares equal to the quotient obtained by dividing [(A-B) (X)] by (A), where:</w:t>
      </w:r>
    </w:p>
    <w:p>
      <w:pPr>
        <w:spacing w:after="0" w:line="162" w:lineRule="exact"/>
        <w:rPr>
          <w:sz w:val="20"/>
          <w:szCs w:val="20"/>
          <w:color w:val="auto"/>
        </w:rPr>
      </w:pPr>
    </w:p>
    <w:p>
      <w:pPr>
        <w:ind w:left="680" w:hanging="496"/>
        <w:spacing w:after="0" w:line="253" w:lineRule="auto"/>
        <w:tabs>
          <w:tab w:leader="none" w:pos="491"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as applicable: (i) the VWAP on the Trading Day immediately preceding the date of the applicable Notice of Exercise if such Notice of Exercise is (1) both executed and delivered pursuant to Section 2(a) hereof on a day that is not a Trading Day or (2) both executed and delivered pursuant to Section 2(a) hereof on a Trading Day prior to the opening of “regular trading hours” (as defined in Rule 600(b)(68) of Regulation NMS promulgated under the federal securities laws) on such Trading Day, (ii) at the option of the Holder, either (y) the VWAP on the Trading Day immediately preceding the date of the applicable Notice of Exercise or (z) the Bid Price of the Common Stock on the principal Trading Market as reported by Bloomberg L.P. as of the time of the Holder’s execution of the applicable Notice of Exercise if such Notice of Exercise is executed during “regular trading hours” on a Trading Day and is delivered within two (2) hours thereafter (including until two (2) hours after the close of “regular trading hours” on a Trading Day) pursuant to Section 2(a) hereof or (iii) the VWAP on the date of the applicable Notice of Exercise if the date of such Notice of Exercise is a Trading Day and such Notice of Exercise is both executed and delivered pursuant to Section 2(a) hereof after the close of “regular trading hours” on such Trading Day;</w:t>
      </w:r>
    </w:p>
    <w:p>
      <w:pPr>
        <w:spacing w:after="0" w:line="191" w:lineRule="exact"/>
        <w:rPr>
          <w:rFonts w:ascii="Times New Roman" w:cs="Times New Roman" w:eastAsia="Times New Roman" w:hAnsi="Times New Roman"/>
          <w:sz w:val="18"/>
          <w:szCs w:val="18"/>
          <w:color w:val="auto"/>
        </w:rPr>
      </w:pPr>
    </w:p>
    <w:p>
      <w:pPr>
        <w:ind w:left="460" w:hanging="276"/>
        <w:spacing w:after="0"/>
        <w:tabs>
          <w:tab w:leader="none" w:pos="4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Exercise Price of this Warrant, as adjusted hereunder; and</w:t>
      </w:r>
    </w:p>
    <w:p>
      <w:pPr>
        <w:spacing w:after="0" w:line="225" w:lineRule="exact"/>
        <w:rPr>
          <w:sz w:val="20"/>
          <w:szCs w:val="20"/>
          <w:color w:val="auto"/>
        </w:rPr>
      </w:pPr>
    </w:p>
    <w:p>
      <w:pPr>
        <w:ind w:left="680" w:hanging="496"/>
        <w:spacing w:after="0" w:line="282" w:lineRule="auto"/>
        <w:tabs>
          <w:tab w:leader="none" w:pos="49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number of Warrant Shares that would be issuable upon exercise of this Warrant in accordance with the terms of this Warrant if such exercise were by means of a cash exercise rather than a cashless exercise.</w:t>
      </w:r>
    </w:p>
    <w:p>
      <w:pPr>
        <w:spacing w:after="0" w:line="378"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0" w:right="339" w:bottom="1440" w:gutter="0" w:footer="0" w:header="0"/>
        </w:sectPr>
      </w:pPr>
    </w:p>
    <w:bookmarkStart w:id="21" w:name="page22"/>
    <w:bookmarkEnd w:id="21"/>
    <w:p>
      <w:pPr>
        <w:jc w:val="both"/>
        <w:ind w:left="4" w:firstLine="648"/>
        <w:spacing w:after="0" w:line="266" w:lineRule="auto"/>
        <w:rPr>
          <w:sz w:val="20"/>
          <w:szCs w:val="20"/>
          <w:color w:val="auto"/>
        </w:rPr>
      </w:pPr>
      <w:r>
        <w:rPr>
          <w:rFonts w:ascii="Times New Roman" w:cs="Times New Roman" w:eastAsia="Times New Roman" w:hAnsi="Times New Roman"/>
          <w:sz w:val="18"/>
          <w:szCs w:val="18"/>
          <w:color w:val="auto"/>
        </w:rPr>
        <w:t>If Warrant Shares are issued in such a cashless exercise, the parties acknowledge and agree that in accordance with Section 3(a)(9) of the Securities Act, the Warrant Shares shall take on the registered characteristics of the Warrants being exercised. The Company agrees not to take any position contrary to this Section 2(c).</w:t>
      </w:r>
    </w:p>
    <w:p>
      <w:pPr>
        <w:spacing w:after="0" w:line="176" w:lineRule="exact"/>
        <w:rPr>
          <w:sz w:val="20"/>
          <w:szCs w:val="20"/>
          <w:color w:val="auto"/>
        </w:rPr>
      </w:pPr>
    </w:p>
    <w:p>
      <w:pPr>
        <w:jc w:val="both"/>
        <w:ind w:left="4"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Bid Price</w:t>
      </w:r>
      <w:r>
        <w:rPr>
          <w:rFonts w:ascii="Times New Roman" w:cs="Times New Roman" w:eastAsia="Times New Roman" w:hAnsi="Times New Roman"/>
          <w:sz w:val="18"/>
          <w:szCs w:val="18"/>
          <w:color w:val="auto"/>
        </w:rPr>
        <w:t>” means, for any date, the price determined by the first of the following clauses that applies: (a) if the Common Stock is then listed or quoted on a Trading Market, the bid price of the Common Stock for the time in question (or the nearest preceding date) on the Trading Market on which the Common Stock is then listed or quoted as reported by Bloomberg L.P.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w:t>
      </w:r>
    </w:p>
    <w:p>
      <w:pPr>
        <w:spacing w:after="0" w:line="3" w:lineRule="exact"/>
        <w:rPr>
          <w:sz w:val="20"/>
          <w:szCs w:val="20"/>
          <w:color w:val="auto"/>
        </w:rPr>
      </w:pPr>
    </w:p>
    <w:p>
      <w:pPr>
        <w:jc w:val="both"/>
        <w:ind w:left="4" w:hanging="4"/>
        <w:spacing w:after="0" w:line="255" w:lineRule="auto"/>
        <w:tabs>
          <w:tab w:leader="none" w:pos="26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all other cases, the fair market value of a share of Common Stock as determined by an independent appraiser selected in good faith by the Purchasers of a majority in interest of the Securities then outstanding and reasonably acceptable to the Company, the fees and expenses of which shall be paid by the Company.</w:t>
      </w:r>
    </w:p>
    <w:p>
      <w:pPr>
        <w:spacing w:after="0" w:line="186" w:lineRule="exact"/>
        <w:rPr>
          <w:sz w:val="20"/>
          <w:szCs w:val="20"/>
          <w:color w:val="auto"/>
        </w:rPr>
      </w:pPr>
    </w:p>
    <w:p>
      <w:pPr>
        <w:jc w:val="both"/>
        <w:ind w:left="4"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VWAP</w:t>
      </w:r>
      <w:r>
        <w:rPr>
          <w:rFonts w:ascii="Times New Roman" w:cs="Times New Roman" w:eastAsia="Times New Roman" w:hAnsi="Times New Roman"/>
          <w:sz w:val="18"/>
          <w:szCs w:val="18"/>
          <w:color w:val="auto"/>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L.P.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Purchasers of a majority in interest of the Securities then outstanding and reasonably acceptable to the Company, the fees and expenses of which shall be paid by the Company.</w:t>
      </w:r>
    </w:p>
    <w:p>
      <w:pPr>
        <w:spacing w:after="0" w:line="200" w:lineRule="exact"/>
        <w:rPr>
          <w:sz w:val="20"/>
          <w:szCs w:val="20"/>
          <w:color w:val="auto"/>
        </w:rPr>
      </w:pPr>
    </w:p>
    <w:p>
      <w:pPr>
        <w:spacing w:after="0" w:line="210" w:lineRule="exact"/>
        <w:rPr>
          <w:sz w:val="20"/>
          <w:szCs w:val="20"/>
          <w:color w:val="auto"/>
        </w:rPr>
      </w:pPr>
    </w:p>
    <w:p>
      <w:pPr>
        <w:ind w:left="4904"/>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22" w:name="page23"/>
    <w:bookmarkEnd w:id="22"/>
    <w:p>
      <w:pPr>
        <w:ind w:left="180"/>
        <w:spacing w:after="0"/>
        <w:tabs>
          <w:tab w:leader="none" w:pos="1620" w:val="left"/>
        </w:tabs>
        <w:rPr>
          <w:sz w:val="20"/>
          <w:szCs w:val="20"/>
          <w:color w:val="auto"/>
        </w:rPr>
      </w:pPr>
      <w:r>
        <w:rPr>
          <w:rFonts w:ascii="Times New Roman" w:cs="Times New Roman" w:eastAsia="Times New Roman" w:hAnsi="Times New Roman"/>
          <w:sz w:val="18"/>
          <w:szCs w:val="18"/>
          <w:color w:val="auto"/>
        </w:rPr>
        <w:t>d)</w:t>
      </w:r>
      <w:r>
        <w:rPr>
          <w:sz w:val="20"/>
          <w:szCs w:val="20"/>
          <w:color w:val="auto"/>
        </w:rPr>
        <w:tab/>
      </w:r>
      <w:r>
        <w:rPr>
          <w:rFonts w:ascii="Times New Roman" w:cs="Times New Roman" w:eastAsia="Times New Roman" w:hAnsi="Times New Roman"/>
          <w:sz w:val="18"/>
          <w:szCs w:val="18"/>
          <w:u w:val="single" w:color="auto"/>
          <w:color w:val="auto"/>
        </w:rPr>
        <w:t>Mechanics of Exercise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000" w:firstLine="642"/>
        <w:spacing w:after="0" w:line="251" w:lineRule="auto"/>
        <w:tabs>
          <w:tab w:leader="none" w:pos="25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Warrant Shares Upon Exercise</w:t>
      </w:r>
      <w:r>
        <w:rPr>
          <w:rFonts w:ascii="Times New Roman" w:cs="Times New Roman" w:eastAsia="Times New Roman" w:hAnsi="Times New Roman"/>
          <w:sz w:val="18"/>
          <w:szCs w:val="18"/>
          <w:color w:val="auto"/>
        </w:rPr>
        <w:t>. The Company shall cause the Warrant Shares purchased hereunder to be transmitted by the Transfer Agent to the Holder by crediting the account of the Holder’s or its designee’s balance account with The Depository Trust Company through its Deposit or Withdrawal at Custodian system (“</w:t>
      </w:r>
      <w:r>
        <w:rPr>
          <w:rFonts w:ascii="Times New Roman" w:cs="Times New Roman" w:eastAsia="Times New Roman" w:hAnsi="Times New Roman"/>
          <w:sz w:val="18"/>
          <w:szCs w:val="18"/>
          <w:u w:val="single" w:color="auto"/>
          <w:color w:val="auto"/>
        </w:rPr>
        <w:t>DWAC</w:t>
      </w:r>
      <w:r>
        <w:rPr>
          <w:rFonts w:ascii="Times New Roman" w:cs="Times New Roman" w:eastAsia="Times New Roman" w:hAnsi="Times New Roman"/>
          <w:sz w:val="18"/>
          <w:szCs w:val="18"/>
          <w:color w:val="auto"/>
        </w:rPr>
        <w:t>”) if the Company is then a participant in such system and either (A) there is an effective registration statement permitting the issuance of the Warrant Shares to or resale of the Warrant Shares by Holder or this Warrant is being exercised by cashless exercise, and otherwise by physical delivery of a certificate, registered in the Company’s share register in the name of the Holder or its designee, for the number of Warrant Shares to which the Holder is entitled pursuant to such exercise to the address specified by the Holder in the Notice of Exercise by the date that is the earliest of (i) two (2) Trading Days after the delivery to the Company of the Notice of Exercise, (ii) one (1) Trading Day after delivery of the aggregate Exercise Price to the Company and (iii) the number of Trading Days comprising the Standard Settlement Period after the delivery to the Company of the Notice of Exercise (such date, the “</w:t>
      </w:r>
      <w:r>
        <w:rPr>
          <w:rFonts w:ascii="Times New Roman" w:cs="Times New Roman" w:eastAsia="Times New Roman" w:hAnsi="Times New Roman"/>
          <w:sz w:val="18"/>
          <w:szCs w:val="18"/>
          <w:u w:val="single" w:color="auto"/>
          <w:color w:val="auto"/>
        </w:rPr>
        <w:t>Warrant Share Delivery Date</w:t>
      </w:r>
      <w:r>
        <w:rPr>
          <w:rFonts w:ascii="Times New Roman" w:cs="Times New Roman" w:eastAsia="Times New Roman" w:hAnsi="Times New Roman"/>
          <w:sz w:val="18"/>
          <w:szCs w:val="18"/>
          <w:color w:val="auto"/>
        </w:rPr>
        <w:t>”). Upon delivery of the Notice of Exercise, the Holder shall be deemed for all corporate purposes to have become the holder of record of the Warrant Shares with respect to which this Warrant has been exercised, irrespective of the date of delivery of the Warrant Shares, provided that payment of the aggregate Exercise Price (other than in the case of a cashless exercise) is received within the earlier of (i) two (2) Trading Days and (ii) the number of Trading Days comprising the Standard Settlement Period following delivery of the Notice of Exercise. If the Company fails for any reason to deliver to the Holder the Warrant Shares subject to a Notice of Exercise by the Warrant Share Delivery Date, the Company shall pay to the Holder, in cash, as liquidated damages and not as a penalty, for each $1,000 of Warrant Shares subject to such exercise (based on the VWAP of the Common Stock on the date of the applicable Notice of Exercise), $10 per Trading Day (increasing to $20 per Trading Day on the fifth Trading Day after such liquidated damages begin to accrue) for each Trading Day after such Warrant Share Delivery Date until such Warrant Shares are delivered or Holder rescinds such exercise. The Company agrees to maintain a transfer agent that is a participant in the FAST program so long as this Warrant remains outstanding and exercisable. As used herein, “</w:t>
      </w:r>
      <w:r>
        <w:rPr>
          <w:rFonts w:ascii="Times New Roman" w:cs="Times New Roman" w:eastAsia="Times New Roman" w:hAnsi="Times New Roman"/>
          <w:sz w:val="18"/>
          <w:szCs w:val="18"/>
          <w:u w:val="single" w:color="auto"/>
          <w:color w:val="auto"/>
        </w:rPr>
        <w:t>Standard Settlement Period</w:t>
      </w:r>
      <w:r>
        <w:rPr>
          <w:rFonts w:ascii="Times New Roman" w:cs="Times New Roman" w:eastAsia="Times New Roman" w:hAnsi="Times New Roman"/>
          <w:sz w:val="18"/>
          <w:szCs w:val="18"/>
          <w:color w:val="auto"/>
        </w:rPr>
        <w:t>” means the standard settlement period, expressed in a number of Trading Days, on the Company’s primary Trading Market with respect to the Common Stock as in effect on the date of delivery of the Notice of Exercise.</w:t>
      </w:r>
    </w:p>
    <w:p>
      <w:pPr>
        <w:spacing w:after="0" w:line="204" w:lineRule="exact"/>
        <w:rPr>
          <w:rFonts w:ascii="Times New Roman" w:cs="Times New Roman" w:eastAsia="Times New Roman" w:hAnsi="Times New Roman"/>
          <w:sz w:val="18"/>
          <w:szCs w:val="18"/>
          <w:color w:val="auto"/>
        </w:rPr>
      </w:pPr>
    </w:p>
    <w:p>
      <w:pPr>
        <w:jc w:val="both"/>
        <w:ind w:left="1000" w:firstLine="642"/>
        <w:spacing w:after="0" w:line="261" w:lineRule="auto"/>
        <w:tabs>
          <w:tab w:leader="none" w:pos="304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New Warrants Upon Exercise</w:t>
      </w:r>
      <w:r>
        <w:rPr>
          <w:rFonts w:ascii="Times New Roman" w:cs="Times New Roman" w:eastAsia="Times New Roman" w:hAnsi="Times New Roman"/>
          <w:sz w:val="18"/>
          <w:szCs w:val="18"/>
          <w:color w:val="auto"/>
        </w:rPr>
        <w:t>. If this Warrant shall have been exercised in part, the Company shall, at the request of a Holder and upon surrender of this Warrant certificate, at the time of delivery of the Warrant Shares, deliver to the Holder a new Warrant evidencing the rights of the Holder to purchase the unpurchased Warrant Shares called for by this Warrant, which new Warrant shall in all other respects be identical with this Warrant.</w:t>
      </w:r>
    </w:p>
    <w:p>
      <w:pPr>
        <w:spacing w:after="0" w:line="396"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23" w:name="page24"/>
    <w:bookmarkEnd w:id="23"/>
    <w:p>
      <w:pPr>
        <w:jc w:val="both"/>
        <w:ind w:left="1000" w:firstLine="642"/>
        <w:spacing w:after="0" w:line="266" w:lineRule="auto"/>
        <w:tabs>
          <w:tab w:leader="none" w:pos="2909"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Rescission Rights</w:t>
      </w:r>
      <w:r>
        <w:rPr>
          <w:rFonts w:ascii="Times New Roman" w:cs="Times New Roman" w:eastAsia="Times New Roman" w:hAnsi="Times New Roman"/>
          <w:sz w:val="18"/>
          <w:szCs w:val="18"/>
          <w:color w:val="auto"/>
        </w:rPr>
        <w:t>. If the Company fails to cause the Transfer Agent to transmit to the Holder the Warrant Shares pursuant to Section 2(d)(i) by the Warrant Share Delivery Date, then the Holder will have the right to rescind such exercise.</w:t>
      </w:r>
    </w:p>
    <w:p>
      <w:pPr>
        <w:spacing w:after="0" w:line="175" w:lineRule="exact"/>
        <w:rPr>
          <w:rFonts w:ascii="Times New Roman" w:cs="Times New Roman" w:eastAsia="Times New Roman" w:hAnsi="Times New Roman"/>
          <w:sz w:val="18"/>
          <w:szCs w:val="18"/>
          <w:color w:val="auto"/>
        </w:rPr>
      </w:pPr>
    </w:p>
    <w:p>
      <w:pPr>
        <w:jc w:val="both"/>
        <w:ind w:left="1000" w:firstLine="642"/>
        <w:spacing w:after="0" w:line="252" w:lineRule="auto"/>
        <w:tabs>
          <w:tab w:leader="none" w:pos="2752"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 for Buy-In on Failure to Timely Deliver Warrant Shares Upon Exercise</w:t>
      </w:r>
      <w:r>
        <w:rPr>
          <w:rFonts w:ascii="Times New Roman" w:cs="Times New Roman" w:eastAsia="Times New Roman" w:hAnsi="Times New Roman"/>
          <w:sz w:val="18"/>
          <w:szCs w:val="18"/>
          <w:color w:val="auto"/>
        </w:rPr>
        <w:t>. In addition to any other rights available to the Holder, if the Company fails to cause the Transfer Agent to transmit to the Holder the Warrant Shares in accordance with the provisions of Section 2(d)(i) above pursuant to an exercise on or before the Warrant Share Delivery Date, and if after such date the Holder is required by its broker to purchase (in an open market transaction or otherwise) or the Holder’s brokerage firm otherwise purchases, shares of Common Stock to deliver in satisfaction of a sale by the Holder of the Warrant Shares which the Holder anticipated receiving upon such exercise (a “</w:t>
      </w:r>
      <w:r>
        <w:rPr>
          <w:rFonts w:ascii="Times New Roman" w:cs="Times New Roman" w:eastAsia="Times New Roman" w:hAnsi="Times New Roman"/>
          <w:sz w:val="18"/>
          <w:szCs w:val="18"/>
          <w:u w:val="single" w:color="auto"/>
          <w:color w:val="auto"/>
        </w:rPr>
        <w:t>Buy-In</w:t>
      </w:r>
      <w:r>
        <w:rPr>
          <w:rFonts w:ascii="Times New Roman" w:cs="Times New Roman" w:eastAsia="Times New Roman" w:hAnsi="Times New Roman"/>
          <w:sz w:val="18"/>
          <w:szCs w:val="18"/>
          <w:color w:val="auto"/>
        </w:rPr>
        <w:t>”), then the Company shall (A) pay in cash to the Holder the amount, if any, by which (x) the Holder’s total purchase price (including brokerage commissions, if any) for the shares of Common Stock so purchased exceeds (y) the amount obtained by multiplying (1) the number of Warrant Shares that the Company was required to deliver to the Holder in connection with the exercise at issue times (2) the price at which the sell order giving rise to such purchase obligation was executed, and (B) at the option of the Holder, either reinstate the portion of the Warrant and equivalent number of Warrant Shares for which such exercise was not honored (in which case such exercise shall be deemed rescinded) or deliver to the Holder the number of shares of Common Stock that would have been issued had the Company timely complied with its exercise and delivery obligations hereunder. For example, if the Holder purchases Common Stock having a total purchase price of $11,000 to cover a Buy-In with respect to an attempted exercise of shares of Common Stock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shares of Common Stock upon exercise of the Warrant as required pursuant to the terms hereof.</w:t>
      </w:r>
    </w:p>
    <w:p>
      <w:pPr>
        <w:spacing w:after="0" w:line="187" w:lineRule="exact"/>
        <w:rPr>
          <w:rFonts w:ascii="Times New Roman" w:cs="Times New Roman" w:eastAsia="Times New Roman" w:hAnsi="Times New Roman"/>
          <w:sz w:val="18"/>
          <w:szCs w:val="18"/>
          <w:color w:val="auto"/>
        </w:rPr>
      </w:pPr>
    </w:p>
    <w:p>
      <w:pPr>
        <w:jc w:val="both"/>
        <w:ind w:left="1000" w:firstLine="642"/>
        <w:spacing w:after="0" w:line="261" w:lineRule="auto"/>
        <w:tabs>
          <w:tab w:leader="none" w:pos="2581"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Fractional Shares or Scrip</w:t>
      </w:r>
      <w:r>
        <w:rPr>
          <w:rFonts w:ascii="Times New Roman" w:cs="Times New Roman" w:eastAsia="Times New Roman" w:hAnsi="Times New Roman"/>
          <w:sz w:val="18"/>
          <w:szCs w:val="18"/>
          <w:color w:val="auto"/>
        </w:rPr>
        <w:t>. No fractional shares or scrip representing fractional shares shall be issued upon the exercise of this Warrant.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w:t>
      </w:r>
    </w:p>
    <w:p>
      <w:pPr>
        <w:spacing w:after="0" w:line="396"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24" w:name="page25"/>
    <w:bookmarkEnd w:id="24"/>
    <w:p>
      <w:pPr>
        <w:jc w:val="both"/>
        <w:ind w:left="1460" w:firstLine="642"/>
        <w:spacing w:after="0" w:line="253" w:lineRule="auto"/>
        <w:tabs>
          <w:tab w:leader="none" w:pos="3183"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Charges, Taxes and Expenses</w:t>
      </w:r>
      <w:r>
        <w:rPr>
          <w:rFonts w:ascii="Times New Roman" w:cs="Times New Roman" w:eastAsia="Times New Roman" w:hAnsi="Times New Roman"/>
          <w:sz w:val="18"/>
          <w:szCs w:val="18"/>
          <w:color w:val="auto"/>
        </w:rPr>
        <w:t xml:space="preserve">. Issuance of Warrant Shares shall be made without charge to the Holder for any issue or transfer tax or other incidental expense in respect of the issuance of such Warrant Shares, all of which taxes and expenses shall be paid by the Company, and such Warrant Shares shall be issued in the name of the Holder or in such name or names as may be directed by the Holder;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event that Warrant Shares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the Depository Trust Company (or another established clearing corporation performing similar functions) required for same-day electronic delivery of the Warrant Shares.</w:t>
      </w:r>
    </w:p>
    <w:p>
      <w:pPr>
        <w:spacing w:after="0" w:line="194" w:lineRule="exact"/>
        <w:rPr>
          <w:rFonts w:ascii="Times New Roman" w:cs="Times New Roman" w:eastAsia="Times New Roman" w:hAnsi="Times New Roman"/>
          <w:sz w:val="18"/>
          <w:szCs w:val="18"/>
          <w:color w:val="auto"/>
        </w:rPr>
      </w:pPr>
    </w:p>
    <w:p>
      <w:pPr>
        <w:ind w:left="1460" w:firstLine="642"/>
        <w:spacing w:after="0" w:line="282" w:lineRule="auto"/>
        <w:tabs>
          <w:tab w:leader="none" w:pos="322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of Books</w:t>
      </w:r>
      <w:r>
        <w:rPr>
          <w:rFonts w:ascii="Times New Roman" w:cs="Times New Roman" w:eastAsia="Times New Roman" w:hAnsi="Times New Roman"/>
          <w:sz w:val="18"/>
          <w:szCs w:val="18"/>
          <w:color w:val="auto"/>
        </w:rPr>
        <w:t>. The Company will not close its stockholder books or records in any manner which prevents the timely exercise of this Warrant, pursuant to the terms hereof.</w:t>
      </w:r>
    </w:p>
    <w:p>
      <w:pPr>
        <w:spacing w:after="0" w:line="161" w:lineRule="exact"/>
        <w:rPr>
          <w:rFonts w:ascii="Times New Roman" w:cs="Times New Roman" w:eastAsia="Times New Roman" w:hAnsi="Times New Roman"/>
          <w:sz w:val="18"/>
          <w:szCs w:val="18"/>
          <w:color w:val="auto"/>
        </w:rPr>
      </w:pPr>
    </w:p>
    <w:p>
      <w:pPr>
        <w:jc w:val="both"/>
        <w:ind w:firstLine="644"/>
        <w:spacing w:after="0" w:line="251" w:lineRule="auto"/>
        <w:tabs>
          <w:tab w:leader="none" w:pos="113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Holder’s Exercise Limitations</w:t>
      </w:r>
      <w:r>
        <w:rPr>
          <w:rFonts w:ascii="Times New Roman" w:cs="Times New Roman" w:eastAsia="Times New Roman" w:hAnsi="Times New Roman"/>
          <w:sz w:val="18"/>
          <w:szCs w:val="18"/>
          <w:color w:val="auto"/>
        </w:rPr>
        <w:t>. The Company shall not effect any exercise of this Warrant, and a Holder shall not have the right to exercise any portion of this Warrant, pursuant to Section 2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(such Persons, “</w:t>
      </w:r>
      <w:r>
        <w:rPr>
          <w:rFonts w:ascii="Times New Roman" w:cs="Times New Roman" w:eastAsia="Times New Roman" w:hAnsi="Times New Roman"/>
          <w:sz w:val="18"/>
          <w:szCs w:val="18"/>
          <w:u w:val="single" w:color="auto"/>
          <w:color w:val="auto"/>
        </w:rPr>
        <w:t>Attribution Parties</w:t>
      </w:r>
      <w:r>
        <w:rPr>
          <w:rFonts w:ascii="Times New Roman" w:cs="Times New Roman" w:eastAsia="Times New Roman" w:hAnsi="Times New Roman"/>
          <w:sz w:val="18"/>
          <w:szCs w:val="18"/>
          <w:color w:val="auto"/>
        </w:rPr>
        <w:t>”)), would beneficially own in excess of the Beneficial Ownership Limitation (as defined below). For purposes of the foregoing sentence, the number of shares of Common Stock beneficially owned by the Holder and its Affiliates and Attribution Parties shall include the number of shares of Common Stock issuable upon exercise of this Warrant with respect to which such determination is being made, but shall exclude the number of shares of Common Stock which would be issuable upon (i) exercise of the remaining, nonexercised portion of this Warrant beneficially owned by the Holder or any of its Affiliates or Attribution Parties and (ii) exercise or conversion of the unexercised or nonconverted portion of any other securities of the Company (including, without limitation, any other Common Stock Equivalents) subject to a limitation on conversion or exercise analogous to the limitation contained herein beneficially owned by the Holder or any of its Affiliates or Attribution Parties. Except as set forth in the preceding sentence, for purposes of this Section 2(e),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2(e) applies, the determination of whether this Warrant is exercisable (in relation to other securities owned by the Holder together with any Affiliates and Attribution Parties) and of which portion of this Warrant is exercisable shall be in the sole discretion of the Holder, and the submission of a Notice of Exercise shall be deemed to be the Holder’s determination of whether this Warrant is exercisable (in relation to other securities owned by the Holder together with any Affiliates and Attribution Parties) and of which portion of this Warrant is exercisable, in each case subject to the Beneficial Ownership Limitation, and the Company shall have no obligation to verify or confirm the accuracy of such determination. In addition, a determination as to any group status as contemplated above shall be determined in accordance with Section 13(d) of the Exchange Act and the rules and regulations promulgated thereunder. For purposes of this Section 2(e), in determining the number of outstanding shares of Common Stock, a Holder may rely on the number of outstanding shares of Common Stock as reflected in (A) the Company’s most recent periodic or annual report filed with the Commission, as the case may be, (B) a more recent public announcement by the Company or (C) a more recent written notice by the Company or the Transfer Agent setting forth the number of shares of Common Stock outstanding. Upon the written or oral request of a Holder, the Company shall within one Trading Day confirm orally and in writing to the Holder the number of shares of Common Stock then outstanding. In any case, the number of outstanding shares of Common Stock shall be determined after giving effect to the conversion or exercise of securities of the Company, including this Warrant, by the Holder or its Affiliates or Attribution Parties since the date as of which such number of outstanding shares of Common Stock was reported. The “</w:t>
      </w:r>
      <w:r>
        <w:rPr>
          <w:rFonts w:ascii="Times New Roman" w:cs="Times New Roman" w:eastAsia="Times New Roman" w:hAnsi="Times New Roman"/>
          <w:sz w:val="18"/>
          <w:szCs w:val="18"/>
          <w:u w:val="single" w:color="auto"/>
          <w:color w:val="auto"/>
        </w:rPr>
        <w:t>Beneficial Ownership Limitation</w:t>
      </w:r>
      <w:r>
        <w:rPr>
          <w:rFonts w:ascii="Times New Roman" w:cs="Times New Roman" w:eastAsia="Times New Roman" w:hAnsi="Times New Roman"/>
          <w:sz w:val="18"/>
          <w:szCs w:val="18"/>
          <w:color w:val="auto"/>
        </w:rPr>
        <w:t>” shall be 4.99% of the number of shares of the Common Stock outstanding immediately after giving effect to the issuance of shares of Common Stock issuable upon exercise of this Warrant. The Holder, upon notice to the Company, may increase or decrease the Beneficial Ownership Limitation provisions of this Section 2(e), provided that the Beneficial Ownership Limitation in no event exceeds 9.99% of the number of shares of the Common Stock outstanding immediately after giving effect to the issuance of shares of Common Stock upon exercise of this Warrant held by the Holder and the provisions of this Section 2(e) shall continue to apply. Any increase in the Beneficial Ownership Limitation will not be</w:t>
      </w:r>
    </w:p>
    <w:p>
      <w:pPr>
        <w:spacing w:after="0" w:line="3"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effective until the 61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day after such notice is delivered to the Company. The provisions of this paragraph shall be construed and implemented in a manner otherwise than in strict conformity with the terms of this Section 2(e)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w:t>
      </w:r>
    </w:p>
    <w:p>
      <w:pPr>
        <w:spacing w:after="0" w:line="200" w:lineRule="exact"/>
        <w:rPr>
          <w:sz w:val="20"/>
          <w:szCs w:val="20"/>
          <w:color w:val="auto"/>
        </w:rPr>
      </w:pPr>
    </w:p>
    <w:p>
      <w:pPr>
        <w:spacing w:after="0" w:line="215"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Certain Adjustments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4"/>
        <w:spacing w:after="0" w:line="253" w:lineRule="auto"/>
        <w:tabs>
          <w:tab w:leader="none" w:pos="1813"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Dividends and Splits</w:t>
      </w:r>
      <w:r>
        <w:rPr>
          <w:rFonts w:ascii="Times New Roman" w:cs="Times New Roman" w:eastAsia="Times New Roman" w:hAnsi="Times New Roman"/>
          <w:sz w:val="18"/>
          <w:szCs w:val="18"/>
          <w:color w:val="auto"/>
        </w:rPr>
        <w:t>. If the Company, at any time while this Warrant is outstanding: (i) pays a stock dividend or otherwise makes a distribution or distributions on shares of its Common Stock or any other equity or equity equivalent securities payable in shares of Common Stock (which, for avoidance of doubt, shall not include any shares of Common Stock issued by the Company upon exercise of this Warrant), (ii) subdivides outstanding shares of Common Stock into a larger number of shares, (iii) combines (including by way of reverse stock split) outstanding shares of Common Stock into a smaller number of shares or (iv) issues by reclassification of shares of the Common Stock any shares of capital stock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Warrant shall be proportionately adjusted such that the aggregate Exercise Price of this Warrant shall remain unchanged. Any adjustment made pursuant to this Section 3(a)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spacing w:after="0" w:line="189" w:lineRule="exact"/>
        <w:rPr>
          <w:rFonts w:ascii="Times New Roman" w:cs="Times New Roman" w:eastAsia="Times New Roman" w:hAnsi="Times New Roman"/>
          <w:sz w:val="18"/>
          <w:szCs w:val="18"/>
          <w:color w:val="auto"/>
        </w:rPr>
      </w:pPr>
    </w:p>
    <w:p>
      <w:pPr>
        <w:jc w:val="both"/>
        <w:ind w:firstLine="644"/>
        <w:spacing w:after="0" w:line="253" w:lineRule="auto"/>
        <w:tabs>
          <w:tab w:leader="none" w:pos="1769"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Subsequent Rights Offerings</w:t>
      </w:r>
      <w:r>
        <w:rPr>
          <w:rFonts w:ascii="Times New Roman" w:cs="Times New Roman" w:eastAsia="Times New Roman" w:hAnsi="Times New Roman"/>
          <w:sz w:val="18"/>
          <w:szCs w:val="18"/>
          <w:color w:val="auto"/>
        </w:rPr>
        <w:t>. In addition to any adjustments pursuant to Section 3(a) above, if at any time the Company grants, issues or sells any Common Stock Equivalents or rights to purchase stock, warrants, securities or other property pro rata to the record holders of any class of shares of Common Stock (the “</w:t>
      </w:r>
      <w:r>
        <w:rPr>
          <w:rFonts w:ascii="Times New Roman" w:cs="Times New Roman" w:eastAsia="Times New Roman" w:hAnsi="Times New Roman"/>
          <w:sz w:val="18"/>
          <w:szCs w:val="18"/>
          <w:u w:val="single" w:color="auto"/>
          <w:color w:val="auto"/>
        </w:rPr>
        <w:t>Purchase Rights</w:t>
      </w:r>
      <w:r>
        <w:rPr>
          <w:rFonts w:ascii="Times New Roman" w:cs="Times New Roman" w:eastAsia="Times New Roman" w:hAnsi="Times New Roman"/>
          <w:sz w:val="18"/>
          <w:szCs w:val="18"/>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to the extent that the Holder’s right to participate in any such Purchase Right would result in the Holder exceeding the Beneficial Ownership Limitation,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Beneficial Ownership Limitation).</w:t>
      </w:r>
    </w:p>
    <w:p>
      <w:pPr>
        <w:spacing w:after="0" w:line="189" w:lineRule="exact"/>
        <w:rPr>
          <w:rFonts w:ascii="Times New Roman" w:cs="Times New Roman" w:eastAsia="Times New Roman" w:hAnsi="Times New Roman"/>
          <w:sz w:val="18"/>
          <w:szCs w:val="18"/>
          <w:color w:val="auto"/>
        </w:rPr>
      </w:pPr>
    </w:p>
    <w:p>
      <w:pPr>
        <w:jc w:val="both"/>
        <w:ind w:firstLine="644"/>
        <w:spacing w:after="0" w:line="253" w:lineRule="auto"/>
        <w:tabs>
          <w:tab w:leader="none" w:pos="163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 Rata Distributions</w:t>
      </w:r>
      <w:r>
        <w:rPr>
          <w:rFonts w:ascii="Times New Roman" w:cs="Times New Roman" w:eastAsia="Times New Roman" w:hAnsi="Times New Roman"/>
          <w:sz w:val="18"/>
          <w:szCs w:val="18"/>
          <w:color w:val="auto"/>
        </w:rPr>
        <w:t>. During such time as this Warrant is outstanding, if the Company shall declare or make any dividend (other than cash) or other distribution of its assets (or rights to acquire its assets) to holders of shares of Common Stock, by way of return of capital or otherwise (including, without limitation, any distribution of stock or other securities, property or options by way of a dividend, spin off, reclassification, corporate rearrangement, scheme of arrangement or other similar transaction) (a “</w:t>
      </w:r>
      <w:r>
        <w:rPr>
          <w:rFonts w:ascii="Times New Roman" w:cs="Times New Roman" w:eastAsia="Times New Roman" w:hAnsi="Times New Roman"/>
          <w:sz w:val="18"/>
          <w:szCs w:val="18"/>
          <w:u w:val="single" w:color="auto"/>
          <w:color w:val="auto"/>
        </w:rPr>
        <w:t>Distribution</w:t>
      </w:r>
      <w:r>
        <w:rPr>
          <w:rFonts w:ascii="Times New Roman" w:cs="Times New Roman" w:eastAsia="Times New Roman" w:hAnsi="Times New Roman"/>
          <w:sz w:val="18"/>
          <w:szCs w:val="18"/>
          <w:color w:val="auto"/>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the Beneficial Ownership Limitation) immediately before the date of which a record is taken for such Distribution, or, if no such record is taken, the date as of which the record holders of shares of Common Stock are to be determined for the participation in such Distribution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the Beneficial Ownership Limitation).</w:t>
      </w:r>
    </w:p>
    <w:p>
      <w:pPr>
        <w:spacing w:after="0" w:line="200" w:lineRule="exact"/>
        <w:rPr>
          <w:sz w:val="20"/>
          <w:szCs w:val="20"/>
          <w:color w:val="auto"/>
        </w:rPr>
      </w:pPr>
    </w:p>
    <w:p>
      <w:pPr>
        <w:spacing w:after="0" w:line="203"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26" w:name="page27"/>
    <w:bookmarkEnd w:id="26"/>
    <w:p>
      <w:pPr>
        <w:jc w:val="both"/>
        <w:ind w:left="4" w:firstLine="644"/>
        <w:spacing w:after="0" w:line="250" w:lineRule="auto"/>
        <w:tabs>
          <w:tab w:leader="none" w:pos="1652"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Fundamental Transaction</w:t>
      </w:r>
      <w:r>
        <w:rPr>
          <w:rFonts w:ascii="Times New Roman" w:cs="Times New Roman" w:eastAsia="Times New Roman" w:hAnsi="Times New Roman"/>
          <w:sz w:val="18"/>
          <w:szCs w:val="18"/>
          <w:color w:val="auto"/>
        </w:rPr>
        <w:t>. If, at any time while this Warrant is outstanding, (i) the Company, directly or indirectly, in one or more related transactions effects any merger or consolidation of the Company with or into another Person, (ii) the Company (and all of its Subsidiaries, taken as a whole), directly or indirectly, effects any sale, lease, license, assignment, transfer, conveyance or other disposition of all or substantially all of its assets in one or a series of related transactions, (iii) 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50% or more of the outstanding Common Stock, (iv) the Company,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merger or scheme of arrangement) with another Person or group of Persons whereby such other Person or group acquires more than 50% of the outstanding shares of Common Stock (not including any shares of Common Stock held by the other Person or other Persons making or party to, or associated or affiliated with the other Persons making or party to, such stock or share purchase agreement or other business combination) (each a “</w:t>
      </w:r>
      <w:r>
        <w:rPr>
          <w:rFonts w:ascii="Times New Roman" w:cs="Times New Roman" w:eastAsia="Times New Roman" w:hAnsi="Times New Roman"/>
          <w:sz w:val="18"/>
          <w:szCs w:val="18"/>
          <w:u w:val="single" w:color="auto"/>
          <w:color w:val="auto"/>
        </w:rPr>
        <w:t>Fundamental Transaction</w:t>
      </w:r>
      <w:r>
        <w:rPr>
          <w:rFonts w:ascii="Times New Roman" w:cs="Times New Roman" w:eastAsia="Times New Roman" w:hAnsi="Times New Roman"/>
          <w:sz w:val="18"/>
          <w:szCs w:val="18"/>
          <w:color w:val="auto"/>
        </w:rPr>
        <w:t>”), then, upon any subsequent exercise of this Warrant, the Holder shall have the right to receive, for each Warrant Share that would have been issuable upon such exercise immediately prior to the occurrence of such Fundamental Transaction, at the option of the Holder (without regard to any limitation in Section 2(e) on the exercise of this Warrant), the number of shares of Common Stock of the successor or acquiring corporation or of the Company, if it is the surviving corporation, and any additional consideration (the “</w:t>
      </w:r>
      <w:r>
        <w:rPr>
          <w:rFonts w:ascii="Times New Roman" w:cs="Times New Roman" w:eastAsia="Times New Roman" w:hAnsi="Times New Roman"/>
          <w:sz w:val="18"/>
          <w:szCs w:val="18"/>
          <w:u w:val="single" w:color="auto"/>
          <w:color w:val="auto"/>
        </w:rPr>
        <w:t>Alternate Consideration</w:t>
      </w:r>
      <w:r>
        <w:rPr>
          <w:rFonts w:ascii="Times New Roman" w:cs="Times New Roman" w:eastAsia="Times New Roman" w:hAnsi="Times New Roman"/>
          <w:sz w:val="18"/>
          <w:szCs w:val="18"/>
          <w:color w:val="auto"/>
        </w:rPr>
        <w:t xml:space="preserve">”) receivable as a result of such Fundamental Transaction by a holder of the number of shares of Common Stock for which this Warrant is exercisable immediately prior to such Fundamental Transaction (without regard to any limitation in Section 2(e)) on the exercise of this Warrant).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Warrant following such Fundamental Transaction. Notwithstanding anything to the contrary, in the event of a Fundamental Transaction, the Company or any Successor Entity (as defined below) shall, at the Holder’s option, exercisable at any time concurrently with, or within 30 days after, the consummation of the Fundamental Transaction (or, if later, the date of the public announcement of the applicable Fundamental Transaction), purchase this Warrant from the Holder by paying to the Holder an amount of cash equal to the Black Scholes Value (as defined below) of the remaining unexercised portion of this Warrant on the date of the consummation of such Fundamental Transaction;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if the Fundamental Transaction is not within the Company's control, including not approved by the Company's Board of Directors, Holder shall only be entitled to receive from the Company or any Successor Entity the same type or form of consideration (and in the same proportion), at the Black Scholes Value of the unexercised portion of this Warrant, that is being offered and paid to the holders of Common Stock of the Company in connection with the Fundamental Transaction, whether that consideration be in the form of cash, stock or any combination thereof, or whether the holders of Common Stock are given the choice to receive from among alternative forms of consideration in connection with the Fundamental Transaction;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if holders of Common Stock of the Company are not offered or paid any consideration in such Fundamental Transaction, such holders of Common Stock will be deemed to have received common stock of the Successor Entity (which Entity may be the Company following such Fundamental Transaction) in such Fundamental Transaction. “</w:t>
      </w:r>
      <w:r>
        <w:rPr>
          <w:rFonts w:ascii="Times New Roman" w:cs="Times New Roman" w:eastAsia="Times New Roman" w:hAnsi="Times New Roman"/>
          <w:sz w:val="18"/>
          <w:szCs w:val="18"/>
          <w:u w:val="single" w:color="auto"/>
          <w:color w:val="auto"/>
        </w:rPr>
        <w:t>Black Scholes Value</w:t>
      </w:r>
      <w:r>
        <w:rPr>
          <w:rFonts w:ascii="Times New Roman" w:cs="Times New Roman" w:eastAsia="Times New Roman" w:hAnsi="Times New Roman"/>
          <w:sz w:val="18"/>
          <w:szCs w:val="18"/>
          <w:color w:val="auto"/>
        </w:rPr>
        <w:t>” means the value of this Warrant based on the Black-Scholes Option Pricing Model obtained from the “OV” function on Bloomberg, L.P. (“</w:t>
      </w:r>
      <w:r>
        <w:rPr>
          <w:rFonts w:ascii="Times New Roman" w:cs="Times New Roman" w:eastAsia="Times New Roman" w:hAnsi="Times New Roman"/>
          <w:sz w:val="18"/>
          <w:szCs w:val="18"/>
          <w:u w:val="single" w:color="auto"/>
          <w:color w:val="auto"/>
        </w:rPr>
        <w:t>Bloomberg</w:t>
      </w:r>
      <w:r>
        <w:rPr>
          <w:rFonts w:ascii="Times New Roman" w:cs="Times New Roman" w:eastAsia="Times New Roman" w:hAnsi="Times New Roman"/>
          <w:sz w:val="18"/>
          <w:szCs w:val="18"/>
          <w:color w:val="auto"/>
        </w:rPr>
        <w:t>”) determined as of the day of consummation of the applicable Fundamental Transaction for pricing purposes and reflecting (A) a risk-free interest rate corresponding to the U.S. Treasury rate for a period equal to the time between the date of the public announcement of the applicable Fundamental Transaction and the Termination Date, (B) an expected volatility equal to the greater of 100% and the 100 day volatility obtained from the HVT function on Bloomberg (determined utilizing a 365 day annualization factor) as of the Trading Day immediately following the public announcement of the applicable Fundamental Transaction, (C) the underlying price per share used in such calculation shall be the greater of (i) the sum of the price per share being offered in cash, if any, plus the value of any non-cash consideration, if any, being offered in such Fundamental Transaction and (ii) the greater of (x) the last VWAP immediately prior to the public announcement of such Fundamental Transaction and (y) the last VWAP immediately prior to the consummation of such Fundamental Transaction and (D) a remaining option time equal to the time between the date of the public announcement of the applicable Fundamental Transaction and the Termination Date and (E) a zero cost of borrow. The payment of the Black Scholes Value will be made by wire transfer of immediately available funds within the later of (i) five Business Days of the Holder’s election and</w:t>
      </w:r>
    </w:p>
    <w:p>
      <w:pPr>
        <w:spacing w:after="0" w:line="37" w:lineRule="exact"/>
        <w:rPr>
          <w:rFonts w:ascii="Times New Roman" w:cs="Times New Roman" w:eastAsia="Times New Roman" w:hAnsi="Times New Roman"/>
          <w:sz w:val="18"/>
          <w:szCs w:val="18"/>
          <w:color w:val="auto"/>
        </w:rPr>
      </w:pPr>
    </w:p>
    <w:p>
      <w:pPr>
        <w:jc w:val="both"/>
        <w:ind w:left="4" w:hanging="4"/>
        <w:spacing w:after="0" w:line="251" w:lineRule="auto"/>
        <w:tabs>
          <w:tab w:leader="none" w:pos="28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of consummation of the Fundamental Transaction. The Company shall cause any successor entity in a Fundamental Transaction in which the Company is not the survivor (the “</w:t>
      </w:r>
      <w:r>
        <w:rPr>
          <w:rFonts w:ascii="Times New Roman" w:cs="Times New Roman" w:eastAsia="Times New Roman" w:hAnsi="Times New Roman"/>
          <w:sz w:val="18"/>
          <w:szCs w:val="18"/>
          <w:u w:val="single" w:color="auto"/>
          <w:color w:val="auto"/>
        </w:rPr>
        <w:t>Successor Entity</w:t>
      </w:r>
      <w:r>
        <w:rPr>
          <w:rFonts w:ascii="Times New Roman" w:cs="Times New Roman" w:eastAsia="Times New Roman" w:hAnsi="Times New Roman"/>
          <w:sz w:val="18"/>
          <w:szCs w:val="18"/>
          <w:color w:val="auto"/>
        </w:rPr>
        <w:t>”) to assume in writing all of the obligations of the Company under this Warrant and the other Transaction Documents in accordance with the provisions of this Section 3(d) pursuant to written agreements in form and substance reasonably satisfactory to the Holder and approved by the Holder (without unreasonable delay)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succeed to, and be substituted for (so that from and after the date of such Fundamental Transaction, the provisions of this Warrant and the other Transaction Documents referring to the “Company” shall refer instead to the Successor Entity), and may exercise every right and power of the Company and shall assume all of the obligations of the Company under this Warrant and the other Transaction Documents with the same effect as if such Successor Entity had been named as the Company herein.</w:t>
      </w:r>
    </w:p>
    <w:p>
      <w:pPr>
        <w:spacing w:after="0" w:line="200" w:lineRule="exact"/>
        <w:rPr>
          <w:sz w:val="20"/>
          <w:szCs w:val="20"/>
          <w:color w:val="auto"/>
        </w:rPr>
      </w:pPr>
    </w:p>
    <w:p>
      <w:pPr>
        <w:spacing w:after="0" w:line="206" w:lineRule="exact"/>
        <w:rPr>
          <w:sz w:val="20"/>
          <w:szCs w:val="20"/>
          <w:color w:val="auto"/>
        </w:rPr>
      </w:pPr>
    </w:p>
    <w:p>
      <w:pPr>
        <w:ind w:left="4904"/>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4" w:right="339" w:bottom="906" w:gutter="0" w:footer="0" w:header="0"/>
        </w:sectPr>
      </w:pPr>
    </w:p>
    <w:bookmarkStart w:id="27" w:name="page28"/>
    <w:bookmarkEnd w:id="27"/>
    <w:p>
      <w:pPr>
        <w:jc w:val="both"/>
        <w:ind w:left="-460" w:firstLine="644"/>
        <w:spacing w:after="0" w:line="266" w:lineRule="auto"/>
        <w:tabs>
          <w:tab w:leader="none" w:pos="1191"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Calculations</w:t>
      </w:r>
      <w:r>
        <w:rPr>
          <w:rFonts w:ascii="Times New Roman" w:cs="Times New Roman" w:eastAsia="Times New Roman" w:hAnsi="Times New Roman"/>
          <w:sz w:val="18"/>
          <w:szCs w:val="18"/>
          <w:color w:val="auto"/>
        </w:rPr>
        <w:t>. All calculations under this Section 3 shall be made to the nearest cent or the nearest 1/100th of a share, as the case may be. For purposes of this Section 3, the number of shares of Common Stock deemed to be issued and outstanding as of a given date shall be the sum of the number of shares of Common Stock (excluding treasury shares, if any) issued and outstanding.</w:t>
      </w:r>
    </w:p>
    <w:p>
      <w:pPr>
        <w:spacing w:after="0" w:line="175" w:lineRule="exact"/>
        <w:rPr>
          <w:rFonts w:ascii="Times New Roman" w:cs="Times New Roman" w:eastAsia="Times New Roman" w:hAnsi="Times New Roman"/>
          <w:sz w:val="18"/>
          <w:szCs w:val="18"/>
          <w:color w:val="auto"/>
        </w:rPr>
      </w:pPr>
    </w:p>
    <w:p>
      <w:pPr>
        <w:ind w:left="1160" w:hanging="976"/>
        <w:spacing w:after="0"/>
        <w:tabs>
          <w:tab w:leader="none" w:pos="11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Holder</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840" w:firstLine="640"/>
        <w:spacing w:after="0" w:line="261" w:lineRule="auto"/>
        <w:tabs>
          <w:tab w:leader="none" w:pos="2352"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 to Exercise Price</w:t>
      </w:r>
      <w:r>
        <w:rPr>
          <w:rFonts w:ascii="Times New Roman" w:cs="Times New Roman" w:eastAsia="Times New Roman" w:hAnsi="Times New Roman"/>
          <w:sz w:val="18"/>
          <w:szCs w:val="18"/>
          <w:color w:val="auto"/>
        </w:rPr>
        <w:t>. Whenever the Exercise Price is adjusted pursuant to any provision of this Section 3, the Company shall promptly deliver to the Holder by facsimile or email a notice setting forth the Exercise Price after such adjustment and any resulting adjustment to the number of Warrant Shares and setting forth a brief statement of the facts requiring such adjustment.</w:t>
      </w:r>
    </w:p>
    <w:p>
      <w:pPr>
        <w:spacing w:after="0" w:line="179" w:lineRule="exact"/>
        <w:rPr>
          <w:rFonts w:ascii="Times New Roman" w:cs="Times New Roman" w:eastAsia="Times New Roman" w:hAnsi="Times New Roman"/>
          <w:sz w:val="18"/>
          <w:szCs w:val="18"/>
          <w:color w:val="auto"/>
        </w:rPr>
      </w:pPr>
    </w:p>
    <w:p>
      <w:pPr>
        <w:jc w:val="both"/>
        <w:ind w:left="840" w:firstLine="640"/>
        <w:spacing w:after="0" w:line="251" w:lineRule="auto"/>
        <w:tabs>
          <w:tab w:leader="none" w:pos="2186"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Allow Exercise by Holder</w:t>
      </w:r>
      <w:r>
        <w:rPr>
          <w:rFonts w:ascii="Times New Roman" w:cs="Times New Roman" w:eastAsia="Times New Roman" w:hAnsi="Times New Roman"/>
          <w:sz w:val="18"/>
          <w:szCs w:val="18"/>
          <w:color w:val="auto"/>
        </w:rPr>
        <w:t>. If (A) the Company shall declare a dividend (or any other distribution in whatever form) on the Common Stock, (B) the Company shall declare a special nonrecurring cash dividend on or a redemption of the Common Stock, (C) the Company shall authorize the granting to all holders of the Common Stock rights or warrants to subscribe for or purchase any shares of capital stock of any class or of any rights, (D) the approval of any stockholders of the Company shall be required in connection with any reclassification of the Common Stock, any consolidation or merger to which the Company is a party, any sale or transfer of all or substantially all of the assets of the Company, or any compulsory share exchange whereby the Common Stock is converted into other securities, cash or property, or (E) the Company shall authorize the voluntary or involuntary dissolution, liquidation or winding up of the affairs of the Company, then, in each case, the Company shall cause to be delivered by facsimile or email to the Holder at its last facsimile number or email address as it shall appear upon the Warrant Register of the Company, at least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To the extent that any notice provided in this Warrant constitutes, or contains, material, non-public information regarding the Company or any of the Subsidiaries, the Company shall simultaneously file such notice with the Commission pursuant to a Current Report on Form 8-K. The Holder shall remain entitled to exercise this Warrant during the period commencing on the date of such notice to the effective date of the event triggering such notice except as may otherwise be expressly set forth herein.</w:t>
      </w:r>
    </w:p>
    <w:p>
      <w:pPr>
        <w:spacing w:after="0" w:line="200" w:lineRule="exact"/>
        <w:rPr>
          <w:sz w:val="20"/>
          <w:szCs w:val="20"/>
          <w:color w:val="auto"/>
        </w:rPr>
      </w:pPr>
    </w:p>
    <w:p>
      <w:pPr>
        <w:spacing w:after="0" w:line="222"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Transfer of Warrant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4"/>
        <w:spacing w:after="0" w:line="253" w:lineRule="auto"/>
        <w:tabs>
          <w:tab w:leader="none" w:pos="1611"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w:t>
      </w:r>
      <w:r>
        <w:rPr>
          <w:rFonts w:ascii="Times New Roman" w:cs="Times New Roman" w:eastAsia="Times New Roman" w:hAnsi="Times New Roman"/>
          <w:sz w:val="18"/>
          <w:szCs w:val="18"/>
          <w:color w:val="auto"/>
        </w:rPr>
        <w:t>. This Warrant and all rights hereunder (including, without limitation, any registration rights)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of the date on which the Holder delivers an assignment form to the Company assigning this Warrant in full. The Warrant, if properly assigned in accordance herewith, may be exercised by a new holder for the purchase of Warrant Shares without having a new Warrant issued.</w:t>
      </w:r>
    </w:p>
    <w:p>
      <w:pPr>
        <w:spacing w:after="0" w:line="191" w:lineRule="exact"/>
        <w:rPr>
          <w:rFonts w:ascii="Times New Roman" w:cs="Times New Roman" w:eastAsia="Times New Roman" w:hAnsi="Times New Roman"/>
          <w:sz w:val="18"/>
          <w:szCs w:val="18"/>
          <w:color w:val="auto"/>
        </w:rPr>
      </w:pPr>
    </w:p>
    <w:p>
      <w:pPr>
        <w:jc w:val="both"/>
        <w:ind w:firstLine="644"/>
        <w:spacing w:after="0" w:line="256" w:lineRule="auto"/>
        <w:tabs>
          <w:tab w:leader="none" w:pos="1783"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New Warrants</w:t>
      </w:r>
      <w:r>
        <w:rPr>
          <w:rFonts w:ascii="Times New Roman" w:cs="Times New Roman" w:eastAsia="Times New Roman" w:hAnsi="Times New Roman"/>
          <w:sz w:val="18"/>
          <w:szCs w:val="18"/>
          <w:color w:val="auto"/>
        </w:rPr>
        <w:t>.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Issue Date and shall be identical with this Warrant except as to the number of Warrant Shares issuable pursuant thereto.</w:t>
      </w:r>
    </w:p>
    <w:p>
      <w:pPr>
        <w:spacing w:after="0" w:line="187" w:lineRule="exact"/>
        <w:rPr>
          <w:rFonts w:ascii="Times New Roman" w:cs="Times New Roman" w:eastAsia="Times New Roman" w:hAnsi="Times New Roman"/>
          <w:sz w:val="18"/>
          <w:szCs w:val="18"/>
          <w:color w:val="auto"/>
        </w:rPr>
      </w:pPr>
    </w:p>
    <w:p>
      <w:pPr>
        <w:jc w:val="both"/>
        <w:ind w:firstLine="644"/>
        <w:spacing w:after="0" w:line="261" w:lineRule="auto"/>
        <w:tabs>
          <w:tab w:leader="none" w:pos="162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Warrant Register</w:t>
      </w:r>
      <w:r>
        <w:rPr>
          <w:rFonts w:ascii="Times New Roman" w:cs="Times New Roman" w:eastAsia="Times New Roman" w:hAnsi="Times New Roman"/>
          <w:sz w:val="18"/>
          <w:szCs w:val="18"/>
          <w:color w:val="auto"/>
        </w:rPr>
        <w:t>. The Company shall register this Warrant, upon records to be maintained by the Company for that purpose (the “</w:t>
      </w:r>
      <w:r>
        <w:rPr>
          <w:rFonts w:ascii="Times New Roman" w:cs="Times New Roman" w:eastAsia="Times New Roman" w:hAnsi="Times New Roman"/>
          <w:sz w:val="18"/>
          <w:szCs w:val="18"/>
          <w:u w:val="single" w:color="auto"/>
          <w:color w:val="auto"/>
        </w:rPr>
        <w:t>Warrant Register</w:t>
      </w:r>
      <w:r>
        <w:rPr>
          <w:rFonts w:ascii="Times New Roman" w:cs="Times New Roman" w:eastAsia="Times New Roman" w:hAnsi="Times New Roman"/>
          <w:sz w:val="18"/>
          <w:szCs w:val="18"/>
          <w:color w:val="auto"/>
        </w:rPr>
        <w:t>”),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4"/>
        <w:spacing w:after="0" w:line="258" w:lineRule="auto"/>
        <w:tabs>
          <w:tab w:leader="none" w:pos="1773"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Rights as Stockholder Until Exercise; No Settlement in Cash</w:t>
      </w:r>
      <w:r>
        <w:rPr>
          <w:rFonts w:ascii="Times New Roman" w:cs="Times New Roman" w:eastAsia="Times New Roman" w:hAnsi="Times New Roman"/>
          <w:sz w:val="18"/>
          <w:szCs w:val="18"/>
          <w:color w:val="auto"/>
        </w:rPr>
        <w:t>. This Warrant does not entitle the Holder to any voting rights, dividends or other rights as a stockholder of the Company prior to the exercise hereof as set forth in Section 2(d)(i), except as expressly set forth in Section 3. Without limiting any rights of a Holder to receive Warrant Shares on a “cashless exercise” pursuant to Section 2(c) or to receive cash payments pursuant to Section 2(d)(i) and Section 2(d)(iv) herein, in no event shall the Company be required to net cash settle an exercise of this Warrant.</w:t>
      </w:r>
    </w:p>
    <w:p>
      <w:pPr>
        <w:spacing w:after="0" w:line="183" w:lineRule="exact"/>
        <w:rPr>
          <w:rFonts w:ascii="Times New Roman" w:cs="Times New Roman" w:eastAsia="Times New Roman" w:hAnsi="Times New Roman"/>
          <w:sz w:val="18"/>
          <w:szCs w:val="18"/>
          <w:color w:val="auto"/>
        </w:rPr>
      </w:pPr>
    </w:p>
    <w:p>
      <w:pPr>
        <w:jc w:val="both"/>
        <w:ind w:firstLine="644"/>
        <w:spacing w:after="0" w:line="258" w:lineRule="auto"/>
        <w:tabs>
          <w:tab w:leader="none" w:pos="168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Loss, Theft, Destruction or Mutilation of Warrant</w:t>
      </w:r>
      <w:r>
        <w:rPr>
          <w:rFonts w:ascii="Times New Roman" w:cs="Times New Roman" w:eastAsia="Times New Roman" w:hAnsi="Times New Roman"/>
          <w:sz w:val="18"/>
          <w:szCs w:val="18"/>
          <w:color w:val="auto"/>
        </w:rPr>
        <w:t>. The Company covenants that upon receipt by the Company of evidence reasonably satisfactory to it of the loss, theft, destruction or mutilation of this Warrant or any stock certificate relating to the Warrant Shares, and in case of loss, theft or destruction, of indemnity or security reasonably satisfactory to it (which, in the case of the Warrant, shall not include the posting of any bond), and upon surrender and cancellation of such Warrant or stock certificate, if mutilated, the Company will make and deliver a new Warrant or stock certificate of like tenor and dated as of such cancellation, in lieu of such Warrant or stock certificate.</w:t>
      </w:r>
    </w:p>
    <w:p>
      <w:pPr>
        <w:spacing w:after="0" w:line="399"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29" w:name="page30"/>
    <w:bookmarkEnd w:id="29"/>
    <w:p>
      <w:pPr>
        <w:jc w:val="both"/>
        <w:ind w:left="-460" w:firstLine="644"/>
        <w:spacing w:after="0" w:line="266" w:lineRule="auto"/>
        <w:tabs>
          <w:tab w:leader="none" w:pos="1313"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Saturdays, Sundays, Holidays, etc</w:t>
      </w:r>
      <w:r>
        <w:rPr>
          <w:rFonts w:ascii="Times New Roman" w:cs="Times New Roman" w:eastAsia="Times New Roman" w:hAnsi="Times New Roman"/>
          <w:sz w:val="18"/>
          <w:szCs w:val="18"/>
          <w:color w:val="auto"/>
        </w:rPr>
        <w:t>.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175" w:lineRule="exact"/>
        <w:rPr>
          <w:rFonts w:ascii="Times New Roman" w:cs="Times New Roman" w:eastAsia="Times New Roman" w:hAnsi="Times New Roman"/>
          <w:sz w:val="18"/>
          <w:szCs w:val="18"/>
          <w:color w:val="auto"/>
        </w:rPr>
      </w:pPr>
    </w:p>
    <w:p>
      <w:pPr>
        <w:ind w:left="1140" w:hanging="956"/>
        <w:spacing w:after="0"/>
        <w:tabs>
          <w:tab w:leader="none" w:pos="11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Authorized Shares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80" w:firstLine="1296"/>
        <w:spacing w:after="0" w:line="253" w:lineRule="auto"/>
        <w:rPr>
          <w:sz w:val="20"/>
          <w:szCs w:val="20"/>
          <w:color w:val="auto"/>
        </w:rPr>
      </w:pPr>
      <w:r>
        <w:rPr>
          <w:rFonts w:ascii="Times New Roman" w:cs="Times New Roman" w:eastAsia="Times New Roman" w:hAnsi="Times New Roman"/>
          <w:sz w:val="18"/>
          <w:szCs w:val="18"/>
          <w:color w:val="auto"/>
        </w:rPr>
        <w:t>The Company covenants that, during the period the Warrant is outstanding, it will reserve from its authorized and unissued Common Stock a sufficient number of shares to provide for the issuance of the Warrant Shares upon the exercise of any purchase rights under this Warrant. The Company further covenants that its issuance of this Warrant shall constitute full authority to its officers who are charged with the duty of issuing the necessary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upon which the Common Stock may be listed.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spacing w:after="0" w:line="192" w:lineRule="exact"/>
        <w:rPr>
          <w:sz w:val="20"/>
          <w:szCs w:val="20"/>
          <w:color w:val="auto"/>
        </w:rPr>
      </w:pPr>
    </w:p>
    <w:p>
      <w:pPr>
        <w:jc w:val="both"/>
        <w:ind w:left="180" w:firstLine="648"/>
        <w:spacing w:after="0" w:line="253" w:lineRule="auto"/>
        <w:rPr>
          <w:sz w:val="20"/>
          <w:szCs w:val="20"/>
          <w:color w:val="auto"/>
        </w:rPr>
      </w:pPr>
      <w:r>
        <w:rPr>
          <w:rFonts w:ascii="Times New Roman" w:cs="Times New Roman" w:eastAsia="Times New Roman" w:hAnsi="Times New Roman"/>
          <w:sz w:val="18"/>
          <w:szCs w:val="18"/>
          <w:color w:val="auto"/>
        </w:rPr>
        <w:t>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spacing w:after="0" w:line="194" w:lineRule="exact"/>
        <w:rPr>
          <w:sz w:val="20"/>
          <w:szCs w:val="20"/>
          <w:color w:val="auto"/>
        </w:rPr>
      </w:pPr>
    </w:p>
    <w:p>
      <w:pPr>
        <w:jc w:val="both"/>
        <w:ind w:left="180" w:firstLine="648"/>
        <w:spacing w:after="0" w:line="266" w:lineRule="auto"/>
        <w:rPr>
          <w:sz w:val="20"/>
          <w:szCs w:val="20"/>
          <w:color w:val="auto"/>
        </w:rPr>
      </w:pPr>
      <w:r>
        <w:rPr>
          <w:rFonts w:ascii="Times New Roman" w:cs="Times New Roman" w:eastAsia="Times New Roman" w:hAnsi="Times New Roman"/>
          <w:sz w:val="18"/>
          <w:szCs w:val="18"/>
          <w:color w:val="auto"/>
        </w:rPr>
        <w:t>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spacing w:after="0" w:line="392"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1120" w:right="339" w:bottom="1440" w:gutter="0" w:footer="0" w:header="0"/>
        </w:sectPr>
      </w:pPr>
    </w:p>
    <w:bookmarkStart w:id="30" w:name="page31"/>
    <w:bookmarkEnd w:id="30"/>
    <w:p>
      <w:pPr>
        <w:ind w:left="-460" w:right="20" w:firstLine="644"/>
        <w:spacing w:after="0" w:line="282" w:lineRule="auto"/>
        <w:tabs>
          <w:tab w:leader="none" w:pos="1353"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Jurisdiction</w:t>
      </w:r>
      <w:r>
        <w:rPr>
          <w:rFonts w:ascii="Times New Roman" w:cs="Times New Roman" w:eastAsia="Times New Roman" w:hAnsi="Times New Roman"/>
          <w:sz w:val="18"/>
          <w:szCs w:val="18"/>
          <w:color w:val="auto"/>
        </w:rPr>
        <w:t>. All questions concerning the construction, validity, enforcement and interpretation of this Warrant shall be determined in accordance with the provisions of the Purchase Agreement.</w:t>
      </w:r>
    </w:p>
    <w:p>
      <w:pPr>
        <w:spacing w:after="0" w:line="161" w:lineRule="exact"/>
        <w:rPr>
          <w:rFonts w:ascii="Times New Roman" w:cs="Times New Roman" w:eastAsia="Times New Roman" w:hAnsi="Times New Roman"/>
          <w:sz w:val="18"/>
          <w:szCs w:val="18"/>
          <w:color w:val="auto"/>
        </w:rPr>
      </w:pPr>
    </w:p>
    <w:p>
      <w:pPr>
        <w:ind w:left="-460" w:firstLine="644"/>
        <w:spacing w:after="0" w:line="282" w:lineRule="auto"/>
        <w:tabs>
          <w:tab w:leader="none" w:pos="1203"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w:t>
      </w:r>
      <w:r>
        <w:rPr>
          <w:rFonts w:ascii="Times New Roman" w:cs="Times New Roman" w:eastAsia="Times New Roman" w:hAnsi="Times New Roman"/>
          <w:sz w:val="18"/>
          <w:szCs w:val="18"/>
          <w:color w:val="auto"/>
        </w:rPr>
        <w:t>. The Holder acknowledges that the Warrant Shares acquired upon the exercise of this Warrant, if not registered and the Holder does not utilize cashless exercise, will have restrictions upon resale imposed by state and federal securities laws.</w:t>
      </w:r>
    </w:p>
    <w:p>
      <w:pPr>
        <w:spacing w:after="0" w:line="161" w:lineRule="exact"/>
        <w:rPr>
          <w:rFonts w:ascii="Times New Roman" w:cs="Times New Roman" w:eastAsia="Times New Roman" w:hAnsi="Times New Roman"/>
          <w:sz w:val="18"/>
          <w:szCs w:val="18"/>
          <w:color w:val="auto"/>
        </w:rPr>
      </w:pPr>
    </w:p>
    <w:p>
      <w:pPr>
        <w:jc w:val="both"/>
        <w:ind w:left="-460" w:firstLine="644"/>
        <w:spacing w:after="0" w:line="256" w:lineRule="auto"/>
        <w:tabs>
          <w:tab w:leader="none" w:pos="117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Nonwaiver and Expenses</w:t>
      </w:r>
      <w:r>
        <w:rPr>
          <w:rFonts w:ascii="Times New Roman" w:cs="Times New Roman" w:eastAsia="Times New Roman" w:hAnsi="Times New Roman"/>
          <w:sz w:val="18"/>
          <w:szCs w:val="18"/>
          <w:color w:val="auto"/>
        </w:rPr>
        <w:t>. No course of dealing or any delay or failure to exercise any right hereunder on the part of Holder shall operate as a waiver of such right or otherwise prejudice the Holder’s rights, powers or remedies. Without limiting any other provision of this Warrant or the Purchase Agreement,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spacing w:after="0" w:line="187" w:lineRule="exact"/>
        <w:rPr>
          <w:rFonts w:ascii="Times New Roman" w:cs="Times New Roman" w:eastAsia="Times New Roman" w:hAnsi="Times New Roman"/>
          <w:sz w:val="18"/>
          <w:szCs w:val="18"/>
          <w:color w:val="auto"/>
        </w:rPr>
      </w:pPr>
    </w:p>
    <w:p>
      <w:pPr>
        <w:ind w:left="-460" w:right="20" w:firstLine="644"/>
        <w:spacing w:after="0" w:line="282" w:lineRule="auto"/>
        <w:tabs>
          <w:tab w:leader="none" w:pos="1147"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request or other document required or permitted to be given or delivered to the Holder by the Company shall be delivered to the address for the Holder in the Warrant Register.</w:t>
      </w:r>
    </w:p>
    <w:p>
      <w:pPr>
        <w:spacing w:after="0" w:line="161"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1193"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of Liability</w:t>
      </w:r>
      <w:r>
        <w:rPr>
          <w:rFonts w:ascii="Times New Roman" w:cs="Times New Roman" w:eastAsia="Times New Roman" w:hAnsi="Times New Roman"/>
          <w:sz w:val="18"/>
          <w:szCs w:val="18"/>
          <w:color w:val="auto"/>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Common Stock or as a stockholder of the Company, whether such liability is asserted by the Company or by creditors of the Company.</w:t>
      </w:r>
    </w:p>
    <w:p>
      <w:pPr>
        <w:spacing w:after="0" w:line="179"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131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spacing w:after="0" w:line="179"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1201"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w:t>
      </w:r>
    </w:p>
    <w:p>
      <w:pPr>
        <w:spacing w:after="0" w:line="179" w:lineRule="exact"/>
        <w:rPr>
          <w:rFonts w:ascii="Times New Roman" w:cs="Times New Roman" w:eastAsia="Times New Roman" w:hAnsi="Times New Roman"/>
          <w:sz w:val="18"/>
          <w:szCs w:val="18"/>
          <w:color w:val="auto"/>
        </w:rPr>
      </w:pPr>
    </w:p>
    <w:p>
      <w:pPr>
        <w:ind w:left="-460" w:right="20" w:firstLine="644"/>
        <w:spacing w:after="0" w:line="282" w:lineRule="auto"/>
        <w:tabs>
          <w:tab w:leader="none" w:pos="131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This Warrant may be modified or amended or the provisions hereof waived with the written consent of the Company and the Holder.</w:t>
      </w:r>
    </w:p>
    <w:p>
      <w:pPr>
        <w:spacing w:after="0" w:line="37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31" w:name="page32"/>
    <w:bookmarkEnd w:id="31"/>
    <w:p>
      <w:pPr>
        <w:jc w:val="both"/>
        <w:ind w:left="-460" w:firstLine="644"/>
        <w:spacing w:after="0" w:line="261" w:lineRule="auto"/>
        <w:tabs>
          <w:tab w:leader="none" w:pos="1211"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spacing w:after="0" w:line="179" w:lineRule="exact"/>
        <w:rPr>
          <w:rFonts w:ascii="Times New Roman" w:cs="Times New Roman" w:eastAsia="Times New Roman" w:hAnsi="Times New Roman"/>
          <w:sz w:val="18"/>
          <w:szCs w:val="18"/>
          <w:color w:val="auto"/>
        </w:rPr>
      </w:pPr>
    </w:p>
    <w:p>
      <w:pPr>
        <w:ind w:left="-460" w:firstLine="644"/>
        <w:spacing w:after="0" w:line="282" w:lineRule="auto"/>
        <w:tabs>
          <w:tab w:leader="none" w:pos="1282"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used in this Warrant are for the convenience of reference only and shall not, for any purpose, be deemed a part of this Warrant.</w:t>
      </w:r>
    </w:p>
    <w:p>
      <w:pPr>
        <w:spacing w:after="0" w:line="162"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00" w:lineRule="exact"/>
        <w:rPr>
          <w:sz w:val="20"/>
          <w:szCs w:val="20"/>
          <w:color w:val="auto"/>
        </w:rPr>
      </w:pPr>
    </w:p>
    <w:p>
      <w:pPr>
        <w:spacing w:after="0" w:line="243"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32" w:name="page33"/>
    <w:bookmarkEnd w:id="32"/>
    <w:p>
      <w:pPr>
        <w:ind w:firstLine="1296"/>
        <w:spacing w:after="0" w:line="282" w:lineRule="auto"/>
        <w:rPr>
          <w:sz w:val="20"/>
          <w:szCs w:val="20"/>
          <w:color w:val="auto"/>
        </w:rPr>
      </w:pPr>
      <w:r>
        <w:rPr>
          <w:rFonts w:ascii="Times New Roman" w:cs="Times New Roman" w:eastAsia="Times New Roman" w:hAnsi="Times New Roman"/>
          <w:sz w:val="18"/>
          <w:szCs w:val="18"/>
          <w:color w:val="auto"/>
        </w:rPr>
        <w:t>IN WITNESS WHEREOF, the Company has caused this Warrant to be executed by its officer thereunto duly authorized as of the date first above indicated.</w:t>
      </w:r>
    </w:p>
    <w:p>
      <w:pPr>
        <w:spacing w:after="0" w:line="158"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b w:val="1"/>
          <w:bCs w:val="1"/>
          <w:color w:val="auto"/>
        </w:rPr>
        <w:t>XPRESSPA GROUP, INC.</w:t>
      </w:r>
    </w:p>
    <w:p>
      <w:pPr>
        <w:spacing w:after="0" w:line="256"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26035</wp:posOffset>
            </wp:positionV>
            <wp:extent cx="327469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30"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8"/>
          <w:szCs w:val="18"/>
          <w:color w:val="auto"/>
        </w:rPr>
        <w:t>Name:</w:t>
      </w:r>
    </w:p>
    <w:p>
      <w:pPr>
        <w:spacing w:after="0" w:line="36"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33" w:name="page34"/>
    <w:bookmarkEnd w:id="33"/>
    <w:p>
      <w:pPr>
        <w:ind w:left="8680"/>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NOTICE OF EXERCISE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XPRESSPA GROUP, INC.</w:t>
      </w:r>
    </w:p>
    <w:p>
      <w:pPr>
        <w:spacing w:after="0" w:line="225" w:lineRule="exact"/>
        <w:rPr>
          <w:sz w:val="20"/>
          <w:szCs w:val="20"/>
          <w:color w:val="auto"/>
        </w:rPr>
      </w:pPr>
    </w:p>
    <w:p>
      <w:pPr>
        <w:ind w:firstLine="1304"/>
        <w:spacing w:after="0" w:line="282" w:lineRule="auto"/>
        <w:tabs>
          <w:tab w:leader="none" w:pos="165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hereby elects to purchase ________ Warrant Shares of the Company pursuant to the terms of the attached Warrant (only if exercised in full), and tenders herewith payment of the exercise price in full, together with all applicable transfer taxes, if any.</w:t>
      </w:r>
    </w:p>
    <w:p>
      <w:pPr>
        <w:spacing w:after="0" w:line="161" w:lineRule="exact"/>
        <w:rPr>
          <w:rFonts w:ascii="Times New Roman" w:cs="Times New Roman" w:eastAsia="Times New Roman" w:hAnsi="Times New Roman"/>
          <w:sz w:val="18"/>
          <w:szCs w:val="18"/>
          <w:color w:val="auto"/>
        </w:rPr>
      </w:pPr>
    </w:p>
    <w:p>
      <w:pPr>
        <w:ind w:left="1640" w:hanging="336"/>
        <w:spacing w:after="0"/>
        <w:tabs>
          <w:tab w:leader="none" w:pos="16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shall take the form of (check applicable box):</w:t>
      </w:r>
    </w:p>
    <w:p>
      <w:pPr>
        <w:spacing w:after="0" w:line="225" w:lineRule="exact"/>
        <w:rPr>
          <w:rFonts w:ascii="Times New Roman" w:cs="Times New Roman" w:eastAsia="Times New Roman" w:hAnsi="Times New Roman"/>
          <w:sz w:val="18"/>
          <w:szCs w:val="18"/>
          <w:color w:val="auto"/>
        </w:rPr>
      </w:pPr>
    </w:p>
    <w:p>
      <w:pPr>
        <w:ind w:left="2160" w:hanging="208"/>
        <w:spacing w:after="0"/>
        <w:tabs>
          <w:tab w:leader="none" w:pos="2160" w:val="left"/>
        </w:tabs>
        <w:numPr>
          <w:ilvl w:val="1"/>
          <w:numId w:val="4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in lawful money of the United States; or</w:t>
      </w:r>
    </w:p>
    <w:p>
      <w:pPr>
        <w:spacing w:after="0" w:line="225" w:lineRule="exact"/>
        <w:rPr>
          <w:rFonts w:ascii="MS PGothic" w:cs="MS PGothic" w:eastAsia="MS PGothic" w:hAnsi="MS PGothic"/>
          <w:sz w:val="18"/>
          <w:szCs w:val="18"/>
          <w:color w:val="auto"/>
        </w:rPr>
      </w:pPr>
    </w:p>
    <w:p>
      <w:pPr>
        <w:jc w:val="both"/>
        <w:ind w:left="1960" w:hanging="8"/>
        <w:spacing w:after="0" w:line="266" w:lineRule="auto"/>
        <w:tabs>
          <w:tab w:leader="none" w:pos="2181" w:val="left"/>
        </w:tabs>
        <w:numPr>
          <w:ilvl w:val="1"/>
          <w:numId w:val="4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if permitted the cancellation of such number of Warrant Shares as is necessary, in accordance with the formula set forth in subsection 2(c), to exercise this Warrant with respect to the maximum number of Warrant Shares purchasable pursuant to the cashless exercise procedure set forth in subsection 2(c).</w:t>
      </w:r>
    </w:p>
    <w:p>
      <w:pPr>
        <w:spacing w:after="0" w:line="175" w:lineRule="exact"/>
        <w:rPr>
          <w:rFonts w:ascii="MS PGothic" w:cs="MS PGothic" w:eastAsia="MS PGothic" w:hAnsi="MS PGothic"/>
          <w:sz w:val="18"/>
          <w:szCs w:val="18"/>
          <w:color w:val="auto"/>
        </w:rPr>
      </w:pPr>
    </w:p>
    <w:p>
      <w:pPr>
        <w:ind w:left="1640" w:hanging="336"/>
        <w:spacing w:after="0"/>
        <w:tabs>
          <w:tab w:leader="none" w:pos="16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issue said Warrant Shares in the name of the undersigned or in such other name as is specified below:</w:t>
      </w:r>
    </w:p>
    <w:p>
      <w:pPr>
        <w:spacing w:after="0" w:line="225" w:lineRule="exact"/>
        <w:rPr>
          <w:rFonts w:ascii="Times New Roman" w:cs="Times New Roman" w:eastAsia="Times New Roman" w:hAnsi="Times New Roman"/>
          <w:sz w:val="18"/>
          <w:szCs w:val="18"/>
          <w:color w:val="auto"/>
        </w:rPr>
      </w:pP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_______________________________</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Warrant Shares shall be delivered to the following DWAC Account Number:</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OF HOLDER]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Investing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1239520</wp:posOffset>
            </wp:positionH>
            <wp:positionV relativeFrom="paragraph">
              <wp:posOffset>17145</wp:posOffset>
            </wp:positionV>
            <wp:extent cx="58978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Signature of Authorized Signatory of Investing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2593975</wp:posOffset>
            </wp:positionH>
            <wp:positionV relativeFrom="paragraph">
              <wp:posOffset>14605</wp:posOffset>
            </wp:positionV>
            <wp:extent cx="454342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54342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Authorized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1445260</wp:posOffset>
            </wp:positionH>
            <wp:positionV relativeFrom="paragraph">
              <wp:posOffset>5715</wp:posOffset>
            </wp:positionV>
            <wp:extent cx="569214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92140"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Title of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1445260</wp:posOffset>
            </wp:positionH>
            <wp:positionV relativeFrom="paragraph">
              <wp:posOffset>14605</wp:posOffset>
            </wp:positionV>
            <wp:extent cx="569214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9214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672084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72084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9"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color w:val="auto"/>
        </w:rPr>
        <w:t>ASSIGNMENT FORM</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(To assign the foregoing Warrant, execute this form and supply required information. Do not use this form to purchase shares.)</w:t>
      </w:r>
    </w:p>
    <w:p>
      <w:pPr>
        <w:spacing w:after="0" w:line="20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FOR VALUE RECEIVED, the foregoing Warrant and all rights evidenced thereby are hereby assigned to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(Please Print)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5715</wp:posOffset>
            </wp:positionV>
            <wp:extent cx="356616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ind w:left="5620"/>
        <w:spacing w:after="0"/>
        <w:rPr>
          <w:sz w:val="20"/>
          <w:szCs w:val="20"/>
          <w:color w:val="auto"/>
        </w:rPr>
      </w:pPr>
      <w:r>
        <w:rPr>
          <w:rFonts w:ascii="Times New Roman" w:cs="Times New Roman" w:eastAsia="Times New Roman" w:hAnsi="Times New Roman"/>
          <w:sz w:val="18"/>
          <w:szCs w:val="18"/>
          <w:color w:val="auto"/>
        </w:rPr>
        <w:t>(Please Print)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5715</wp:posOffset>
            </wp:positionV>
            <wp:extent cx="356616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Dated:</w:t>
            </w:r>
          </w:p>
        </w:tc>
        <w:tc>
          <w:tcPr>
            <w:tcW w:w="3920" w:type="dxa"/>
            <w:vAlign w:val="bottom"/>
            <w:tcBorders>
              <w:bottom w:val="single" w:sz="8" w:color="auto"/>
            </w:tcBorders>
          </w:tcPr>
          <w:p>
            <w:pPr>
              <w:jc w:val="right"/>
              <w:ind w:right="1750"/>
              <w:spacing w:after="0"/>
              <w:rPr>
                <w:sz w:val="20"/>
                <w:szCs w:val="20"/>
                <w:color w:val="auto"/>
              </w:rPr>
            </w:pPr>
            <w:r>
              <w:rPr>
                <w:rFonts w:ascii="Times New Roman" w:cs="Times New Roman" w:eastAsia="Times New Roman" w:hAnsi="Times New Roman"/>
                <w:sz w:val="18"/>
                <w:szCs w:val="18"/>
                <w:color w:val="auto"/>
              </w:rPr>
              <w:t>,</w:t>
            </w:r>
          </w:p>
        </w:tc>
        <w:tc>
          <w:tcPr>
            <w:tcW w:w="5620" w:type="dxa"/>
            <w:vAlign w:val="bottom"/>
          </w:tcPr>
          <w:p>
            <w:pPr>
              <w:spacing w:after="0"/>
              <w:rPr>
                <w:sz w:val="20"/>
                <w:szCs w:val="20"/>
                <w:color w:val="auto"/>
              </w:rPr>
            </w:pPr>
          </w:p>
        </w:tc>
      </w:tr>
      <w:tr>
        <w:trPr>
          <w:trHeight w:val="209"/>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Holder’s Signature:</w:t>
            </w:r>
          </w:p>
        </w:tc>
        <w:tc>
          <w:tcPr>
            <w:tcW w:w="3920" w:type="dxa"/>
            <w:vAlign w:val="bottom"/>
            <w:tcBorders>
              <w:bottom w:val="single" w:sz="8" w:color="auto"/>
            </w:tcBorders>
          </w:tcPr>
          <w:p>
            <w:pPr>
              <w:spacing w:after="0"/>
              <w:rPr>
                <w:sz w:val="18"/>
                <w:szCs w:val="18"/>
                <w:color w:val="auto"/>
              </w:rPr>
            </w:pPr>
          </w:p>
        </w:tc>
        <w:tc>
          <w:tcPr>
            <w:tcW w:w="5620" w:type="dxa"/>
            <w:vAlign w:val="bottom"/>
          </w:tcPr>
          <w:p>
            <w:pPr>
              <w:spacing w:after="0"/>
              <w:rPr>
                <w:sz w:val="18"/>
                <w:szCs w:val="18"/>
                <w:color w:val="auto"/>
              </w:rPr>
            </w:pPr>
          </w:p>
        </w:tc>
      </w:tr>
      <w:tr>
        <w:trPr>
          <w:trHeight w:val="209"/>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Holder’s Address:</w:t>
            </w:r>
          </w:p>
        </w:tc>
        <w:tc>
          <w:tcPr>
            <w:tcW w:w="3920" w:type="dxa"/>
            <w:vAlign w:val="bottom"/>
            <w:tcBorders>
              <w:bottom w:val="single" w:sz="8" w:color="auto"/>
            </w:tcBorders>
          </w:tcPr>
          <w:p>
            <w:pPr>
              <w:spacing w:after="0"/>
              <w:rPr>
                <w:sz w:val="18"/>
                <w:szCs w:val="18"/>
                <w:color w:val="auto"/>
              </w:rPr>
            </w:pPr>
          </w:p>
        </w:tc>
        <w:tc>
          <w:tcPr>
            <w:tcW w:w="5620" w:type="dxa"/>
            <w:vAlign w:val="bottom"/>
          </w:tcPr>
          <w:p>
            <w:pPr>
              <w:spacing w:after="0"/>
              <w:rPr>
                <w:sz w:val="18"/>
                <w:szCs w:val="18"/>
                <w:color w:val="auto"/>
              </w:rPr>
            </w:pPr>
          </w:p>
        </w:tc>
      </w:tr>
      <w:tr>
        <w:trPr>
          <w:trHeight w:val="426"/>
        </w:trPr>
        <w:tc>
          <w:tcPr>
            <w:tcW w:w="170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22"/>
          <w:szCs w:val="22"/>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4728210</wp:posOffset>
            </wp:positionH>
            <wp:positionV relativeFrom="paragraph">
              <wp:posOffset>167640</wp:posOffset>
            </wp:positionV>
            <wp:extent cx="2408555" cy="15773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408555" cy="1577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21, 2020</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XpresSpa Group, Inc.</w:t>
      </w:r>
    </w:p>
    <w:p>
      <w:pPr>
        <w:ind w:left="120"/>
        <w:spacing w:after="0" w:line="205" w:lineRule="auto"/>
        <w:rPr>
          <w:sz w:val="20"/>
          <w:szCs w:val="20"/>
          <w:color w:val="auto"/>
        </w:rPr>
      </w:pPr>
      <w:r>
        <w:rPr>
          <w:rFonts w:ascii="Times New Roman" w:cs="Times New Roman" w:eastAsia="Times New Roman" w:hAnsi="Times New Roman"/>
          <w:sz w:val="18"/>
          <w:szCs w:val="18"/>
          <w:color w:val="auto"/>
        </w:rPr>
        <w:t>254 West 31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Street, 11</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New York, New York 10001</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have acted as special counsel to XpresSpa Group, Inc., a Delaware corporation (the “Company”), in connection with the filing by the Company with the Securities and Exchange Commission (the “Commission”) under the Securities Act of 1933, as amended (the “Act”), of a prospectus supplement, dated December 17, 2020 (the “Prospectus Supplement”), to the base prospectus, dated August 5, 2020 (the “Base Prospectus”), that forms a part of the registration statement on Form S-3 (Registration No. 333-240084) filed with the Commission on July 24, 2020 and declared effective by the Commission on August 5, 2020 (the “Registration Statement”). The Prospectus Supplement relates to the offer, issuance and sale of 24,509,806 shares (the “Shares”) of the Company’s common stock, par value $0.01 per share (the “Common Stock”), and warrants (the “Warrants”) to purchase an aggregate of 24,509,806 shares of Common Stock (the “Warrant Shares”), pursuant to that certain Securities Purchase Agreement (the “Purchase Agreement”), dated as of December 17, 2020, by and among the Company and each of the purchasers identified on the signature pages thereto (the “Purchasers”). The Prospectus Supplement also relates to the offer, issuance and sale of (i) warrants (the “Placement Agent Warrants”) to purchase 1,960,784 shares of Common Stock (the “Placement Agent Warrant Shares”) to designees of H.C. Wainwright &amp; Co., LLC (the “Placement Agent”) pursuant to a letter agreement, dated March 25, 2020, as amended on June 16, 2020 and December 17, 2020, between the Company and the Placement Agent (the “HCW Engagement Letter”), and the shares of Common Stock underlying the Placement Agent Warrants; and (ii) warrants (the “Palladium Warrants”) to purchase 754,902 shares of Common Stock (the “Palladium Warrant Shares”) issued to a designee of Palladium Capital Advisors, LLC (“Palladium”) pursuant to a letter agreement dated March 19, 2020, between the Company and Palladium (the “Palladium Engagement Letter”), and the shares of Common Stock underlying the Palladium Warrants.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connection herewith, we have examined:</w:t>
      </w:r>
    </w:p>
    <w:p>
      <w:pPr>
        <w:spacing w:after="0" w:line="225" w:lineRule="exact"/>
        <w:rPr>
          <w:sz w:val="20"/>
          <w:szCs w:val="20"/>
          <w:color w:val="auto"/>
        </w:rPr>
      </w:pPr>
    </w:p>
    <w:p>
      <w:pPr>
        <w:ind w:left="1300" w:hanging="644"/>
        <w:spacing w:after="0"/>
        <w:tabs>
          <w:tab w:leader="none" w:pos="13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together with the exhibits thereto;</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Base Prospectus as supplemented by the Prospectus Supplement (collectively, the “Prospectus”) and the exhibits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6200140</wp:posOffset>
            </wp:positionH>
            <wp:positionV relativeFrom="page">
              <wp:posOffset>586105</wp:posOffset>
            </wp:positionV>
            <wp:extent cx="1114425" cy="5829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clrChange>
                        <a:clrFrom>
                          <a:srgbClr val="FFFFFF"/>
                        </a:clrFrom>
                        <a:clrTo>
                          <a:srgbClr val="FFFFFF">
                            <a:alpha val="0"/>
                          </a:srgbClr>
                        </a:clrTo>
                      </a:clrChange>
                      <a:extLst>
                        <a:ext uri="{28A0092B-C50C-407E-A947-70E740481C1C}"/>
                      </a:extLst>
                    </a:blip>
                    <a:srcRect/>
                    <a:stretch>
                      <a:fillRect/>
                    </a:stretch>
                  </pic:blipFill>
                  <pic:spPr bwMode="auto">
                    <a:xfrm>
                      <a:off x="0" y="0"/>
                      <a:ext cx="1114425" cy="582930"/>
                    </a:xfrm>
                    <a:prstGeom prst="rect">
                      <a:avLst/>
                    </a:prstGeom>
                    <a:noFill/>
                  </pic:spPr>
                </pic:pic>
              </a:graphicData>
            </a:graphic>
          </wp:anchor>
        </w:drawing>
        <w:t>XpresSpa Group,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21, 2020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207" w:lineRule="exact"/>
        <w:rPr>
          <w:sz w:val="20"/>
          <w:szCs w:val="20"/>
          <w:color w:val="auto"/>
        </w:rPr>
      </w:pPr>
    </w:p>
    <w:p>
      <w:pPr>
        <w:ind w:left="1300" w:hanging="644"/>
        <w:spacing w:after="0"/>
        <w:tabs>
          <w:tab w:leader="none" w:pos="13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Agreement;</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of the Warrants;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HCW Engagement Letter;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of the Placement Agent Warrants;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Palladium Engagement Letter;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of the Palladium Warrants;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Amended and Restated Certificate of Incorporation of the Company;</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Amended and Restated Bylaws of the Company;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resolutions duly adopted by the Company’s Board of Directors or a committee thereof on July 23, 2020 and December 17, 2020.</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also examined originals or copies, certified or otherwise identified to our satisfaction, of such other corporate records, agreements and instruments of the Company, certificates of public officials and officers of the Company, and such other documents, records and instruments, and we have made such legal and factual inquiries, as we have deemed necessary or appropriate as a basis for us to render the opinions hereinafter expressed. In our examination of the foregoing, we have assumed the genuineness of all signatures, the legal competence and capacity of natural persons, the authenticity of documents submitted to us as originals and the conformity with authentic original documents of all documents submitted to us as copies or by facsimile or other means of electronic transmission, or which we obtained from the Commission’s Electronic Data Gathering, Analysis and Retrieval system (“Edgar”) or other sites maintained by a court or governmental authority or regulatory body and the authenticity of the originals of such latter documents. If any documents we examined in printed, word processed or similar form has been filed with the Commission on Edgar or such court or governmental authority or regulatory body, we have assumed that the document so filed is identical to the document we examined except for formatting changes. When relevant facts were not independently established, we have relied without independent investigation as to matters of fact upon statements of governmental officials and upon representations made in or pursuant to the Agreement and certificates and statements of appropriate representatives of the Company.</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Based upon the foregoing and in reliance thereon, and subject to the assumptions, comments, qualifications, limitations and exceptions set forth herein, we are of the opinion that:</w:t>
      </w:r>
    </w:p>
    <w:p>
      <w:pPr>
        <w:spacing w:after="0" w:line="162" w:lineRule="exact"/>
        <w:rPr>
          <w:sz w:val="20"/>
          <w:szCs w:val="20"/>
          <w:color w:val="auto"/>
        </w:rPr>
      </w:pPr>
    </w:p>
    <w:p>
      <w:pPr>
        <w:ind w:firstLine="656"/>
        <w:spacing w:after="0" w:line="282" w:lineRule="auto"/>
        <w:tabs>
          <w:tab w:leader="none" w:pos="1101"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have been duly authorized for issuance and upon due issuance and delivery in exchange for payment therefor in accordance with the terms of the Purchase Agreement, will be validly issued, fully paid and nonassessable.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336"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6200140</wp:posOffset>
            </wp:positionH>
            <wp:positionV relativeFrom="page">
              <wp:posOffset>586105</wp:posOffset>
            </wp:positionV>
            <wp:extent cx="1114425" cy="5829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clrChange>
                        <a:clrFrom>
                          <a:srgbClr val="FFFFFF"/>
                        </a:clrFrom>
                        <a:clrTo>
                          <a:srgbClr val="FFFFFF">
                            <a:alpha val="0"/>
                          </a:srgbClr>
                        </a:clrTo>
                      </a:clrChange>
                      <a:extLst>
                        <a:ext uri="{28A0092B-C50C-407E-A947-70E740481C1C}"/>
                      </a:extLst>
                    </a:blip>
                    <a:srcRect/>
                    <a:stretch>
                      <a:fillRect/>
                    </a:stretch>
                  </pic:blipFill>
                  <pic:spPr bwMode="auto">
                    <a:xfrm>
                      <a:off x="0" y="0"/>
                      <a:ext cx="1114425" cy="582930"/>
                    </a:xfrm>
                    <a:prstGeom prst="rect">
                      <a:avLst/>
                    </a:prstGeom>
                    <a:noFill/>
                  </pic:spPr>
                </pic:pic>
              </a:graphicData>
            </a:graphic>
          </wp:anchor>
        </w:drawing>
        <w:t>XpresSpa Group,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21, 2020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3</w:t>
      </w:r>
    </w:p>
    <w:p>
      <w:pPr>
        <w:spacing w:after="0" w:line="207" w:lineRule="exact"/>
        <w:rPr>
          <w:sz w:val="20"/>
          <w:szCs w:val="20"/>
          <w:color w:val="auto"/>
        </w:rPr>
      </w:pPr>
    </w:p>
    <w:p>
      <w:pPr>
        <w:jc w:val="both"/>
        <w:ind w:firstLine="656"/>
        <w:spacing w:after="0" w:line="266" w:lineRule="auto"/>
        <w:tabs>
          <w:tab w:leader="none" w:pos="115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Warrants have been duly authorized for issuance and upon due issuance and delivery in exchange for payment therefor in accordance with the terms of the Purchase Agreement, will be valid and binding obligations of the Company, enforceable against the Company in accordance with their terms.</w:t>
      </w:r>
    </w:p>
    <w:p>
      <w:pPr>
        <w:spacing w:after="0" w:line="175" w:lineRule="exact"/>
        <w:rPr>
          <w:rFonts w:ascii="Times New Roman" w:cs="Times New Roman" w:eastAsia="Times New Roman" w:hAnsi="Times New Roman"/>
          <w:sz w:val="18"/>
          <w:szCs w:val="18"/>
          <w:color w:val="auto"/>
        </w:rPr>
      </w:pPr>
    </w:p>
    <w:p>
      <w:pPr>
        <w:jc w:val="both"/>
        <w:ind w:right="20" w:firstLine="656"/>
        <w:spacing w:after="0" w:line="266" w:lineRule="auto"/>
        <w:tabs>
          <w:tab w:leader="none" w:pos="1147"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Placement Agent Warrants and the Palladium Warrants have been duly authorized for issuance and upon due issuance and delivery in exchange for payment therefor in accordance with the terms of the HCW Engagement Letter or the Palladium Engagement Letter, as applicable, will be valid and binding obligations of the Company, enforceable against the Company in accordance with their terms.</w:t>
      </w:r>
    </w:p>
    <w:p>
      <w:pPr>
        <w:spacing w:after="0" w:line="175" w:lineRule="exact"/>
        <w:rPr>
          <w:rFonts w:ascii="Times New Roman" w:cs="Times New Roman" w:eastAsia="Times New Roman" w:hAnsi="Times New Roman"/>
          <w:sz w:val="18"/>
          <w:szCs w:val="18"/>
          <w:color w:val="auto"/>
        </w:rPr>
      </w:pPr>
    </w:p>
    <w:p>
      <w:pPr>
        <w:ind w:right="20" w:firstLine="656"/>
        <w:spacing w:after="0" w:line="282" w:lineRule="auto"/>
        <w:tabs>
          <w:tab w:leader="none" w:pos="125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Warrant Shares have been duly authorized for issuance and upon due issuance and delivery in exchange for payment therefor in accordance with the terms of the Warrants, will be validly issued, fully paid and nonassessable.</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112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Placement Agent Warrant Shares and the Palladium Warrant Shares have been duly authorized for issuance and upon due issuance and delivery in exchange for payment therefor in accordance with the terms of the Placement Warrants or the Palladium Warrants, as applicable, will be validly issued, fully paid and nonassessable.</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opinions herein reflect only the application of the General Corporation Law of the State of Delaware. The opinions set forth herein are made as of the date hereof and are subject to, and may be limited by, future changes in factual matters, and we undertake no duty to advise you of the same. The opinions expressed herein are based upon the law in effect (and published or otherwise generally available) on the date hereof, and we assume no obligation to revise or supplement these opinions should such law be changed by legislative action, judicial decision or otherwise. In rendering our opinions, we have not considered, and hereby disclaim any opinion as to, the application or impact of any laws, cases, decisions, rules or regulations of any other jurisdiction, court or administrative agency.</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do not render any opinions except as set forth above. We hereby consent to the filing of this opinion letter as Exhibit 5 to the Company’s Current Report on Form 8-K filed on the date hereof, which will be incorporated by reference into the Registration Statement, and to the use of our name under the caption “Legal Matters” in the Prospectus Supplement filed as a part thereof. We also consent to your filing copies of this opinion letter as an exhibit to the Registration Statement with agencies of such jurisdictions as you deem necessary in the course of complying with the laws of such jurisdictions regarding the offering and sale of the Shares. In giving such consent, we do not thereby concede that we are within the category of persons whose consent is required under Section 7 of the Act or the rules and regulations of the Commission thereunder.</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BRYAN CAVE LEIGHTON PAISNER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336"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PURCHASE AGREEMENT</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This Securities Purchase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dated as of December 17, 2020, between XpresSpa Group,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each purchaser identified on the signature pages hereto (each, including its successors and assigns, a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Purchasers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subject to the terms and conditions set forth in this Agreement and pursuant to an effective registration statement under the Securities Act (as defined below) as to the Shares and Warrants, the Company desires to issue and sell to each Purchaser, and each Purchaser, severally and not jointly, desires to purchase from the Company, securities of the Company as more fully described in this Agreement.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mutual covenants contained in this Agreement, and for other good and valuable consideration the receipt and adequacy of which are hereby acknowledged, the Company and each Purchaser agree as follows: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DEFINITIONS</w:t>
      </w:r>
    </w:p>
    <w:p>
      <w:pPr>
        <w:spacing w:after="0" w:line="20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In addition to the terms defined elsewhere in this Agreement, for all purposes of this Agreement, the following terms have the meanings set forth in this Section 1.1:</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Acquiring Person</w:t>
      </w:r>
      <w:r>
        <w:rPr>
          <w:rFonts w:ascii="Times New Roman" w:cs="Times New Roman" w:eastAsia="Times New Roman" w:hAnsi="Times New Roman"/>
          <w:sz w:val="18"/>
          <w:szCs w:val="18"/>
          <w:color w:val="auto"/>
        </w:rPr>
        <w:t>” shall have the meaning ascribed to such term in Section 4.5.</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Action</w:t>
      </w:r>
      <w:r>
        <w:rPr>
          <w:rFonts w:ascii="Times New Roman" w:cs="Times New Roman" w:eastAsia="Times New Roman" w:hAnsi="Times New Roman"/>
          <w:sz w:val="18"/>
          <w:szCs w:val="18"/>
          <w:color w:val="auto"/>
        </w:rPr>
        <w:t>” shall have the meaning ascribed to such term in Section 3.1(j).</w:t>
      </w:r>
    </w:p>
    <w:p>
      <w:pPr>
        <w:spacing w:after="0" w:line="225"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any Person that, directly or indirectly through one or more intermediaries, controls or is controlled by or is under common control with a Person as such terms are used in and construed under Rule 405 under the Securities Act.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means the board of directors of the Company.</w:t>
      </w:r>
    </w:p>
    <w:p>
      <w:pPr>
        <w:spacing w:after="0" w:line="225"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other than Saturday, Sunday or other day on which commercial banks in The City of New York are authorized or required by law to remain closed; provided, however,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generally are open for use by customers on such day.</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means the closing of the purchase and sale of the Securities pursuant to Section 2.1.</w:t>
      </w:r>
    </w:p>
    <w:p>
      <w:pPr>
        <w:spacing w:after="0" w:line="225"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means the Trading Day on which all of the Transaction Documents have been executed and delivered by the applicable parties thereto, and all conditions precedent to (i) the Purchasers’ obligations to pay the Subscription Amount and (ii) the Company’s obligations</w:t>
      </w:r>
    </w:p>
    <w:p>
      <w:pPr>
        <w:jc w:val="both"/>
        <w:ind w:left="660"/>
        <w:spacing w:after="0" w:line="209" w:lineRule="auto"/>
        <w:rPr>
          <w:sz w:val="20"/>
          <w:szCs w:val="20"/>
          <w:color w:val="auto"/>
        </w:rPr>
      </w:pPr>
      <w:r>
        <w:rPr>
          <w:rFonts w:ascii="Times New Roman" w:cs="Times New Roman" w:eastAsia="Times New Roman" w:hAnsi="Times New Roman"/>
          <w:sz w:val="18"/>
          <w:szCs w:val="18"/>
          <w:color w:val="auto"/>
        </w:rPr>
        <w:t>to deliver the Securities, in each case, have been satisfied or waived, but in no event later than the second (2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Trading Day following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429895</wp:posOffset>
            </wp:positionV>
            <wp:extent cx="71323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9" w:name="page40"/>
    <w:bookmarkEnd w:id="39"/>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Price</w:t>
      </w:r>
      <w:r>
        <w:rPr>
          <w:rFonts w:ascii="Times New Roman" w:cs="Times New Roman" w:eastAsia="Times New Roman" w:hAnsi="Times New Roman"/>
          <w:sz w:val="18"/>
          <w:szCs w:val="18"/>
          <w:color w:val="auto"/>
        </w:rPr>
        <w:t>” means, for any date, the price determined by the first of the following clauses that applies: (a) if the Common Stock is then listed or quoted on a Trading Market, the closing price of the Common Stock for such date (or the nearest preceding date) on the Trading Market on which the Common Stock is then listed or quoted as reported by Bloomberg L.P. (based on a Trading Day from 9:30 a.m. (New York City time) to 4:02 p.m. (New York City time)), (b) if OTCQB or OTCQX is not a Trading Market, the closing price of the Common Stock for such date (or the nearest preceding date) on OTCQB or OTCQX as applicable, (c) if the Common Stock is not then listed or quoted for trading on OTCQB or OTCQX and if prices for the Common Stock are then reported in The Pink Open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Purchasers of a majority in interest of the Securities then outstanding and reasonably acceptable to the Company, the fees and expenses of which shall be paid by the Company.</w:t>
      </w:r>
    </w:p>
    <w:p>
      <w:pPr>
        <w:spacing w:after="0" w:line="19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means the United States Securities and Exchange Commission.</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means the common stock of the Company, par value $0.01 per share, and any other class of securities into which such securities may hereafter be reclassified or changed.</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 Equivalents</w:t>
      </w:r>
      <w:r>
        <w:rPr>
          <w:rFonts w:ascii="Times New Roman" w:cs="Times New Roman" w:eastAsia="Times New Roman" w:hAnsi="Times New Roman"/>
          <w:sz w:val="18"/>
          <w:szCs w:val="18"/>
          <w:color w:val="auto"/>
        </w:rPr>
        <w:t>” means any securities of the Company or the Subsidiaries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Counsel</w:t>
      </w:r>
      <w:r>
        <w:rPr>
          <w:rFonts w:ascii="Times New Roman" w:cs="Times New Roman" w:eastAsia="Times New Roman" w:hAnsi="Times New Roman"/>
          <w:sz w:val="18"/>
          <w:szCs w:val="18"/>
          <w:color w:val="auto"/>
        </w:rPr>
        <w:t>” means Bryan Cave Leighton Paisner LLP.</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Disclosure Schedules</w:t>
      </w:r>
      <w:r>
        <w:rPr>
          <w:rFonts w:ascii="Times New Roman" w:cs="Times New Roman" w:eastAsia="Times New Roman" w:hAnsi="Times New Roman"/>
          <w:sz w:val="18"/>
          <w:szCs w:val="18"/>
          <w:color w:val="auto"/>
        </w:rPr>
        <w:t>” means the Disclosure Schedules of the Company delivered concurrently herewith.</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Disclosure Time</w:t>
      </w:r>
      <w:r>
        <w:rPr>
          <w:rFonts w:ascii="Times New Roman" w:cs="Times New Roman" w:eastAsia="Times New Roman" w:hAnsi="Times New Roman"/>
          <w:sz w:val="18"/>
          <w:szCs w:val="18"/>
          <w:color w:val="auto"/>
        </w:rPr>
        <w:t>” means, (i) if this Agreement is signed on a day that is not a Trading Day or after 9:00 a.m. (New York City time) and before midnight (New York City time) on any Trading Day, 9:01 a.m. (New York City time) on the Trading Day immediately following the date hereof, unless otherwise instructed as to an earlier time by the Placement Agent, and (ii) if this Agreement is signed between midnight (New York City time) and 9:00 a.m. (New York City time) on any Trading Day, no later than 9:01 a.m. (New York City time) on the date hereof, unless otherwise instructed as to an earlier time by the Placement Agent.</w:t>
      </w:r>
    </w:p>
    <w:p>
      <w:pPr>
        <w:spacing w:after="0" w:line="399"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40" w:name="page41"/>
    <w:bookmarkEnd w:id="40"/>
    <w:p>
      <w:pPr>
        <w:ind w:left="640"/>
        <w:spacing w:after="0"/>
        <w:rPr>
          <w:sz w:val="20"/>
          <w:szCs w:val="20"/>
          <w:color w:val="auto"/>
        </w:rPr>
      </w:pPr>
      <w:r>
        <w:rPr>
          <w:rFonts w:ascii="Times New Roman" w:cs="Times New Roman" w:eastAsia="Times New Roman" w:hAnsi="Times New Roman"/>
          <w:sz w:val="18"/>
          <w:szCs w:val="18"/>
          <w:color w:val="010000"/>
        </w:rPr>
        <w:t>“</w:t>
      </w:r>
      <w:r>
        <w:rPr>
          <w:rFonts w:ascii="Times New Roman" w:cs="Times New Roman" w:eastAsia="Times New Roman" w:hAnsi="Times New Roman"/>
          <w:sz w:val="18"/>
          <w:szCs w:val="18"/>
          <w:u w:val="single" w:color="auto"/>
          <w:color w:val="010000"/>
        </w:rPr>
        <w:t>EGS</w:t>
      </w:r>
      <w:r>
        <w:rPr>
          <w:rFonts w:ascii="Times New Roman" w:cs="Times New Roman" w:eastAsia="Times New Roman" w:hAnsi="Times New Roman"/>
          <w:sz w:val="18"/>
          <w:szCs w:val="18"/>
          <w:color w:val="010000"/>
        </w:rPr>
        <w:t>” means Ellenoff Grossman &amp; Schole LLP, with offices located at 1345 Avenue of the Americas, New York, New York 10105-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10000"/>
        </w:rPr>
        <w:t>0302.</w:t>
      </w: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Evaluation Date</w:t>
      </w:r>
      <w:r>
        <w:rPr>
          <w:rFonts w:ascii="Times New Roman" w:cs="Times New Roman" w:eastAsia="Times New Roman" w:hAnsi="Times New Roman"/>
          <w:sz w:val="18"/>
          <w:szCs w:val="18"/>
          <w:color w:val="auto"/>
        </w:rPr>
        <w:t>” shall have the meaning ascribed to such term in Section 3.1(s).</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w:t>
      </w:r>
    </w:p>
    <w:p>
      <w:pPr>
        <w:spacing w:after="0" w:line="22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Exempt Issuance</w:t>
      </w:r>
      <w:r>
        <w:rPr>
          <w:rFonts w:ascii="Times New Roman" w:cs="Times New Roman" w:eastAsia="Times New Roman" w:hAnsi="Times New Roman"/>
          <w:sz w:val="17"/>
          <w:szCs w:val="17"/>
          <w:color w:val="auto"/>
        </w:rPr>
        <w:t>” means the issuance of (a) shares of Common Stock and options to officers, directors or employees of the Company after the Closing Date pursuant to plans approved by the shareholders of (or that are subject to the approval of) the Company and which issuances are approved by a majority of the independent members of a committee of the board of directors, (b) securities exercisable or exchangeable for or convertible into shares of Common Stock issued and outstanding on the date of this Agreement, provided that such securities and any term thereof have not been amended since the date of this Agreement to increase the number of such securities or to decrease the issue price, exercise price, exchange price or conversion price of such securities and which securities and the principal terms thereof are set forth on Schedule 3.1(g), and described in the SEC Reports, (c) securities issued pursuant to acquisitions or strategic transactions approved by a majority of the disinterested directors of the Company, provided that any such issuance shall only be to a Person (or to the equity holders of a Person) which is, itself or through its subsidiaries, an operating company or an owner of an asset in a business synergistic with the business of the Company and shall be intended to provide to the Company substantial additional benefits in addition to the investment of funds, but shall not include a transaction in which the Company is issuing securities primarily for the purpose of raising capital or to an entity whose primary business is investing in securities, (d) up to 25,000 shares of Common Stock, (e) securities as payment for investment banking services provided to the Company, (f) securities issued to third party vendors as payment for goods or services, (g) securities issued to the Company’s Airport Concession Disadvantaged Business Enterprise partners, (h) securities issued or issuable to the Purchaser and its assigns pursuant to this Agreement or the Warrants and other Transaction Documents or upon exercise, conversion or exchange of any such securities, (i) securities issued as payment of interest pursuant to that certain unsecured convertible note dated as July 8, 2019 by and between the Company and Calm.com, Inc, and (j) shares of Common Stock and options to consultants of the Company after the Closing Date pursuant to plans approved by the shareholders of the Company and which issuances are approved by a majority of the independent members of a committee of the board of directors. Any securities issued pursuant to the foregoing clauses (c) – (j) shall be issued as “restricted securities” (as defined in Rule 144) and carry no registration rights that require or permit the filing of any registration statement in connection therewith from the date hereof until thirty (30) days after the Closing Date.</w:t>
      </w:r>
    </w:p>
    <w:p>
      <w:pPr>
        <w:spacing w:after="0" w:line="200" w:lineRule="exact"/>
        <w:rPr>
          <w:sz w:val="20"/>
          <w:szCs w:val="20"/>
          <w:color w:val="auto"/>
        </w:rPr>
      </w:pPr>
    </w:p>
    <w:p>
      <w:pPr>
        <w:spacing w:after="0" w:line="20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FCPA</w:t>
      </w:r>
      <w:r>
        <w:rPr>
          <w:rFonts w:ascii="Times New Roman" w:cs="Times New Roman" w:eastAsia="Times New Roman" w:hAnsi="Times New Roman"/>
          <w:sz w:val="18"/>
          <w:szCs w:val="18"/>
          <w:color w:val="auto"/>
        </w:rPr>
        <w:t>” means the Foreign Corrupt Practices Act of 1977, as amended.</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shall have the meaning ascribed to such term in Section 3.1(h).</w:t>
      </w:r>
    </w:p>
    <w:p>
      <w:pPr>
        <w:spacing w:after="0" w:line="200" w:lineRule="exact"/>
        <w:rPr>
          <w:sz w:val="20"/>
          <w:szCs w:val="20"/>
          <w:color w:val="auto"/>
        </w:rPr>
      </w:pPr>
    </w:p>
    <w:p>
      <w:pPr>
        <w:spacing w:after="0" w:line="241"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41" w:name="page42"/>
    <w:bookmarkEnd w:id="41"/>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shall have the meaning ascribed to such term in Section 3.1(aa).</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 Rights</w:t>
      </w:r>
      <w:r>
        <w:rPr>
          <w:rFonts w:ascii="Times New Roman" w:cs="Times New Roman" w:eastAsia="Times New Roman" w:hAnsi="Times New Roman"/>
          <w:sz w:val="18"/>
          <w:szCs w:val="18"/>
          <w:color w:val="auto"/>
        </w:rPr>
        <w:t>” shall have the meaning ascribed to such term in Section 3.1(p).</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Liens</w:t>
      </w:r>
      <w:r>
        <w:rPr>
          <w:rFonts w:ascii="Times New Roman" w:cs="Times New Roman" w:eastAsia="Times New Roman" w:hAnsi="Times New Roman"/>
          <w:sz w:val="18"/>
          <w:szCs w:val="18"/>
          <w:color w:val="auto"/>
        </w:rPr>
        <w:t>” means a lien, charge, pledge, security interest, encumbrance, right of first refusal, preemptive right or other restriction.</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shall have the meaning assigned to such term in Section 3.1(b).</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Permits</w:t>
      </w:r>
      <w:r>
        <w:rPr>
          <w:rFonts w:ascii="Times New Roman" w:cs="Times New Roman" w:eastAsia="Times New Roman" w:hAnsi="Times New Roman"/>
          <w:sz w:val="18"/>
          <w:szCs w:val="18"/>
          <w:color w:val="auto"/>
        </w:rPr>
        <w:t>” shall have the meaning ascribed to such term in Section 3.1(n).</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Lien</w:t>
      </w:r>
      <w:r>
        <w:rPr>
          <w:rFonts w:ascii="Times New Roman" w:cs="Times New Roman" w:eastAsia="Times New Roman" w:hAnsi="Times New Roman"/>
          <w:sz w:val="18"/>
          <w:szCs w:val="18"/>
          <w:color w:val="auto"/>
        </w:rPr>
        <w:t>” means the individual and collective reference to the following: (a) Liens for taxes, assessments and other governmental charges or levies not yet due or Liens for taxes, assessments and other governmental charges or levies being contested in good faith and by appropriate proceedings for which adequate reserves (in the good faith judgment of the management of the Company) have been established in accordance with GAAP, (b) Liens imposed by law which were incurred in the ordinary course of the Company’s business, such as carriers’, warehousemen’s and mechanics’ Liens, statutory landlords’ Liens, and other similar Liens arising in the ordinary course of the Company’s business, and which (x) do not individually or in the aggregate materially detract from the value of such property or assets or materially impair the use thereof in the operation of the business of Company and its consolidated Subsidiaries or (y) are being contested in good faith by appropriate proceedings, which proceedings have the effect of preventing for the foreseeable future the forfeiture or sale of the property or asset subject to such Liens, and (c) Liens existing on the date hereof, (d) Liens incurred in connection with the construction, development and/or remodeling of existing XpresSpa locations, provided that such Liens only relate to the assets of the Subsidiary which owns and/or operates such location and only in the assets of such location with respect to such construction, development and/or remodeling, (e) Liens to the extent arising solely from the filing of protective Uniform Commercial Code financing statements in respect of equipment leased to the Company or any Subsidiary in the ordinary course of its business under true, as opposed to finance, leases, only up to the value of such leased equipment, (f) Liens securing the performance of bids, trade contracts, leases, statutory obligations, surety and appeal bonds, performance bonds, and other obligations of like nature, in each case in the ordinary course of business, (g) any interest or title of a lessor of real property secured by a lessor’s interest in such real property under any lease, (h) easements, zoning restrictions, rights-of-way and similar encumbrances on real property imposed by law or arising in the ordinary course of business that do not secure any monetary obligations and do not materially detract from the value of the affected property or interfere with the ordinary conduct of business.</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 Share Purchase Price</w:t>
      </w:r>
      <w:r>
        <w:rPr>
          <w:rFonts w:ascii="Times New Roman" w:cs="Times New Roman" w:eastAsia="Times New Roman" w:hAnsi="Times New Roman"/>
          <w:sz w:val="18"/>
          <w:szCs w:val="18"/>
          <w:color w:val="auto"/>
        </w:rPr>
        <w:t>” equals $1.70, subject to adjustment for reverse and forward stock splits, stock dividends, stock combinations and other similar transactions of the Common Stock that occur after the date of this Agreement.</w:t>
      </w:r>
    </w:p>
    <w:p>
      <w:pPr>
        <w:spacing w:after="0" w:line="378"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42" w:name="page43"/>
    <w:bookmarkEnd w:id="42"/>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Placement Agent</w:t>
      </w:r>
      <w:r>
        <w:rPr>
          <w:rFonts w:ascii="Times New Roman" w:cs="Times New Roman" w:eastAsia="Times New Roman" w:hAnsi="Times New Roman"/>
          <w:sz w:val="18"/>
          <w:szCs w:val="18"/>
          <w:color w:val="auto"/>
        </w:rPr>
        <w:t>” means H.C. Wainwright &amp; Co., LLC.</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Prefunded Warrant</w:t>
      </w:r>
      <w:r>
        <w:rPr>
          <w:rFonts w:ascii="Times New Roman" w:cs="Times New Roman" w:eastAsia="Times New Roman" w:hAnsi="Times New Roman"/>
          <w:sz w:val="18"/>
          <w:szCs w:val="18"/>
          <w:color w:val="auto"/>
        </w:rPr>
        <w:t xml:space="preserve">” means, collectively, the Pre-Funded Common Stock purchase warrants delivered to the Purchasers at the Closing in accordance with Section 2.2(a) hereof, which Pre-Funded Warrants shall be exercisable immediately and shall expire when exercised in full, in the form of </w:t>
      </w:r>
      <w:r>
        <w:rPr>
          <w:rFonts w:ascii="Times New Roman" w:cs="Times New Roman" w:eastAsia="Times New Roman" w:hAnsi="Times New Roman"/>
          <w:sz w:val="18"/>
          <w:szCs w:val="18"/>
          <w:u w:val="single" w:color="auto"/>
          <w:color w:val="auto"/>
        </w:rPr>
        <w:t>Exhibit A-1</w:t>
      </w:r>
      <w:r>
        <w:rPr>
          <w:rFonts w:ascii="Times New Roman" w:cs="Times New Roman" w:eastAsia="Times New Roman" w:hAnsi="Times New Roman"/>
          <w:sz w:val="18"/>
          <w:szCs w:val="18"/>
          <w:color w:val="auto"/>
        </w:rPr>
        <w:t xml:space="preserve"> attached hereto.</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means an action, claim, suit, investigation or proceeding (including, without limitation, an informal investigation or partial proceeding, such as a deposition), whether commenced or threatened.</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means the final prospectus filed for the Registration Statement.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Prospectus Supplement</w:t>
      </w:r>
      <w:r>
        <w:rPr>
          <w:rFonts w:ascii="Times New Roman" w:cs="Times New Roman" w:eastAsia="Times New Roman" w:hAnsi="Times New Roman"/>
          <w:sz w:val="18"/>
          <w:szCs w:val="18"/>
          <w:color w:val="auto"/>
        </w:rPr>
        <w:t>” means the supplement to the Prospectus complying with Rule 424(b) of the Securities Act that is filed with the Commission and delivered by the Company to each Purchaser at the Closing.</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Party</w:t>
      </w:r>
      <w:r>
        <w:rPr>
          <w:rFonts w:ascii="Times New Roman" w:cs="Times New Roman" w:eastAsia="Times New Roman" w:hAnsi="Times New Roman"/>
          <w:sz w:val="18"/>
          <w:szCs w:val="18"/>
          <w:color w:val="auto"/>
        </w:rPr>
        <w:t>” shall have the meaning ascribed to such term in Section 4.8.</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means the effective registration statement with Commission file No. 333-240084 which registers the sale of the Securities</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Approvals</w:t>
      </w:r>
      <w:r>
        <w:rPr>
          <w:rFonts w:ascii="Times New Roman" w:cs="Times New Roman" w:eastAsia="Times New Roman" w:hAnsi="Times New Roman"/>
          <w:sz w:val="18"/>
          <w:szCs w:val="18"/>
          <w:color w:val="auto"/>
        </w:rPr>
        <w:t>” shall have the meaning ascribed to such term in Section 3.1(e).</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144</w:t>
      </w:r>
      <w:r>
        <w:rPr>
          <w:rFonts w:ascii="Times New Roman" w:cs="Times New Roman" w:eastAsia="Times New Roman" w:hAnsi="Times New Roman"/>
          <w:sz w:val="18"/>
          <w:szCs w:val="18"/>
          <w:color w:val="auto"/>
        </w:rPr>
        <w:t>” means Rule 144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424</w:t>
      </w:r>
      <w:r>
        <w:rPr>
          <w:rFonts w:ascii="Times New Roman" w:cs="Times New Roman" w:eastAsia="Times New Roman" w:hAnsi="Times New Roman"/>
          <w:sz w:val="18"/>
          <w:szCs w:val="18"/>
          <w:color w:val="auto"/>
        </w:rPr>
        <w:t>” means Rule 424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 Reports</w:t>
      </w:r>
      <w:r>
        <w:rPr>
          <w:rFonts w:ascii="Times New Roman" w:cs="Times New Roman" w:eastAsia="Times New Roman" w:hAnsi="Times New Roman"/>
          <w:sz w:val="18"/>
          <w:szCs w:val="18"/>
          <w:color w:val="auto"/>
        </w:rPr>
        <w:t>” shall have the meaning ascribed to such term in Section 3.1(h).</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010000"/>
        </w:rPr>
        <w:t>“</w:t>
      </w:r>
      <w:r>
        <w:rPr>
          <w:rFonts w:ascii="Times New Roman" w:cs="Times New Roman" w:eastAsia="Times New Roman" w:hAnsi="Times New Roman"/>
          <w:sz w:val="18"/>
          <w:szCs w:val="18"/>
          <w:u w:val="single" w:color="auto"/>
          <w:color w:val="010000"/>
        </w:rPr>
        <w:t>Securities</w:t>
      </w:r>
      <w:r>
        <w:rPr>
          <w:rFonts w:ascii="Times New Roman" w:cs="Times New Roman" w:eastAsia="Times New Roman" w:hAnsi="Times New Roman"/>
          <w:sz w:val="18"/>
          <w:szCs w:val="18"/>
          <w:color w:val="010000"/>
        </w:rPr>
        <w:t>” means the Shares, the Warrants and the Warrant Shares.</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 and the rules and regulations promulgated thereunder.</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means the shares of Common Stock issued or issuable to each Purchaser pursuant to this Agreement.</w:t>
      </w:r>
    </w:p>
    <w:p>
      <w:pPr>
        <w:spacing w:after="0" w:line="200" w:lineRule="exact"/>
        <w:rPr>
          <w:sz w:val="20"/>
          <w:szCs w:val="20"/>
          <w:color w:val="auto"/>
        </w:rPr>
      </w:pPr>
    </w:p>
    <w:p>
      <w:pPr>
        <w:spacing w:after="0" w:line="241"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43" w:name="page44"/>
    <w:bookmarkEnd w:id="43"/>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Short Sales</w:t>
      </w:r>
      <w:r>
        <w:rPr>
          <w:rFonts w:ascii="Times New Roman" w:cs="Times New Roman" w:eastAsia="Times New Roman" w:hAnsi="Times New Roman"/>
          <w:sz w:val="18"/>
          <w:szCs w:val="18"/>
          <w:color w:val="auto"/>
        </w:rPr>
        <w:t>” means all “short sales” as defined in Rule 200 of Regulation SHO under the Exchange Act (but shall not be deemed to include locating and/or borrowing shares of Common Stock).</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Subscription Amount</w:t>
      </w:r>
      <w:r>
        <w:rPr>
          <w:rFonts w:ascii="Times New Roman" w:cs="Times New Roman" w:eastAsia="Times New Roman" w:hAnsi="Times New Roman"/>
          <w:sz w:val="18"/>
          <w:szCs w:val="18"/>
          <w:color w:val="auto"/>
        </w:rPr>
        <w:t>” means, as to each Purchaser, the aggregate amount to be paid for Shares (accompanying Warrants) purchased hereunder as specified below such Purchaser’s name on the signature page of this Agreement and next to the heading “Subscription Amount,” in United States dollars and in immediately available funds.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xml:space="preserve">” means any subsidiary of the Company as set forth on </w:t>
      </w:r>
      <w:r>
        <w:rPr>
          <w:rFonts w:ascii="Times New Roman" w:cs="Times New Roman" w:eastAsia="Times New Roman" w:hAnsi="Times New Roman"/>
          <w:sz w:val="18"/>
          <w:szCs w:val="18"/>
          <w:u w:val="single" w:color="auto"/>
          <w:color w:val="auto"/>
        </w:rPr>
        <w:t>Schedule 3.1(a)</w:t>
      </w:r>
      <w:r>
        <w:rPr>
          <w:rFonts w:ascii="Times New Roman" w:cs="Times New Roman" w:eastAsia="Times New Roman" w:hAnsi="Times New Roman"/>
          <w:sz w:val="18"/>
          <w:szCs w:val="18"/>
          <w:color w:val="auto"/>
        </w:rPr>
        <w:t>, and shall, where applicable, also include any direct or indirect subsidiary of the Company formed or acquired after the date hereof.</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means a day on which the principal Trading Market is open for trading.</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Market</w:t>
      </w:r>
      <w:r>
        <w:rPr>
          <w:rFonts w:ascii="Times New Roman" w:cs="Times New Roman" w:eastAsia="Times New Roman" w:hAnsi="Times New Roman"/>
          <w:sz w:val="18"/>
          <w:szCs w:val="18"/>
          <w:color w:val="auto"/>
        </w:rPr>
        <w:t>” means any of the following markets or exchanges on which the Common Stock is listed or quoted for trading on the date in question: the NYSE American, the Nasdaq Capital Market, the Nasdaq Global Market, the Nasdaq Global Select Market, or the New York Stock Exchange (or any successors to any of the foregoing).</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Documents</w:t>
      </w:r>
      <w:r>
        <w:rPr>
          <w:rFonts w:ascii="Times New Roman" w:cs="Times New Roman" w:eastAsia="Times New Roman" w:hAnsi="Times New Roman"/>
          <w:sz w:val="18"/>
          <w:szCs w:val="18"/>
          <w:color w:val="auto"/>
        </w:rPr>
        <w:t>” means this Agreement, the Warrants, all exhibits and schedules thereto and hereto and any other documents or agreements executed in connection with the transactions contemplated hereunder.</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 Agent</w:t>
      </w:r>
      <w:r>
        <w:rPr>
          <w:rFonts w:ascii="Times New Roman" w:cs="Times New Roman" w:eastAsia="Times New Roman" w:hAnsi="Times New Roman"/>
          <w:sz w:val="18"/>
          <w:szCs w:val="18"/>
          <w:color w:val="auto"/>
        </w:rPr>
        <w:t>” means American Stock Transfer &amp; Trust Company, LLC, located at 6201 15th Avenue, Brooklyn, NY 11219 and any successor transfer agent of the Company.</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Variable Rate Transaction</w:t>
      </w:r>
      <w:r>
        <w:rPr>
          <w:rFonts w:ascii="Times New Roman" w:cs="Times New Roman" w:eastAsia="Times New Roman" w:hAnsi="Times New Roman"/>
          <w:sz w:val="18"/>
          <w:szCs w:val="18"/>
          <w:color w:val="auto"/>
        </w:rPr>
        <w:t>” shall have the meaning ascribed to such term in Section 4.11(b).</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Warrants</w:t>
      </w:r>
      <w:r>
        <w:rPr>
          <w:rFonts w:ascii="Times New Roman" w:cs="Times New Roman" w:eastAsia="Times New Roman" w:hAnsi="Times New Roman"/>
          <w:sz w:val="18"/>
          <w:szCs w:val="18"/>
          <w:color w:val="auto"/>
        </w:rPr>
        <w:t xml:space="preserve">” means, collectively, the Prefunded Warrants, if any, and the Common Stock purchase warrants delivered to the Purchasers at the Closing in accordance with Section 2.2(a) hereof, which Warrants shall be exercisable immediately and have a term of exercise equal to twenty-four months, in the form of </w:t>
      </w:r>
      <w:r>
        <w:rPr>
          <w:rFonts w:ascii="Times New Roman" w:cs="Times New Roman" w:eastAsia="Times New Roman" w:hAnsi="Times New Roman"/>
          <w:sz w:val="18"/>
          <w:szCs w:val="18"/>
          <w:u w:val="single" w:color="auto"/>
          <w:color w:val="auto"/>
        </w:rPr>
        <w:t>Exhibit A-1</w:t>
      </w:r>
      <w:r>
        <w:rPr>
          <w:rFonts w:ascii="Times New Roman" w:cs="Times New Roman" w:eastAsia="Times New Roman" w:hAnsi="Times New Roman"/>
          <w:sz w:val="18"/>
          <w:szCs w:val="18"/>
          <w:color w:val="auto"/>
        </w:rPr>
        <w:t xml:space="preserve"> attached hereto.</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Warrant Shares</w:t>
      </w:r>
      <w:r>
        <w:rPr>
          <w:rFonts w:ascii="Times New Roman" w:cs="Times New Roman" w:eastAsia="Times New Roman" w:hAnsi="Times New Roman"/>
          <w:sz w:val="18"/>
          <w:szCs w:val="18"/>
          <w:color w:val="auto"/>
        </w:rPr>
        <w:t>” means the Common Stock issuable upon exercise of the Warrants.</w:t>
      </w:r>
    </w:p>
    <w:p>
      <w:pPr>
        <w:spacing w:after="0" w:line="200" w:lineRule="exact"/>
        <w:rPr>
          <w:sz w:val="20"/>
          <w:szCs w:val="20"/>
          <w:color w:val="auto"/>
        </w:rPr>
      </w:pPr>
    </w:p>
    <w:p>
      <w:pPr>
        <w:spacing w:after="0" w:line="241"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44" w:name="page45"/>
    <w:bookmarkEnd w:id="44"/>
    <w:tbl>
      <w:tblPr>
        <w:tblLayout w:type="fixed"/>
        <w:tblInd w:w="660" w:type="dxa"/>
        <w:tblCellMar>
          <w:top w:w="0" w:type="dxa"/>
          <w:left w:w="0" w:type="dxa"/>
          <w:bottom w:w="0" w:type="dxa"/>
          <w:right w:w="0" w:type="dxa"/>
        </w:tblCellMar>
      </w:tblPr>
      <w:tr>
        <w:trPr>
          <w:trHeight w:val="220"/>
        </w:trPr>
        <w:tc>
          <w:tcPr>
            <w:tcW w:w="540" w:type="dxa"/>
            <w:vAlign w:val="bottom"/>
          </w:tcPr>
          <w:p>
            <w:pPr>
              <w:spacing w:after="0"/>
              <w:rPr>
                <w:sz w:val="19"/>
                <w:szCs w:val="19"/>
                <w:color w:val="auto"/>
              </w:rPr>
            </w:pPr>
          </w:p>
        </w:tc>
        <w:tc>
          <w:tcPr>
            <w:tcW w:w="10040" w:type="dxa"/>
            <w:vAlign w:val="bottom"/>
          </w:tcPr>
          <w:p>
            <w:pPr>
              <w:jc w:val="center"/>
              <w:ind w:right="1110"/>
              <w:spacing w:after="0"/>
              <w:rPr>
                <w:sz w:val="20"/>
                <w:szCs w:val="20"/>
                <w:color w:val="auto"/>
              </w:rPr>
            </w:pPr>
            <w:r>
              <w:rPr>
                <w:rFonts w:ascii="Times New Roman" w:cs="Times New Roman" w:eastAsia="Times New Roman" w:hAnsi="Times New Roman"/>
                <w:sz w:val="18"/>
                <w:szCs w:val="18"/>
                <w:b w:val="1"/>
                <w:bCs w:val="1"/>
                <w:color w:val="auto"/>
                <w:w w:val="98"/>
              </w:rPr>
              <w:t>ARTICLE II.</w:t>
            </w:r>
          </w:p>
        </w:tc>
      </w:tr>
      <w:tr>
        <w:trPr>
          <w:trHeight w:val="234"/>
        </w:trPr>
        <w:tc>
          <w:tcPr>
            <w:tcW w:w="540" w:type="dxa"/>
            <w:vAlign w:val="bottom"/>
          </w:tcPr>
          <w:p>
            <w:pPr>
              <w:spacing w:after="0"/>
              <w:rPr>
                <w:sz w:val="20"/>
                <w:szCs w:val="20"/>
                <w:color w:val="auto"/>
              </w:rPr>
            </w:pPr>
          </w:p>
        </w:tc>
        <w:tc>
          <w:tcPr>
            <w:tcW w:w="10040" w:type="dxa"/>
            <w:vAlign w:val="bottom"/>
          </w:tcPr>
          <w:p>
            <w:pPr>
              <w:jc w:val="center"/>
              <w:ind w:right="1110"/>
              <w:spacing w:after="0"/>
              <w:rPr>
                <w:sz w:val="20"/>
                <w:szCs w:val="20"/>
                <w:color w:val="auto"/>
              </w:rPr>
            </w:pPr>
            <w:r>
              <w:rPr>
                <w:rFonts w:ascii="Times New Roman" w:cs="Times New Roman" w:eastAsia="Times New Roman" w:hAnsi="Times New Roman"/>
                <w:sz w:val="18"/>
                <w:szCs w:val="18"/>
                <w:color w:val="auto"/>
              </w:rPr>
              <w:t>PURCHASE AND SALE</w:t>
            </w:r>
          </w:p>
        </w:tc>
      </w:tr>
      <w:tr>
        <w:trPr>
          <w:trHeight w:val="432"/>
        </w:trPr>
        <w:tc>
          <w:tcPr>
            <w:tcW w:w="5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2.1</w:t>
            </w:r>
          </w:p>
        </w:tc>
        <w:tc>
          <w:tcPr>
            <w:tcW w:w="10040" w:type="dxa"/>
            <w:vAlign w:val="bottom"/>
          </w:tcPr>
          <w:p>
            <w:pPr>
              <w:ind w:left="320"/>
              <w:spacing w:after="0"/>
              <w:rPr>
                <w:sz w:val="20"/>
                <w:szCs w:val="20"/>
                <w:color w:val="auto"/>
              </w:rPr>
            </w:pPr>
            <w:r>
              <w:rPr>
                <w:rFonts w:ascii="Times New Roman" w:cs="Times New Roman" w:eastAsia="Times New Roman" w:hAnsi="Times New Roman"/>
                <w:sz w:val="18"/>
                <w:szCs w:val="18"/>
                <w:u w:val="single" w:color="auto"/>
                <w:color w:val="auto"/>
                <w:w w:val="99"/>
              </w:rPr>
              <w:t>Closing</w:t>
            </w:r>
            <w:r>
              <w:rPr>
                <w:rFonts w:ascii="Times New Roman" w:cs="Times New Roman" w:eastAsia="Times New Roman" w:hAnsi="Times New Roman"/>
                <w:sz w:val="18"/>
                <w:szCs w:val="18"/>
                <w:color w:val="auto"/>
                <w:w w:val="99"/>
              </w:rPr>
              <w:t>. On the Closing Date, upon the terms and subject to the conditions set forth herein, substantially concurrent with the execution</w:t>
            </w:r>
          </w:p>
        </w:tc>
      </w:tr>
    </w:tbl>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and delivery of this Agreement by the parties hereto, the Company agrees to sell, and the Purchasers, severally and not jointly, agree to purchase, an aggregate of up to $41,666,670.20 of Shares and Warrants,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w:t>
      </w:r>
      <w:r>
        <w:rPr>
          <w:rFonts w:ascii="Times New Roman" w:cs="Times New Roman" w:eastAsia="Times New Roman" w:hAnsi="Times New Roman"/>
          <w:sz w:val="18"/>
          <w:szCs w:val="18"/>
          <w:color w:val="auto"/>
        </w:rPr>
        <w:t xml:space="preserve">r, that, to the extent that a Purchaser determines, in its sole discretion, that such Purchaser (together with such Purchaser’s Affiliates, and any Person acting as a group together with such purchaser or any of such Purchaser’s Affiliates) would beneficially own in excess of the Beneficial Ownership Limitation, or as such Purchaser may otherwise choose, in lieu of purchasing Shares such Purchaser may elect to purchase Prefunded Warrants in lieu of Shares in such manner to result in the same aggregate purchase price being paid by such Purchaser to the Company. The </w:t>
      </w:r>
      <w:r>
        <w:rPr>
          <w:rFonts w:ascii="Times New Roman" w:cs="Times New Roman" w:eastAsia="Times New Roman" w:hAnsi="Times New Roman"/>
          <w:sz w:val="18"/>
          <w:szCs w:val="18"/>
          <w:u w:val="single" w:color="auto"/>
          <w:color w:val="auto"/>
        </w:rPr>
        <w:t>“Beneficial Ownership Limitation</w:t>
      </w:r>
      <w:r>
        <w:rPr>
          <w:rFonts w:ascii="Times New Roman" w:cs="Times New Roman" w:eastAsia="Times New Roman" w:hAnsi="Times New Roman"/>
          <w:sz w:val="18"/>
          <w:szCs w:val="18"/>
          <w:color w:val="auto"/>
        </w:rPr>
        <w:t>” shall be 4.99% (or, at the election of the Purchaser at Closing, 9.99%) of the number of shares of the Common Stock outstanding immediately after giving effect to the issuance of the Securities on the Closing Date. Each Purchaser’s Subscription Amount as set forth on the signature page hereto executed by such Purchaser shall be made available for “Delivery Versus Payment” (“</w:t>
      </w:r>
      <w:r>
        <w:rPr>
          <w:rFonts w:ascii="Times New Roman" w:cs="Times New Roman" w:eastAsia="Times New Roman" w:hAnsi="Times New Roman"/>
          <w:sz w:val="18"/>
          <w:szCs w:val="18"/>
          <w:u w:val="single" w:color="auto"/>
          <w:color w:val="auto"/>
        </w:rPr>
        <w:t>DVP</w:t>
      </w:r>
      <w:r>
        <w:rPr>
          <w:rFonts w:ascii="Times New Roman" w:cs="Times New Roman" w:eastAsia="Times New Roman" w:hAnsi="Times New Roman"/>
          <w:sz w:val="18"/>
          <w:szCs w:val="18"/>
          <w:color w:val="auto"/>
        </w:rPr>
        <w:t>”) settlement with the Company or its designee. The Company shall deliver to each Purchaser its respective Shares and a Warrant as determined pursuant to Section 2.2(a), and the Company and each Purchaser shall deliver the other items set forth in Section 2.2, deliverable at the Closing. Upon satisfaction of the covenants and conditions set forth in Sections 2.2 and 2.3, the Closing shall occur at the offices of EGS or such other location as the parties shall mutually agree. Unless otherwise directed by the Placement Agent, settlement of the Shares shall occur via DVP (i.e., on the Closing Date, the Company shall issue the Shares registered in the Purchasers’ names and addresses and released by the Transfer Agent directly to the account(s) at the Placement Agent identified by each Purchaser; upon receipt of such Shares, the Placement Agent shall promptly electronically deliver such Shares to the applicable Purchaser, and payment therefor shall be made by such Placement Agent (or its clearing firm) by wire transfer to the Company). Notwithstanding anything to the contrary herein and a Purchaser’s Subscription Amount set forth on the signature pages attached hereto, the number of Shares purchased by a Purchaser (and its Affiliates) hereunder shall not, when aggregated with all other shares of Common Stock owned by such Purchaser (and its Affiliates) at such time, result in such Purchaser beneficially owning (as determined in accordance with Section 13(d) of the Exchange Act) in excess of 9.99% of the then issued and outstanding Common Stock outstanding at the Closing (the “</w:t>
      </w:r>
      <w:r>
        <w:rPr>
          <w:rFonts w:ascii="Times New Roman" w:cs="Times New Roman" w:eastAsia="Times New Roman" w:hAnsi="Times New Roman"/>
          <w:sz w:val="18"/>
          <w:szCs w:val="18"/>
          <w:u w:val="single" w:color="auto"/>
          <w:color w:val="auto"/>
        </w:rPr>
        <w:t>Beneficial Ownership Maximum</w:t>
      </w:r>
      <w:r>
        <w:rPr>
          <w:rFonts w:ascii="Times New Roman" w:cs="Times New Roman" w:eastAsia="Times New Roman" w:hAnsi="Times New Roman"/>
          <w:sz w:val="18"/>
          <w:szCs w:val="18"/>
          <w:color w:val="auto"/>
        </w:rPr>
        <w:t>”), and such Purchaser’s Subscription Amount, to the extent it would otherwise exceed the Beneficial Ownership Maximum immediately prior to the Closing, shall be conditioned upon the issuance of Shares at the Closing to the other Purchasers signatory hereto. To the extent that a Purchaser’s beneficial ownership of the Shares would otherwise be deemed to exceed the Beneficial Ownership Maximum, such Purchaser’s Subscription Amount shall automatically be reduced as necessary in order to comply with this paragraph. Notwithstanding the foregoing, with respect to any Notice(s) of Exercise (as defined in the Prefunded Warrants) delivered on or prior to 12:00 p.m. (New York City time) on the Closing Date, which may be delivered at any time after the time of execution of the this Agreement, the Company agrees to deliver the Warrant Shares subject to such notice(s) by 4:00 p.m. (New York City time) on the Closing Date and the Closing Date shall be the Warrant Share Delivery Date (as defined in the Prefunded Warrants) for purposes hereunder.</w:t>
      </w:r>
    </w:p>
    <w:p>
      <w:pPr>
        <w:spacing w:after="0" w:line="208" w:lineRule="exact"/>
        <w:rPr>
          <w:sz w:val="20"/>
          <w:szCs w:val="20"/>
          <w:color w:val="auto"/>
        </w:rPr>
      </w:pPr>
    </w:p>
    <w:p>
      <w:pPr>
        <w:ind w:left="660"/>
        <w:spacing w:after="0"/>
        <w:tabs>
          <w:tab w:leader="none" w:pos="150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7"/>
          <w:szCs w:val="17"/>
          <w:u w:val="single" w:color="auto"/>
          <w:color w:val="auto"/>
        </w:rPr>
        <w:t>Deliveries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2180" w:hanging="876"/>
        <w:spacing w:after="0"/>
        <w:tabs>
          <w:tab w:leader="none" w:pos="21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the Closing Date, the Company shall deliver or cause to be delivered to each Purchaser the following:</w:t>
      </w:r>
    </w:p>
    <w:p>
      <w:pPr>
        <w:spacing w:after="0" w:line="225" w:lineRule="exact"/>
        <w:rPr>
          <w:rFonts w:ascii="Times New Roman" w:cs="Times New Roman" w:eastAsia="Times New Roman" w:hAnsi="Times New Roman"/>
          <w:sz w:val="18"/>
          <w:szCs w:val="18"/>
          <w:color w:val="auto"/>
        </w:rPr>
      </w:pPr>
    </w:p>
    <w:p>
      <w:pPr>
        <w:ind w:left="2880" w:hanging="928"/>
        <w:spacing w:after="0"/>
        <w:tabs>
          <w:tab w:leader="none" w:pos="288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duly executed by the Company;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5" w:name="page46"/>
    <w:bookmarkEnd w:id="45"/>
    <w:p>
      <w:pPr>
        <w:ind w:left="2180" w:hanging="888"/>
        <w:spacing w:after="0"/>
        <w:tabs>
          <w:tab w:leader="none" w:pos="218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legal opinion of Company Counsel, reasonably satisfactory to the Purchasers;</w:t>
      </w:r>
    </w:p>
    <w:p>
      <w:pPr>
        <w:spacing w:after="0" w:line="225" w:lineRule="exact"/>
        <w:rPr>
          <w:rFonts w:ascii="Times New Roman" w:cs="Times New Roman" w:eastAsia="Times New Roman" w:hAnsi="Times New Roman"/>
          <w:sz w:val="18"/>
          <w:szCs w:val="18"/>
          <w:color w:val="auto"/>
        </w:rPr>
      </w:pPr>
    </w:p>
    <w:p>
      <w:pPr>
        <w:ind w:left="640" w:firstLine="652"/>
        <w:spacing w:after="0" w:line="282" w:lineRule="auto"/>
        <w:tabs>
          <w:tab w:leader="none" w:pos="2309"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last sentence of Section 2.1, the Company shall have provided each Purchaser with the Company’s wire instructions, on Company letterhead and executed by the Chief Executive Officer or Chief Financial Officer;</w:t>
      </w:r>
    </w:p>
    <w:p>
      <w:pPr>
        <w:spacing w:after="0" w:line="161" w:lineRule="exact"/>
        <w:rPr>
          <w:rFonts w:ascii="Times New Roman" w:cs="Times New Roman" w:eastAsia="Times New Roman" w:hAnsi="Times New Roman"/>
          <w:sz w:val="18"/>
          <w:szCs w:val="18"/>
          <w:color w:val="auto"/>
        </w:rPr>
      </w:pPr>
    </w:p>
    <w:p>
      <w:pPr>
        <w:jc w:val="both"/>
        <w:ind w:left="640" w:firstLine="652"/>
        <w:spacing w:after="0" w:line="261" w:lineRule="auto"/>
        <w:tabs>
          <w:tab w:leader="none" w:pos="2177"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last sentence of Section 2.1, a copy of the irrevocable instructions to the Transfer Agent instructing the Transfer Agent to deliver on an expedited basis via The Depository Trust Company Deposit or Withdrawal at Custodian system (“</w:t>
      </w:r>
      <w:r>
        <w:rPr>
          <w:rFonts w:ascii="Times New Roman" w:cs="Times New Roman" w:eastAsia="Times New Roman" w:hAnsi="Times New Roman"/>
          <w:sz w:val="18"/>
          <w:szCs w:val="18"/>
          <w:u w:val="single" w:color="auto"/>
          <w:color w:val="auto"/>
        </w:rPr>
        <w:t>DWAC</w:t>
      </w:r>
      <w:r>
        <w:rPr>
          <w:rFonts w:ascii="Times New Roman" w:cs="Times New Roman" w:eastAsia="Times New Roman" w:hAnsi="Times New Roman"/>
          <w:sz w:val="18"/>
          <w:szCs w:val="18"/>
          <w:color w:val="auto"/>
        </w:rPr>
        <w:t>”) Shares equal to such Purchaser’s Subscription Amount divided by the Per Share Purchase Price, registered in the name of such Purchaser;</w:t>
      </w:r>
    </w:p>
    <w:p>
      <w:pPr>
        <w:spacing w:after="0" w:line="179" w:lineRule="exact"/>
        <w:rPr>
          <w:rFonts w:ascii="Times New Roman" w:cs="Times New Roman" w:eastAsia="Times New Roman" w:hAnsi="Times New Roman"/>
          <w:sz w:val="18"/>
          <w:szCs w:val="18"/>
          <w:color w:val="auto"/>
        </w:rPr>
      </w:pPr>
    </w:p>
    <w:p>
      <w:pPr>
        <w:ind w:left="640" w:firstLine="652"/>
        <w:spacing w:after="0" w:line="282" w:lineRule="auto"/>
        <w:tabs>
          <w:tab w:leader="none" w:pos="2199" w:val="left"/>
        </w:tabs>
        <w:numPr>
          <w:ilvl w:val="1"/>
          <w:numId w:val="4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010000"/>
        </w:rPr>
        <w:t>a Warrant registered in the name of such Purchaser to purchase up to a number of shares of Common Stock equal to 100% of such Purchaser’s Shares, with an exercise price equal to $1.70 per Warrant Share, subject to adjustment therein;</w:t>
      </w:r>
    </w:p>
    <w:p>
      <w:pPr>
        <w:spacing w:after="0" w:line="161" w:lineRule="exact"/>
        <w:rPr>
          <w:rFonts w:ascii="Times New Roman" w:cs="Times New Roman" w:eastAsia="Times New Roman" w:hAnsi="Times New Roman"/>
          <w:sz w:val="18"/>
          <w:szCs w:val="18"/>
          <w:color w:val="010000"/>
        </w:rPr>
      </w:pPr>
    </w:p>
    <w:p>
      <w:pPr>
        <w:jc w:val="both"/>
        <w:ind w:left="640" w:firstLine="652"/>
        <w:spacing w:after="0" w:line="266" w:lineRule="auto"/>
        <w:tabs>
          <w:tab w:leader="none" w:pos="2299"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each Purchaser of Prefunded Warrants pursuant to Section 2.1, a Prefunded Warrant registered in the name of such Purchaser to purchase up to a number of shares of Common Stock equal to the portion of such Purchaser’s Subscription Amount applicable to Prefunded Warrant divided by the Per Share Purchase Price, with an exercise price equal to $0.001; </w:t>
      </w:r>
      <w:r>
        <w:rPr>
          <w:rFonts w:ascii="Times New Roman" w:cs="Times New Roman" w:eastAsia="Times New Roman" w:hAnsi="Times New Roman"/>
          <w:sz w:val="18"/>
          <w:szCs w:val="18"/>
          <w:color w:val="010000"/>
        </w:rPr>
        <w:t>and</w:t>
      </w:r>
    </w:p>
    <w:p>
      <w:pPr>
        <w:spacing w:after="0" w:line="175" w:lineRule="exact"/>
        <w:rPr>
          <w:rFonts w:ascii="Times New Roman" w:cs="Times New Roman" w:eastAsia="Times New Roman" w:hAnsi="Times New Roman"/>
          <w:sz w:val="18"/>
          <w:szCs w:val="18"/>
          <w:color w:val="auto"/>
        </w:rPr>
      </w:pPr>
    </w:p>
    <w:p>
      <w:pPr>
        <w:ind w:left="2480" w:hanging="1188"/>
        <w:spacing w:after="0"/>
        <w:tabs>
          <w:tab w:leader="none" w:pos="248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Prospectus and Prospectus Supplement (which may be delivered in accordance with Rule 172 under the</w:t>
      </w:r>
    </w:p>
    <w:p>
      <w:pPr>
        <w:spacing w:after="0" w:line="27" w:lineRule="exact"/>
        <w:rPr>
          <w:rFonts w:ascii="Times New Roman" w:cs="Times New Roman" w:eastAsia="Times New Roman" w:hAnsi="Times New Roman"/>
          <w:sz w:val="18"/>
          <w:szCs w:val="18"/>
          <w:color w:val="auto"/>
        </w:rPr>
      </w:pP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Act).</w:t>
      </w:r>
    </w:p>
    <w:p>
      <w:pPr>
        <w:spacing w:after="0" w:line="206" w:lineRule="exact"/>
        <w:rPr>
          <w:rFonts w:ascii="Times New Roman" w:cs="Times New Roman" w:eastAsia="Times New Roman" w:hAnsi="Times New Roman"/>
          <w:sz w:val="18"/>
          <w:szCs w:val="18"/>
          <w:color w:val="auto"/>
        </w:rPr>
      </w:pPr>
    </w:p>
    <w:p>
      <w:pPr>
        <w:ind w:left="1520" w:hanging="876"/>
        <w:spacing w:after="0"/>
        <w:tabs>
          <w:tab w:leader="none" w:pos="15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the Closing Date, each Purchaser shall deliver or cause to be delivered to the Company the following:</w:t>
      </w:r>
    </w:p>
    <w:p>
      <w:pPr>
        <w:spacing w:after="0" w:line="225" w:lineRule="exact"/>
        <w:rPr>
          <w:rFonts w:ascii="Times New Roman" w:cs="Times New Roman" w:eastAsia="Times New Roman" w:hAnsi="Times New Roman"/>
          <w:sz w:val="18"/>
          <w:szCs w:val="18"/>
          <w:color w:val="auto"/>
        </w:rPr>
      </w:pPr>
    </w:p>
    <w:p>
      <w:pPr>
        <w:ind w:left="2180" w:hanging="888"/>
        <w:spacing w:after="0"/>
        <w:tabs>
          <w:tab w:leader="none" w:pos="218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duly executed by such Purchaser; and</w:t>
      </w:r>
    </w:p>
    <w:p>
      <w:pPr>
        <w:spacing w:after="0" w:line="225" w:lineRule="exact"/>
        <w:rPr>
          <w:rFonts w:ascii="Times New Roman" w:cs="Times New Roman" w:eastAsia="Times New Roman" w:hAnsi="Times New Roman"/>
          <w:sz w:val="18"/>
          <w:szCs w:val="18"/>
          <w:color w:val="auto"/>
        </w:rPr>
      </w:pPr>
    </w:p>
    <w:p>
      <w:pPr>
        <w:ind w:left="640" w:right="20" w:firstLine="652"/>
        <w:spacing w:after="0" w:line="282" w:lineRule="auto"/>
        <w:tabs>
          <w:tab w:leader="none" w:pos="2209"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Purchaser’s Subscription Amount with regard to the Shares purchased by such Purchaser, which shall be made available for “Delivery Versus Payment” settlement with the Company or its designee.</w:t>
      </w:r>
    </w:p>
    <w:p>
      <w:pPr>
        <w:spacing w:after="0" w:line="162"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7"/>
          <w:szCs w:val="17"/>
          <w:u w:val="single" w:color="auto"/>
          <w:color w:val="auto"/>
        </w:rPr>
        <w:t>Closing Conditions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1520" w:hanging="876"/>
        <w:spacing w:after="0"/>
        <w:tabs>
          <w:tab w:leader="none" w:pos="15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of the Company hereunder in connection with the Closing are subject to the following conditions being met:</w:t>
      </w:r>
    </w:p>
    <w:p>
      <w:pPr>
        <w:spacing w:after="0" w:line="225" w:lineRule="exact"/>
        <w:rPr>
          <w:rFonts w:ascii="Times New Roman" w:cs="Times New Roman" w:eastAsia="Times New Roman" w:hAnsi="Times New Roman"/>
          <w:sz w:val="18"/>
          <w:szCs w:val="18"/>
          <w:color w:val="auto"/>
        </w:rPr>
      </w:pPr>
    </w:p>
    <w:p>
      <w:pPr>
        <w:jc w:val="both"/>
        <w:ind w:left="640" w:firstLine="652"/>
        <w:spacing w:after="0" w:line="266" w:lineRule="auto"/>
        <w:tabs>
          <w:tab w:leader="none" w:pos="2281"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in all material respects (or, to the extent representations or warranties are qualified by materiality or Material Adverse Effect, in all respects) when made and on the Closing Date of the representations and warranties of the Purchasers contained herein (unless as of a specific date therein in which case they shall be accurate as of such date);</w:t>
      </w:r>
    </w:p>
    <w:p>
      <w:pPr>
        <w:spacing w:after="0" w:line="392"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46" w:name="page47"/>
    <w:bookmarkEnd w:id="46"/>
    <w:p>
      <w:pPr>
        <w:ind w:left="1300" w:right="20" w:firstLine="652"/>
        <w:spacing w:after="0" w:line="282" w:lineRule="auto"/>
        <w:tabs>
          <w:tab w:leader="none" w:pos="3126"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covenants and agreements of each Purchaser under the Transaction Documents required to be performed at or prior to the Closing Date shall have been performed; and</w:t>
      </w:r>
    </w:p>
    <w:p>
      <w:pPr>
        <w:spacing w:after="0" w:line="161" w:lineRule="exact"/>
        <w:rPr>
          <w:rFonts w:ascii="Times New Roman" w:cs="Times New Roman" w:eastAsia="Times New Roman" w:hAnsi="Times New Roman"/>
          <w:sz w:val="18"/>
          <w:szCs w:val="18"/>
          <w:color w:val="auto"/>
        </w:rPr>
      </w:pPr>
    </w:p>
    <w:p>
      <w:pPr>
        <w:ind w:left="2860" w:hanging="908"/>
        <w:spacing w:after="0"/>
        <w:tabs>
          <w:tab w:leader="none" w:pos="286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delivery by each Purchaser of the items set forth in Section 2.2(b) of this Agreement.</w:t>
      </w:r>
    </w:p>
    <w:p>
      <w:pPr>
        <w:spacing w:after="0" w:line="225" w:lineRule="exact"/>
        <w:rPr>
          <w:rFonts w:ascii="Times New Roman" w:cs="Times New Roman" w:eastAsia="Times New Roman" w:hAnsi="Times New Roman"/>
          <w:sz w:val="18"/>
          <w:szCs w:val="18"/>
          <w:color w:val="auto"/>
        </w:rPr>
      </w:pPr>
    </w:p>
    <w:p>
      <w:pPr>
        <w:ind w:left="2200" w:hanging="896"/>
        <w:spacing w:after="0"/>
        <w:tabs>
          <w:tab w:leader="none" w:pos="22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respective obligations of the Purchasers hereunder in connection with the Closing are subject to the following conditions</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met:</w:t>
      </w:r>
    </w:p>
    <w:p>
      <w:pPr>
        <w:spacing w:after="0" w:line="206" w:lineRule="exact"/>
        <w:rPr>
          <w:rFonts w:ascii="Times New Roman" w:cs="Times New Roman" w:eastAsia="Times New Roman" w:hAnsi="Times New Roman"/>
          <w:sz w:val="18"/>
          <w:szCs w:val="18"/>
          <w:color w:val="auto"/>
        </w:rPr>
      </w:pPr>
    </w:p>
    <w:p>
      <w:pPr>
        <w:jc w:val="both"/>
        <w:ind w:left="1300" w:right="20" w:firstLine="652"/>
        <w:spacing w:after="0" w:line="266" w:lineRule="auto"/>
        <w:tabs>
          <w:tab w:leader="none" w:pos="2973"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in all material respects (or, to the extent representations or warranties are qualified by materiality or Material Adverse Effect, in all respects) when made and on the Closing Date of the representations and warranties of the Company contained herein (unless as of a specific date therein in which case they shall be accurate as of such date);</w:t>
      </w:r>
    </w:p>
    <w:p>
      <w:pPr>
        <w:spacing w:after="0" w:line="175" w:lineRule="exact"/>
        <w:rPr>
          <w:rFonts w:ascii="Times New Roman" w:cs="Times New Roman" w:eastAsia="Times New Roman" w:hAnsi="Times New Roman"/>
          <w:sz w:val="18"/>
          <w:szCs w:val="18"/>
          <w:color w:val="auto"/>
        </w:rPr>
      </w:pPr>
    </w:p>
    <w:p>
      <w:pPr>
        <w:ind w:left="1300" w:firstLine="652"/>
        <w:spacing w:after="0" w:line="282" w:lineRule="auto"/>
        <w:tabs>
          <w:tab w:leader="none" w:pos="318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covenants and agreements of the Company under the Transaction Documents required to be performed at or prior to the Closing Date shall have been performed;</w:t>
      </w:r>
    </w:p>
    <w:p>
      <w:pPr>
        <w:spacing w:after="0" w:line="161" w:lineRule="exact"/>
        <w:rPr>
          <w:rFonts w:ascii="Times New Roman" w:cs="Times New Roman" w:eastAsia="Times New Roman" w:hAnsi="Times New Roman"/>
          <w:sz w:val="18"/>
          <w:szCs w:val="18"/>
          <w:color w:val="auto"/>
        </w:rPr>
      </w:pPr>
    </w:p>
    <w:p>
      <w:pPr>
        <w:ind w:left="2860" w:hanging="908"/>
        <w:spacing w:after="0"/>
        <w:tabs>
          <w:tab w:leader="none" w:pos="286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delivery by the Company of the items set forth in Section 2.2(a) of this Agreement;</w:t>
      </w:r>
    </w:p>
    <w:p>
      <w:pPr>
        <w:spacing w:after="0" w:line="225" w:lineRule="exact"/>
        <w:rPr>
          <w:rFonts w:ascii="Times New Roman" w:cs="Times New Roman" w:eastAsia="Times New Roman" w:hAnsi="Times New Roman"/>
          <w:sz w:val="18"/>
          <w:szCs w:val="18"/>
          <w:color w:val="auto"/>
        </w:rPr>
      </w:pPr>
    </w:p>
    <w:p>
      <w:pPr>
        <w:ind w:left="2840" w:hanging="888"/>
        <w:spacing w:after="0"/>
        <w:tabs>
          <w:tab w:leader="none" w:pos="284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have been no Material Adverse Effect with respect to the Company since the date hereof; and</w:t>
      </w:r>
    </w:p>
    <w:p>
      <w:pPr>
        <w:spacing w:after="0" w:line="225" w:lineRule="exact"/>
        <w:rPr>
          <w:rFonts w:ascii="Times New Roman" w:cs="Times New Roman" w:eastAsia="Times New Roman" w:hAnsi="Times New Roman"/>
          <w:sz w:val="18"/>
          <w:szCs w:val="18"/>
          <w:color w:val="auto"/>
        </w:rPr>
      </w:pPr>
    </w:p>
    <w:p>
      <w:pPr>
        <w:jc w:val="both"/>
        <w:ind w:left="1300" w:firstLine="652"/>
        <w:spacing w:after="0" w:line="255" w:lineRule="auto"/>
        <w:tabs>
          <w:tab w:leader="none" w:pos="3075"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date hereof to the Closing Date, trading in the Common Stock shall not have been suspended by the Commission or the Company’s principal Trading Market, and, at any time prior to the Closing Date, trading in securities generally as reported by Bloomberg L.P. shall not have been suspended or limited, or minimum prices shall not have been established on securities whose trades are reported by such service, or on any Trading Market, nor shall a banking moratorium have been declared either by the United States or New York State authorities nor shall there have occurred any material outbreak or escalation of hostilities or other national or international calamity of such magnitude in its effect on, or any material adverse change in, any financial market which, in each case, in the reasonable judgment of such Purchaser, makes it impracticable or inadvisable to purchase the Securities at the Closing.</w:t>
      </w:r>
    </w:p>
    <w:p>
      <w:pPr>
        <w:spacing w:after="0" w:line="185" w:lineRule="exact"/>
        <w:rPr>
          <w:sz w:val="20"/>
          <w:szCs w:val="20"/>
          <w:color w:val="auto"/>
        </w:rPr>
      </w:pPr>
    </w:p>
    <w:tbl>
      <w:tblPr>
        <w:tblLayout w:type="fixed"/>
        <w:tblInd w:w="660" w:type="dxa"/>
        <w:tblCellMar>
          <w:top w:w="0" w:type="dxa"/>
          <w:left w:w="0" w:type="dxa"/>
          <w:bottom w:w="0" w:type="dxa"/>
          <w:right w:w="0" w:type="dxa"/>
        </w:tblCellMar>
      </w:tblPr>
      <w:tr>
        <w:trPr>
          <w:trHeight w:val="220"/>
        </w:trPr>
        <w:tc>
          <w:tcPr>
            <w:tcW w:w="580" w:type="dxa"/>
            <w:vAlign w:val="bottom"/>
          </w:tcPr>
          <w:p>
            <w:pPr>
              <w:spacing w:after="0"/>
              <w:rPr>
                <w:sz w:val="19"/>
                <w:szCs w:val="19"/>
                <w:color w:val="auto"/>
              </w:rPr>
            </w:pPr>
          </w:p>
        </w:tc>
        <w:tc>
          <w:tcPr>
            <w:tcW w:w="10000" w:type="dxa"/>
            <w:vAlign w:val="bottom"/>
          </w:tcPr>
          <w:p>
            <w:pPr>
              <w:jc w:val="center"/>
              <w:ind w:right="1150"/>
              <w:spacing w:after="0"/>
              <w:rPr>
                <w:sz w:val="20"/>
                <w:szCs w:val="20"/>
                <w:color w:val="auto"/>
              </w:rPr>
            </w:pPr>
            <w:r>
              <w:rPr>
                <w:rFonts w:ascii="Times New Roman" w:cs="Times New Roman" w:eastAsia="Times New Roman" w:hAnsi="Times New Roman"/>
                <w:sz w:val="18"/>
                <w:szCs w:val="18"/>
                <w:b w:val="1"/>
                <w:bCs w:val="1"/>
                <w:color w:val="auto"/>
                <w:w w:val="99"/>
              </w:rPr>
              <w:t>ARTICLE III.</w:t>
            </w:r>
          </w:p>
        </w:tc>
      </w:tr>
      <w:tr>
        <w:trPr>
          <w:trHeight w:val="234"/>
        </w:trPr>
        <w:tc>
          <w:tcPr>
            <w:tcW w:w="580" w:type="dxa"/>
            <w:vAlign w:val="bottom"/>
          </w:tcPr>
          <w:p>
            <w:pPr>
              <w:spacing w:after="0"/>
              <w:rPr>
                <w:sz w:val="20"/>
                <w:szCs w:val="20"/>
                <w:color w:val="auto"/>
              </w:rPr>
            </w:pPr>
          </w:p>
        </w:tc>
        <w:tc>
          <w:tcPr>
            <w:tcW w:w="10000" w:type="dxa"/>
            <w:vAlign w:val="bottom"/>
          </w:tcPr>
          <w:p>
            <w:pPr>
              <w:jc w:val="center"/>
              <w:ind w:right="1150"/>
              <w:spacing w:after="0"/>
              <w:rPr>
                <w:sz w:val="20"/>
                <w:szCs w:val="20"/>
                <w:color w:val="auto"/>
              </w:rPr>
            </w:pPr>
            <w:r>
              <w:rPr>
                <w:rFonts w:ascii="Times New Roman" w:cs="Times New Roman" w:eastAsia="Times New Roman" w:hAnsi="Times New Roman"/>
                <w:sz w:val="18"/>
                <w:szCs w:val="18"/>
                <w:color w:val="auto"/>
                <w:w w:val="98"/>
              </w:rPr>
              <w:t>REPRESENTATIONS AND WARRANTIES</w:t>
            </w:r>
          </w:p>
        </w:tc>
      </w:tr>
      <w:tr>
        <w:trPr>
          <w:trHeight w:val="432"/>
        </w:trPr>
        <w:tc>
          <w:tcPr>
            <w:tcW w:w="5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3.1</w:t>
            </w:r>
          </w:p>
        </w:tc>
        <w:tc>
          <w:tcPr>
            <w:tcW w:w="10000" w:type="dxa"/>
            <w:vAlign w:val="bottom"/>
          </w:tcPr>
          <w:p>
            <w:pPr>
              <w:ind w:left="380"/>
              <w:spacing w:after="0"/>
              <w:rPr>
                <w:sz w:val="20"/>
                <w:szCs w:val="20"/>
                <w:color w:val="auto"/>
              </w:rPr>
            </w:pPr>
            <w:r>
              <w:rPr>
                <w:rFonts w:ascii="Times New Roman" w:cs="Times New Roman" w:eastAsia="Times New Roman" w:hAnsi="Times New Roman"/>
                <w:sz w:val="18"/>
                <w:szCs w:val="18"/>
                <w:u w:val="single" w:color="auto"/>
                <w:color w:val="auto"/>
              </w:rPr>
              <w:t>Representations and Warranties of the Company</w:t>
            </w:r>
            <w:r>
              <w:rPr>
                <w:rFonts w:ascii="Times New Roman" w:cs="Times New Roman" w:eastAsia="Times New Roman" w:hAnsi="Times New Roman"/>
                <w:sz w:val="18"/>
                <w:szCs w:val="18"/>
                <w:color w:val="auto"/>
              </w:rPr>
              <w:t>. Except as set forth in the SEC Reports (other than with respect to Sections 3.1(b),</w:t>
            </w:r>
          </w:p>
        </w:tc>
      </w:tr>
    </w:tbl>
    <w:p>
      <w:pPr>
        <w:jc w:val="both"/>
        <w:spacing w:after="0" w:line="255" w:lineRule="auto"/>
        <w:rPr>
          <w:sz w:val="20"/>
          <w:szCs w:val="20"/>
          <w:color w:val="auto"/>
        </w:rPr>
      </w:pPr>
      <w:r>
        <w:rPr>
          <w:rFonts w:ascii="Times New Roman" w:cs="Times New Roman" w:eastAsia="Times New Roman" w:hAnsi="Times New Roman"/>
          <w:sz w:val="18"/>
          <w:szCs w:val="18"/>
          <w:color w:val="auto"/>
        </w:rPr>
        <w:t>3.1(c), 3.1(d), 3.1(e) and 3.1(g)) or the Disclosure Schedules, which Disclosure Schedules shall be deemed a part hereof and shall qualify any representation or otherwise made herein to the extent of the disclosure contained in the corresponding section of the Disclosure Schedules, the Company hereby makes the following representations and warranties to each Purchaser:</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7" w:name="page48"/>
    <w:bookmarkEnd w:id="47"/>
    <w:p>
      <w:pPr>
        <w:jc w:val="both"/>
        <w:ind w:left="-460" w:firstLine="644"/>
        <w:spacing w:after="0" w:line="261" w:lineRule="auto"/>
        <w:tabs>
          <w:tab w:leader="none" w:pos="1107"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 xml:space="preserve">. All of the direct and indirect subsidiaries of the Company are set forth on </w:t>
      </w:r>
      <w:r>
        <w:rPr>
          <w:rFonts w:ascii="Times New Roman" w:cs="Times New Roman" w:eastAsia="Times New Roman" w:hAnsi="Times New Roman"/>
          <w:sz w:val="18"/>
          <w:szCs w:val="18"/>
          <w:u w:val="single" w:color="auto"/>
          <w:color w:val="auto"/>
        </w:rPr>
        <w:t>Schedule 3.1(a)</w:t>
      </w:r>
      <w:r>
        <w:rPr>
          <w:rFonts w:ascii="Times New Roman" w:cs="Times New Roman" w:eastAsia="Times New Roman" w:hAnsi="Times New Roman"/>
          <w:sz w:val="18"/>
          <w:szCs w:val="18"/>
          <w:color w:val="auto"/>
        </w:rPr>
        <w:t>. The Company owns, directly or indirectly, all or a majority of the capital stock or other equity interests of each Subsidiary free and clear of any Liens other than Permitted Liens, and all of the issued and outstanding shares of capital stock of each Subsidiary are validly issued and are fully paid, non-assessable and free of preemptive and similar rights to subscribe for or purchase securities.</w:t>
      </w:r>
    </w:p>
    <w:p>
      <w:pPr>
        <w:spacing w:after="0" w:line="179"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1153"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 and Qualification</w:t>
      </w:r>
      <w:r>
        <w:rPr>
          <w:rFonts w:ascii="Times New Roman" w:cs="Times New Roman" w:eastAsia="Times New Roman" w:hAnsi="Times New Roman"/>
          <w:sz w:val="18"/>
          <w:szCs w:val="18"/>
          <w:color w:val="auto"/>
        </w:rPr>
        <w:t>. The Company and each of the Subsidiaries is an entity duly incorporated under the laws of the jurisdiction of its incorporation or organization, with the requisite power and authority to own and use its properties and assets and to carry on its business as currently conducted. Neither the Company nor any Subsidiary is in violation nor default of any of the provisions of its respective certificate or articles of incorporation, bylaws or other organizational or charter documents.</w:t>
      </w:r>
    </w:p>
    <w:p>
      <w:pPr>
        <w:spacing w:after="0" w:line="179" w:lineRule="exact"/>
        <w:rPr>
          <w:rFonts w:ascii="Times New Roman" w:cs="Times New Roman" w:eastAsia="Times New Roman" w:hAnsi="Times New Roman"/>
          <w:sz w:val="18"/>
          <w:szCs w:val="18"/>
          <w:color w:val="auto"/>
        </w:rPr>
      </w:pPr>
    </w:p>
    <w:p>
      <w:pPr>
        <w:jc w:val="both"/>
        <w:ind w:left="-460" w:firstLine="644"/>
        <w:spacing w:after="0" w:line="253" w:lineRule="auto"/>
        <w:tabs>
          <w:tab w:leader="none" w:pos="1148"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 Enforcement</w:t>
      </w:r>
      <w:r>
        <w:rPr>
          <w:rFonts w:ascii="Times New Roman" w:cs="Times New Roman" w:eastAsia="Times New Roman" w:hAnsi="Times New Roman"/>
          <w:sz w:val="18"/>
          <w:szCs w:val="18"/>
          <w:color w:val="auto"/>
        </w:rPr>
        <w:t>. The Company has the requisite corporate power and authority to enter into and to consummate the transactions contemplated by this Agreement and each of the other Transaction Documents and otherwise to carry out its obligations hereunder and thereunder. The execution and delivery of this Agreement and each of the other Transaction Documents by the Company and the consummation by it of the transactions contemplated hereby and thereby have been duly authorized by all necessary action on the part of the Company and no further action is required by the Company, the Board of Directors or the Company’s stockholders in connection herewith or therewith other than in connection with the Required Approvals. This Agreement and each other Transaction Document to which it is a party has been (or upon delivery will have been) duly executed by the Company and, when delivered in accordance with the terms hereof and thereof, will constitute the valid and binding obligation of the Company enforceable against the Company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191" w:lineRule="exact"/>
        <w:rPr>
          <w:rFonts w:ascii="Times New Roman" w:cs="Times New Roman" w:eastAsia="Times New Roman" w:hAnsi="Times New Roman"/>
          <w:sz w:val="18"/>
          <w:szCs w:val="18"/>
          <w:color w:val="auto"/>
        </w:rPr>
      </w:pPr>
    </w:p>
    <w:p>
      <w:pPr>
        <w:jc w:val="both"/>
        <w:ind w:left="-460" w:firstLine="644"/>
        <w:spacing w:after="0" w:line="252" w:lineRule="auto"/>
        <w:tabs>
          <w:tab w:leader="none" w:pos="1369"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Conflicts</w:t>
      </w:r>
      <w:r>
        <w:rPr>
          <w:rFonts w:ascii="Times New Roman" w:cs="Times New Roman" w:eastAsia="Times New Roman" w:hAnsi="Times New Roman"/>
          <w:sz w:val="18"/>
          <w:szCs w:val="18"/>
          <w:color w:val="auto"/>
        </w:rPr>
        <w:t xml:space="preserve">. The execution, delivery and performance by the Company of this Agreement and the other Transaction Documents to which it is a party, the issuance and sale of the Securities and the consummation by it of the transactions contemplated hereby and thereby do not and will not (i) conflict with or violate any provision of the Company’s or any Subsidiary’s certificate or articles of incorporation, bylaws or other organizational or charter documents, (ii) except as set forth on </w:t>
      </w:r>
      <w:r>
        <w:rPr>
          <w:rFonts w:ascii="Times New Roman" w:cs="Times New Roman" w:eastAsia="Times New Roman" w:hAnsi="Times New Roman"/>
          <w:sz w:val="18"/>
          <w:szCs w:val="18"/>
          <w:u w:val="single" w:color="auto"/>
          <w:color w:val="auto"/>
        </w:rPr>
        <w:t>Schedule 3.1(d)</w:t>
      </w:r>
      <w:r>
        <w:rPr>
          <w:rFonts w:ascii="Times New Roman" w:cs="Times New Roman" w:eastAsia="Times New Roman" w:hAnsi="Times New Roman"/>
          <w:sz w:val="18"/>
          <w:szCs w:val="18"/>
          <w:color w:val="auto"/>
        </w:rPr>
        <w:t>, conflict with, or constitute a default (or an event that with notice or lapse of time or both would become a default) under, result in the creation of any Lien upon any of the properties or assets of the Company or any Subsidiary, or give to others any rights of termination, amendment, anti-dilution or similar adjustments, acceleration or cancellation (with or without notice, lapse of time or both) of, any agreement, credit facility, debt or other instrument (evidencing a Company or Subsidiary debt or otherwise) or other understanding to which the Company or any Subsidiary is a party or by which any property or asset of the Company or any Subsidiary is bound or affected, or (iii) subject to the Required Approvals, conflict with or result in a violation of any law, rule, regulation, order, judgment, injunction, decree or other restriction of any court or governmental authority to which the Company or a Subsidiary is subject (including federal and state securities laws and regulations), or by which any property or asset of the Company or a Subsidiary is bound or affected; except in the case of each of clauses (ii) and (iii), such as could not have or reasonably be expected to result in (A) a material adverse effect on the legality, validity or enforceability of any Transaction Document, B) a material adverse effect on the results of operations, assets, business, prospects or condition (financial or otherwise) of the Company and the Subsidiaries, taken as a whole, or (C) a material adverse effect on the Company’s ability to perform in any material respect on a timely basis its obligations under any Transaction Document (any of (A), (B) or (C), a “</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1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48" w:name="page49"/>
    <w:bookmarkEnd w:id="48"/>
    <w:p>
      <w:pPr>
        <w:jc w:val="both"/>
        <w:ind w:left="-460" w:firstLine="644"/>
        <w:spacing w:after="0" w:line="256" w:lineRule="auto"/>
        <w:tabs>
          <w:tab w:leader="none" w:pos="113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Filings, Consents and Approvals</w:t>
      </w:r>
      <w:r>
        <w:rPr>
          <w:rFonts w:ascii="Times New Roman" w:cs="Times New Roman" w:eastAsia="Times New Roman" w:hAnsi="Times New Roman"/>
          <w:sz w:val="18"/>
          <w:szCs w:val="18"/>
          <w:color w:val="auto"/>
        </w:rPr>
        <w:t>. The Company is not required to obtain any consent, waiver, authorization or order of, give any notice to, or make any filing or registration with, any court or other federal, state, local or other governmental authority or other Person in connection with the execution, delivery and performance by the Company of the Transaction Documents, other than: (i) the filings required pursuant to Section 4.4 of this Agreement, (ii) the filing with the Commission of the Prospectus Supplement, (iii) application(s) to each applicable Trading Market for the listing of the Shares and Warrant Shares for trading thereon in the time and manner required thereby and (iv) such filings as are required to be made under applicable state securities laws (collectively, the “</w:t>
      </w:r>
      <w:r>
        <w:rPr>
          <w:rFonts w:ascii="Times New Roman" w:cs="Times New Roman" w:eastAsia="Times New Roman" w:hAnsi="Times New Roman"/>
          <w:sz w:val="18"/>
          <w:szCs w:val="18"/>
          <w:u w:val="single" w:color="auto"/>
          <w:color w:val="auto"/>
        </w:rPr>
        <w:t>Required Approvals</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jc w:val="both"/>
        <w:ind w:left="-460" w:firstLine="644"/>
        <w:spacing w:after="0" w:line="252" w:lineRule="auto"/>
        <w:tabs>
          <w:tab w:leader="none" w:pos="1101"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of the Securities; Registration</w:t>
      </w:r>
      <w:r>
        <w:rPr>
          <w:rFonts w:ascii="Times New Roman" w:cs="Times New Roman" w:eastAsia="Times New Roman" w:hAnsi="Times New Roman"/>
          <w:sz w:val="18"/>
          <w:szCs w:val="18"/>
          <w:color w:val="auto"/>
        </w:rPr>
        <w:t>. The Shares are duly authorized and, when issued and paid for in accordance with the applicable Transaction Documents, will be duly and validly issued, fully paid and nonassessable, free and clear of all Liens imposed by the Company. The Warrants are duly authorized and, when issued and paid for in accordance with the applicable Transaction Documents, will be duly and validly issued, free and clear of all Liens imposed by the Company. The Warrant Shares, when issued in accordance with the terms of the Warrants, will be validly issued, fully paid and nonassessable, free and clear of all Liens imposed by the Company. The Company has reserved from its duly authorized capital stock the maximum number of shares of Common Stock issuable pursuant to this Agreement and the Warrants. The Company has prepared and filed the Registration Statement in conformity with the requirements of the Securities Act, which became effective on August 5, 2020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including the Prospectus, and such amendments and supplements thereto as may have been required to the date of this Agreement. The Registration Statement is effective under the Securities Act and no stop order preventing or suspending the effectiveness of the Registration Statement or suspending or preventing the use of the Prospectus has been issued by the Commission and no proceedings for that purpose have been instituted or, to the knowledge of the Company, are threatened by the Commission. The Company, if required by the rules and regulations of the Commission, shall file the Prospectus with the Commission pursuant to Rule 424(b). At the time the Registration Statement and any amendments thereto became effective, at the date of this Agreement and at the Closing Date, the Registration Statement and any amendments thereto conformed and will conform in all material respects to the requirements of the Securities Act and did not and will not contain any untrue statement of a material fact or omit to state any material fact required to be stated therein or necessary to make the statements therein not misleading; and the Prospectus and any amendments or supplements thereto, at the time the Prospectus or any amendment or supplement thereto was issued and at the Closing Date, conformed and will conform in all material respects to the requirements of the Securities Act and did not and will not contain an untrue statement of a material fact or omit to state a material fact necessary in order to make the statements therein, in the light of the circumstances under which they were made, not misleading. The Company was at the time of the filing of the Registration Statement eligible to use Form S-3. The Company is eligible to use Form S-3 under the Securities Act and it meets the transaction requirements with respect in General Instruction I.B.1 of Form S-3.</w:t>
      </w:r>
    </w:p>
    <w:p>
      <w:pPr>
        <w:spacing w:after="0" w:line="200" w:lineRule="exact"/>
        <w:rPr>
          <w:sz w:val="20"/>
          <w:szCs w:val="20"/>
          <w:color w:val="auto"/>
        </w:rPr>
      </w:pPr>
    </w:p>
    <w:p>
      <w:pPr>
        <w:spacing w:after="0" w:line="204"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49" w:name="page50"/>
    <w:bookmarkEnd w:id="49"/>
    <w:p>
      <w:pPr>
        <w:jc w:val="both"/>
        <w:ind w:left="-460" w:firstLine="644"/>
        <w:spacing w:after="0" w:line="251" w:lineRule="auto"/>
        <w:tabs>
          <w:tab w:leader="none" w:pos="1207"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 xml:space="preserve">. The capitalization of the Company as of the date hereof is as set forth on </w:t>
      </w:r>
      <w:r>
        <w:rPr>
          <w:rFonts w:ascii="Times New Roman" w:cs="Times New Roman" w:eastAsia="Times New Roman" w:hAnsi="Times New Roman"/>
          <w:sz w:val="18"/>
          <w:szCs w:val="18"/>
          <w:u w:val="single" w:color="auto"/>
          <w:color w:val="auto"/>
        </w:rPr>
        <w:t>Schedule 3.1(g)</w:t>
      </w:r>
      <w:r>
        <w:rPr>
          <w:rFonts w:ascii="Times New Roman" w:cs="Times New Roman" w:eastAsia="Times New Roman" w:hAnsi="Times New Roman"/>
          <w:sz w:val="18"/>
          <w:szCs w:val="18"/>
          <w:color w:val="auto"/>
        </w:rPr>
        <w:t xml:space="preserve">, which </w:t>
      </w:r>
      <w:r>
        <w:rPr>
          <w:rFonts w:ascii="Times New Roman" w:cs="Times New Roman" w:eastAsia="Times New Roman" w:hAnsi="Times New Roman"/>
          <w:sz w:val="18"/>
          <w:szCs w:val="18"/>
          <w:u w:val="single" w:color="auto"/>
          <w:color w:val="auto"/>
        </w:rPr>
        <w:t>Schedule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3.1(g)</w:t>
      </w:r>
      <w:r>
        <w:rPr>
          <w:rFonts w:ascii="Times New Roman" w:cs="Times New Roman" w:eastAsia="Times New Roman" w:hAnsi="Times New Roman"/>
          <w:sz w:val="18"/>
          <w:szCs w:val="18"/>
          <w:color w:val="auto"/>
        </w:rPr>
        <w:t xml:space="preserve"> shall also include the number of shares of Common Stock owned beneficially, and of record, by Affiliates of the Company as of the date hereof. The Company has not issued any capital stock since its most recently filed periodic report under the Exchange Act, other than (i) pursuant to the exercise of employee stock options under the Company’s stock option plans, (ii) the issuance of shares of Common Stock to employees pursuant to the Company’s employee stock purchase plans, (iii) pursuant to the conversion and/or exercise of Common Stock Equivalents outstanding as of the date of the most recently filed periodic report under the Exchange Act and (iv) as the payment of interest with respect to outstanding indebtedness. No Person has any right of first refusal, preemptive right, right of participation, or any similar right to participate in the transactions contemplated by the Transaction Documents. Except as a result of the purchase and sale of the Securities, there are no outstanding options, warrants, scrip rights to subscribe to, calls or commitments of any character whatsoever relating to, or securities, rights or obligations convertible into or exercisable or exchangeable for, or giving any Person any right to subscribe for or acquire, any shares of Common Stock or the capital stock of any Subsidiary, or contracts, commitments, understandings or arrangements by which the Company or any Subsidiary is or may become bound to issue additional shares of Common Stock or Common Stock Equivalents or capital stock of any Subsidiary. The issuance and sale of the Securities will not obligate the Company or any Subsidiary to issue shares of Common Stock or other securities to any Person (other than the Purchasers). Except as set forth on Schedule 3.1(g), there are no outstanding securities or instruments of the Company or any Subsidiary that contain any redemption or similar provisions, and there are no contracts, commitments, understandings or arrangements by which the Company or any Subsidiary is or may become bound to redeem a security of the Company or such Subsidiary. The Company does not have any stock appreciation rights or “phantom stock” plans or agreements or any similar plan or agreement. All of the outstanding shares of capital stock of the Company are duly authorized, validly issued, fully paid and nonassessable, have been issued in material compliance with all federal and state securities laws, and none of such outstanding shares was issued in violation of any preemptive rights or similar rights to subscribe for or purchase securities. Except as contemplated by Section 3.1(e), no further approval or authorization of any stockholder, the Board of Directors or others is required for the issuance and sale of the Securities. There are no stockholders agreements, voting agreements or other similar agreements with respect to the Company’s capital stock to which the Company is a party or, to the knowledge of the Company, between or among any of the Company’s stockholders.</w:t>
      </w:r>
    </w:p>
    <w:p>
      <w:pPr>
        <w:spacing w:after="0" w:line="200" w:lineRule="exact"/>
        <w:rPr>
          <w:sz w:val="20"/>
          <w:szCs w:val="20"/>
          <w:color w:val="auto"/>
        </w:rPr>
      </w:pPr>
    </w:p>
    <w:p>
      <w:pPr>
        <w:spacing w:after="0" w:line="22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50" w:name="page51"/>
    <w:bookmarkEnd w:id="50"/>
    <w:p>
      <w:pPr>
        <w:jc w:val="both"/>
        <w:ind w:left="4" w:firstLine="644"/>
        <w:spacing w:after="0" w:line="252" w:lineRule="auto"/>
        <w:tabs>
          <w:tab w:leader="none" w:pos="1671"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 Reports; Financial Statements</w:t>
      </w:r>
      <w:r>
        <w:rPr>
          <w:rFonts w:ascii="Times New Roman" w:cs="Times New Roman" w:eastAsia="Times New Roman" w:hAnsi="Times New Roman"/>
          <w:sz w:val="18"/>
          <w:szCs w:val="18"/>
          <w:color w:val="auto"/>
        </w:rPr>
        <w:t>. The Company has filed all reports, schedules, forms, statements and other documents required to be filed by the Company under the Securities Act and the Exchange Act, including pursuant to Section 13(a) or 15(d) thereof, for the two years preceding the date hereof (or such shorter period as the Company was required by law or regulation to file such material) (the foregoing materials, including the exhibits thereto and documents incorporated by reference therein, together with the Prospectus and the Prospectus Supplement, being collectively referred to herein as the “</w:t>
      </w:r>
      <w:r>
        <w:rPr>
          <w:rFonts w:ascii="Times New Roman" w:cs="Times New Roman" w:eastAsia="Times New Roman" w:hAnsi="Times New Roman"/>
          <w:sz w:val="18"/>
          <w:szCs w:val="18"/>
          <w:u w:val="single" w:color="auto"/>
          <w:color w:val="auto"/>
        </w:rPr>
        <w:t>SEC Reports</w:t>
      </w:r>
      <w:r>
        <w:rPr>
          <w:rFonts w:ascii="Times New Roman" w:cs="Times New Roman" w:eastAsia="Times New Roman" w:hAnsi="Times New Roman"/>
          <w:sz w:val="18"/>
          <w:szCs w:val="18"/>
          <w:color w:val="auto"/>
        </w:rPr>
        <w:t>”) on a timely basis or has received a valid extension of such time of filing and has filed any such SEC Reports prior to the expiration of any such extension. As of their respective dates, the SEC Reports complied in all material respects with the requirements of the Securities Act and the Exchange Act, as applicable,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The Company has never been an issuer subject to Rule 144(i) under the Securities Act. The financial statements of the Company included in the SEC Reports comply in all material respects with applicable accounting requirements and the rules and regulations of the Commission with respect thereto as in effect at the time of filing. Such financial statements have been prepared in accordance with United States generally accepted accounting principles applied on a consistent basis during the periods involved (“</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except as may be otherwise specified in such financial statements or the notes thereto and except that unaudited financial statements may not contain all footnotes required by GAAP, and fairly present in all material respects the financial position of the Company and its consolidated Subsidiaries as of and for the dates thereof and the results of operations and cash flows for the periods then ended, subject, in the case of unaudited statements, to normal, immaterial, year-end audit adjustments.</w:t>
      </w:r>
    </w:p>
    <w:p>
      <w:pPr>
        <w:spacing w:after="0" w:line="194" w:lineRule="exact"/>
        <w:rPr>
          <w:rFonts w:ascii="Times New Roman" w:cs="Times New Roman" w:eastAsia="Times New Roman" w:hAnsi="Times New Roman"/>
          <w:sz w:val="18"/>
          <w:szCs w:val="18"/>
          <w:color w:val="auto"/>
        </w:rPr>
      </w:pPr>
    </w:p>
    <w:p>
      <w:pPr>
        <w:jc w:val="both"/>
        <w:ind w:left="4" w:firstLine="644"/>
        <w:spacing w:after="0" w:line="254" w:lineRule="auto"/>
        <w:tabs>
          <w:tab w:leader="none" w:pos="1613"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Material Changes; Undisclosed Events, Liabilities or Developments</w:t>
      </w:r>
      <w:r>
        <w:rPr>
          <w:rFonts w:ascii="Times New Roman" w:cs="Times New Roman" w:eastAsia="Times New Roman" w:hAnsi="Times New Roman"/>
          <w:sz w:val="18"/>
          <w:szCs w:val="18"/>
          <w:color w:val="auto"/>
        </w:rPr>
        <w:t xml:space="preserve">. Since the date of the latest audited financial statements included within the SEC Reports, except as set forth on </w:t>
      </w:r>
      <w:r>
        <w:rPr>
          <w:rFonts w:ascii="Times New Roman" w:cs="Times New Roman" w:eastAsia="Times New Roman" w:hAnsi="Times New Roman"/>
          <w:sz w:val="18"/>
          <w:szCs w:val="18"/>
          <w:u w:val="single" w:color="auto"/>
          <w:color w:val="auto"/>
        </w:rPr>
        <w:t>Schedule 3.1(i)</w:t>
      </w:r>
      <w:r>
        <w:rPr>
          <w:rFonts w:ascii="Times New Roman" w:cs="Times New Roman" w:eastAsia="Times New Roman" w:hAnsi="Times New Roman"/>
          <w:sz w:val="18"/>
          <w:szCs w:val="18"/>
          <w:color w:val="auto"/>
        </w:rPr>
        <w:t>, (i) there has been no event, occurrence or development that has had or that could reasonably be expected to result in a Material Adverse Effect, (ii) the Company has not incurred any material liabilities (contingent or otherwise) other than (A) trade payables and accrued expenses incurred in the ordinary course of business consistent with past practice and (B) liabilities not required to be reflected in the Company’s financial statements pursuant to GAAP or disclosed in filings made with the Commission,</w:t>
      </w:r>
    </w:p>
    <w:p>
      <w:pPr>
        <w:spacing w:after="0" w:line="3" w:lineRule="exact"/>
        <w:rPr>
          <w:rFonts w:ascii="Times New Roman" w:cs="Times New Roman" w:eastAsia="Times New Roman" w:hAnsi="Times New Roman"/>
          <w:sz w:val="18"/>
          <w:szCs w:val="18"/>
          <w:color w:val="auto"/>
        </w:rPr>
      </w:pPr>
    </w:p>
    <w:p>
      <w:pPr>
        <w:jc w:val="both"/>
        <w:ind w:left="4" w:hanging="4"/>
        <w:spacing w:after="0" w:line="251" w:lineRule="auto"/>
        <w:tabs>
          <w:tab w:leader="none" w:pos="33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has not altered its method of accounting, (iv) the Company has not declared or made any dividend or distribution of cash or other property to its stockholders or purchased, redeemed or made any agreements to purchase or redeem any shares of its capital stock and (v) the Company has not issued any equity securities to any officer, director or Affiliate, except pursuant to existing Company stock option plans. The Company does not have pending before the Commission any request for confidential treatment of information. Except for the issuance of the Securities contemplated by this Agreement or as set forth on </w:t>
      </w:r>
      <w:r>
        <w:rPr>
          <w:rFonts w:ascii="Times New Roman" w:cs="Times New Roman" w:eastAsia="Times New Roman" w:hAnsi="Times New Roman"/>
          <w:sz w:val="18"/>
          <w:szCs w:val="18"/>
          <w:u w:val="single" w:color="auto"/>
          <w:color w:val="auto"/>
        </w:rPr>
        <w:t>Schedule 3.1(i)</w:t>
      </w:r>
      <w:r>
        <w:rPr>
          <w:rFonts w:ascii="Times New Roman" w:cs="Times New Roman" w:eastAsia="Times New Roman" w:hAnsi="Times New Roman"/>
          <w:sz w:val="18"/>
          <w:szCs w:val="18"/>
          <w:color w:val="auto"/>
        </w:rPr>
        <w:t>, no event, liability, fact, circumstance, occurrence or development has occurred or exists or is reasonably expected to occur or exist with respect to the Company or its Subsidiaries or their respective businesses, prospects, properties, operations, assets or financial condition that would be required to be disclosed by the Company under applicable securities laws at the time this representation is made or deemed made that has not been publicly disclosed at least 1 Trading Day prior to the date that this representation is made.</w:t>
      </w:r>
    </w:p>
    <w:p>
      <w:pPr>
        <w:spacing w:after="0" w:line="200" w:lineRule="exact"/>
        <w:rPr>
          <w:sz w:val="20"/>
          <w:szCs w:val="20"/>
          <w:color w:val="auto"/>
        </w:rPr>
      </w:pPr>
    </w:p>
    <w:p>
      <w:pPr>
        <w:spacing w:after="0" w:line="209"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51" w:name="page52"/>
    <w:bookmarkEnd w:id="51"/>
    <w:p>
      <w:pPr>
        <w:jc w:val="both"/>
        <w:ind w:left="-460" w:firstLine="644"/>
        <w:spacing w:after="0" w:line="270" w:lineRule="auto"/>
        <w:tabs>
          <w:tab w:leader="none" w:pos="119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Litigation</w:t>
      </w:r>
      <w:r>
        <w:rPr>
          <w:rFonts w:ascii="Times New Roman" w:cs="Times New Roman" w:eastAsia="Times New Roman" w:hAnsi="Times New Roman"/>
          <w:sz w:val="17"/>
          <w:szCs w:val="17"/>
          <w:color w:val="auto"/>
        </w:rPr>
        <w:t>. There is no action, suit, inquiry, notice of violation, proceeding or investigation pending or, to the knowledge of the Company, threatened against or affecting the Company, any Subsidiary or any of their respective properties before or by any court, arbitrator, governmental or administrative agency or regulatory authority (federal, state, county, local or foreign) (collectively, an “</w:t>
      </w:r>
      <w:r>
        <w:rPr>
          <w:rFonts w:ascii="Times New Roman" w:cs="Times New Roman" w:eastAsia="Times New Roman" w:hAnsi="Times New Roman"/>
          <w:sz w:val="17"/>
          <w:szCs w:val="17"/>
          <w:u w:val="single" w:color="auto"/>
          <w:color w:val="auto"/>
        </w:rPr>
        <w:t>Action</w:t>
      </w:r>
      <w:r>
        <w:rPr>
          <w:rFonts w:ascii="Times New Roman" w:cs="Times New Roman" w:eastAsia="Times New Roman" w:hAnsi="Times New Roman"/>
          <w:sz w:val="17"/>
          <w:szCs w:val="17"/>
          <w:color w:val="auto"/>
        </w:rPr>
        <w:t xml:space="preserve">”) which (i) adversely affects or challenges the legality, validity or enforceability of any of the Transaction Documents or the Securities or (ii) except as set forth in </w:t>
      </w:r>
      <w:r>
        <w:rPr>
          <w:rFonts w:ascii="Times New Roman" w:cs="Times New Roman" w:eastAsia="Times New Roman" w:hAnsi="Times New Roman"/>
          <w:sz w:val="17"/>
          <w:szCs w:val="17"/>
          <w:u w:val="single" w:color="auto"/>
          <w:color w:val="auto"/>
        </w:rPr>
        <w:t>Schedule 3.1(j)</w:t>
      </w:r>
      <w:r>
        <w:rPr>
          <w:rFonts w:ascii="Times New Roman" w:cs="Times New Roman" w:eastAsia="Times New Roman" w:hAnsi="Times New Roman"/>
          <w:sz w:val="17"/>
          <w:szCs w:val="17"/>
          <w:color w:val="auto"/>
        </w:rPr>
        <w:t>, could, if there were an unfavorable decision, have or reasonably be expected to result in a Material Adverse Effect. Neither the Company nor any Subsidiary, nor, to the Company’s knowledge, any director or officer thereof, is or has been the subject of any Action involving a claim of violation of or liability under federal or state securities laws or a claim of breach of fiduciary duty. There has not been, and to the knowledge of the Company, there is not pending or contemplated, any investigation by the Commission involving the Company or, to the Company’s knowledge, any current or former director or officer of the Company. The Commission has not issued any stop order or other order suspending the effectiveness of any registration statement filed by the Company or any Subsidiary under the Exchange Act or the Securities Act.</w:t>
      </w:r>
    </w:p>
    <w:p>
      <w:pPr>
        <w:spacing w:after="0" w:line="176" w:lineRule="exact"/>
        <w:rPr>
          <w:rFonts w:ascii="Times New Roman" w:cs="Times New Roman" w:eastAsia="Times New Roman" w:hAnsi="Times New Roman"/>
          <w:sz w:val="17"/>
          <w:szCs w:val="17"/>
          <w:color w:val="auto"/>
        </w:rPr>
      </w:pPr>
    </w:p>
    <w:p>
      <w:pPr>
        <w:jc w:val="both"/>
        <w:ind w:left="-460" w:firstLine="644"/>
        <w:spacing w:after="0" w:line="269" w:lineRule="auto"/>
        <w:tabs>
          <w:tab w:leader="none" w:pos="1374"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Labor Relations</w:t>
      </w:r>
      <w:r>
        <w:rPr>
          <w:rFonts w:ascii="Times New Roman" w:cs="Times New Roman" w:eastAsia="Times New Roman" w:hAnsi="Times New Roman"/>
          <w:sz w:val="17"/>
          <w:szCs w:val="17"/>
          <w:color w:val="auto"/>
        </w:rPr>
        <w:t xml:space="preserve">. No labor dispute exists or, to the knowledge of the Company, is imminent with respect to any of the employees of the Company, which could reasonably be expected to result in a Material Adverse Effect. Except as disclosed on </w:t>
      </w:r>
      <w:r>
        <w:rPr>
          <w:rFonts w:ascii="Times New Roman" w:cs="Times New Roman" w:eastAsia="Times New Roman" w:hAnsi="Times New Roman"/>
          <w:sz w:val="17"/>
          <w:szCs w:val="17"/>
          <w:u w:val="single" w:color="auto"/>
          <w:color w:val="auto"/>
        </w:rPr>
        <w:t>Section 3.1(k)</w:t>
      </w:r>
      <w:r>
        <w:rPr>
          <w:rFonts w:ascii="Times New Roman" w:cs="Times New Roman" w:eastAsia="Times New Roman" w:hAnsi="Times New Roman"/>
          <w:sz w:val="17"/>
          <w:szCs w:val="17"/>
          <w:color w:val="auto"/>
        </w:rPr>
        <w:t xml:space="preserve"> of the Disclosure Schedules, none of the Company’s or its Subsidiaries’ employees is a member of a union that relates to such employee’s relationship with the Company or such Subsidiary, and neither the Company nor any of its Subsidiaries is a party to a collective bargaining agreement, and the Company and its Subsidiaries believe that their relationships with their employees are good. To the knowledge of the Company, no executive officer of the Company or any Subsidiary, is in violation of any material term of any employment contract, confidentiality, disclosure or proprietary information agreement or non-competition agreement, or any other contract or agreement or any restrictive covenant in favor of any third party, and the continued employment of each such executive officer does not subject the Company or any of its Subsidiaries to any liability with respect to any of the foregoing matters. The Company and its Subsidiaries are in compliance with all U.S. federal, state, local and foreign laws and regulations relating to employment and employment practices, terms and conditions of employment and wages and hours, except where the failure to be in compliance could not, individually or in the aggregate, reasonably be expected to have a Material Adverse Effect.</w:t>
      </w:r>
    </w:p>
    <w:p>
      <w:pPr>
        <w:spacing w:after="0" w:line="398"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52" w:name="page53"/>
    <w:bookmarkEnd w:id="52"/>
    <w:p>
      <w:pPr>
        <w:jc w:val="both"/>
        <w:ind w:left="-460" w:firstLine="644"/>
        <w:spacing w:after="0" w:line="254" w:lineRule="auto"/>
        <w:tabs>
          <w:tab w:leader="none" w:pos="128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w:t>
      </w:r>
      <w:r>
        <w:rPr>
          <w:rFonts w:ascii="Times New Roman" w:cs="Times New Roman" w:eastAsia="Times New Roman" w:hAnsi="Times New Roman"/>
          <w:sz w:val="18"/>
          <w:szCs w:val="18"/>
          <w:color w:val="auto"/>
        </w:rPr>
        <w:t xml:space="preserve">. To the Company’s knowledge, neither the Company nor any Subsidiary: (i) except as set forth on </w:t>
      </w:r>
      <w:r>
        <w:rPr>
          <w:rFonts w:ascii="Times New Roman" w:cs="Times New Roman" w:eastAsia="Times New Roman" w:hAnsi="Times New Roman"/>
          <w:sz w:val="18"/>
          <w:szCs w:val="18"/>
          <w:u w:val="single" w:color="auto"/>
          <w:color w:val="auto"/>
        </w:rPr>
        <w:t>Schedule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3.1(l)(i)</w:t>
      </w:r>
      <w:r>
        <w:rPr>
          <w:rFonts w:ascii="Times New Roman" w:cs="Times New Roman" w:eastAsia="Times New Roman" w:hAnsi="Times New Roman"/>
          <w:sz w:val="18"/>
          <w:szCs w:val="18"/>
          <w:color w:val="auto"/>
        </w:rPr>
        <w:t xml:space="preserve"> of the Disclosure Schedules, is in default under or in violation of (and no event has occurred that has not been waived that, with notice or lapse of time or both, would result in a default by the Company or any Subsidiary under), nor has the Company or any Subsidiary received notice of a claim that it is in default under or that it is in violation of, any indenture, loan or credit agreement or any other agreement or instrument to which it is a party or by which it or any of its properties is bound (whether or not such default or violation has been waived), (ii) is in violation of any judgment, decree or order of any court, arbitrator or other governmental authority or (iii) is or has been in violation of any statute, rule, ordinance or regulation of any governmental authority, including without limitation all foreign, federal, state and local laws relating to taxes, environmental protection, occupational health and safety, product quality and safety and employment and labor matters, except in each case as could not have or reasonably be expected to result in a Material Adverse Effect.</w:t>
      </w:r>
    </w:p>
    <w:p>
      <w:pPr>
        <w:spacing w:after="0" w:line="188" w:lineRule="exact"/>
        <w:rPr>
          <w:rFonts w:ascii="Times New Roman" w:cs="Times New Roman" w:eastAsia="Times New Roman" w:hAnsi="Times New Roman"/>
          <w:sz w:val="18"/>
          <w:szCs w:val="18"/>
          <w:color w:val="auto"/>
        </w:rPr>
      </w:pPr>
    </w:p>
    <w:p>
      <w:pPr>
        <w:jc w:val="both"/>
        <w:ind w:left="-460" w:firstLine="644"/>
        <w:spacing w:after="0" w:line="253" w:lineRule="auto"/>
        <w:tabs>
          <w:tab w:leader="none" w:pos="119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The Company and its Subsidiaries (i) are in compliance with all federal, state, local and foreign laws relating to pollution or protection of human health or the environment (including ambient air, surface water, groundwater, land surface or subsurface strata), including laws relating to emissions, discharges, releases or threatened releases of chemicals, pollutants, contaminants, or toxic or hazardous substances or wastes (collectively, “</w:t>
      </w:r>
      <w:r>
        <w:rPr>
          <w:rFonts w:ascii="Times New Roman" w:cs="Times New Roman" w:eastAsia="Times New Roman" w:hAnsi="Times New Roman"/>
          <w:sz w:val="18"/>
          <w:szCs w:val="18"/>
          <w:u w:val="single" w:color="auto"/>
          <w:color w:val="auto"/>
        </w:rPr>
        <w:t>Hazardous Materials</w:t>
      </w:r>
      <w:r>
        <w:rPr>
          <w:rFonts w:ascii="Times New Roman" w:cs="Times New Roman" w:eastAsia="Times New Roman" w:hAnsi="Times New Roman"/>
          <w:sz w:val="18"/>
          <w:szCs w:val="18"/>
          <w:color w:val="auto"/>
        </w:rPr>
        <w:t>”) into the environment, or otherwise relating to the manufacture, processing, distribution, use, treatment, storage, disposal, transport or handling of Hazardous Materials, as well as all authorizations, codes, decrees, demands, or demand letters, injunctions, judgments, licenses, notices or notice letters, orders, permits, plans or regulations, issued, entered, promulgated or approved thereunder (“</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(ii) have received all permits licenses or other approvals required of them under applicable Environmental Laws to conduct their respective businesses; and (iii) are in compliance with all terms and conditions of any such permit, license or approval where in each clause (i), (ii) and (iii), the failure to so comply could be reasonably expected to have, individually or in the aggregate, a Material Adverse Effect.</w:t>
      </w:r>
    </w:p>
    <w:p>
      <w:pPr>
        <w:spacing w:after="0" w:line="194"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127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Regulatory Permits</w:t>
      </w:r>
      <w:r>
        <w:rPr>
          <w:rFonts w:ascii="Times New Roman" w:cs="Times New Roman" w:eastAsia="Times New Roman" w:hAnsi="Times New Roman"/>
          <w:sz w:val="18"/>
          <w:szCs w:val="18"/>
          <w:color w:val="auto"/>
        </w:rPr>
        <w:t>. The Company and the Subsidiaries possess all certificates, authorizations and permits issued by the appropriate federal, state, local or foreign regulatory authorities necessary to conduct their respective businesses as described in the SEC Reports, except where the failure to possess such permits could not reasonably be expected to result in a Material Adverse Effect (“</w:t>
      </w:r>
      <w:r>
        <w:rPr>
          <w:rFonts w:ascii="Times New Roman" w:cs="Times New Roman" w:eastAsia="Times New Roman" w:hAnsi="Times New Roman"/>
          <w:sz w:val="18"/>
          <w:szCs w:val="18"/>
          <w:u w:val="single" w:color="auto"/>
          <w:color w:val="auto"/>
        </w:rPr>
        <w:t>Material Permits</w:t>
      </w:r>
      <w:r>
        <w:rPr>
          <w:rFonts w:ascii="Times New Roman" w:cs="Times New Roman" w:eastAsia="Times New Roman" w:hAnsi="Times New Roman"/>
          <w:sz w:val="18"/>
          <w:szCs w:val="18"/>
          <w:color w:val="auto"/>
        </w:rPr>
        <w:t>”), and neither the Company nor any Subsidiary has received any notice of proceedings relating to the revocation or modification of any Material Permit.</w:t>
      </w:r>
    </w:p>
    <w:p>
      <w:pPr>
        <w:spacing w:after="0" w:line="179" w:lineRule="exact"/>
        <w:rPr>
          <w:rFonts w:ascii="Times New Roman" w:cs="Times New Roman" w:eastAsia="Times New Roman" w:hAnsi="Times New Roman"/>
          <w:sz w:val="18"/>
          <w:szCs w:val="18"/>
          <w:color w:val="auto"/>
        </w:rPr>
      </w:pPr>
    </w:p>
    <w:p>
      <w:pPr>
        <w:jc w:val="both"/>
        <w:ind w:left="-460" w:firstLine="644"/>
        <w:spacing w:after="0" w:line="255" w:lineRule="auto"/>
        <w:tabs>
          <w:tab w:leader="none" w:pos="1086"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Title to Assets</w:t>
      </w:r>
      <w:r>
        <w:rPr>
          <w:rFonts w:ascii="Times New Roman" w:cs="Times New Roman" w:eastAsia="Times New Roman" w:hAnsi="Times New Roman"/>
          <w:sz w:val="18"/>
          <w:szCs w:val="18"/>
          <w:color w:val="auto"/>
        </w:rPr>
        <w:t>. The Company and the Subsidiaries have good and marketable title in fee simple to all real property owned by them and good and marketable title in all personal property (if any) owned by them that is material to the business of the Company and the Subsidiaries, in each case free and clear of all Liens except for Permitted Liens, except for (i) Liens as do not materially affect the value of such property and do not materially interfere with the use made and proposed to be made of such property by the Company and the Subsidiaries and (ii) Liens for the payment of federal, state or other taxes, for which appropriate reserves have been made therefor in accordance with GAAP and, the payment of which is neither delinquent nor subject to penalties. Any real property and facilities held under lease by the Company and the Subsidiaries are held by them under valid, subsisting and enforceable leases with which the Company and the Subsidiaries are in compliance.</w:t>
      </w:r>
    </w:p>
    <w:p>
      <w:pPr>
        <w:spacing w:after="0" w:line="200" w:lineRule="exact"/>
        <w:rPr>
          <w:sz w:val="20"/>
          <w:szCs w:val="20"/>
          <w:color w:val="auto"/>
        </w:rPr>
      </w:pPr>
    </w:p>
    <w:p>
      <w:pPr>
        <w:spacing w:after="0" w:line="205"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53" w:name="page54"/>
    <w:bookmarkEnd w:id="53"/>
    <w:p>
      <w:pPr>
        <w:jc w:val="both"/>
        <w:ind w:left="-460" w:firstLine="644"/>
        <w:spacing w:after="0" w:line="253" w:lineRule="auto"/>
        <w:tabs>
          <w:tab w:leader="none" w:pos="141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The Company and the Subsidiaries have, or have rights to use, all patents, patent applications, trademarks, trademark applications, service marks, trade names, trade secrets, inventions, copyrights, licenses and other intellectual property rights and similar rights necessary or required for use in connection with their respective businesses as described in the SEC Reports and which the failure to so have could have a Material Adverse Effect (collectively, the “</w:t>
      </w:r>
      <w:r>
        <w:rPr>
          <w:rFonts w:ascii="Times New Roman" w:cs="Times New Roman" w:eastAsia="Times New Roman" w:hAnsi="Times New Roman"/>
          <w:sz w:val="18"/>
          <w:szCs w:val="18"/>
          <w:u w:val="single" w:color="auto"/>
          <w:color w:val="auto"/>
        </w:rPr>
        <w:t>Intellectual Property Rights</w:t>
      </w:r>
      <w:r>
        <w:rPr>
          <w:rFonts w:ascii="Times New Roman" w:cs="Times New Roman" w:eastAsia="Times New Roman" w:hAnsi="Times New Roman"/>
          <w:sz w:val="18"/>
          <w:szCs w:val="18"/>
          <w:color w:val="auto"/>
        </w:rPr>
        <w:t>”). None of, and neither the Company nor any Subsidiary has received a notice (written or otherwise) that any of, the Intellectual Property Rights has expired, terminated or been abandoned, or is expected to expire or terminate or be abandoned, within two (2) years from the date of this Agreement. Neither the Company nor any Subsidiary has received, since the date of the latest audited financial statements included within the SEC Reports, a written notice of a claim or otherwise has any knowledge that the Intellectual Property Rights violate or infringe upon the rights of any Person, except as could not have or reasonably be expected to not have a Material Adverse Effect. To the knowledge of the Company, all such Intellectual Property Rights are enforceable and there is no existing infringement by another Person of any of the Intellectual Property Rights. The Company and its Subsidiaries have taken reasonable security measures to protect the secrecy, confidentiality and value of all of their intellectual properties, except where failure to do so could not, individually or in the aggregate, reasonably be expected to have a Material Adverse Effect.</w:t>
      </w:r>
    </w:p>
    <w:p>
      <w:pPr>
        <w:spacing w:after="0" w:line="189" w:lineRule="exact"/>
        <w:rPr>
          <w:rFonts w:ascii="Times New Roman" w:cs="Times New Roman" w:eastAsia="Times New Roman" w:hAnsi="Times New Roman"/>
          <w:sz w:val="18"/>
          <w:szCs w:val="18"/>
          <w:color w:val="auto"/>
        </w:rPr>
      </w:pPr>
    </w:p>
    <w:p>
      <w:pPr>
        <w:jc w:val="both"/>
        <w:ind w:left="-460" w:firstLine="644"/>
        <w:spacing w:after="0" w:line="258" w:lineRule="auto"/>
        <w:tabs>
          <w:tab w:leader="none" w:pos="127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The Company and the Subsidiaries are insured by insurers of recognized financial responsibility against such losses and risks and in such amounts as are prudent and customary in the businesses in which the Company and the Subsidiaries are engaged, including, but not limited to, directors and officers insurance coverage at least equal to the aggregate Subscription Amount. Neither the Company nor any Subsidiary has any reason to believe that it will not be able to renew its existing insurance coverage as and when such coverage expires or to obtain similar coverage from similar insurers as may be necessary to continue its business without a significant increase in cost.</w:t>
      </w:r>
    </w:p>
    <w:p>
      <w:pPr>
        <w:spacing w:after="0" w:line="183" w:lineRule="exact"/>
        <w:rPr>
          <w:rFonts w:ascii="Times New Roman" w:cs="Times New Roman" w:eastAsia="Times New Roman" w:hAnsi="Times New Roman"/>
          <w:sz w:val="18"/>
          <w:szCs w:val="18"/>
          <w:color w:val="auto"/>
        </w:rPr>
      </w:pPr>
    </w:p>
    <w:p>
      <w:pPr>
        <w:jc w:val="both"/>
        <w:ind w:left="-460" w:firstLine="644"/>
        <w:spacing w:after="0" w:line="254" w:lineRule="auto"/>
        <w:tabs>
          <w:tab w:leader="none" w:pos="119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Transactions With Affiliates and Employees</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u w:val="single" w:color="auto"/>
          <w:color w:val="auto"/>
        </w:rPr>
        <w:t>Schedule 3.1(r)</w:t>
      </w:r>
      <w:r>
        <w:rPr>
          <w:rFonts w:ascii="Times New Roman" w:cs="Times New Roman" w:eastAsia="Times New Roman" w:hAnsi="Times New Roman"/>
          <w:sz w:val="18"/>
          <w:szCs w:val="18"/>
          <w:color w:val="auto"/>
        </w:rPr>
        <w:t>, none of the officers or directors of the Company or any Subsidiary and, to the knowledge of the Company, none of the employees of the Company or any Subsidiary is presently a party to any transaction with the Company or any Subsidiary (other than for services as employees, officers and directors), including any contract, agreement or other arrangement providing for the furnishing of services to or by, providing for rental of real or personal property to or from, providing for the borrowing of money from or lending of money to or otherwise requiring payments to or from any officer, director or such employee or, to the knowledge of the Company, any entity in which any officer, director, or any such employee has a substantial interest or is an officer, director, trustee, stockholder, member or partner, in each case in excess of $120,000 other than for (i) payment of salary or consulting fees for services rendered, (ii) reimbursement for expenses incurred on behalf of the Company or any Subsidiary and (iii) other employee benefits, including stock option agreements under any stock option plan of the Company.</w:t>
      </w:r>
    </w:p>
    <w:p>
      <w:pPr>
        <w:spacing w:after="0" w:line="200" w:lineRule="exact"/>
        <w:rPr>
          <w:sz w:val="20"/>
          <w:szCs w:val="20"/>
          <w:color w:val="auto"/>
        </w:rPr>
      </w:pPr>
    </w:p>
    <w:p>
      <w:pPr>
        <w:spacing w:after="0" w:line="204"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54" w:name="page55"/>
    <w:bookmarkEnd w:id="54"/>
    <w:p>
      <w:pPr>
        <w:jc w:val="both"/>
        <w:ind w:left="-460" w:firstLine="644"/>
        <w:spacing w:after="0" w:line="252" w:lineRule="auto"/>
        <w:tabs>
          <w:tab w:leader="none" w:pos="116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Sarbanes-Oxley; Internal Accounting Controls</w:t>
      </w:r>
      <w:r>
        <w:rPr>
          <w:rFonts w:ascii="Times New Roman" w:cs="Times New Roman" w:eastAsia="Times New Roman" w:hAnsi="Times New Roman"/>
          <w:sz w:val="18"/>
          <w:szCs w:val="18"/>
          <w:color w:val="auto"/>
        </w:rPr>
        <w:t>. The Company and the Subsidiaries are in material compliance with any and all applicable requirements of the Sarbanes-Oxley Act of 2002 that are effective as of the date hereof, and any and all applicable rules and regulations promulgated by the Commission thereunder that are effective as of the date hereof and as of the Closing Date. The Company and the Subsidiaries maintain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The Company and the Subsidiaries have established disclosure controls and procedures (as defined in Exchange Act Rules 13a-15(e) and 15d-15(e)) for the Company and the Subsidiaries and designed such disclosure controls and procedures to ensure that information required to be disclosed by the Company in the reports it files or submits under the Exchange Act is recorded, processed, summarized and reported, within the time periods specified in the Commission’s rules and forms. The Company’s certifying officers have evaluated the effectiveness of the disclosure controls and procedures of the Company and the Subsidiaries as of the end of the period covered by the most recently filed periodic report under the Exchange Act (such date, the “</w:t>
      </w:r>
      <w:r>
        <w:rPr>
          <w:rFonts w:ascii="Times New Roman" w:cs="Times New Roman" w:eastAsia="Times New Roman" w:hAnsi="Times New Roman"/>
          <w:sz w:val="18"/>
          <w:szCs w:val="18"/>
          <w:u w:val="single" w:color="auto"/>
          <w:color w:val="auto"/>
        </w:rPr>
        <w:t>Evaluation Date</w:t>
      </w:r>
      <w:r>
        <w:rPr>
          <w:rFonts w:ascii="Times New Roman" w:cs="Times New Roman" w:eastAsia="Times New Roman" w:hAnsi="Times New Roman"/>
          <w:sz w:val="18"/>
          <w:szCs w:val="18"/>
          <w:color w:val="auto"/>
        </w:rPr>
        <w:t>”). The Company presented in its most recently filed periodic report under the Exchange Act the conclusions of the certifying officers about the effectiveness of the disclosure controls and procedures based on their evaluations as of the Evaluation Date. Since the Evaluation Date, there have been no changes in the internal control over financial reporting (as such term is defined in the Exchange Act) of the Company and its Subsidiaries that have materially affected, or is reasonably likely to materially affect, the internal control over financial reporting of the Company and its Subsidiaries.</w:t>
      </w:r>
    </w:p>
    <w:p>
      <w:pPr>
        <w:spacing w:after="0" w:line="193" w:lineRule="exact"/>
        <w:rPr>
          <w:rFonts w:ascii="Times New Roman" w:cs="Times New Roman" w:eastAsia="Times New Roman" w:hAnsi="Times New Roman"/>
          <w:sz w:val="18"/>
          <w:szCs w:val="18"/>
          <w:color w:val="auto"/>
        </w:rPr>
      </w:pPr>
    </w:p>
    <w:p>
      <w:pPr>
        <w:jc w:val="both"/>
        <w:ind w:left="-460" w:firstLine="644"/>
        <w:spacing w:after="0" w:line="258" w:lineRule="auto"/>
        <w:tabs>
          <w:tab w:leader="none" w:pos="136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Fees</w:t>
      </w:r>
      <w:r>
        <w:rPr>
          <w:rFonts w:ascii="Times New Roman" w:cs="Times New Roman" w:eastAsia="Times New Roman" w:hAnsi="Times New Roman"/>
          <w:sz w:val="18"/>
          <w:szCs w:val="18"/>
          <w:color w:val="auto"/>
        </w:rPr>
        <w:t xml:space="preserve">. Except as set forth in the Prospectus Supplement and on </w:t>
      </w:r>
      <w:r>
        <w:rPr>
          <w:rFonts w:ascii="Times New Roman" w:cs="Times New Roman" w:eastAsia="Times New Roman" w:hAnsi="Times New Roman"/>
          <w:sz w:val="18"/>
          <w:szCs w:val="18"/>
          <w:u w:val="single" w:color="auto"/>
          <w:color w:val="auto"/>
        </w:rPr>
        <w:t>Schedule 3.1(t)</w:t>
      </w:r>
      <w:r>
        <w:rPr>
          <w:rFonts w:ascii="Times New Roman" w:cs="Times New Roman" w:eastAsia="Times New Roman" w:hAnsi="Times New Roman"/>
          <w:sz w:val="18"/>
          <w:szCs w:val="18"/>
          <w:color w:val="auto"/>
        </w:rPr>
        <w:t xml:space="preserve"> of the Disclosure Schedules, no brokerage or finder’s fees or commissions are or will be payable by the Company or any Subsidiary to any broker, financial advisor or consultant, finder, placement agent, investment banker, bank or other Person with respect to the transactions contemplated by the Transaction Documents. The Purchasers shall have no obligation with respect to any fees or with respect to any claims made by or on behalf of other Persons for fees of a type contemplated in this Section that may be due in connection with the transactions contemplated by the Transaction Documents.</w:t>
      </w:r>
    </w:p>
    <w:p>
      <w:pPr>
        <w:spacing w:after="0" w:line="183"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1333"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Company</w:t>
      </w:r>
      <w:r>
        <w:rPr>
          <w:rFonts w:ascii="Times New Roman" w:cs="Times New Roman" w:eastAsia="Times New Roman" w:hAnsi="Times New Roman"/>
          <w:sz w:val="18"/>
          <w:szCs w:val="18"/>
          <w:color w:val="auto"/>
        </w:rPr>
        <w:t>. The Company is not, and is not an Affiliate of, and immediately after receipt of payment for the Securities, will not be or be an Affiliate of, an “investment company” within the meaning of the Investment Company Act of 1940, as amended. The Company shall conduct its business in a manner so that it will not become an “investment company” subject to registration under the Investment Company Act of 1940, as amended.</w:t>
      </w:r>
    </w:p>
    <w:p>
      <w:pPr>
        <w:spacing w:after="0" w:line="396"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55" w:name="page56"/>
    <w:bookmarkEnd w:id="55"/>
    <w:p>
      <w:pPr>
        <w:ind w:left="-460" w:firstLine="644"/>
        <w:spacing w:after="0" w:line="282" w:lineRule="auto"/>
        <w:tabs>
          <w:tab w:leader="none" w:pos="1131"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Rights</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u w:val="single" w:color="auto"/>
          <w:color w:val="auto"/>
        </w:rPr>
        <w:t>Schedule 3.1(v)</w:t>
      </w:r>
      <w:r>
        <w:rPr>
          <w:rFonts w:ascii="Times New Roman" w:cs="Times New Roman" w:eastAsia="Times New Roman" w:hAnsi="Times New Roman"/>
          <w:sz w:val="18"/>
          <w:szCs w:val="18"/>
          <w:color w:val="auto"/>
        </w:rPr>
        <w:t xml:space="preserve"> of the Disclosure Schedules, no Person has any right to cause the Company or any Subsidiary to effect the registration under the Securities Act of any securities of the Company or any Subsidiary.</w:t>
      </w:r>
    </w:p>
    <w:p>
      <w:pPr>
        <w:spacing w:after="0" w:line="161" w:lineRule="exact"/>
        <w:rPr>
          <w:rFonts w:ascii="Times New Roman" w:cs="Times New Roman" w:eastAsia="Times New Roman" w:hAnsi="Times New Roman"/>
          <w:sz w:val="18"/>
          <w:szCs w:val="18"/>
          <w:color w:val="auto"/>
        </w:rPr>
      </w:pPr>
    </w:p>
    <w:p>
      <w:pPr>
        <w:jc w:val="both"/>
        <w:ind w:left="-460" w:firstLine="644"/>
        <w:spacing w:after="0" w:line="254" w:lineRule="auto"/>
        <w:tabs>
          <w:tab w:leader="none" w:pos="1508"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Listing and Maintenance Requirements</w:t>
      </w:r>
      <w:r>
        <w:rPr>
          <w:rFonts w:ascii="Times New Roman" w:cs="Times New Roman" w:eastAsia="Times New Roman" w:hAnsi="Times New Roman"/>
          <w:sz w:val="18"/>
          <w:szCs w:val="18"/>
          <w:color w:val="auto"/>
        </w:rPr>
        <w:t>. The Common Stock is registered pursuant to Section 12(b) or 12(g) of the Exchange Act, and the Company has taken no action designed to, or which to its knowledge is likely to have the effect of, terminating the registration of the Common Stock under the Exchange Act nor has the Company received any notification that the Commission is contemplating terminating such registration. The Company has not, in the 12 months preceding the date hereof, received notice from any Trading Market on which the Common Stock is or has been listed or quoted to the effect that the Company is not in compliance with the listing or maintenance requirements of such Trading Market. The Company is, and has no reason to believe that it will not in the year following the Closing continue to be, in compliance with all such listing and maintenance requirements. The Common Stock is currently eligible for electronic transfer through the Depository Trust Company or another established clearing corporation and the Company is current in payment of the fees to the Depository Trust Company (or such other established clearing corporation) in connection with such electronic transfer.</w:t>
      </w:r>
    </w:p>
    <w:p>
      <w:pPr>
        <w:spacing w:after="0" w:line="188" w:lineRule="exact"/>
        <w:rPr>
          <w:rFonts w:ascii="Times New Roman" w:cs="Times New Roman" w:eastAsia="Times New Roman" w:hAnsi="Times New Roman"/>
          <w:sz w:val="18"/>
          <w:szCs w:val="18"/>
          <w:color w:val="auto"/>
        </w:rPr>
      </w:pPr>
    </w:p>
    <w:p>
      <w:pPr>
        <w:jc w:val="both"/>
        <w:ind w:left="-460" w:firstLine="644"/>
        <w:spacing w:after="0" w:line="256" w:lineRule="auto"/>
        <w:tabs>
          <w:tab w:leader="none" w:pos="1284"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Application of Takeover Protections</w:t>
      </w:r>
      <w:r>
        <w:rPr>
          <w:rFonts w:ascii="Times New Roman" w:cs="Times New Roman" w:eastAsia="Times New Roman" w:hAnsi="Times New Roman"/>
          <w:sz w:val="18"/>
          <w:szCs w:val="18"/>
          <w:color w:val="auto"/>
        </w:rPr>
        <w:t>. The Company and the Board of Directors have taken all necessary action, if any, in order to render inapplicable any control share acquisition, business combination, poison pill (including any distribution under a rights agreement) or other similar anti-takeover provision under the Company’s certificate of incorporation (or similar charter documents) or the laws of its state of incorporation that is or could become applicable to the Purchasers as a result of the Purchasers and the Company fulfilling their obligations or exercising their rights under the Transaction Documents, including without limitation as a result of the Company’s issuance of the Securities and the Purchasers’ ownership of the Securities.</w:t>
      </w:r>
    </w:p>
    <w:p>
      <w:pPr>
        <w:spacing w:after="0" w:line="187" w:lineRule="exact"/>
        <w:rPr>
          <w:rFonts w:ascii="Times New Roman" w:cs="Times New Roman" w:eastAsia="Times New Roman" w:hAnsi="Times New Roman"/>
          <w:sz w:val="18"/>
          <w:szCs w:val="18"/>
          <w:color w:val="auto"/>
        </w:rPr>
      </w:pPr>
    </w:p>
    <w:p>
      <w:pPr>
        <w:jc w:val="both"/>
        <w:ind w:left="-460" w:firstLine="644"/>
        <w:spacing w:after="0" w:line="253" w:lineRule="auto"/>
        <w:tabs>
          <w:tab w:leader="none" w:pos="1279"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Disclosure</w:t>
      </w:r>
      <w:r>
        <w:rPr>
          <w:rFonts w:ascii="Times New Roman" w:cs="Times New Roman" w:eastAsia="Times New Roman" w:hAnsi="Times New Roman"/>
          <w:sz w:val="18"/>
          <w:szCs w:val="18"/>
          <w:color w:val="auto"/>
        </w:rPr>
        <w:t>. Except with respect to the material terms and conditions of the transactions contemplated by the Transaction Documents, the Company confirms that neither it nor any other Person acting on its behalf has provided any of the Purchasers or their agents or counsel with any information that it believes constitutes or might constitute material, non-public information which is not otherwise disclosed in the Prospectus Supplement. The Company understands and confirms that the Purchasers will rely on the foregoing representation in effecting transactions in securities of the Company. All of the disclosure furnished by or on behalf of the Company to the Purchasers regarding the Company and its Subsidiaries, their respective businesses and the transactions contemplated hereby, including the Disclosure Schedules to this Agreement, when taken together as a whole, is true and correct and does not contain any untrue statement of a material fact or omit to state any material fact necessary in order to make the statements made therein, in the light of the circumstances under which they were made, not misleading. The press releases disseminated by the Company during the twelve months preceding the date of this Agreement taken as a whole do not contain any untrue statement of a material fact or omit to state a material fact required to be stated therein or necessary in order to make the statements therein, in the light of the circumstances under which they were made and when made, not misleading. The Company acknowledges and agrees that no Purchaser makes or has made any representations or warranties with respect to the transactions contemplated hereby other than those specifically set forth in Section 3.2 hereof.</w:t>
      </w:r>
    </w:p>
    <w:p>
      <w:pPr>
        <w:spacing w:after="0" w:line="200" w:lineRule="exact"/>
        <w:rPr>
          <w:sz w:val="20"/>
          <w:szCs w:val="20"/>
          <w:color w:val="auto"/>
        </w:rPr>
      </w:pPr>
    </w:p>
    <w:p>
      <w:pPr>
        <w:spacing w:after="0" w:line="20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56" w:name="page57"/>
    <w:bookmarkEnd w:id="56"/>
    <w:p>
      <w:pPr>
        <w:jc w:val="both"/>
        <w:ind w:left="-460" w:firstLine="644"/>
        <w:spacing w:after="0" w:line="256" w:lineRule="auto"/>
        <w:tabs>
          <w:tab w:leader="none" w:pos="1274"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Integrated Offering</w:t>
      </w:r>
      <w:r>
        <w:rPr>
          <w:rFonts w:ascii="Times New Roman" w:cs="Times New Roman" w:eastAsia="Times New Roman" w:hAnsi="Times New Roman"/>
          <w:sz w:val="18"/>
          <w:szCs w:val="18"/>
          <w:color w:val="auto"/>
        </w:rPr>
        <w:t>. Assuming the accuracy of the Purchasers’ representations and warranties set forth in Section 3.2, neither the Company, nor, to the Company’s knowledge, any of its Affiliates, nor any Person acting on its or, to the Company’s knowledge, their behalf has, directly or indirectly, made any offers or sales of any security or solicited any offers to buy any security, under circumstances that would cause this offering of the Securities to be integrated with prior offerings by the Company for purposes of (i) the Securities Act which would require the registration of the Warrants or Warrant Shares under the Securities Act, or (ii) any applicable shareholder approval provisions of any Trading Market on which any of the securities of the Company are listed or designated.</w:t>
      </w:r>
    </w:p>
    <w:p>
      <w:pPr>
        <w:spacing w:after="0" w:line="187" w:lineRule="exact"/>
        <w:rPr>
          <w:sz w:val="20"/>
          <w:szCs w:val="20"/>
          <w:color w:val="auto"/>
        </w:rPr>
      </w:pPr>
    </w:p>
    <w:p>
      <w:pPr>
        <w:jc w:val="both"/>
        <w:ind w:left="-460" w:firstLine="644"/>
        <w:spacing w:after="0" w:line="252" w:lineRule="auto"/>
        <w:tabs>
          <w:tab w:leader="none" w:pos="1331"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Solvency</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u w:val="single" w:color="auto"/>
          <w:color w:val="auto"/>
        </w:rPr>
        <w:t>Schedule (aa)</w:t>
      </w:r>
      <w:r>
        <w:rPr>
          <w:rFonts w:ascii="Times New Roman" w:cs="Times New Roman" w:eastAsia="Times New Roman" w:hAnsi="Times New Roman"/>
          <w:sz w:val="18"/>
          <w:szCs w:val="18"/>
          <w:color w:val="auto"/>
        </w:rPr>
        <w:t>, based on the consolidated financial condition of the Company as of the Closing Date, and the Company’s good faith estimate of the fair market value of its assets, after giving effect to the receipt by the Company of the proceeds from the sale of the Securities hereunder, (i) the fair saleable value of the Company’s assets exceeds the amount that will be required to be paid on or in respect of the Company’s existing debts and other liabilities (including known contingent liabilities) as they mature, (ii) the Company’s assets do not constitute unreasonably small capital to carry on its business as now conducted and as proposed to be conducted including its capital needs taking into account the particular capital requirements of the business conducted by the Company, consolidated and projected capital requirements and capital availability thereof, and (iii) the current cash flow of the Company, together with the proceeds the Company would receive, were it to liquidate all of its assets, after taking into account all anticipated uses of the cash, would be sufficient to pay all amounts on or in respect of its liabilities when such amounts are required to be paid. The Company does not intend to incur debts beyond its ability to pay such debts as they mature (taking into account the timing and amounts of cash to be payable on or in respect of its debt). The Company has no knowledge of any facts or circumstances which lead it to believe that it will file for reorganization or liquidation under the bankruptcy or reorganization laws of any jurisdiction within one year from the Closing Date. The SEC Reports set forth as of the date hereof all outstanding secured and unsecured Indebtedness of the Company or any Subsidiary, or for which the Company or any Subsidiary has commitments. For the purposes of this Agreement, “</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means (x) any liabilities for borrowed money or amounts owed in excess of $100,000 (other than trade accounts payable incurred in the ordinary course of business), (y) all guaranties, endorsements and other contingent obligations in respect of indebtedness of others, whether or not the same are or should be reflected in the Company’s consolidated balance sheet (or the notes thereto), except guaranties by endorsement of negotiable instruments for deposit or collection or similar transactions in the ordinary course of business; and (z) the present value of any lease payments in excess of $100,000 due under leases required to be capitalized in accordance with GAAP. Neither the Company nor any Subsidiary is in default with respect to any Indebtedness.</w:t>
      </w:r>
    </w:p>
    <w:p>
      <w:pPr>
        <w:spacing w:after="0" w:line="200" w:lineRule="exact"/>
        <w:rPr>
          <w:sz w:val="20"/>
          <w:szCs w:val="20"/>
          <w:color w:val="auto"/>
        </w:rPr>
      </w:pPr>
    </w:p>
    <w:p>
      <w:pPr>
        <w:spacing w:after="0" w:line="20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57" w:name="page58"/>
    <w:bookmarkEnd w:id="57"/>
    <w:p>
      <w:pPr>
        <w:jc w:val="both"/>
        <w:ind w:left="-460" w:firstLine="644"/>
        <w:spacing w:after="0" w:line="254" w:lineRule="auto"/>
        <w:tabs>
          <w:tab w:leader="none" w:pos="1158"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Status</w:t>
      </w:r>
      <w:r>
        <w:rPr>
          <w:rFonts w:ascii="Times New Roman" w:cs="Times New Roman" w:eastAsia="Times New Roman" w:hAnsi="Times New Roman"/>
          <w:sz w:val="18"/>
          <w:szCs w:val="18"/>
          <w:color w:val="auto"/>
        </w:rPr>
        <w:t xml:space="preserve">. Except for matters that would not, individually or in the aggregate, have or reasonably be expected to result in a Material Adverse Effect, the Company and its Subsidiaries each (i) has made or filed all required United States federal, state and local income and all foreign income and franchise tax returns, reports and declarations required by any jurisdiction to which it is subject, (ii) has paid all taxes and other governmental assessments and charges that are material in amount, shown or determined to be due on such returns, reports and declarations and (iii) has set aside on its books provision reasonably adequate for the payment of all material taxes for periods subsequent to the periods to which such returns, reports or declarations apply. Except as set forth on </w:t>
      </w:r>
      <w:r>
        <w:rPr>
          <w:rFonts w:ascii="Times New Roman" w:cs="Times New Roman" w:eastAsia="Times New Roman" w:hAnsi="Times New Roman"/>
          <w:sz w:val="18"/>
          <w:szCs w:val="18"/>
          <w:u w:val="single" w:color="auto"/>
          <w:color w:val="auto"/>
        </w:rPr>
        <w:t>Schedule 3.1(bb)</w:t>
      </w:r>
      <w:r>
        <w:rPr>
          <w:rFonts w:ascii="Times New Roman" w:cs="Times New Roman" w:eastAsia="Times New Roman" w:hAnsi="Times New Roman"/>
          <w:sz w:val="18"/>
          <w:szCs w:val="18"/>
          <w:color w:val="auto"/>
        </w:rPr>
        <w:t>, there are no unpaid taxes in any material amount claimed to be due by the taxing authority of any jurisdiction, and the officers of the Company or of any Subsidiary know of no reasonable basis for any such claim.</w:t>
      </w:r>
    </w:p>
    <w:p>
      <w:pPr>
        <w:spacing w:after="0" w:line="191" w:lineRule="exact"/>
        <w:rPr>
          <w:rFonts w:ascii="Times New Roman" w:cs="Times New Roman" w:eastAsia="Times New Roman" w:hAnsi="Times New Roman"/>
          <w:sz w:val="18"/>
          <w:szCs w:val="18"/>
          <w:color w:val="auto"/>
        </w:rPr>
      </w:pPr>
    </w:p>
    <w:p>
      <w:pPr>
        <w:jc w:val="both"/>
        <w:ind w:left="-460" w:firstLine="644"/>
        <w:spacing w:after="0" w:line="256" w:lineRule="auto"/>
        <w:tabs>
          <w:tab w:leader="none" w:pos="1493"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Foreign Corrupt Practices</w:t>
      </w:r>
      <w:r>
        <w:rPr>
          <w:rFonts w:ascii="Times New Roman" w:cs="Times New Roman" w:eastAsia="Times New Roman" w:hAnsi="Times New Roman"/>
          <w:sz w:val="18"/>
          <w:szCs w:val="18"/>
          <w:color w:val="auto"/>
        </w:rPr>
        <w:t>. Neither the Company nor any Subsidiary, nor to the knowledge of the Company or any Subsidiary, any agent or other person acting on behalf of the Company or any Subsidiary, has (i) directly or indirectly, used any funds for unlawful contributions, gifts, entertainment or other unlawful expenses related to foreign or domestic political activity, (ii) made any unlawful payment to foreign or domestic government officials or employees or to any foreign or domestic political parties or campaigns from corporate funds, (iii) failed to disclose fully any contribution made by the Company or any Subsidiary (or made by any person acting on its behalf of which the Company is aware) which is in violation of law, or (iv) violated in any material respect any provision of FCPA.</w:t>
      </w:r>
    </w:p>
    <w:p>
      <w:pPr>
        <w:spacing w:after="0" w:line="187" w:lineRule="exact"/>
        <w:rPr>
          <w:rFonts w:ascii="Times New Roman" w:cs="Times New Roman" w:eastAsia="Times New Roman" w:hAnsi="Times New Roman"/>
          <w:sz w:val="18"/>
          <w:szCs w:val="18"/>
          <w:color w:val="auto"/>
        </w:rPr>
      </w:pPr>
    </w:p>
    <w:p>
      <w:pPr>
        <w:jc w:val="both"/>
        <w:ind w:left="-460" w:firstLine="644"/>
        <w:spacing w:after="0" w:line="266" w:lineRule="auto"/>
        <w:tabs>
          <w:tab w:leader="none" w:pos="1441"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Accountants</w:t>
      </w:r>
      <w:r>
        <w:rPr>
          <w:rFonts w:ascii="Times New Roman" w:cs="Times New Roman" w:eastAsia="Times New Roman" w:hAnsi="Times New Roman"/>
          <w:sz w:val="18"/>
          <w:szCs w:val="18"/>
          <w:color w:val="auto"/>
        </w:rPr>
        <w:t>. The Company’s accounting firm is Friedman LLP. To the knowledge and belief of the Company, such accounting firm (i) is a registered public accounting firm as required by the Exchange Act and (ii) shall express its opinion with respect to the financial statements to be included in the Company’s Annual Report for the fiscal year ended December 31, 2020.</w:t>
      </w:r>
    </w:p>
    <w:p>
      <w:pPr>
        <w:spacing w:after="0" w:line="175" w:lineRule="exact"/>
        <w:rPr>
          <w:rFonts w:ascii="Times New Roman" w:cs="Times New Roman" w:eastAsia="Times New Roman" w:hAnsi="Times New Roman"/>
          <w:sz w:val="18"/>
          <w:szCs w:val="18"/>
          <w:color w:val="auto"/>
        </w:rPr>
      </w:pPr>
    </w:p>
    <w:p>
      <w:pPr>
        <w:jc w:val="both"/>
        <w:ind w:left="-460" w:firstLine="644"/>
        <w:spacing w:after="0" w:line="254" w:lineRule="auto"/>
        <w:tabs>
          <w:tab w:leader="none" w:pos="1264"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Acknowledgment Regarding Purchasers’ Purchase of Securities</w:t>
      </w:r>
      <w:r>
        <w:rPr>
          <w:rFonts w:ascii="Times New Roman" w:cs="Times New Roman" w:eastAsia="Times New Roman" w:hAnsi="Times New Roman"/>
          <w:sz w:val="18"/>
          <w:szCs w:val="18"/>
          <w:color w:val="auto"/>
        </w:rPr>
        <w:t>. The Company acknowledges and agrees that each of the Purchasers is acting solely in the capacity of an arm’s length purchaser with respect to the Transaction Documents and the transactions contemplated thereby. The Company further acknowledges that no Purchaser is acting as a financial advisor or fiduciary of the Company (or in any similar capacity) with respect to the Transaction Documents and the transactions contemplated thereby and any advice given by any Purchaser or any of their respective representatives or agents in connection with the Transaction Documents and the transactions contemplated thereby is merely incidental to the Purchasers’ purchase of the Securities. The Company further represents to each Purchaser that the Company’s decision to enter into this Agreement and the other Transaction Documents has been based solely on the independent evaluation of the transactions contemplated hereby by the Company and its representatives.</w:t>
      </w:r>
    </w:p>
    <w:p>
      <w:pPr>
        <w:spacing w:after="0" w:line="200" w:lineRule="exact"/>
        <w:rPr>
          <w:sz w:val="20"/>
          <w:szCs w:val="20"/>
          <w:color w:val="auto"/>
        </w:rPr>
      </w:pPr>
    </w:p>
    <w:p>
      <w:pPr>
        <w:spacing w:after="0" w:line="208"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58" w:name="page59"/>
    <w:bookmarkEnd w:id="58"/>
    <w:p>
      <w:pPr>
        <w:jc w:val="both"/>
        <w:ind w:left="4" w:firstLine="644"/>
        <w:spacing w:after="0" w:line="252" w:lineRule="auto"/>
        <w:tabs>
          <w:tab w:leader="none" w:pos="1675"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Acknowledgment Regarding Purchaser’s Trading Activity</w:t>
      </w:r>
      <w:r>
        <w:rPr>
          <w:rFonts w:ascii="Times New Roman" w:cs="Times New Roman" w:eastAsia="Times New Roman" w:hAnsi="Times New Roman"/>
          <w:sz w:val="18"/>
          <w:szCs w:val="18"/>
          <w:color w:val="auto"/>
        </w:rPr>
        <w:t>. Anything in this Agreement or elsewhere herein to the contrary notwithstanding (except for Sections 3.2(f) and 4.13 hereof), it is understood and acknowledged by the Company that: (i) none of the Purchasers has been asked by the Company to agree, nor has any Purchaser agreed, to desist from purchasing or selling, long and/or short, securities of the Company, or “derivative” securities based on securities issued by the Company or to hold the Securities for any specified term; (ii) past or future open market or other transactions by any Purchaser, specifically including, without limitation, Short Sales or “derivative” transactions, before or after the closing of this or future private placement transactions, may negatively impact the market price of the Company’s publicly-traded securities; (iii) any Purchaser, and counter-parties in “derivative” transactions to which any such Purchaser is a party, directly or indirectly, presently may have a “short” position in the Common Stock, and (iv) each Purchaser shall not be deemed to have any affiliation with or control over any arm’s length counter-party in any “derivative” transaction. The Company further understands and acknowledges that (y) one or more Purchasers may engage in hedging activities at various times during the period that the Securities are outstanding, including, without limitation, during the periods that the value of the Warrant Shares deliverable with respect to Securities are being determined,, and (z) such hedging activities (if any) could reduce the value of the existing stockholders' equity interests in the Company at and after the time that the hedging activities are being conducted. The Company acknowledges that such aforementioned hedging activities do not constitute a breach of any of the Transaction Documents.</w:t>
      </w:r>
    </w:p>
    <w:p>
      <w:pPr>
        <w:spacing w:after="0" w:line="197" w:lineRule="exact"/>
        <w:rPr>
          <w:rFonts w:ascii="Times New Roman" w:cs="Times New Roman" w:eastAsia="Times New Roman" w:hAnsi="Times New Roman"/>
          <w:sz w:val="18"/>
          <w:szCs w:val="18"/>
          <w:color w:val="auto"/>
        </w:rPr>
      </w:pPr>
    </w:p>
    <w:p>
      <w:pPr>
        <w:jc w:val="both"/>
        <w:ind w:left="4" w:firstLine="644"/>
        <w:spacing w:after="0" w:line="257" w:lineRule="auto"/>
        <w:tabs>
          <w:tab w:leader="none" w:pos="1581"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Regulation M Compliance</w:t>
      </w:r>
      <w:r>
        <w:rPr>
          <w:rFonts w:ascii="Times New Roman" w:cs="Times New Roman" w:eastAsia="Times New Roman" w:hAnsi="Times New Roman"/>
          <w:sz w:val="18"/>
          <w:szCs w:val="18"/>
          <w:color w:val="auto"/>
        </w:rPr>
        <w:t>. The Company has not, and to its knowledge no one acting on its behalf has, (i) taken, directly or indirectly, any action designed to cause or to result in the stabilization or manipulation of the price of any security of the Company to facilitate the sale or resale of any of the Securities, (ii) sold, bid for, purchased, or, paid any compensation for soliciting purchases of, any of the Securities, or</w:t>
      </w:r>
    </w:p>
    <w:p>
      <w:pPr>
        <w:spacing w:after="0" w:line="1" w:lineRule="exact"/>
        <w:rPr>
          <w:rFonts w:ascii="Times New Roman" w:cs="Times New Roman" w:eastAsia="Times New Roman" w:hAnsi="Times New Roman"/>
          <w:sz w:val="18"/>
          <w:szCs w:val="18"/>
          <w:color w:val="auto"/>
        </w:rPr>
      </w:pPr>
    </w:p>
    <w:p>
      <w:pPr>
        <w:ind w:left="4" w:hanging="4"/>
        <w:spacing w:after="0" w:line="260" w:lineRule="auto"/>
        <w:tabs>
          <w:tab w:leader="none" w:pos="319"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paid or agreed to pay to any Person any compensation for soliciting another to purchase any other securities of the Company, other than, in the case of clauses (ii) and (iii), compensation paid to the Company’s placement agent in connection with the placement of the Securities.</w:t>
      </w:r>
    </w:p>
    <w:p>
      <w:pPr>
        <w:spacing w:after="0" w:line="181" w:lineRule="exact"/>
        <w:rPr>
          <w:rFonts w:ascii="Times New Roman" w:cs="Times New Roman" w:eastAsia="Times New Roman" w:hAnsi="Times New Roman"/>
          <w:sz w:val="18"/>
          <w:szCs w:val="18"/>
          <w:color w:val="auto"/>
        </w:rPr>
      </w:pPr>
    </w:p>
    <w:p>
      <w:pPr>
        <w:jc w:val="both"/>
        <w:ind w:left="4" w:firstLine="644"/>
        <w:spacing w:after="0" w:line="256" w:lineRule="auto"/>
        <w:tabs>
          <w:tab w:leader="none" w:pos="1676"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Option Plans</w:t>
      </w:r>
      <w:r>
        <w:rPr>
          <w:rFonts w:ascii="Times New Roman" w:cs="Times New Roman" w:eastAsia="Times New Roman" w:hAnsi="Times New Roman"/>
          <w:sz w:val="18"/>
          <w:szCs w:val="18"/>
          <w:color w:val="auto"/>
        </w:rPr>
        <w:t>. Each stock option granted by the Company under the Company’s stock option plan was granted (i) in accordance with the terms of the Company’s stock option plan and (ii) with an exercise price at least equal to the fair market value of the Common Stock on the date such stock option would be considered granted under GAAP and applicable law. No stock option granted under the Company’s stock option plan has been backdated. The Company has not knowingly granted, and there is no and has been no Company policy or practice to knowingly grant, stock options prior to, or otherwise knowingly coordinate the grant of stock options with, the release or other public announcement of material information regarding the Company or its Subsidiaries or their financial results or prospects.</w:t>
      </w:r>
    </w:p>
    <w:p>
      <w:pPr>
        <w:spacing w:after="0" w:line="200" w:lineRule="exact"/>
        <w:rPr>
          <w:sz w:val="20"/>
          <w:szCs w:val="20"/>
          <w:color w:val="auto"/>
        </w:rPr>
      </w:pPr>
    </w:p>
    <w:p>
      <w:pPr>
        <w:spacing w:after="0" w:line="203"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59" w:name="page60"/>
    <w:bookmarkEnd w:id="59"/>
    <w:p>
      <w:pPr>
        <w:jc w:val="both"/>
        <w:ind w:left="660" w:firstLine="644"/>
        <w:spacing w:after="0" w:line="266" w:lineRule="auto"/>
        <w:tabs>
          <w:tab w:leader="none" w:pos="2252"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Office of Foreign Assets Control</w:t>
      </w:r>
      <w:r>
        <w:rPr>
          <w:rFonts w:ascii="Times New Roman" w:cs="Times New Roman" w:eastAsia="Times New Roman" w:hAnsi="Times New Roman"/>
          <w:sz w:val="18"/>
          <w:szCs w:val="18"/>
          <w:color w:val="auto"/>
        </w:rPr>
        <w:t>. Neither the Company nor any Subsidiary nor, to the Company's knowledge, any director, officer, agent, employee or affiliate of the Company or any Subsidiary is currently subject to any U.S. sanctions administered by the Office of Foreign Assets Control of the U.S. Treasury Department (“</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82" w:lineRule="auto"/>
        <w:tabs>
          <w:tab w:leader="none" w:pos="226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U.S. Real Property Holding Corporation</w:t>
      </w:r>
      <w:r>
        <w:rPr>
          <w:rFonts w:ascii="Times New Roman" w:cs="Times New Roman" w:eastAsia="Times New Roman" w:hAnsi="Times New Roman"/>
          <w:sz w:val="18"/>
          <w:szCs w:val="18"/>
          <w:color w:val="auto"/>
        </w:rPr>
        <w:t>. The Company is not and has never been a U.S. real property holding corporation within the meaning of Section 897 of the Internal Revenue Code of 1986, as amended, and the Company shall so certify upon Purchaser’s request.</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56" w:lineRule="auto"/>
        <w:tabs>
          <w:tab w:leader="none" w:pos="2269"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Bank Holding Company Act</w:t>
      </w:r>
      <w:r>
        <w:rPr>
          <w:rFonts w:ascii="Times New Roman" w:cs="Times New Roman" w:eastAsia="Times New Roman" w:hAnsi="Times New Roman"/>
          <w:sz w:val="18"/>
          <w:szCs w:val="18"/>
          <w:color w:val="auto"/>
        </w:rPr>
        <w:t>. Neither the Company nor any of its Subsidiaries or Affiliates is subject to the Bank Holding Company Act of 1956, as amended (the “</w:t>
      </w:r>
      <w:r>
        <w:rPr>
          <w:rFonts w:ascii="Times New Roman" w:cs="Times New Roman" w:eastAsia="Times New Roman" w:hAnsi="Times New Roman"/>
          <w:sz w:val="18"/>
          <w:szCs w:val="18"/>
          <w:u w:val="single" w:color="auto"/>
          <w:color w:val="auto"/>
        </w:rPr>
        <w:t>BHCA</w:t>
      </w:r>
      <w:r>
        <w:rPr>
          <w:rFonts w:ascii="Times New Roman" w:cs="Times New Roman" w:eastAsia="Times New Roman" w:hAnsi="Times New Roman"/>
          <w:sz w:val="18"/>
          <w:szCs w:val="18"/>
          <w:color w:val="auto"/>
        </w:rPr>
        <w:t>”) and to regulation by the Board of Governors of the Federal Reserve System (the “</w:t>
      </w:r>
      <w:r>
        <w:rPr>
          <w:rFonts w:ascii="Times New Roman" w:cs="Times New Roman" w:eastAsia="Times New Roman" w:hAnsi="Times New Roman"/>
          <w:sz w:val="18"/>
          <w:szCs w:val="18"/>
          <w:u w:val="single" w:color="auto"/>
          <w:color w:val="auto"/>
        </w:rPr>
        <w:t>Federal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Reserve</w:t>
      </w:r>
      <w:r>
        <w:rPr>
          <w:rFonts w:ascii="Times New Roman" w:cs="Times New Roman" w:eastAsia="Times New Roman" w:hAnsi="Times New Roman"/>
          <w:sz w:val="18"/>
          <w:szCs w:val="18"/>
          <w:color w:val="auto"/>
        </w:rPr>
        <w:t>”). Neither the Company nor any of its Subsidiaries or Affiliates owns or controls, directly or indirectly, five percent (5%) or more of the outstanding shares of any class of voting securities or twenty-five percent or more of the total equity of a bank or any entity that is subject to the BHCA and to regulation by the Federal Reserve. Neither the Company nor any of its Subsidiaries or Affiliates exercises a controlling influence over the management or policies of a bank or any entity that is subject to the BHCA and to regulation by the Federal Reserve.</w:t>
      </w:r>
    </w:p>
    <w:p>
      <w:pPr>
        <w:spacing w:after="0" w:line="187" w:lineRule="exact"/>
        <w:rPr>
          <w:rFonts w:ascii="Times New Roman" w:cs="Times New Roman" w:eastAsia="Times New Roman" w:hAnsi="Times New Roman"/>
          <w:sz w:val="18"/>
          <w:szCs w:val="18"/>
          <w:color w:val="auto"/>
        </w:rPr>
      </w:pPr>
    </w:p>
    <w:p>
      <w:pPr>
        <w:jc w:val="both"/>
        <w:ind w:left="660" w:firstLine="644"/>
        <w:spacing w:after="0" w:line="258" w:lineRule="auto"/>
        <w:tabs>
          <w:tab w:leader="none" w:pos="2481"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Money Laundering</w:t>
      </w:r>
      <w:r>
        <w:rPr>
          <w:rFonts w:ascii="Times New Roman" w:cs="Times New Roman" w:eastAsia="Times New Roman" w:hAnsi="Times New Roman"/>
          <w:sz w:val="18"/>
          <w:szCs w:val="18"/>
          <w:color w:val="auto"/>
        </w:rPr>
        <w:t>. The operations of the Company and its Subsidiaries are and have been conducted at all times in compliance with applicable financial record-keeping and reporting requirements of the Currency and Foreign Transactions Reporting Act of 1970, as amended, applicable money laundering statutes and applicable rules and regulations thereunder (collectively, the “</w:t>
      </w:r>
      <w:r>
        <w:rPr>
          <w:rFonts w:ascii="Times New Roman" w:cs="Times New Roman" w:eastAsia="Times New Roman" w:hAnsi="Times New Roman"/>
          <w:sz w:val="18"/>
          <w:szCs w:val="18"/>
          <w:u w:val="single" w:color="auto"/>
          <w:color w:val="auto"/>
        </w:rPr>
        <w:t>Money Laundering Laws</w:t>
      </w:r>
      <w:r>
        <w:rPr>
          <w:rFonts w:ascii="Times New Roman" w:cs="Times New Roman" w:eastAsia="Times New Roman" w:hAnsi="Times New Roman"/>
          <w:sz w:val="18"/>
          <w:szCs w:val="18"/>
          <w:color w:val="auto"/>
        </w:rPr>
        <w:t>”), and no Action or Proceeding by or before any court or governmental agency, authority or body or any arbitrator involving the Company or any Subsidiary with respect to the Money Laundering Laws is pending or, to the knowledge of the Company or any Subsidiary, threatened.</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Representations and Warranties of the Purchasers</w:t>
      </w:r>
      <w:r>
        <w:rPr>
          <w:rFonts w:ascii="Times New Roman" w:cs="Times New Roman" w:eastAsia="Times New Roman" w:hAnsi="Times New Roman"/>
          <w:sz w:val="18"/>
          <w:szCs w:val="18"/>
          <w:color w:val="auto"/>
        </w:rPr>
        <w:t>. Each Purchaser, for itself and for no other Purchaser, hereby represents and warrants as of the date hereof and as of the Closing Date to the Company as follows (unless as of a specific date therein, in which case they shall be accurate as of such date):</w:t>
      </w:r>
    </w:p>
    <w:p>
      <w:pPr>
        <w:spacing w:after="0" w:line="176" w:lineRule="exact"/>
        <w:rPr>
          <w:sz w:val="20"/>
          <w:szCs w:val="20"/>
          <w:color w:val="auto"/>
        </w:rPr>
      </w:pPr>
    </w:p>
    <w:p>
      <w:pPr>
        <w:jc w:val="both"/>
        <w:ind w:left="380" w:firstLine="924"/>
        <w:spacing w:after="0" w:line="253" w:lineRule="auto"/>
        <w:tabs>
          <w:tab w:leader="none" w:pos="2181"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 Authority</w:t>
      </w:r>
      <w:r>
        <w:rPr>
          <w:rFonts w:ascii="Times New Roman" w:cs="Times New Roman" w:eastAsia="Times New Roman" w:hAnsi="Times New Roman"/>
          <w:sz w:val="18"/>
          <w:szCs w:val="18"/>
          <w:color w:val="auto"/>
        </w:rPr>
        <w:t>. Such Purchaser is either an individual or an entity duly incorporated or formed, validly existing and in good standing under the laws of the jurisdiction of its incorporation or formation with full right, corporate, partnership limited liability company or similar power and authority to enter into and to consummate the transactions contemplated by the Transaction Documents and otherwise to carry out its obligations hereunder and thereunder. The execution and delivery of the Transaction Documents and performance by such Purchaser of the transactions contemplated by the Transaction Documents have been duly authorized by all necessary corporate, partnership, limited liability company or similar action, as applicable, on the part of such Purchaser. Each Transaction Document to which it is a party has been duly executed by such Purchaser, and when delivered by such Purchaser in accordance with the terms hereof, will constitute the valid and legally binding obligation of such Purchaser, enforceable against it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60" w:name="page61"/>
    <w:bookmarkEnd w:id="60"/>
    <w:p>
      <w:pPr>
        <w:jc w:val="both"/>
        <w:ind w:firstLine="924"/>
        <w:spacing w:after="0" w:line="261" w:lineRule="auto"/>
        <w:tabs>
          <w:tab w:leader="none" w:pos="1757"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Understandings or Arrangements</w:t>
      </w:r>
      <w:r>
        <w:rPr>
          <w:rFonts w:ascii="Times New Roman" w:cs="Times New Roman" w:eastAsia="Times New Roman" w:hAnsi="Times New Roman"/>
          <w:sz w:val="18"/>
          <w:szCs w:val="18"/>
          <w:color w:val="auto"/>
        </w:rPr>
        <w:t>. Such Purchaser is acquiring the Securities as principal for its own account and has no direct or indirect arrangement or understandings with any other persons to distribute or regarding the distribution of such Securities (this representation and warranty not limiting such Purchaser’s right to sell the Securities pursuant to the Registration Statement or otherwise in compliance with applicable federal and state securities laws). Such Purchaser is acquiring the Securities hereunder in the ordinary course of its business.</w:t>
      </w:r>
    </w:p>
    <w:p>
      <w:pPr>
        <w:spacing w:after="0" w:line="179" w:lineRule="exact"/>
        <w:rPr>
          <w:rFonts w:ascii="Times New Roman" w:cs="Times New Roman" w:eastAsia="Times New Roman" w:hAnsi="Times New Roman"/>
          <w:sz w:val="18"/>
          <w:szCs w:val="18"/>
          <w:color w:val="auto"/>
        </w:rPr>
      </w:pPr>
    </w:p>
    <w:p>
      <w:pPr>
        <w:jc w:val="both"/>
        <w:ind w:firstLine="924"/>
        <w:spacing w:after="0" w:line="266" w:lineRule="auto"/>
        <w:tabs>
          <w:tab w:leader="none" w:pos="1747"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Purchaser Status</w:t>
      </w:r>
      <w:r>
        <w:rPr>
          <w:rFonts w:ascii="Times New Roman" w:cs="Times New Roman" w:eastAsia="Times New Roman" w:hAnsi="Times New Roman"/>
          <w:sz w:val="18"/>
          <w:szCs w:val="18"/>
          <w:color w:val="auto"/>
        </w:rPr>
        <w:t>. At the time such Purchaser was offered the Securities, it was, and as of the date hereof it is, and on each date on which it exercises any Warrants, it will be either: (i) an “accredited investor” as defined in Rule 501(a)(1), (a)(2), (a)(3), (a)(7) or (a)(8) under the Securities Act or (ii) a “qualified institutional buyer” as defined in Rule 144A(a) under the Securities Act.</w:t>
      </w:r>
    </w:p>
    <w:p>
      <w:pPr>
        <w:spacing w:after="0" w:line="175" w:lineRule="exact"/>
        <w:rPr>
          <w:rFonts w:ascii="Times New Roman" w:cs="Times New Roman" w:eastAsia="Times New Roman" w:hAnsi="Times New Roman"/>
          <w:sz w:val="18"/>
          <w:szCs w:val="18"/>
          <w:color w:val="auto"/>
        </w:rPr>
      </w:pPr>
    </w:p>
    <w:p>
      <w:pPr>
        <w:jc w:val="both"/>
        <w:ind w:firstLine="924"/>
        <w:spacing w:after="0" w:line="261" w:lineRule="auto"/>
        <w:tabs>
          <w:tab w:leader="none" w:pos="2081"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Experience of Such Purchaser</w:t>
      </w:r>
      <w:r>
        <w:rPr>
          <w:rFonts w:ascii="Times New Roman" w:cs="Times New Roman" w:eastAsia="Times New Roman" w:hAnsi="Times New Roman"/>
          <w:sz w:val="18"/>
          <w:szCs w:val="18"/>
          <w:color w:val="auto"/>
        </w:rPr>
        <w:t>. Such Purchaser, either alone or together with its representatives, has such knowledge, sophistication and experience in business and financial matters so as to be capable of evaluating the merits and risks of the prospective investment in the Securities, and has so evaluated the merits and risks of such investment. Such Purchaser is able to bear the economic risk of an investment in the Securities and, at the present time, is able to afford a complete loss of such investment.</w:t>
      </w:r>
    </w:p>
    <w:p>
      <w:pPr>
        <w:spacing w:after="0" w:line="179" w:lineRule="exact"/>
        <w:rPr>
          <w:rFonts w:ascii="Times New Roman" w:cs="Times New Roman" w:eastAsia="Times New Roman" w:hAnsi="Times New Roman"/>
          <w:sz w:val="18"/>
          <w:szCs w:val="18"/>
          <w:color w:val="auto"/>
        </w:rPr>
      </w:pPr>
    </w:p>
    <w:p>
      <w:pPr>
        <w:jc w:val="both"/>
        <w:ind w:firstLine="924"/>
        <w:spacing w:after="0" w:line="253" w:lineRule="auto"/>
        <w:tabs>
          <w:tab w:leader="none" w:pos="1882"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Access to Information</w:t>
      </w:r>
      <w:r>
        <w:rPr>
          <w:rFonts w:ascii="Times New Roman" w:cs="Times New Roman" w:eastAsia="Times New Roman" w:hAnsi="Times New Roman"/>
          <w:sz w:val="18"/>
          <w:szCs w:val="18"/>
          <w:color w:val="auto"/>
        </w:rPr>
        <w:t>. Such Purchaser acknowledges that it has had the opportunity to review the Transaction Documents (including all exhibits and schedules thereto) and the SEC Reports and has been afforded, (i) the opportunity to ask such questions as it has deemed necessary of, and to receive answers from, representatives of the Company concerning the terms and conditions of the offering of the Securities and the merits and risks of investing in the Securities; (ii) access to information about the Company and its financial condition, results of operations, business, properties, management and prospects sufficient to enable it to evaluate its investment; and (iii) the opportunity to obtain such additional information that the Company possesses or can acquire without unreasonable effort or expense that is necessary to make an informed investment decision with respect to the investment. Such Purchaser acknowledges and agrees that neither the Placement Agent nor any Affiliate of the Placement Agent has provided such Purchaser with any information or advice with respect to the Securities nor is such information or advice necessary or desired. Neither the Placement Agent nor any Affiliate has made or makes any representation as to the Company or the quality of the Securities and the Placement Agent and any Affiliate may have acquired non-public information with respect to the Company which such Purchaser agrees need not be provided to it. In connection with the issuance of the Securities to such Purchaser, neither the Placement Agent nor any of its Affiliates has acted as a financial advisor or fiduciary to such Purchaser.</w:t>
      </w:r>
    </w:p>
    <w:p>
      <w:pPr>
        <w:spacing w:after="0" w:line="190"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17145</wp:posOffset>
            </wp:positionV>
            <wp:extent cx="71323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860"/>
          </w:cols>
          <w:pgMar w:left="700" w:top="1120" w:right="339" w:bottom="1440" w:gutter="0" w:footer="0" w:header="0"/>
        </w:sectPr>
      </w:pPr>
    </w:p>
    <w:bookmarkStart w:id="61" w:name="page62"/>
    <w:bookmarkEnd w:id="61"/>
    <w:p>
      <w:pPr>
        <w:jc w:val="both"/>
        <w:ind w:left="380" w:firstLine="924"/>
        <w:spacing w:after="0" w:line="253" w:lineRule="auto"/>
        <w:tabs>
          <w:tab w:leader="none" w:pos="2193"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Transactions and Confidentiality</w:t>
      </w:r>
      <w:r>
        <w:rPr>
          <w:rFonts w:ascii="Times New Roman" w:cs="Times New Roman" w:eastAsia="Times New Roman" w:hAnsi="Times New Roman"/>
          <w:sz w:val="18"/>
          <w:szCs w:val="18"/>
          <w:color w:val="auto"/>
        </w:rPr>
        <w:t>. Other than consummating the transactions contemplated hereunder, such Purchaser has not, nor has any Person acting on behalf of or pursuant to any understanding with such Purchaser, directly or indirectly executed any purchases or sales, including Short Sales, of the securities of the Company during the period commencing as of the time that such Purchaser first received a term sheet (written or oral) from the Company or any other Person representing the Company setting forth the material terms of the transactions contemplated hereunder and ending immediately prior to the execution hereof. Notwithstanding the foregoing, in the case of a Purchaser that is a multi-managed investment vehicle whereby separate portfolio managers manage separate portions of such Purchaser’s assets and the portfolio managers have no direct knowledge of the investment decisions made by the portfolio managers managing other portions of such Purchaser’s assets, the representation set forth above shall only apply with respect to the portion of assets managed by the portfolio manager that made the investment decision to purchase the Securities covered by this Agreement. Other than to other Persons party to this Agreement or to such Purchaser’s representatives, including, without limitation, its officers, directors, partners, legal and other advisors, employees, agents and Affiliates, such Purchaser has maintained the confidentiality of all disclosures made to it in connection with this transaction (including the existence and terms of this transaction). Notwithstanding the foregoing, for the avoidance of doubt, nothing contained herein shall constitute a representation or warranty, or preclude any actions, with respect to locating or borrowing shares in order to effect Short Sales or similar transactions in the future.</w:t>
      </w:r>
    </w:p>
    <w:p>
      <w:pPr>
        <w:spacing w:after="0" w:line="187" w:lineRule="exact"/>
        <w:rPr>
          <w:rFonts w:ascii="Times New Roman" w:cs="Times New Roman" w:eastAsia="Times New Roman" w:hAnsi="Times New Roman"/>
          <w:sz w:val="18"/>
          <w:szCs w:val="18"/>
          <w:color w:val="auto"/>
        </w:rPr>
      </w:pPr>
    </w:p>
    <w:p>
      <w:pPr>
        <w:jc w:val="both"/>
        <w:ind w:left="380" w:firstLine="924"/>
        <w:spacing w:after="0" w:line="253" w:lineRule="auto"/>
        <w:tabs>
          <w:tab w:leader="none" w:pos="2367"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Conflicts</w:t>
      </w:r>
      <w:r>
        <w:rPr>
          <w:rFonts w:ascii="Times New Roman" w:cs="Times New Roman" w:eastAsia="Times New Roman" w:hAnsi="Times New Roman"/>
          <w:sz w:val="18"/>
          <w:szCs w:val="18"/>
          <w:color w:val="auto"/>
        </w:rPr>
        <w:t>. The execution, delivery and performance of this Agreement and performance under the other Transaction Documents and the consummation by such Purchaser of the transactions contemplated hereby and thereby or relating hereto or thereto do not and will not (i) result in a violation of such Purchaser’s charter documents, bylaws or other organizational documents, if applicable, (ii) conflict with nor constitute a default (or an event which with notice or lapse of time or both would become a default) under any agreement to which such Purchaser is a party, nor (iii) result in a violation of any law, rule, or regulation, or any order, judgment or decree of any court or governmental agency applicable to such Purchaser or its properties (except for such conflicts, defaults and violations as would not, individually or in the aggregate, have a material adverse effect on such Purchaser). Such Purchaser is not required to obtain any consent, authorization or order of, or make any filing or registration with, any court or governmental agency in order for it to execute, deliver or perform any of its obligations under this Agreement or perform under the other Transaction Documents nor to purchase the Securities in accordance with the terms hereof, provided that for purposes of the representation made in this sentence, such Purchaser is assuming and relying upon the accuracy of the relevant representations and agreements of the Company herein.</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acknowledges and agrees that the representations contained in this Section 3.2 shall not modify, amend or affect such Purchaser’s right to rely on the Company’s representations and warranties contained in this Agreement or any representations and warranties contained in any other Transaction Document or any other document or instrument executed and/or delivered in connection with this Agreement or the consummation of the transactions contemplated hereby. Notwithstanding the foregoing, for the avoidance of doubt, nothing contained herein shall constitute a representation or warranty, or preclude any actions, with respect to locating or borrowing shares in order to effect Short Sales or similar transactions in the future.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2" w:name="page63"/>
    <w:bookmarkEnd w:id="62"/>
    <w:tbl>
      <w:tblPr>
        <w:tblLayout w:type="fixed"/>
        <w:tblInd w:w="660" w:type="dxa"/>
        <w:tblCellMar>
          <w:top w:w="0" w:type="dxa"/>
          <w:left w:w="0" w:type="dxa"/>
          <w:bottom w:w="0" w:type="dxa"/>
          <w:right w:w="0" w:type="dxa"/>
        </w:tblCellMar>
      </w:tblPr>
      <w:tr>
        <w:trPr>
          <w:trHeight w:val="220"/>
        </w:trPr>
        <w:tc>
          <w:tcPr>
            <w:tcW w:w="580" w:type="dxa"/>
            <w:vAlign w:val="bottom"/>
          </w:tcPr>
          <w:p>
            <w:pPr>
              <w:spacing w:after="0"/>
              <w:rPr>
                <w:sz w:val="19"/>
                <w:szCs w:val="19"/>
                <w:color w:val="auto"/>
              </w:rPr>
            </w:pPr>
          </w:p>
        </w:tc>
        <w:tc>
          <w:tcPr>
            <w:tcW w:w="9980" w:type="dxa"/>
            <w:vAlign w:val="bottom"/>
          </w:tcPr>
          <w:p>
            <w:pPr>
              <w:jc w:val="center"/>
              <w:ind w:right="1130"/>
              <w:spacing w:after="0"/>
              <w:rPr>
                <w:sz w:val="20"/>
                <w:szCs w:val="20"/>
                <w:color w:val="auto"/>
              </w:rPr>
            </w:pPr>
            <w:r>
              <w:rPr>
                <w:rFonts w:ascii="Times New Roman" w:cs="Times New Roman" w:eastAsia="Times New Roman" w:hAnsi="Times New Roman"/>
                <w:sz w:val="18"/>
                <w:szCs w:val="18"/>
                <w:b w:val="1"/>
                <w:bCs w:val="1"/>
                <w:color w:val="auto"/>
                <w:w w:val="97"/>
              </w:rPr>
              <w:t>ARTICLE IV.</w:t>
            </w:r>
          </w:p>
        </w:tc>
      </w:tr>
      <w:tr>
        <w:trPr>
          <w:trHeight w:val="234"/>
        </w:trPr>
        <w:tc>
          <w:tcPr>
            <w:tcW w:w="580" w:type="dxa"/>
            <w:vAlign w:val="bottom"/>
          </w:tcPr>
          <w:p>
            <w:pPr>
              <w:spacing w:after="0"/>
              <w:rPr>
                <w:sz w:val="20"/>
                <w:szCs w:val="20"/>
                <w:color w:val="auto"/>
              </w:rPr>
            </w:pPr>
          </w:p>
        </w:tc>
        <w:tc>
          <w:tcPr>
            <w:tcW w:w="9980" w:type="dxa"/>
            <w:vAlign w:val="bottom"/>
          </w:tcPr>
          <w:p>
            <w:pPr>
              <w:jc w:val="center"/>
              <w:ind w:right="1130"/>
              <w:spacing w:after="0"/>
              <w:rPr>
                <w:sz w:val="20"/>
                <w:szCs w:val="20"/>
                <w:color w:val="auto"/>
              </w:rPr>
            </w:pPr>
            <w:r>
              <w:rPr>
                <w:rFonts w:ascii="Times New Roman" w:cs="Times New Roman" w:eastAsia="Times New Roman" w:hAnsi="Times New Roman"/>
                <w:sz w:val="18"/>
                <w:szCs w:val="18"/>
                <w:color w:val="auto"/>
                <w:w w:val="99"/>
              </w:rPr>
              <w:t>OTHER AGREEMENTS OF THE PARTIES</w:t>
            </w:r>
          </w:p>
        </w:tc>
      </w:tr>
      <w:tr>
        <w:trPr>
          <w:trHeight w:val="432"/>
        </w:trPr>
        <w:tc>
          <w:tcPr>
            <w:tcW w:w="5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4.1</w:t>
            </w:r>
          </w:p>
        </w:tc>
        <w:tc>
          <w:tcPr>
            <w:tcW w:w="9980" w:type="dxa"/>
            <w:vAlign w:val="bottom"/>
          </w:tcPr>
          <w:p>
            <w:pPr>
              <w:ind w:left="360"/>
              <w:spacing w:after="0"/>
              <w:rPr>
                <w:sz w:val="20"/>
                <w:szCs w:val="20"/>
                <w:color w:val="auto"/>
              </w:rPr>
            </w:pPr>
            <w:r>
              <w:rPr>
                <w:rFonts w:ascii="Times New Roman" w:cs="Times New Roman" w:eastAsia="Times New Roman" w:hAnsi="Times New Roman"/>
                <w:sz w:val="18"/>
                <w:szCs w:val="18"/>
                <w:u w:val="single" w:color="auto"/>
                <w:color w:val="auto"/>
              </w:rPr>
              <w:t>Warrant Shares</w:t>
            </w:r>
            <w:r>
              <w:rPr>
                <w:rFonts w:ascii="Times New Roman" w:cs="Times New Roman" w:eastAsia="Times New Roman" w:hAnsi="Times New Roman"/>
                <w:sz w:val="18"/>
                <w:szCs w:val="18"/>
                <w:color w:val="auto"/>
              </w:rPr>
              <w:t>. If all or any portion of a Warrant is exercised at a time when there is an effective registration statement to cover the</w:t>
            </w:r>
          </w:p>
        </w:tc>
      </w:tr>
    </w:tbl>
    <w:p>
      <w:pPr>
        <w:jc w:val="both"/>
        <w:spacing w:after="0" w:line="251" w:lineRule="auto"/>
        <w:rPr>
          <w:sz w:val="20"/>
          <w:szCs w:val="20"/>
          <w:color w:val="auto"/>
        </w:rPr>
      </w:pPr>
      <w:r>
        <w:rPr>
          <w:rFonts w:ascii="Times New Roman" w:cs="Times New Roman" w:eastAsia="Times New Roman" w:hAnsi="Times New Roman"/>
          <w:sz w:val="18"/>
          <w:szCs w:val="18"/>
          <w:color w:val="auto"/>
        </w:rPr>
        <w:t>issuance or resale of the Warrant Shares or if the Warrant is exercised via cashless exercise, the Warrant Shares issued pursuant to any such exercise shall be issued free of all legends. If at any time following the date hereof the Registration Statement (or any subsequent registration statement registering the sale or resale of the Warrant Shares) is not effective or is not otherwise available for the sale or resale of the Warrant Shares, the Company shall immediately notify the holders of the Warrants in writing that such registration statement is not then effective and thereafter shall promptly notify such holders when the registration statement is effective again and available for the sale or resale of the Warrant Shares (it being understood and agreed that the foregoing shall not limit the ability of the Company to issue, or any Purchaser to sell, any of the Warrant Shares in compliance with applicable federal and state securities laws). The Company shall use best efforts to keep a registration statement (including the Registration Statement) registering the issuance or resale of the Warrant Shares effective during the term of the Warrants.</w:t>
      </w:r>
    </w:p>
    <w:p>
      <w:pPr>
        <w:spacing w:after="0" w:line="19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Furnishing of Information</w:t>
      </w:r>
      <w:r>
        <w:rPr>
          <w:rFonts w:ascii="Times New Roman" w:cs="Times New Roman" w:eastAsia="Times New Roman" w:hAnsi="Times New Roman"/>
          <w:sz w:val="18"/>
          <w:szCs w:val="18"/>
          <w:color w:val="auto"/>
        </w:rPr>
        <w:t>. Until the time that no Purchaser owns Securities, the Company covenants to timely file (or obtain extensions in respect thereof and file within the applicable grace period) all reports required to be filed by the Company after the date hereof pursuant to the Exchange Act even if the Company is not then subject to the reporting requirements of the Exchange Act.</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Integration</w:t>
      </w:r>
      <w:r>
        <w:rPr>
          <w:rFonts w:ascii="Times New Roman" w:cs="Times New Roman" w:eastAsia="Times New Roman" w:hAnsi="Times New Roman"/>
          <w:sz w:val="18"/>
          <w:szCs w:val="18"/>
          <w:color w:val="auto"/>
        </w:rPr>
        <w:t>. The Company shall not sell, offer for sale or solicit offers to buy or otherwise negotiate in respect of any security (as defined in Section 2 of the Securities Act) that would be integrated with the offer or sale of the Securities for purposes of the rules and regulations of any Trading Market such that it would require shareholder approval prior to the closing of such other transaction unless shareholder approval is obtained before the closing of such subsequent transaction</w:t>
      </w:r>
    </w:p>
    <w:p>
      <w:pPr>
        <w:spacing w:after="0" w:line="18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Securities Laws Disclosure; Publicity</w:t>
      </w:r>
      <w:r>
        <w:rPr>
          <w:rFonts w:ascii="Times New Roman" w:cs="Times New Roman" w:eastAsia="Times New Roman" w:hAnsi="Times New Roman"/>
          <w:sz w:val="18"/>
          <w:szCs w:val="18"/>
          <w:color w:val="auto"/>
        </w:rPr>
        <w:t>. The Company shall (a) by the Disclosure Time, issue a press release disclosing the material terms of the transactions contemplated hereby, and (b) file a Current Report on Form 8-K, including the Transaction Documents as exhibits thereto, with the Commission within the time required by the Exchange Act. From and after the issuance of such press release, the Company represents to the Purchasers that it shall have publicly disclosed all material, non-public information delivered to any of the Purchasers by the Company or any of its Subsidiaries, or any of their respective officers, directors, employees or agents in connection with the transactions contemplated by the Transaction Documents. In addition, effective upon the issuance of such press release, the Company acknowledges and agrees that any and all confidentiality or similar obligations under any agreement, whether written or oral, between the Company, any of its Subsidiaries or any of their respective officers, directors, agents, employees or Affiliates on the one hand, and any of the Purchasers or any of their Affiliates on the other hand, shall terminate. The Company and each Purchaser shall consult with each other in issuing any other press releases with respect to the transactions contemplated hereby, and neither the Company nor any Purchaser shall issue any such press release nor otherwise make any such public statement without the prior consent of the Company, with respect to any press release of any Purchaser, or without the prior consent of each Purchaser, with respect to any press release of the Company, which consent shall not unreasonably be withheld or delayed, except if such disclosure is required by law, in which case the disclosing party shall promptly provide the other party with prior notice of such public statement or communication. Notwithstanding the foregoing, the Company shall not publicly disclose the name of any Purchaser, or include the name of any Purchaser in any filing with the Commission or any regulatory agency or Trading Market, without the prior written consent of such Purchaser, except (a) as required by federal securities law in connection with the filing of final Transaction Documents with the Commission and (b) to the extent such disclosure is required by law or Trading Market regulations, in which case the Company shall provide the Purchasers with prior notice of such disclosure permitted under this clause (b).</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3" w:name="page64"/>
    <w:bookmarkEnd w:id="63"/>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Shareholder Rights Plan</w:t>
      </w:r>
      <w:r>
        <w:rPr>
          <w:rFonts w:ascii="Times New Roman" w:cs="Times New Roman" w:eastAsia="Times New Roman" w:hAnsi="Times New Roman"/>
          <w:sz w:val="18"/>
          <w:szCs w:val="18"/>
          <w:color w:val="auto"/>
        </w:rPr>
        <w:t>. No claim will be made or enforced by the Company or, with the consent of the Company, any other Person, that any Purchaser is an “</w:t>
      </w:r>
      <w:r>
        <w:rPr>
          <w:rFonts w:ascii="Times New Roman" w:cs="Times New Roman" w:eastAsia="Times New Roman" w:hAnsi="Times New Roman"/>
          <w:sz w:val="18"/>
          <w:szCs w:val="18"/>
          <w:u w:val="single" w:color="auto"/>
          <w:color w:val="auto"/>
        </w:rPr>
        <w:t>Acquiring Person</w:t>
      </w:r>
      <w:r>
        <w:rPr>
          <w:rFonts w:ascii="Times New Roman" w:cs="Times New Roman" w:eastAsia="Times New Roman" w:hAnsi="Times New Roman"/>
          <w:sz w:val="18"/>
          <w:szCs w:val="18"/>
          <w:color w:val="auto"/>
        </w:rPr>
        <w:t>” under any control share acquisition, business combination, poison pill (including any distribution under a rights agreement) or similar anti-takeover plan or arrangement in effect or hereafter adopted by the Company, or that any Purchaser could be deemed to trigger the provisions of any such plan or arrangement, by virtue of receiving Securities under the Transaction Documents or under any other agreement between the Company and the Purchasers.</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u w:val="single" w:color="auto"/>
          <w:color w:val="auto"/>
        </w:rPr>
        <w:t>Non-Public Information</w:t>
      </w:r>
      <w:r>
        <w:rPr>
          <w:rFonts w:ascii="Times New Roman" w:cs="Times New Roman" w:eastAsia="Times New Roman" w:hAnsi="Times New Roman"/>
          <w:sz w:val="18"/>
          <w:szCs w:val="18"/>
          <w:color w:val="auto"/>
        </w:rPr>
        <w:t>. Except with respect to the material terms and conditions of the transactions contemplated by the Transaction Documents, which shall be disclosed pursuant to Section 4.4, the Company covenants and agrees that neither it, nor any other Person acting on its behalf will provide any Purchaser or its agents or counsel with any information that constitutes, or the Company reasonably believes constitutes, material non-public information, unless prior thereto such Purchaser shall have consented to the receipt of such information and agreed with the Company to keep such information confidential. The Company understands and confirms that each Purchaser shall be relying on the foregoing covenant in effecting transactions in securities of the Company. To the extent that the Company delivers any material, non-public information to a Purchaser without such Purchaser’s consent, the Company hereby covenants and agrees that such Purchaser shall not have any duty of confidentiality to the Company, any of its Subsidiaries, or any of their respective officers, directors, agents, employees or Affiliates, or a duty to the Company, any of its Subsidiaries or any of their respective officers, directors, agents, employees or Affiliates not to trade on the basis of, such material, non-public information, provided that the Purchaser shall remain subject to applicable law. To the extent that any notice provided pursuant to any Transaction Document constitutes, or contains, material, non-public information regarding the Company or any Subsidiaries, the Company shall simultaneously file such notice with the Commission pursuant to a Current Report on Form 8-K. The Company understands and confirms that each Purchaser shall be relying on the foregoing covenant in effecting transactions in securities of the Company.</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u w:val="single" w:color="auto"/>
          <w:color w:val="auto"/>
        </w:rPr>
        <w:t>Schedule 4.7</w:t>
      </w:r>
      <w:r>
        <w:rPr>
          <w:rFonts w:ascii="Times New Roman" w:cs="Times New Roman" w:eastAsia="Times New Roman" w:hAnsi="Times New Roman"/>
          <w:sz w:val="18"/>
          <w:szCs w:val="18"/>
          <w:color w:val="auto"/>
        </w:rPr>
        <w:t xml:space="preserve"> attached hereto, the Company shall use the net proceeds from the sale of the Securities hereunder for working capital purposes and shall not use such proceeds: (a) for the satisfaction of any portion of the Company’s debt (other than payment of trade payables in the ordinary course of the Company’s business and prior practices), (b) for the redemption of any Common Stock or Common Stock Equivalents, (c) for the settlement of any outstanding litigation or (d) in violation of FCPA or OFAC regulations.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4" w:name="page65"/>
    <w:bookmarkEnd w:id="64"/>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4.8 </w:t>
      </w:r>
      <w:r>
        <w:rPr>
          <w:rFonts w:ascii="Times New Roman" w:cs="Times New Roman" w:eastAsia="Times New Roman" w:hAnsi="Times New Roman"/>
          <w:sz w:val="18"/>
          <w:szCs w:val="18"/>
          <w:u w:val="single" w:color="auto"/>
          <w:color w:val="auto"/>
        </w:rPr>
        <w:t>Indemnification of Purchasers</w:t>
      </w:r>
      <w:r>
        <w:rPr>
          <w:rFonts w:ascii="Times New Roman" w:cs="Times New Roman" w:eastAsia="Times New Roman" w:hAnsi="Times New Roman"/>
          <w:sz w:val="18"/>
          <w:szCs w:val="18"/>
          <w:color w:val="auto"/>
        </w:rPr>
        <w:t>. Subject to the provisions of this Section 4.8, the Company will indemnify and hold each Purchaser and its directors, officers, shareholders, members, partners, employees and agents (and any other Persons with a functionally equivalent role of a Person holding such titles notwithstanding a lack of such title or any other title), each Person who controls such Purchaser (within the meaning of Section 15 of the Securities Act and Section 20 of the Exchange Act), and the directors, officers, shareholders, agents, members, partners or employees (and any other Persons with a functionally equivalent role of a Person holding such titles notwithstanding a lack of such title or any other title) of such controlling persons (each, a “</w:t>
      </w:r>
      <w:r>
        <w:rPr>
          <w:rFonts w:ascii="Times New Roman" w:cs="Times New Roman" w:eastAsia="Times New Roman" w:hAnsi="Times New Roman"/>
          <w:sz w:val="18"/>
          <w:szCs w:val="18"/>
          <w:u w:val="single" w:color="auto"/>
          <w:color w:val="auto"/>
        </w:rPr>
        <w:t>Purchaser Party</w:t>
      </w:r>
      <w:r>
        <w:rPr>
          <w:rFonts w:ascii="Times New Roman" w:cs="Times New Roman" w:eastAsia="Times New Roman" w:hAnsi="Times New Roman"/>
          <w:sz w:val="18"/>
          <w:szCs w:val="18"/>
          <w:color w:val="auto"/>
        </w:rPr>
        <w:t>”) harmless from any and all losses, liabilities, obligations, claims, contingencies, damages, costs and expenses, including all judgments, amounts paid in settlements, court costs and reasonable attorneys’ fees and costs of investigation that any such Purchaser Party may suffer or incur as a result of or relating to (a) any breach of any of the representations, warranties, covenants or agreements made by the Company in this Agreement or in the other Transaction Documents, (b) any action instituted against the Purchaser Parties in any capacity, or any of them or their respective Affiliates, by any stockholder of the Company who is not an Affiliate of such Purchaser Party, with respect to any of the transactions contemplated by the Transaction Documents (unless such action is solely based upon a material breach of such Purchaser Party’s representations, warranties or covenants under the Transaction Documents or any agreements or understandings such Purchaser Party may have with any such stockholder or any violations by such Purchaser Party of state or federal securities laws or any conduct by such Purchaser Party which is finally judicially determined to constitute fraud, gross negligence or willful misconduct). If any action shall be brought against any Purchaser Party in respect of which indemnity may be sought pursuant to this Agreement, such Purchaser Party shall promptly notify the Company in writing, and the Company shall have the right to assume the defense thereof with counsel of its own choosing reasonably acceptable to the Purchaser Party. Any Purchaser Party shall have the right to employ separate counsel in any such action and participate in the defense thereof, but the fees and expenses of such counsel shall be at the expense of such Purchaser Party except to the extent that (i) the employment thereof has been specifically authorized by the Company in writing, (ii) the Company has failed after a reasonable period of time to assume such defense and to employ counsel or (iii) in such action there is, in the reasonable opinion of counsel, a material conflict on any material issue between the position of the Company and the position of such Purchaser Party, in which case the Company shall be responsible for the reasonable fees and expenses of no more than one such separate counsel. The Company will not be liable to any Purchaser Party under this Agreement (y) for any settlement by a Purchaser Party effected without the Company’s prior written consent, which shall not be unreasonably withheld or delayed; or (z) to the extent, but only to the extent that a loss, claim, damage or liability is attributable to any Purchaser Party’s breach of any of the representations, warranties, covenants or agreements made by such Purchaser Party in this Agreement or in the other Transaction Documents. The indemnification required by this Section 4.8 shall be made by periodic payments of the amount thereof during the course of the investigation or defense, as and when bills are received or are incurred. The indemnity agreements contained herein shall be in addition to any cause of action or similar right of any Purchaser Party against the Company or others and any liabilities the Company may be subject to pursuant to law.</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5" w:name="page66"/>
    <w:bookmarkEnd w:id="65"/>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4.9 </w:t>
      </w:r>
      <w:r>
        <w:rPr>
          <w:rFonts w:ascii="Times New Roman" w:cs="Times New Roman" w:eastAsia="Times New Roman" w:hAnsi="Times New Roman"/>
          <w:sz w:val="18"/>
          <w:szCs w:val="18"/>
          <w:u w:val="single" w:color="auto"/>
          <w:color w:val="auto"/>
        </w:rPr>
        <w:t>Reservation of Common Stock</w:t>
      </w:r>
      <w:r>
        <w:rPr>
          <w:rFonts w:ascii="Times New Roman" w:cs="Times New Roman" w:eastAsia="Times New Roman" w:hAnsi="Times New Roman"/>
          <w:sz w:val="18"/>
          <w:szCs w:val="18"/>
          <w:color w:val="auto"/>
        </w:rPr>
        <w:t>. As of the date hereof, the Company has reserved and the Company shall continue to reserve and keep available at all times, free of preemptive rights, a sufficient number of shares of Common Stock for the purpose of enabling the Company to issue Shares pursuant to this Agreement and Warrant Shares pursuant to any exercise of the Warrants.</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4.10 </w:t>
      </w:r>
      <w:r>
        <w:rPr>
          <w:rFonts w:ascii="Times New Roman" w:cs="Times New Roman" w:eastAsia="Times New Roman" w:hAnsi="Times New Roman"/>
          <w:sz w:val="18"/>
          <w:szCs w:val="18"/>
          <w:u w:val="single" w:color="auto"/>
          <w:color w:val="auto"/>
        </w:rPr>
        <w:t>Listing of Common Stock</w:t>
      </w:r>
      <w:r>
        <w:rPr>
          <w:rFonts w:ascii="Times New Roman" w:cs="Times New Roman" w:eastAsia="Times New Roman" w:hAnsi="Times New Roman"/>
          <w:sz w:val="18"/>
          <w:szCs w:val="18"/>
          <w:color w:val="auto"/>
        </w:rPr>
        <w:t>. The Company hereby agrees to use best efforts to maintain the listing or quotation of the Common Stock on the Trading Market on which it is currently listed, and concurrently with the Closing, the Company shall apply to list or quote all of the Shares and Warrant Shares on such Trading Market and promptly secure the listing of all of the Shares and Warrant Shares on such Trading Market. The Company further agrees, if the Company applies to have the Common Stock traded on any other Trading Market, it will then include in such application all of the Shares and Warrant Shares, and will take such other action as is necessary to cause all of the Shares and Warrant Shares to be listed or quoted on such other Trading Market as promptly as possible. The Company will then take all action reasonably necessary to continue the listing and trading of its Common Stock on a Trading Market and will comply in all respects with the Company’s reporting, filing and other obligations under the bylaws or rules of the Trading Market. The Company agrees to maintain the eligibility of the Common Stock for electronic transfer through the Depository Trust Company or another established clearing corporation, including, without limitation, by timely payment of fees to the Depository Trust Company or such other established clearing corporation in connection with such electronic transfer.</w:t>
      </w:r>
    </w:p>
    <w:p>
      <w:pPr>
        <w:spacing w:after="0" w:line="194" w:lineRule="exact"/>
        <w:rPr>
          <w:sz w:val="20"/>
          <w:szCs w:val="20"/>
          <w:color w:val="auto"/>
        </w:rPr>
      </w:pPr>
    </w:p>
    <w:p>
      <w:pPr>
        <w:ind w:left="660"/>
        <w:spacing w:after="0"/>
        <w:tabs>
          <w:tab w:leader="none" w:pos="1480" w:val="left"/>
        </w:tabs>
        <w:rPr>
          <w:sz w:val="20"/>
          <w:szCs w:val="20"/>
          <w:color w:val="auto"/>
        </w:rPr>
      </w:pPr>
      <w:r>
        <w:rPr>
          <w:rFonts w:ascii="Times New Roman" w:cs="Times New Roman" w:eastAsia="Times New Roman" w:hAnsi="Times New Roman"/>
          <w:sz w:val="18"/>
          <w:szCs w:val="18"/>
          <w:color w:val="auto"/>
        </w:rPr>
        <w:t>4.11</w:t>
      </w:r>
      <w:r>
        <w:rPr>
          <w:sz w:val="20"/>
          <w:szCs w:val="20"/>
          <w:color w:val="auto"/>
        </w:rPr>
        <w:tab/>
      </w:r>
      <w:r>
        <w:rPr>
          <w:rFonts w:ascii="Times New Roman" w:cs="Times New Roman" w:eastAsia="Times New Roman" w:hAnsi="Times New Roman"/>
          <w:sz w:val="17"/>
          <w:szCs w:val="17"/>
          <w:u w:val="single" w:color="auto"/>
          <w:color w:val="auto"/>
        </w:rPr>
        <w:t>Subsequent Equity Sales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660" w:firstLine="644"/>
        <w:spacing w:after="0" w:line="282" w:lineRule="auto"/>
        <w:tabs>
          <w:tab w:leader="none" w:pos="2218"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date hereof until thirty (30) days after the Closing Date, neither the Company nor any Subsidiary shall issue, enter into any agreement to issue or announce the issuance or proposed issuance of any shares of Common Stock or Common Stock Equivalents.</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53" w:lineRule="auto"/>
        <w:tabs>
          <w:tab w:leader="none" w:pos="225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date hereof until the 6-month anniversary of the Closing Date, the Company shall be prohibited from effecting or entering into an agreement to effect any issuance by the Company or any of its Subsidiaries of Common Stock or Common Stock Equivalents (or a combination of units thereof) involving a Variable Rate Transaction. “</w:t>
      </w:r>
      <w:r>
        <w:rPr>
          <w:rFonts w:ascii="Times New Roman" w:cs="Times New Roman" w:eastAsia="Times New Roman" w:hAnsi="Times New Roman"/>
          <w:sz w:val="18"/>
          <w:szCs w:val="18"/>
          <w:u w:val="single" w:color="auto"/>
          <w:color w:val="auto"/>
        </w:rPr>
        <w:t>Variable Rate Transaction</w:t>
      </w:r>
      <w:r>
        <w:rPr>
          <w:rFonts w:ascii="Times New Roman" w:cs="Times New Roman" w:eastAsia="Times New Roman" w:hAnsi="Times New Roman"/>
          <w:sz w:val="18"/>
          <w:szCs w:val="18"/>
          <w:color w:val="auto"/>
        </w:rPr>
        <w:t>” means a transaction in which the Company (i) issues or sells any debt or equity securities that are convertible into, exchangeable or exercisable for, or include the right to receive additional shares of Common Stock either (A) at a conversion price, exercise price or exchange rate or other price that is based upon and/or varies with the trading prices of or quotations for the shares of Common Stock at any time after the initial issuance of such debt or equity securities, or (B) with a conversion, exercise or exchange price that is subject to being reset at some future date after the initial issuance of such debt or equity security or upon the occurrence of specified or contingent events directly or indirectly related to the business of the Company or the market for the Common Stock or (ii) enters into, or effects a transaction under, any agreement, including, but not limited to, an equity line of credit, whereby the Company may issue securities at a future determined price. Any Purchaser shall be entitled to obtain injunctive relief against the Company to preclude any such issuance, which remedy shall be in addition to any right to collect damages.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6" w:name="page67"/>
    <w:bookmarkEnd w:id="66"/>
    <w:p>
      <w:pPr>
        <w:ind w:left="660" w:firstLine="644"/>
        <w:spacing w:after="0" w:line="282" w:lineRule="auto"/>
        <w:tabs>
          <w:tab w:leader="none" w:pos="2272"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this Section 4.12 shall not apply in respect of an Exempt Issuance, except that no Variable Rate Transaction shall be an Exempt Issuance.</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4.12 </w:t>
      </w:r>
      <w:r>
        <w:rPr>
          <w:rFonts w:ascii="Times New Roman" w:cs="Times New Roman" w:eastAsia="Times New Roman" w:hAnsi="Times New Roman"/>
          <w:sz w:val="18"/>
          <w:szCs w:val="18"/>
          <w:u w:val="single" w:color="auto"/>
          <w:color w:val="auto"/>
        </w:rPr>
        <w:t>Equal Treatment of Purchasers</w:t>
      </w:r>
      <w:r>
        <w:rPr>
          <w:rFonts w:ascii="Times New Roman" w:cs="Times New Roman" w:eastAsia="Times New Roman" w:hAnsi="Times New Roman"/>
          <w:sz w:val="18"/>
          <w:szCs w:val="18"/>
          <w:color w:val="auto"/>
        </w:rPr>
        <w:t>. No consideration (including any modification of this Agreement) shall be offered or paid to any Person to amend or consent to a waiver or modification of any provision of this Agreement unless the same consideration is also offered to all of the parties to this Agreement. For clarification purposes, this provision constitutes a separate right granted to each Purchaser by the Company and negotiated separately by each Purchaser, and is intended for the Company to treat the Purchasers as a class and shall not in any way be construed as the Purchasers acting in concert or as a group with respect to the purchase, disposition or voting of Shares or otherwise.</w:t>
      </w:r>
    </w:p>
    <w:p>
      <w:pPr>
        <w:spacing w:after="0" w:line="18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4.13 </w:t>
      </w:r>
      <w:r>
        <w:rPr>
          <w:rFonts w:ascii="Times New Roman" w:cs="Times New Roman" w:eastAsia="Times New Roman" w:hAnsi="Times New Roman"/>
          <w:sz w:val="18"/>
          <w:szCs w:val="18"/>
          <w:u w:val="single" w:color="auto"/>
          <w:color w:val="auto"/>
        </w:rPr>
        <w:t>Certain Transactions and Confidentiality</w:t>
      </w:r>
      <w:r>
        <w:rPr>
          <w:rFonts w:ascii="Times New Roman" w:cs="Times New Roman" w:eastAsia="Times New Roman" w:hAnsi="Times New Roman"/>
          <w:sz w:val="18"/>
          <w:szCs w:val="18"/>
          <w:color w:val="auto"/>
        </w:rPr>
        <w:t>. Each Purchaser, severally and not jointly with the other Purchasers, covenants that neither it nor any Affiliate acting on its behalf or pursuant to any understanding with it will execute any purchases or sales, including Short Sales of any of the Company’s securities during the period commencing with the execution of this Agreement and ending at such time that the transactions contemplated by this Agreement are first publicly announced pursuant to the initial press release as described in Section 4.4. Each Purchaser, severally and not jointly with the other Purchasers, covenants that until such time as the transactions contemplated by this Agreement are publicly disclosed by the Company pursuant to the initial press release as described in Section 4.4, such Purchaser will maintain the confidentiality of the existence and terms of this transaction and the information included in the Disclosure Schedules. Notwithstanding the foregoing, and notwithstanding anything contained in this Agreement to the contrary, the Company expressly acknowledges and agrees that (i) no Purchaser makes any representation, warranty or covenant hereby that it will not engage in effecting transactions in any securities of the Company after the time that the transactions contemplated by this Agreement are first publicly announced pursuant to the initial press release as described in Section 4.4, (ii) no Purchaser shall be restricted or prohibited from effecting any transactions in any securities of the Company in accordance with applicable securities laws from and after the time that the transactions contemplated by this Agreement are first publicly announced pursuant to the initial press release as described in Section 4.4 and (iii) no Purchaser shall have any duty of confidentiality or duty not to trade in the securities of the Company to the Company or its Subsidiaries after the issuance of the initial press release as described in Section 4.4. Notwithstanding the foregoing, in the case of a Purchaser that is a multi-managed investment vehicle whereby separate portfolio managers manage separate portions of such Purchaser’s assets and the portfolio managers have no direct knowledge of the investment decisions made by the portfolio managers managing other portions of such Purchaser’s assets, the covenant set forth above shall only apply with respect to the portion of assets managed by the portfolio manager that made the investment decision to purchase the Securities covered by this Agreement.</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7" w:name="page68"/>
    <w:bookmarkEnd w:id="67"/>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4.14 </w:t>
      </w:r>
      <w:r>
        <w:rPr>
          <w:rFonts w:ascii="Times New Roman" w:cs="Times New Roman" w:eastAsia="Times New Roman" w:hAnsi="Times New Roman"/>
          <w:sz w:val="18"/>
          <w:szCs w:val="18"/>
          <w:u w:val="single" w:color="auto"/>
          <w:color w:val="auto"/>
        </w:rPr>
        <w:t>Exercise Procedures</w:t>
      </w:r>
      <w:r>
        <w:rPr>
          <w:rFonts w:ascii="Times New Roman" w:cs="Times New Roman" w:eastAsia="Times New Roman" w:hAnsi="Times New Roman"/>
          <w:sz w:val="18"/>
          <w:szCs w:val="18"/>
          <w:color w:val="auto"/>
        </w:rPr>
        <w:t>. The form of Notice of Exercise included in the Warrants set forth the totality of the procedures required of the Purchasers in order to exercise the Warrants. No additional legal opinion, other information or instructions shall be required of the Purchasers to exercise their Warrants. Without limiting the preceding sentences, no ink-original Notice of Exercise shall be required, nor shall any medallion guarantee (or other type of guarantee or notarization) of any Notice of Exercise form be required in order to exercise the Warrants. The Company shall honor exercises of the Warrants and shall deliver Warrant Shares in accordance with the terms, conditions and time periods set forth in the Transaction Documents.</w:t>
      </w:r>
    </w:p>
    <w:p>
      <w:pPr>
        <w:spacing w:after="0" w:line="179" w:lineRule="exact"/>
        <w:rPr>
          <w:sz w:val="20"/>
          <w:szCs w:val="20"/>
          <w:color w:val="auto"/>
        </w:rPr>
      </w:pPr>
    </w:p>
    <w:tbl>
      <w:tblPr>
        <w:tblLayout w:type="fixed"/>
        <w:tblInd w:w="660" w:type="dxa"/>
        <w:tblCellMar>
          <w:top w:w="0" w:type="dxa"/>
          <w:left w:w="0" w:type="dxa"/>
          <w:bottom w:w="0" w:type="dxa"/>
          <w:right w:w="0" w:type="dxa"/>
        </w:tblCellMar>
      </w:tblPr>
      <w:tr>
        <w:trPr>
          <w:trHeight w:val="220"/>
        </w:trPr>
        <w:tc>
          <w:tcPr>
            <w:tcW w:w="540" w:type="dxa"/>
            <w:vAlign w:val="bottom"/>
          </w:tcPr>
          <w:p>
            <w:pPr>
              <w:spacing w:after="0"/>
              <w:rPr>
                <w:sz w:val="19"/>
                <w:szCs w:val="19"/>
                <w:color w:val="auto"/>
              </w:rPr>
            </w:pPr>
          </w:p>
        </w:tc>
        <w:tc>
          <w:tcPr>
            <w:tcW w:w="10020" w:type="dxa"/>
            <w:vAlign w:val="bottom"/>
          </w:tcPr>
          <w:p>
            <w:pPr>
              <w:jc w:val="center"/>
              <w:ind w:right="1090"/>
              <w:spacing w:after="0"/>
              <w:rPr>
                <w:sz w:val="20"/>
                <w:szCs w:val="20"/>
                <w:color w:val="auto"/>
              </w:rPr>
            </w:pPr>
            <w:r>
              <w:rPr>
                <w:rFonts w:ascii="Times New Roman" w:cs="Times New Roman" w:eastAsia="Times New Roman" w:hAnsi="Times New Roman"/>
                <w:sz w:val="18"/>
                <w:szCs w:val="18"/>
                <w:b w:val="1"/>
                <w:bCs w:val="1"/>
                <w:color w:val="auto"/>
                <w:w w:val="96"/>
              </w:rPr>
              <w:t>ARTICLE V.</w:t>
            </w:r>
          </w:p>
        </w:tc>
      </w:tr>
      <w:tr>
        <w:trPr>
          <w:trHeight w:val="234"/>
        </w:trPr>
        <w:tc>
          <w:tcPr>
            <w:tcW w:w="540" w:type="dxa"/>
            <w:vAlign w:val="bottom"/>
          </w:tcPr>
          <w:p>
            <w:pPr>
              <w:spacing w:after="0"/>
              <w:rPr>
                <w:sz w:val="20"/>
                <w:szCs w:val="20"/>
                <w:color w:val="auto"/>
              </w:rPr>
            </w:pPr>
          </w:p>
        </w:tc>
        <w:tc>
          <w:tcPr>
            <w:tcW w:w="10020" w:type="dxa"/>
            <w:vAlign w:val="bottom"/>
          </w:tcPr>
          <w:p>
            <w:pPr>
              <w:jc w:val="center"/>
              <w:ind w:right="1070"/>
              <w:spacing w:after="0"/>
              <w:rPr>
                <w:sz w:val="20"/>
                <w:szCs w:val="20"/>
                <w:color w:val="auto"/>
              </w:rPr>
            </w:pPr>
            <w:r>
              <w:rPr>
                <w:rFonts w:ascii="Times New Roman" w:cs="Times New Roman" w:eastAsia="Times New Roman" w:hAnsi="Times New Roman"/>
                <w:sz w:val="18"/>
                <w:szCs w:val="18"/>
                <w:color w:val="auto"/>
                <w:w w:val="99"/>
              </w:rPr>
              <w:t>MISCELLANEOUS</w:t>
            </w:r>
          </w:p>
        </w:tc>
      </w:tr>
      <w:tr>
        <w:trPr>
          <w:trHeight w:val="432"/>
        </w:trPr>
        <w:tc>
          <w:tcPr>
            <w:tcW w:w="5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5.1</w:t>
            </w:r>
          </w:p>
        </w:tc>
        <w:tc>
          <w:tcPr>
            <w:tcW w:w="10020" w:type="dxa"/>
            <w:vAlign w:val="bottom"/>
          </w:tcPr>
          <w:p>
            <w:pPr>
              <w:ind w:left="320"/>
              <w:spacing w:after="0"/>
              <w:rPr>
                <w:sz w:val="20"/>
                <w:szCs w:val="20"/>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This Agreement may be terminated by any Purchaser, as to such Purchaser’s obligations hereunder only and without any</w:t>
            </w:r>
          </w:p>
        </w:tc>
      </w:tr>
    </w:tbl>
    <w:p>
      <w:pPr>
        <w:jc w:val="both"/>
        <w:spacing w:after="0" w:line="221" w:lineRule="auto"/>
        <w:rPr>
          <w:sz w:val="20"/>
          <w:szCs w:val="20"/>
          <w:color w:val="auto"/>
        </w:rPr>
      </w:pPr>
      <w:r>
        <w:rPr>
          <w:rFonts w:ascii="Times New Roman" w:cs="Times New Roman" w:eastAsia="Times New Roman" w:hAnsi="Times New Roman"/>
          <w:sz w:val="18"/>
          <w:szCs w:val="18"/>
          <w:color w:val="auto"/>
        </w:rPr>
        <w:t>effect whatsoever on the obligations between the Company and the other Purchasers, by written notice to the other parties, if the Closing has not been consummated on or before the fifth (5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Trading Day following the date 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such termination will affect the right of any party to sue for any breach by any other party (or parties).</w:t>
      </w:r>
    </w:p>
    <w:p>
      <w:pPr>
        <w:spacing w:after="0" w:line="19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Fees and Expenses</w:t>
      </w:r>
      <w:r>
        <w:rPr>
          <w:rFonts w:ascii="Times New Roman" w:cs="Times New Roman" w:eastAsia="Times New Roman" w:hAnsi="Times New Roman"/>
          <w:sz w:val="18"/>
          <w:szCs w:val="18"/>
          <w:color w:val="auto"/>
        </w:rPr>
        <w:t>. Except as expressly set forth in the Transaction Documents to the contrary, each party shall pay the fees and expenses of its advisers, counsel, accountants and other experts, if any, and all other expenses incurred by such party incident to the negotiation, preparation, execution, delivery and performance of this Agreement. The Company shall pay all Transfer Agent fees (including, without limitation, any fees required for same-day processing of any instruction letter delivered by the Company and any exercise notice delivered by a Purchaser), stamp taxes and other taxes and duties levied in connection with the delivery of any Securities to the Purchasers.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The Transaction Documents, together with the exhibits and schedules thereto, the Prospectus and the Prospectus Supplement, contain the entire understanding of the parties with respect to the subject matter hereof and thereof and supersede all prior agreements and understandings, oral or written, with respect to such matters, which the parties acknowledge have been merged into such documents, exhibits and schedules.</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and all notices or other communications or deliveries required or permitted to be provided hereunder shall be in writing and shall be deemed given and effective on the earliest of: (a) the time of transmission, if such notice or communication is delivered via facsimile at the facsimile number or email attachment at the email address as set forth on the signature pages attached hereto at or prior to 5:30 p.m. (New York City time) on a Trading Day, (b) the next Trading Day after the time of transmission, if such notice or communication is delivered via facsimile at the facsimile number or email attachment at the email address as set forth on the signature pages attached hereto on a day that is not a Trading Day or later than 5:30</w:t>
      </w:r>
    </w:p>
    <w:p>
      <w:pPr>
        <w:spacing w:after="0" w:line="3"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8"/>
          <w:szCs w:val="18"/>
          <w:color w:val="auto"/>
        </w:rPr>
        <w:t>p.m. (New York City time) on any Trading Day, (c) the second (2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Trading Day following the date of mailing, if sent by U.S. nationally recognized overnight courier service or (d) upon actual receipt by the party to whom such notice is required to be given. The address for such notices and communications shall be as set forth on the signature pages attached hereto.</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8" w:name="page69"/>
    <w:bookmarkEnd w:id="68"/>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Amendments; Waivers</w:t>
      </w:r>
      <w:r>
        <w:rPr>
          <w:rFonts w:ascii="Times New Roman" w:cs="Times New Roman" w:eastAsia="Times New Roman" w:hAnsi="Times New Roman"/>
          <w:sz w:val="18"/>
          <w:szCs w:val="18"/>
          <w:color w:val="auto"/>
        </w:rPr>
        <w:t>. No provision of this Agreement may be waived, modified, supplemented or amended except in a written instrument signed, in the case of an amendment, by the Company and Purchasers holding at least 50.1% in interest of the component of the affected Shares and Warrant Shares then outstanding or, in the case of a waiver, by the party against whom enforcement of any such waived provision is sought, provided that if any amendment, modification or waiver disproportionately and adversely impacts a Purchaser (or group of Purchasers), the consent of such disproportionately impacted Purchaser (or group of Purchasers) shall also be required. No waiver of any default with respect to any provision, condition or requirement of this Agreement shall be deemed to be a continuing waiver in the future or a waiver of any subsequent default or a waiver of any other provision, condition or requirement hereof, nor shall any delay or omission of any party to exercise any right hereunder in any manner impair the exercise of any such right. Any proposed amendment or waiver that disproportionately, materially and adversely affects the rights and obligations of any Purchaser relative to the comparable rights and obligations of the other Purchasers shall require the prior written consent of such adversely affected Purchaser. Any amendment effected in accordance with this Section 5.5 shall be binding upon each Purchaser and holder of Securities and the Company.</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2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5.6</w:t>
            </w:r>
          </w:p>
        </w:tc>
        <w:tc>
          <w:tcPr>
            <w:tcW w:w="97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Headings. The headings herein are for convenience only, do not constitute a part of this Agreement and shall not be deemed to limit or</w:t>
            </w:r>
          </w:p>
        </w:tc>
      </w:tr>
      <w:tr>
        <w:trPr>
          <w:trHeight w:val="20"/>
        </w:trPr>
        <w:tc>
          <w:tcPr>
            <w:tcW w:w="15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r>
      <w:tr>
        <w:trPr>
          <w:trHeight w:val="237"/>
        </w:trPr>
        <w:tc>
          <w:tcPr>
            <w:tcW w:w="11240" w:type="dxa"/>
            <w:vAlign w:val="bottom"/>
            <w:gridSpan w:val="5"/>
          </w:tcPr>
          <w:p>
            <w:pPr>
              <w:jc w:val="right"/>
              <w:ind w:right="8720"/>
              <w:spacing w:after="0"/>
              <w:rPr>
                <w:sz w:val="20"/>
                <w:szCs w:val="20"/>
                <w:color w:val="auto"/>
              </w:rPr>
            </w:pPr>
            <w:r>
              <w:rPr>
                <w:rFonts w:ascii="Times New Roman" w:cs="Times New Roman" w:eastAsia="Times New Roman" w:hAnsi="Times New Roman"/>
                <w:sz w:val="18"/>
                <w:szCs w:val="18"/>
                <w:color w:val="auto"/>
                <w:w w:val="99"/>
              </w:rPr>
              <w:t>affect any of the provisions hereof.</w:t>
            </w:r>
          </w:p>
        </w:tc>
      </w:tr>
      <w:tr>
        <w:trPr>
          <w:trHeight w:val="392"/>
        </w:trPr>
        <w:tc>
          <w:tcPr>
            <w:tcW w:w="152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5.7</w:t>
            </w:r>
          </w:p>
        </w:tc>
        <w:tc>
          <w:tcPr>
            <w:tcW w:w="260" w:type="dxa"/>
            <w:vAlign w:val="bottom"/>
          </w:tcPr>
          <w:p>
            <w:pPr>
              <w:spacing w:after="0"/>
              <w:rPr>
                <w:sz w:val="24"/>
                <w:szCs w:val="24"/>
                <w:color w:val="auto"/>
              </w:rPr>
            </w:pPr>
          </w:p>
        </w:tc>
        <w:tc>
          <w:tcPr>
            <w:tcW w:w="9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Successors and Assigns. This Agreement shall be binding upon and inure to the benefit of the parties and their successors and</w:t>
            </w:r>
          </w:p>
        </w:tc>
      </w:tr>
      <w:tr>
        <w:trPr>
          <w:trHeight w:val="20"/>
        </w:trPr>
        <w:tc>
          <w:tcPr>
            <w:tcW w:w="1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r>
    </w:tbl>
    <w:p>
      <w:pPr>
        <w:spacing w:after="0" w:line="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permitted assigns. The Company may not assign this Agreement or any rights or obligations hereunder without the prior written consent of each Purchaser (other than by merger). Any Purchaser may assign any or all of its rights under this Agreement to any Person to whom such Purchaser assigns or transfers any Securities, provided that such transferee agrees in writing to be bound, with respect to the transferred Securities, by the provisions of the Transaction Documents that apply to the “Purchasers.”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5.8 </w:t>
      </w:r>
      <w:r>
        <w:rPr>
          <w:rFonts w:ascii="Times New Roman" w:cs="Times New Roman" w:eastAsia="Times New Roman" w:hAnsi="Times New Roman"/>
          <w:sz w:val="18"/>
          <w:szCs w:val="18"/>
          <w:u w:val="single" w:color="auto"/>
          <w:color w:val="auto"/>
        </w:rPr>
        <w:t>No Third-Party Beneficiaries</w:t>
      </w:r>
      <w:r>
        <w:rPr>
          <w:rFonts w:ascii="Times New Roman" w:cs="Times New Roman" w:eastAsia="Times New Roman" w:hAnsi="Times New Roman"/>
          <w:sz w:val="18"/>
          <w:szCs w:val="18"/>
          <w:color w:val="auto"/>
        </w:rPr>
        <w:t>. The Placement Agent shall be the third party beneficiary of the representations and warranties of the Company in Section 3.1 and the representations and warranties of the Purchasers in Section 3.2. This Agreement is intended for the benefit of the parties hereto and their respective successors and permitted assigns and is not for the benefit of, nor may any provision hereof be enforced by, any other Person, except as otherwise set forth in Section 4.8 and this Section 5.8.</w:t>
      </w:r>
    </w:p>
    <w:p>
      <w:pPr>
        <w:spacing w:after="0" w:line="18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5.9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All questions concerning the construction, validity, enforcement and interpretation of the Transaction Documents shall be governed by and construed and enforced in accordance with the internal laws of the State of New York, without regard to the principles of conflicts of law thereof. Each party agrees that all legal Proceedings concerning the interpretations, enforcement and defense of the transactions contemplated by this Agreement and any other Transaction Documents (whether brought against a party hereto or its respective affiliates, directors, officers, shareholders, partners, members, employees or agents) shall be commenced exclusively in the state and federal courts sitting in the City of New York. 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(including with respect to the enforcement of any of the Transaction Documents), and hereby irrevocably waives, and agrees not to assert in any Action or Proceeding, any claim that it is not personally subject to the jurisdiction of any such court, that such Action or Proceeding is improper or is an inconvenient venue for such Proceeding. Each party hereby irrevocably waives personal service of process and consents to process being served in any such Action or Proceeding by mailing a copy thereof via registered or certified mail or overnight delivery (with evidence of delivery) to such party at the address in effect for notices to it under this Agreement and agrees that such service shall constitute good and sufficient service of process and notice thereof. Nothing contained herein shall be deemed to limit in any way any right to serve process in any other manner permitted by law. If any party shall commence an Action or Proceeding to enforce any provisions of the Transaction Documents, then, in addition to the obligations of the Company under Section 4.8, the prevailing party in such Action or Proceeding shall be reimbursed by the non-prevailing party for its reasonable attorneys’ fees and other costs and expenses incurred with the investigation, preparation and prosecution of such Action or Proceeding.</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9" w:name="page70"/>
    <w:bookmarkEnd w:id="69"/>
    <w:p>
      <w:pPr>
        <w:ind w:left="660"/>
        <w:spacing w:after="0"/>
        <w:tabs>
          <w:tab w:leader="none" w:pos="1500" w:val="left"/>
        </w:tabs>
        <w:rPr>
          <w:sz w:val="20"/>
          <w:szCs w:val="20"/>
          <w:color w:val="auto"/>
        </w:rPr>
      </w:pPr>
      <w:r>
        <w:rPr>
          <w:rFonts w:ascii="Times New Roman" w:cs="Times New Roman" w:eastAsia="Times New Roman" w:hAnsi="Times New Roman"/>
          <w:sz w:val="18"/>
          <w:szCs w:val="18"/>
          <w:color w:val="auto"/>
        </w:rPr>
        <w:t>5.10</w:t>
      </w:r>
      <w:r>
        <w:rPr>
          <w:sz w:val="20"/>
          <w:szCs w:val="20"/>
          <w:color w:val="auto"/>
        </w:rPr>
        <w:tab/>
      </w:r>
      <w:r>
        <w:rPr>
          <w:rFonts w:ascii="Times New Roman" w:cs="Times New Roman" w:eastAsia="Times New Roman" w:hAnsi="Times New Roman"/>
          <w:sz w:val="17"/>
          <w:szCs w:val="17"/>
          <w:u w:val="single" w:color="auto"/>
          <w:color w:val="auto"/>
        </w:rPr>
        <w:t>Survival</w:t>
      </w:r>
      <w:r>
        <w:rPr>
          <w:rFonts w:ascii="Times New Roman" w:cs="Times New Roman" w:eastAsia="Times New Roman" w:hAnsi="Times New Roman"/>
          <w:sz w:val="17"/>
          <w:szCs w:val="17"/>
          <w:color w:val="auto"/>
        </w:rPr>
        <w:t>. The representations and warranties contained herein shall survive the Closing and the delivery of the Securities.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5.11 </w:t>
      </w:r>
      <w:r>
        <w:rPr>
          <w:rFonts w:ascii="Times New Roman" w:cs="Times New Roman" w:eastAsia="Times New Roman" w:hAnsi="Times New Roman"/>
          <w:sz w:val="18"/>
          <w:szCs w:val="18"/>
          <w:u w:val="single" w:color="auto"/>
          <w:color w:val="auto"/>
        </w:rPr>
        <w:t>Execution</w:t>
      </w:r>
      <w:r>
        <w:rPr>
          <w:rFonts w:ascii="Times New Roman" w:cs="Times New Roman" w:eastAsia="Times New Roman" w:hAnsi="Times New Roman"/>
          <w:sz w:val="18"/>
          <w:szCs w:val="18"/>
          <w:color w:val="auto"/>
        </w:rPr>
        <w:t>. This Agreement may be executed in two or more counterparts, all of which when taken together shall be considered one and the same agreement and shall become effective when counterparts have been signed by each party and delivered to each other party, it being understood that the parties need not sign the same counterpart. In the event that any signature is delivered by facsimile transmission or by e-mail delivery of a “.pdf” format data file, such signature shall create a valid and binding obligation of the party executing (or on whose behalf such signature is executed) with the same force and effect as if such facsimile or “.pdf” signature page were an original thereof.</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5.12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5.13 </w:t>
      </w:r>
      <w:r>
        <w:rPr>
          <w:rFonts w:ascii="Times New Roman" w:cs="Times New Roman" w:eastAsia="Times New Roman" w:hAnsi="Times New Roman"/>
          <w:sz w:val="18"/>
          <w:szCs w:val="18"/>
          <w:u w:val="single" w:color="auto"/>
          <w:color w:val="auto"/>
        </w:rPr>
        <w:t>Rescission and Withdrawal Right</w:t>
      </w:r>
      <w:r>
        <w:rPr>
          <w:rFonts w:ascii="Times New Roman" w:cs="Times New Roman" w:eastAsia="Times New Roman" w:hAnsi="Times New Roman"/>
          <w:sz w:val="18"/>
          <w:szCs w:val="18"/>
          <w:color w:val="auto"/>
        </w:rPr>
        <w:t>. Notwithstanding anything to the contrary contained in (and without limiting any similar provisions of) any of the other Transaction Documents, whenever any Purchaser exercises a right, election, demand or option under a Transaction Document and the Company does not timely perform its related obligations within the periods therein provided, then such Purchaser may rescind or withdraw, in its sole discretion from time to time upon written notice to the Company, any relevant notice, demand or election in whole or in part without prejudice to its future actions and rights; provided, however, that, in the case of a rescission of an exercise of a Warrant, the applicable Purchaser shall be required to return any shares of Common Stock subject to any such rescinded exercise notice concurrently with the return to such Purchaser of the aggregate exercise price paid to the Company for such shares and the restoration of such Purchaser’s right to acquire such shares pursuant to such Purchaser’s Warrant (including, issuance of a replacement warrant certificate evidencing such restored right).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0" w:name="page71"/>
    <w:bookmarkEnd w:id="70"/>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5.14 </w:t>
      </w:r>
      <w:r>
        <w:rPr>
          <w:rFonts w:ascii="Times New Roman" w:cs="Times New Roman" w:eastAsia="Times New Roman" w:hAnsi="Times New Roman"/>
          <w:sz w:val="18"/>
          <w:szCs w:val="18"/>
          <w:u w:val="single" w:color="auto"/>
          <w:color w:val="auto"/>
        </w:rPr>
        <w:t>Replacement of Securities</w:t>
      </w:r>
      <w:r>
        <w:rPr>
          <w:rFonts w:ascii="Times New Roman" w:cs="Times New Roman" w:eastAsia="Times New Roman" w:hAnsi="Times New Roman"/>
          <w:sz w:val="18"/>
          <w:szCs w:val="18"/>
          <w:color w:val="auto"/>
        </w:rPr>
        <w:t>. If any certificate or instrument evidencing any Securities is mutilated, lost, stolen or destroyed, the Company shall issue or cause to be issued in exchange and substitution for and upon cancellation thereof (in the case of mutilation), or in lieu of and substitution therefor, a new certificate or instrument, but only upon receipt of evidence reasonably satisfactory to the Company of such loss, theft or destruction. The applicant for a new certificate or instrument under such circumstances shall also pay any reasonable third-party costs (including customary indemnity) associated with the issuance of such replacement Securities.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5.15 </w:t>
      </w: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In addition to being entitled to exercise all rights provided herein or granted by law, including recovery of damages, each of the Purchasers and the Company will be entitled to specific performance under the Transaction Documents. The parties agree that monetary damages may not be adequate compensation for any loss incurred by reason of any breach of obligations contained in the Transaction Documents and hereby agree to waive and not to assert in any Action for specific performance of any such obligation the defense that a remedy at law would be adequate.</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5.16 </w:t>
      </w:r>
      <w:r>
        <w:rPr>
          <w:rFonts w:ascii="Times New Roman" w:cs="Times New Roman" w:eastAsia="Times New Roman" w:hAnsi="Times New Roman"/>
          <w:sz w:val="18"/>
          <w:szCs w:val="18"/>
          <w:u w:val="single" w:color="auto"/>
          <w:color w:val="auto"/>
        </w:rPr>
        <w:t>Payment Set Aside</w:t>
      </w:r>
      <w:r>
        <w:rPr>
          <w:rFonts w:ascii="Times New Roman" w:cs="Times New Roman" w:eastAsia="Times New Roman" w:hAnsi="Times New Roman"/>
          <w:sz w:val="18"/>
          <w:szCs w:val="18"/>
          <w:color w:val="auto"/>
        </w:rPr>
        <w:t>. To the extent that the Company makes a payment or payments to any Purchaser pursuant to any Transaction Document or a Purchaser enforces or exercises its rights thereunder, and such payment or payments or the proceeds of such enforcement or exercise or any part thereof are subsequently invalidated, declared to be fraudulent or preferential, set aside, recovered from, disgorged by or are required to be refunded, repaid or otherwise restored to the Company, a trustee, receiver or any other Person under any law (including, without limitation, any bankruptcy law, state or federal law, common law or equitable cause of action), then to the extent of any such restoration the obligation or part thereof originally intended to be satisfied shall be revived and continued in full force and effect as if such payment had not been made or such enforcement or setoff had not occurred.</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5.17 </w:t>
      </w:r>
      <w:r>
        <w:rPr>
          <w:rFonts w:ascii="Times New Roman" w:cs="Times New Roman" w:eastAsia="Times New Roman" w:hAnsi="Times New Roman"/>
          <w:sz w:val="18"/>
          <w:szCs w:val="18"/>
          <w:u w:val="single" w:color="auto"/>
          <w:color w:val="auto"/>
        </w:rPr>
        <w:t>Independent Nature of Purchasers’ Obligations and Rights</w:t>
      </w:r>
      <w:r>
        <w:rPr>
          <w:rFonts w:ascii="Times New Roman" w:cs="Times New Roman" w:eastAsia="Times New Roman" w:hAnsi="Times New Roman"/>
          <w:sz w:val="18"/>
          <w:szCs w:val="18"/>
          <w:color w:val="auto"/>
        </w:rPr>
        <w:t>. The obligations of each Purchaser under any Transaction Document are several and not joint with the obligations of any other Purchaser, and no Purchaser shall be responsible in any way for the performance or non-performance of the obligations of any other Purchaser under any Transaction Document. Nothing contained herein or in any other Transaction Document, and no action taken by any Purchaser pursuant hereto or thereto, shall be deemed to constitute the Purchasers as a partnership, an association, a joint venture or any other kind of entity, or create a presumption that the Purchasers are in any way acting in concert or as a group with respect to such obligations or the transactions contemplated by the Transaction Documents. Each Purchaser shall be entitled to independently protect and enforce its rights including, without limitation, the rights arising out of this Agreement or out of the other Transaction Documents, and it shall not be necessary for any other Purchaser to be joined as an additional party in any Proceeding for such purpose. Each Purchaser has been represented by its own separate legal counsel in its review and negotiation of the Transaction Documents. For reasons of administrative convenience only, each Purchaser and its respective counsel have chosen to communicate with the Company through EGS. EGS does not represent any of the Purchasers and only represents the Placement Agent. The Company has elected to provide all Purchasers with the same terms and Transaction Documents for the convenience of the Company and not because it was required or requested to do so by any of the Purchasers. It is expressly understood and agreed that each provision contained in this Agreement and in each other Transaction Document is between the Company and a Purchaser, solely, and not between the Company and the Purchasers collectively and not between and among the Purchasers.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1" w:name="page72"/>
    <w:bookmarkEnd w:id="71"/>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5.18 </w:t>
      </w:r>
      <w:r>
        <w:rPr>
          <w:rFonts w:ascii="Times New Roman" w:cs="Times New Roman" w:eastAsia="Times New Roman" w:hAnsi="Times New Roman"/>
          <w:sz w:val="18"/>
          <w:szCs w:val="18"/>
          <w:u w:val="single" w:color="auto"/>
          <w:color w:val="auto"/>
        </w:rPr>
        <w:t>Liquidated Damages</w:t>
      </w:r>
      <w:r>
        <w:rPr>
          <w:rFonts w:ascii="Times New Roman" w:cs="Times New Roman" w:eastAsia="Times New Roman" w:hAnsi="Times New Roman"/>
          <w:sz w:val="18"/>
          <w:szCs w:val="18"/>
          <w:color w:val="auto"/>
        </w:rPr>
        <w:t>. The Company’s obligations to pay any partial liquidated damages or other amounts owing under the Transaction Documents is a continuing obligation of the Company and shall not terminate until all unpaid partial liquidated damages and other amounts have been paid notwithstanding the fact that the instrument or security pursuant to which such partial liquidated damages or other amounts are due and payable shall have been canceled.</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5.19 </w:t>
      </w:r>
      <w:r>
        <w:rPr>
          <w:rFonts w:ascii="Times New Roman" w:cs="Times New Roman" w:eastAsia="Times New Roman" w:hAnsi="Times New Roman"/>
          <w:sz w:val="18"/>
          <w:szCs w:val="18"/>
          <w:u w:val="single" w:color="auto"/>
          <w:color w:val="auto"/>
        </w:rPr>
        <w:t>Saturdays, Sundays, Holidays, etc.</w:t>
      </w:r>
      <w:r>
        <w:rPr>
          <w:rFonts w:ascii="Times New Roman" w:cs="Times New Roman" w:eastAsia="Times New Roman" w:hAnsi="Times New Roman"/>
          <w:sz w:val="18"/>
          <w:szCs w:val="18"/>
          <w:color w:val="auto"/>
        </w:rPr>
        <w:t xml:space="preserve">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5.20 </w:t>
      </w:r>
      <w:r>
        <w:rPr>
          <w:rFonts w:ascii="Times New Roman" w:cs="Times New Roman" w:eastAsia="Times New Roman" w:hAnsi="Times New Roman"/>
          <w:sz w:val="18"/>
          <w:szCs w:val="18"/>
          <w:u w:val="single" w:color="auto"/>
          <w:color w:val="auto"/>
        </w:rPr>
        <w:t>Construction</w:t>
      </w:r>
      <w:r>
        <w:rPr>
          <w:rFonts w:ascii="Times New Roman" w:cs="Times New Roman" w:eastAsia="Times New Roman" w:hAnsi="Times New Roman"/>
          <w:sz w:val="18"/>
          <w:szCs w:val="18"/>
          <w:color w:val="auto"/>
        </w:rPr>
        <w:t>. The parties agree that each of them and/or their respective counsel have reviewed and had an opportunity to revise the Transaction Documents and, therefore, the normal rule of construction to the effect that any ambiguities are to be resolved against the drafting party shall not be employed in the interpretation of the Transaction Documents or any amendments thereto. In addition, each and every reference to share prices and shares of Common Stock in any Transaction Document shall be subject to adjustment for reverse and forward stock splits, stock dividends, stock combinations and other similar transactions of the Common Stock that occur after the date of this Agreement.</w:t>
      </w:r>
    </w:p>
    <w:p>
      <w:pPr>
        <w:spacing w:after="0" w:line="179" w:lineRule="exact"/>
        <w:rPr>
          <w:sz w:val="20"/>
          <w:szCs w:val="20"/>
          <w:color w:val="auto"/>
        </w:rPr>
      </w:pPr>
    </w:p>
    <w:p>
      <w:pPr>
        <w:ind w:left="660"/>
        <w:spacing w:after="0"/>
        <w:tabs>
          <w:tab w:leader="none" w:pos="1580" w:val="left"/>
        </w:tabs>
        <w:rPr>
          <w:sz w:val="20"/>
          <w:szCs w:val="20"/>
          <w:color w:val="auto"/>
        </w:rPr>
      </w:pPr>
      <w:r>
        <w:rPr>
          <w:rFonts w:ascii="Times New Roman" w:cs="Times New Roman" w:eastAsia="Times New Roman" w:hAnsi="Times New Roman"/>
          <w:sz w:val="18"/>
          <w:szCs w:val="18"/>
          <w:color w:val="auto"/>
        </w:rPr>
        <w:t>5.21</w:t>
      </w:r>
      <w:r>
        <w:rPr>
          <w:sz w:val="20"/>
          <w:szCs w:val="20"/>
          <w:color w:val="auto"/>
        </w:rPr>
        <w:tab/>
      </w:r>
      <w:r>
        <w:rPr>
          <w:rFonts w:ascii="Times New Roman" w:cs="Times New Roman" w:eastAsia="Times New Roman" w:hAnsi="Times New Roman"/>
          <w:sz w:val="18"/>
          <w:szCs w:val="18"/>
          <w:b w:val="1"/>
          <w:bCs w:val="1"/>
          <w:u w:val="single" w:color="auto"/>
          <w:color w:val="auto"/>
        </w:rPr>
        <w:t>WAIVER OF JURY TRIAL</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 xml:space="preserve"> IN ANY ACTION, SUIT, OR PROCEEDING IN ANY JURISDICTION BROUGHT BY ANY</w:t>
      </w:r>
    </w:p>
    <w:p>
      <w:pPr>
        <w:spacing w:after="0" w:line="31"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b w:val="1"/>
          <w:bCs w:val="1"/>
          <w:u w:val="single" w:color="auto"/>
          <w:color w:val="auto"/>
        </w:rPr>
        <w:t>PARTY AGAINST ANY OTHER PARTY, THE PARTIES EACH KNOWINGLY AND INTENTIONALLY, TO THE GREATEST EXTENT PERMITTED BY APPLICABLE LAW, HEREBY ABSOLUTELY, UNCONDITIONALLY, IRREVOCABLY AND EXPRESSLY WAIVES FOREVER TRIAL BY JURY.</w:t>
      </w:r>
    </w:p>
    <w:p>
      <w:pPr>
        <w:spacing w:after="0" w:line="18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5.22 </w:t>
      </w:r>
      <w:r>
        <w:rPr>
          <w:rFonts w:ascii="Times New Roman" w:cs="Times New Roman" w:eastAsia="Times New Roman" w:hAnsi="Times New Roman"/>
          <w:sz w:val="18"/>
          <w:szCs w:val="18"/>
          <w:u w:val="single" w:color="auto"/>
          <w:color w:val="auto"/>
        </w:rPr>
        <w:t>Equitable Adjustment</w:t>
      </w:r>
      <w:r>
        <w:rPr>
          <w:rFonts w:ascii="Times New Roman" w:cs="Times New Roman" w:eastAsia="Times New Roman" w:hAnsi="Times New Roman"/>
          <w:sz w:val="18"/>
          <w:szCs w:val="18"/>
          <w:color w:val="auto"/>
        </w:rPr>
        <w:t>. Trading volume amounts, price/volume amounts, the amount of shares of Common Stock identified in this Agreement and similar figures in the Transaction Documents shall be equitably adjusted (but without duplication) to offset the effect of stock splits, similar events and as otherwise described in the Transaction Documents.</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Pages Follow)</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2" w:name="page73"/>
    <w:bookmarkEnd w:id="72"/>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caused this Securities Purchase Agreement to be duly executed by their respective authorized signatories as of the date first indicated above.</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XPRESSPA GROUP, INC.</w:t>
            </w:r>
          </w:p>
        </w:tc>
        <w:tc>
          <w:tcPr>
            <w:tcW w:w="100" w:type="dxa"/>
            <w:vAlign w:val="bottom"/>
          </w:tcPr>
          <w:p>
            <w:pPr>
              <w:spacing w:after="0"/>
              <w:rPr>
                <w:sz w:val="17"/>
                <w:szCs w:val="17"/>
                <w:color w:val="auto"/>
              </w:rPr>
            </w:pPr>
          </w:p>
        </w:tc>
        <w:tc>
          <w:tcPr>
            <w:tcW w:w="1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Address for Notice:</w:t>
            </w:r>
          </w:p>
        </w:tc>
      </w:tr>
      <w:tr>
        <w:trPr>
          <w:trHeight w:val="668"/>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100" w:type="dxa"/>
            <w:vAlign w:val="bottom"/>
          </w:tcPr>
          <w:p>
            <w:pPr>
              <w:spacing w:after="0"/>
              <w:rPr>
                <w:sz w:val="24"/>
                <w:szCs w:val="24"/>
                <w:color w:val="auto"/>
              </w:rPr>
            </w:pPr>
          </w:p>
        </w:tc>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E-Mail:</w:t>
            </w:r>
          </w:p>
        </w:tc>
      </w:tr>
      <w:tr>
        <w:trPr>
          <w:trHeight w:val="211"/>
        </w:trPr>
        <w:tc>
          <w:tcPr>
            <w:tcW w:w="340" w:type="dxa"/>
            <w:vAlign w:val="bottom"/>
          </w:tcPr>
          <w:p>
            <w:pPr>
              <w:spacing w:after="0"/>
              <w:rPr>
                <w:sz w:val="18"/>
                <w:szCs w:val="18"/>
                <w:color w:val="auto"/>
              </w:rPr>
            </w:pPr>
          </w:p>
        </w:tc>
        <w:tc>
          <w:tcPr>
            <w:tcW w:w="53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Name:</w:t>
            </w:r>
          </w:p>
        </w:tc>
        <w:tc>
          <w:tcPr>
            <w:tcW w:w="100" w:type="dxa"/>
            <w:vAlign w:val="bottom"/>
          </w:tcPr>
          <w:p>
            <w:pPr>
              <w:spacing w:after="0"/>
              <w:rPr>
                <w:sz w:val="18"/>
                <w:szCs w:val="18"/>
                <w:color w:val="auto"/>
              </w:rPr>
            </w:pPr>
          </w:p>
        </w:tc>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Fax:</w:t>
            </w:r>
          </w:p>
        </w:tc>
      </w:tr>
    </w:tbl>
    <w:p>
      <w:pPr>
        <w:ind w:left="340"/>
        <w:spacing w:after="0"/>
        <w:rPr>
          <w:sz w:val="20"/>
          <w:szCs w:val="20"/>
          <w:color w:val="auto"/>
        </w:rPr>
      </w:pPr>
      <w:r>
        <w:rPr>
          <w:rFonts w:ascii="Times New Roman" w:cs="Times New Roman" w:eastAsia="Times New Roman" w:hAnsi="Times New Roman"/>
          <w:sz w:val="18"/>
          <w:szCs w:val="18"/>
          <w:color w:val="auto"/>
        </w:rPr>
        <w:t>Title: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a copy to (which shall not constitute notice):</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FOR PURCHASER FOLLOWS]</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3" w:name="page74"/>
    <w:bookmarkEnd w:id="73"/>
    <w:p>
      <w:pPr>
        <w:jc w:val="center"/>
        <w:ind w:right="-19"/>
        <w:spacing w:after="0"/>
        <w:rPr>
          <w:sz w:val="20"/>
          <w:szCs w:val="20"/>
          <w:color w:val="auto"/>
        </w:rPr>
      </w:pPr>
      <w:r>
        <w:rPr>
          <w:rFonts w:ascii="Times New Roman" w:cs="Times New Roman" w:eastAsia="Times New Roman" w:hAnsi="Times New Roman"/>
          <w:sz w:val="18"/>
          <w:szCs w:val="18"/>
          <w:color w:val="auto"/>
        </w:rPr>
        <w:t>[PURCHASER SIGNATURE PAGES TO XPRESSPA GROUP, INC. SECURITIES PURCHASE AGREEMENT]</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undersigned have caused this Securities Purchase Agreement to be duly executed by their respective authorized signatories as of the date first indicated above.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Purchaser: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939165</wp:posOffset>
            </wp:positionH>
            <wp:positionV relativeFrom="paragraph">
              <wp:posOffset>17145</wp:posOffset>
            </wp:positionV>
            <wp:extent cx="619760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197600" cy="8255"/>
                    </a:xfrm>
                    <a:prstGeom prst="rect">
                      <a:avLst/>
                    </a:prstGeom>
                    <a:noFill/>
                  </pic:spPr>
                </pic:pic>
              </a:graphicData>
            </a:graphic>
          </wp:anchor>
        </w:drawing>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Signature of Authorized Signatory of</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Purchaser: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2216785</wp:posOffset>
            </wp:positionH>
            <wp:positionV relativeFrom="paragraph">
              <wp:posOffset>5715</wp:posOffset>
            </wp:positionV>
            <wp:extent cx="492061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4920615" cy="825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Authorized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5715</wp:posOffset>
            </wp:positionV>
            <wp:extent cx="570039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700395" cy="825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17145</wp:posOffset>
            </wp:positionV>
            <wp:extent cx="570039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700395"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Address of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1864995</wp:posOffset>
            </wp:positionH>
            <wp:positionV relativeFrom="paragraph">
              <wp:posOffset>17145</wp:posOffset>
            </wp:positionV>
            <wp:extent cx="527177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27177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Facsimile Number of Authorized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2002155</wp:posOffset>
            </wp:positionH>
            <wp:positionV relativeFrom="paragraph">
              <wp:posOffset>5715</wp:posOffset>
            </wp:positionV>
            <wp:extent cx="513461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134610" cy="889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for Notice to Purchaser: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for Delivery of Securities to Purchaser (if not same as address for notice):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Subscription Amount: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1045845</wp:posOffset>
            </wp:positionH>
            <wp:positionV relativeFrom="paragraph">
              <wp:posOffset>-7620</wp:posOffset>
            </wp:positionV>
            <wp:extent cx="94234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94234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370205</wp:posOffset>
            </wp:positionH>
            <wp:positionV relativeFrom="paragraph">
              <wp:posOffset>-7620</wp:posOffset>
            </wp:positionV>
            <wp:extent cx="91376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91376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474980</wp:posOffset>
            </wp:positionH>
            <wp:positionV relativeFrom="paragraph">
              <wp:posOffset>-7620</wp:posOffset>
            </wp:positionV>
            <wp:extent cx="88519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8519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EIN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-7620</wp:posOffset>
            </wp:positionV>
            <wp:extent cx="82804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828040" cy="8255"/>
                    </a:xfrm>
                    <a:prstGeom prst="rect">
                      <a:avLst/>
                    </a:prstGeom>
                    <a:noFill/>
                  </pic:spPr>
                </pic:pic>
              </a:graphicData>
            </a:graphic>
          </wp:anchor>
        </w:drawing>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PAGES CONTINUE]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112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804823E"/>
    <w:multiLevelType w:val="hybridMultilevel"/>
    <w:lvl w:ilvl="0">
      <w:lvlJc w:val="left"/>
      <w:lvlText w:val="☐"/>
      <w:numFmt w:val="bullet"/>
      <w:start w:val="1"/>
    </w:lvl>
  </w:abstractNum>
  <w:abstractNum w:abstractNumId="1">
    <w:nsid w:val="77465F01"/>
    <w:multiLevelType w:val="hybridMultilevel"/>
    <w:lvl w:ilvl="0">
      <w:lvlJc w:val="left"/>
      <w:lvlText w:val="(%1)"/>
      <w:numFmt w:val="lowerLetter"/>
      <w:start w:val="4"/>
    </w:lvl>
  </w:abstractNum>
  <w:abstractNum w:abstractNumId="2">
    <w:nsid w:val="7724C67E"/>
    <w:multiLevelType w:val="hybridMultilevel"/>
    <w:lvl w:ilvl="0">
      <w:lvlJc w:val="left"/>
      <w:lvlText w:val="%1)"/>
      <w:numFmt w:val="lowerLetter"/>
      <w:start w:val="1"/>
    </w:lvl>
  </w:abstractNum>
  <w:abstractNum w:abstractNumId="3">
    <w:nsid w:val="5C482A97"/>
    <w:multiLevelType w:val="hybridMultilevel"/>
    <w:lvl w:ilvl="0">
      <w:lvlJc w:val="left"/>
      <w:lvlText w:val="%1)"/>
      <w:numFmt w:val="lowerLetter"/>
      <w:start w:val="2"/>
    </w:lvl>
  </w:abstractNum>
  <w:abstractNum w:abstractNumId="4">
    <w:nsid w:val="2463B9EA"/>
    <w:multiLevelType w:val="hybridMultilevel"/>
    <w:lvl w:ilvl="0">
      <w:lvlJc w:val="left"/>
      <w:lvlText w:val="(%1)"/>
      <w:numFmt w:val="upperLetter"/>
      <w:start w:val="1"/>
    </w:lvl>
  </w:abstractNum>
  <w:abstractNum w:abstractNumId="5">
    <w:nsid w:val="5E884ADC"/>
    <w:multiLevelType w:val="hybridMultilevel"/>
    <w:lvl w:ilvl="0">
      <w:lvlJc w:val="left"/>
      <w:lvlText w:val="(%1)"/>
      <w:numFmt w:val="upperLetter"/>
      <w:start w:val="24"/>
    </w:lvl>
  </w:abstractNum>
  <w:abstractNum w:abstractNumId="6">
    <w:nsid w:val="51EAD36B"/>
    <w:multiLevelType w:val="hybridMultilevel"/>
    <w:lvl w:ilvl="0">
      <w:lvlJc w:val="left"/>
      <w:lvlText w:val="(%1)"/>
      <w:numFmt w:val="lowerLetter"/>
      <w:start w:val="4"/>
    </w:lvl>
  </w:abstractNum>
  <w:abstractNum w:abstractNumId="7">
    <w:nsid w:val="2D517796"/>
    <w:multiLevelType w:val="hybridMultilevel"/>
    <w:lvl w:ilvl="0">
      <w:lvlJc w:val="left"/>
      <w:lvlText w:val="%1."/>
      <w:numFmt w:val="lowerRoman"/>
      <w:start w:val="1"/>
    </w:lvl>
  </w:abstractNum>
  <w:abstractNum w:abstractNumId="8">
    <w:nsid w:val="580BD78F"/>
    <w:multiLevelType w:val="hybridMultilevel"/>
    <w:lvl w:ilvl="0">
      <w:lvlJc w:val="left"/>
      <w:lvlText w:val="%1."/>
      <w:numFmt w:val="lowerRoman"/>
      <w:start w:val="3"/>
    </w:lvl>
  </w:abstractNum>
  <w:abstractNum w:abstractNumId="9">
    <w:nsid w:val="153EA438"/>
    <w:multiLevelType w:val="hybridMultilevel"/>
    <w:lvl w:ilvl="0">
      <w:lvlJc w:val="left"/>
      <w:lvlText w:val="%1."/>
      <w:numFmt w:val="lowerRoman"/>
      <w:start w:val="4"/>
    </w:lvl>
  </w:abstractNum>
  <w:abstractNum w:abstractNumId="10">
    <w:nsid w:val="3855585C"/>
    <w:multiLevelType w:val="hybridMultilevel"/>
    <w:lvl w:ilvl="0">
      <w:lvlJc w:val="left"/>
      <w:lvlText w:val="%1"/>
      <w:numFmt w:val="lowerLetter"/>
      <w:start w:val="1"/>
    </w:lvl>
    <w:lvl w:ilvl="1">
      <w:lvlJc w:val="left"/>
      <w:lvlText w:val="%2."/>
      <w:numFmt w:val="lowerRoman"/>
      <w:start w:val="7"/>
    </w:lvl>
  </w:abstractNum>
  <w:abstractNum w:abstractNumId="11">
    <w:nsid w:val="70A64E2A"/>
    <w:multiLevelType w:val="hybridMultilevel"/>
    <w:lvl w:ilvl="0">
      <w:lvlJc w:val="left"/>
      <w:lvlText w:val="%1)"/>
      <w:numFmt w:val="lowerLetter"/>
      <w:start w:val="5"/>
    </w:lvl>
    <w:lvl w:ilvl="1">
      <w:lvlJc w:val="left"/>
      <w:lvlText w:val="%2"/>
      <w:numFmt w:val="lowerRoman"/>
      <w:start w:val="1"/>
    </w:lvl>
  </w:abstractNum>
  <w:abstractNum w:abstractNumId="12">
    <w:nsid w:val="6A2342EC"/>
    <w:multiLevelType w:val="hybridMultilevel"/>
    <w:lvl w:ilvl="0">
      <w:lvlJc w:val="left"/>
      <w:lvlText w:val="%1)"/>
      <w:numFmt w:val="lowerLetter"/>
      <w:start w:val="1"/>
    </w:lvl>
  </w:abstractNum>
  <w:abstractNum w:abstractNumId="13">
    <w:nsid w:val="2A487CB0"/>
    <w:multiLevelType w:val="hybridMultilevel"/>
    <w:lvl w:ilvl="0">
      <w:lvlJc w:val="left"/>
      <w:lvlText w:val="%1"/>
      <w:numFmt w:val="lowerRoman"/>
      <w:start w:val="1"/>
    </w:lvl>
    <w:lvl w:ilvl="1">
      <w:lvlJc w:val="left"/>
      <w:lvlText w:val="%2)"/>
      <w:numFmt w:val="lowerLetter"/>
      <w:start w:val="4"/>
    </w:lvl>
  </w:abstractNum>
  <w:abstractNum w:abstractNumId="14">
    <w:nsid w:val="1D4ED43B"/>
    <w:multiLevelType w:val="hybridMultilevel"/>
    <w:lvl w:ilvl="0">
      <w:lvlJc w:val="left"/>
      <w:lvlText w:val="(%1)"/>
      <w:numFmt w:val="lowerRoman"/>
      <w:start w:val="2"/>
    </w:lvl>
    <w:lvl w:ilvl="1">
      <w:lvlJc w:val="left"/>
      <w:lvlText w:val="%2"/>
      <w:numFmt w:val="lowerLetter"/>
      <w:start w:val="1"/>
    </w:lvl>
  </w:abstractNum>
  <w:abstractNum w:abstractNumId="15">
    <w:nsid w:val="725A06FB"/>
    <w:multiLevelType w:val="hybridMultilevel"/>
    <w:lvl w:ilvl="0">
      <w:lvlJc w:val="left"/>
      <w:lvlText w:val="%1)"/>
      <w:numFmt w:val="lowerLetter"/>
      <w:start w:val="5"/>
    </w:lvl>
    <w:lvl w:ilvl="1">
      <w:lvlJc w:val="left"/>
      <w:lvlText w:val="%2."/>
      <w:numFmt w:val="lowerRoman"/>
      <w:start w:val="1"/>
    </w:lvl>
  </w:abstractNum>
  <w:abstractNum w:abstractNumId="16">
    <w:nsid w:val="2CD89A32"/>
    <w:multiLevelType w:val="hybridMultilevel"/>
    <w:lvl w:ilvl="0">
      <w:lvlJc w:val="left"/>
      <w:lvlText w:val="%1)"/>
      <w:numFmt w:val="lowerLetter"/>
      <w:start w:val="1"/>
    </w:lvl>
  </w:abstractNum>
  <w:abstractNum w:abstractNumId="17">
    <w:nsid w:val="57E4CCAF"/>
    <w:multiLevelType w:val="hybridMultilevel"/>
    <w:lvl w:ilvl="0">
      <w:lvlJc w:val="left"/>
      <w:lvlText w:val="%1)"/>
      <w:numFmt w:val="lowerLetter"/>
      <w:start w:val="1"/>
    </w:lvl>
  </w:abstractNum>
  <w:abstractNum w:abstractNumId="18">
    <w:nsid w:val="7A6D8D3C"/>
    <w:multiLevelType w:val="hybridMultilevel"/>
    <w:lvl w:ilvl="0">
      <w:lvlJc w:val="left"/>
      <w:lvlText w:val="%1)"/>
      <w:numFmt w:val="lowerLetter"/>
      <w:start w:val="2"/>
    </w:lvl>
  </w:abstractNum>
  <w:abstractNum w:abstractNumId="19">
    <w:nsid w:val="4B588F54"/>
    <w:multiLevelType w:val="hybridMultilevel"/>
    <w:lvl w:ilvl="0">
      <w:lvlJc w:val="left"/>
      <w:lvlText w:val="%1)"/>
      <w:numFmt w:val="lowerLetter"/>
      <w:start w:val="5"/>
    </w:lvl>
  </w:abstractNum>
  <w:abstractNum w:abstractNumId="20">
    <w:nsid w:val="542289EC"/>
    <w:multiLevelType w:val="hybridMultilevel"/>
    <w:lvl w:ilvl="0">
      <w:lvlJc w:val="left"/>
      <w:lvlText w:val="%1)"/>
      <w:numFmt w:val="lowerLetter"/>
      <w:start w:val="13"/>
    </w:lvl>
  </w:abstractNum>
  <w:abstractNum w:abstractNumId="21">
    <w:nsid w:val="6DE91B18"/>
    <w:multiLevelType w:val="hybridMultilevel"/>
    <w:lvl w:ilvl="0">
      <w:lvlJc w:val="left"/>
      <w:lvlText w:val="(%1)"/>
      <w:numFmt w:val="decimal"/>
      <w:start w:val="1"/>
    </w:lvl>
    <w:lvl w:ilvl="1">
      <w:lvlJc w:val="left"/>
      <w:lvlText w:val="☐"/>
      <w:numFmt w:val="bullet"/>
      <w:start w:val="1"/>
    </w:lvl>
  </w:abstractNum>
  <w:abstractNum w:abstractNumId="22">
    <w:nsid w:val="38437FDB"/>
    <w:multiLevelType w:val="hybridMultilevel"/>
    <w:lvl w:ilvl="0">
      <w:lvlJc w:val="left"/>
      <w:lvlText w:val="%1)"/>
      <w:numFmt w:val="lowerLetter"/>
      <w:start w:val="1"/>
    </w:lvl>
  </w:abstractNum>
  <w:abstractNum w:abstractNumId="23">
    <w:nsid w:val="7644A45C"/>
    <w:multiLevelType w:val="hybridMultilevel"/>
    <w:lvl w:ilvl="0">
      <w:lvlJc w:val="left"/>
      <w:lvlText w:val="%1)"/>
      <w:numFmt w:val="lowerLetter"/>
      <w:start w:val="2"/>
    </w:lvl>
  </w:abstractNum>
  <w:abstractNum w:abstractNumId="24">
    <w:nsid w:val="32FFF902"/>
    <w:multiLevelType w:val="hybridMultilevel"/>
    <w:lvl w:ilvl="0">
      <w:lvlJc w:val="left"/>
      <w:lvlText w:val="(%1)"/>
      <w:numFmt w:val="upperLetter"/>
      <w:start w:val="1"/>
    </w:lvl>
  </w:abstractNum>
  <w:abstractNum w:abstractNumId="25">
    <w:nsid w:val="684A481A"/>
    <w:multiLevelType w:val="hybridMultilevel"/>
    <w:lvl w:ilvl="0">
      <w:lvlJc w:val="left"/>
      <w:lvlText w:val="(%1)"/>
      <w:numFmt w:val="upperLetter"/>
      <w:start w:val="24"/>
    </w:lvl>
  </w:abstractNum>
  <w:abstractNum w:abstractNumId="26">
    <w:nsid w:val="579478FE"/>
    <w:multiLevelType w:val="hybridMultilevel"/>
    <w:lvl w:ilvl="0">
      <w:lvlJc w:val="left"/>
      <w:lvlText w:val="(%1)"/>
      <w:numFmt w:val="lowerLetter"/>
      <w:start w:val="4"/>
    </w:lvl>
  </w:abstractNum>
  <w:abstractNum w:abstractNumId="27">
    <w:nsid w:val="749ABB43"/>
    <w:multiLevelType w:val="hybridMultilevel"/>
    <w:lvl w:ilvl="0">
      <w:lvlJc w:val="left"/>
      <w:lvlText w:val="%1."/>
      <w:numFmt w:val="lowerRoman"/>
      <w:start w:val="1"/>
    </w:lvl>
  </w:abstractNum>
  <w:abstractNum w:abstractNumId="28">
    <w:nsid w:val="3DC240FB"/>
    <w:multiLevelType w:val="hybridMultilevel"/>
    <w:lvl w:ilvl="0">
      <w:lvlJc w:val="left"/>
      <w:lvlText w:val="%1."/>
      <w:numFmt w:val="lowerRoman"/>
      <w:start w:val="3"/>
    </w:lvl>
  </w:abstractNum>
  <w:abstractNum w:abstractNumId="29">
    <w:nsid w:val="1BA026FA"/>
    <w:multiLevelType w:val="hybridMultilevel"/>
    <w:lvl w:ilvl="0">
      <w:lvlJc w:val="left"/>
      <w:lvlText w:val="%1"/>
      <w:numFmt w:val="lowerLetter"/>
      <w:start w:val="1"/>
    </w:lvl>
    <w:lvl w:ilvl="1">
      <w:lvlJc w:val="left"/>
      <w:lvlText w:val="%2."/>
      <w:numFmt w:val="lowerRoman"/>
      <w:start w:val="6"/>
    </w:lvl>
  </w:abstractNum>
  <w:abstractNum w:abstractNumId="30">
    <w:nsid w:val="79A1DEAA"/>
    <w:multiLevelType w:val="hybridMultilevel"/>
    <w:lvl w:ilvl="0">
      <w:lvlJc w:val="left"/>
      <w:lvlText w:val="%1)"/>
      <w:numFmt w:val="lowerLetter"/>
      <w:start w:val="5"/>
    </w:lvl>
    <w:lvl w:ilvl="1">
      <w:lvlJc w:val="left"/>
      <w:lvlText w:val="%2"/>
      <w:numFmt w:val="lowerRoman"/>
      <w:start w:val="1"/>
    </w:lvl>
  </w:abstractNum>
  <w:abstractNum w:abstractNumId="31">
    <w:nsid w:val="75C6C33A"/>
    <w:multiLevelType w:val="hybridMultilevel"/>
    <w:lvl w:ilvl="0">
      <w:lvlJc w:val="left"/>
      <w:lvlText w:val="%1)"/>
      <w:numFmt w:val="lowerLetter"/>
      <w:start w:val="1"/>
    </w:lvl>
  </w:abstractNum>
  <w:abstractNum w:abstractNumId="32">
    <w:nsid w:val="12E685FB"/>
    <w:multiLevelType w:val="hybridMultilevel"/>
    <w:lvl w:ilvl="0">
      <w:lvlJc w:val="left"/>
      <w:lvlText w:val="%1"/>
      <w:numFmt w:val="lowerRoman"/>
      <w:start w:val="1"/>
    </w:lvl>
    <w:lvl w:ilvl="1">
      <w:lvlJc w:val="left"/>
      <w:lvlText w:val="%2)"/>
      <w:numFmt w:val="lowerLetter"/>
      <w:start w:val="4"/>
    </w:lvl>
  </w:abstractNum>
  <w:abstractNum w:abstractNumId="33">
    <w:nsid w:val="70C6A529"/>
    <w:multiLevelType w:val="hybridMultilevel"/>
    <w:lvl w:ilvl="0">
      <w:lvlJc w:val="left"/>
      <w:lvlText w:val="(%1)"/>
      <w:numFmt w:val="lowerRoman"/>
      <w:start w:val="2"/>
    </w:lvl>
    <w:lvl w:ilvl="1">
      <w:lvlJc w:val="left"/>
      <w:lvlText w:val="%2"/>
      <w:numFmt w:val="lowerLetter"/>
      <w:start w:val="1"/>
    </w:lvl>
  </w:abstractNum>
  <w:abstractNum w:abstractNumId="34">
    <w:nsid w:val="520EEDD1"/>
    <w:multiLevelType w:val="hybridMultilevel"/>
    <w:lvl w:ilvl="0">
      <w:lvlJc w:val="left"/>
      <w:lvlText w:val="%1)"/>
      <w:numFmt w:val="lowerLetter"/>
      <w:start w:val="5"/>
    </w:lvl>
    <w:lvl w:ilvl="1">
      <w:lvlJc w:val="left"/>
      <w:lvlText w:val="%2."/>
      <w:numFmt w:val="lowerRoman"/>
      <w:start w:val="1"/>
    </w:lvl>
  </w:abstractNum>
  <w:abstractNum w:abstractNumId="35">
    <w:nsid w:val="374A3FE6"/>
    <w:multiLevelType w:val="hybridMultilevel"/>
    <w:lvl w:ilvl="0">
      <w:lvlJc w:val="left"/>
      <w:lvlText w:val="%1)"/>
      <w:numFmt w:val="lowerLetter"/>
      <w:start w:val="1"/>
    </w:lvl>
  </w:abstractNum>
  <w:abstractNum w:abstractNumId="36">
    <w:nsid w:val="4F4EF005"/>
    <w:multiLevelType w:val="hybridMultilevel"/>
    <w:lvl w:ilvl="0">
      <w:lvlJc w:val="left"/>
      <w:lvlText w:val="%1)"/>
      <w:numFmt w:val="lowerLetter"/>
      <w:start w:val="1"/>
    </w:lvl>
  </w:abstractNum>
  <w:abstractNum w:abstractNumId="37">
    <w:nsid w:val="23F9C13C"/>
    <w:multiLevelType w:val="hybridMultilevel"/>
    <w:lvl w:ilvl="0">
      <w:lvlJc w:val="left"/>
      <w:lvlText w:val="%1)"/>
      <w:numFmt w:val="lowerLetter"/>
      <w:start w:val="3"/>
    </w:lvl>
  </w:abstractNum>
  <w:abstractNum w:abstractNumId="38">
    <w:nsid w:val="649BB77C"/>
    <w:multiLevelType w:val="hybridMultilevel"/>
    <w:lvl w:ilvl="0">
      <w:lvlJc w:val="left"/>
      <w:lvlText w:val="%1)"/>
      <w:numFmt w:val="lowerLetter"/>
      <w:start w:val="5"/>
    </w:lvl>
  </w:abstractNum>
  <w:abstractNum w:abstractNumId="39">
    <w:nsid w:val="275AC794"/>
    <w:multiLevelType w:val="hybridMultilevel"/>
    <w:lvl w:ilvl="0">
      <w:lvlJc w:val="left"/>
      <w:lvlText w:val="%1)"/>
      <w:numFmt w:val="lowerLetter"/>
      <w:start w:val="13"/>
    </w:lvl>
  </w:abstractNum>
  <w:abstractNum w:abstractNumId="40">
    <w:nsid w:val="39386575"/>
    <w:multiLevelType w:val="hybridMultilevel"/>
    <w:lvl w:ilvl="0">
      <w:lvlJc w:val="left"/>
      <w:lvlText w:val="(%1)"/>
      <w:numFmt w:val="decimal"/>
      <w:start w:val="1"/>
    </w:lvl>
    <w:lvl w:ilvl="1">
      <w:lvlJc w:val="left"/>
      <w:lvlText w:val="☐"/>
      <w:numFmt w:val="bullet"/>
      <w:start w:val="1"/>
    </w:lvl>
  </w:abstractNum>
  <w:abstractNum w:abstractNumId="41">
    <w:nsid w:val="1CF10FD8"/>
    <w:multiLevelType w:val="hybridMultilevel"/>
    <w:lvl w:ilvl="0">
      <w:lvlJc w:val="left"/>
      <w:lvlText w:val="(%1)"/>
      <w:numFmt w:val="decimal"/>
      <w:start w:val="1"/>
    </w:lvl>
  </w:abstractNum>
  <w:abstractNum w:abstractNumId="42">
    <w:nsid w:val="180115BE"/>
    <w:multiLevelType w:val="hybridMultilevel"/>
    <w:lvl w:ilvl="0">
      <w:lvlJc w:val="left"/>
      <w:lvlText w:val="(%1)"/>
      <w:numFmt w:val="decimal"/>
      <w:start w:val="3"/>
    </w:lvl>
  </w:abstractNum>
  <w:abstractNum w:abstractNumId="43">
    <w:nsid w:val="235BA861"/>
    <w:multiLevelType w:val="hybridMultilevel"/>
    <w:lvl w:ilvl="0">
      <w:lvlJc w:val="left"/>
      <w:lvlText w:val="%1."/>
      <w:numFmt w:val="decimal"/>
      <w:start w:val="1"/>
    </w:lvl>
  </w:abstractNum>
  <w:abstractNum w:abstractNumId="44">
    <w:nsid w:val="47398C89"/>
    <w:multiLevelType w:val="hybridMultilevel"/>
    <w:lvl w:ilvl="0">
      <w:lvlJc w:val="left"/>
      <w:lvlText w:val="%1."/>
      <w:numFmt w:val="decimal"/>
      <w:start w:val="2"/>
    </w:lvl>
  </w:abstractNum>
  <w:abstractNum w:abstractNumId="45">
    <w:nsid w:val="354FE9F9"/>
    <w:multiLevelType w:val="hybridMultilevel"/>
    <w:lvl w:ilvl="0">
      <w:lvlJc w:val="left"/>
      <w:lvlText w:val="(%1)"/>
      <w:numFmt w:val="lowerLetter"/>
      <w:start w:val="1"/>
    </w:lvl>
    <w:lvl w:ilvl="1">
      <w:lvlJc w:val="left"/>
      <w:lvlText w:val="(%2)"/>
      <w:numFmt w:val="lowerLetter"/>
      <w:start w:val="9"/>
    </w:lvl>
  </w:abstractNum>
  <w:abstractNum w:abstractNumId="46">
    <w:nsid w:val="15B5AF5C"/>
    <w:multiLevelType w:val="hybridMultilevel"/>
    <w:lvl w:ilvl="0">
      <w:lvlJc w:val="left"/>
      <w:lvlText w:val="%1"/>
      <w:numFmt w:val="lowerLetter"/>
      <w:start w:val="1"/>
    </w:lvl>
    <w:lvl w:ilvl="1">
      <w:lvlJc w:val="left"/>
      <w:lvlText w:val="(%2)"/>
      <w:numFmt w:val="lowerRoman"/>
      <w:start w:val="2"/>
    </w:lvl>
  </w:abstractNum>
  <w:abstractNum w:abstractNumId="47">
    <w:nsid w:val="741226BB"/>
    <w:multiLevelType w:val="hybridMultilevel"/>
    <w:lvl w:ilvl="0">
      <w:lvlJc w:val="left"/>
      <w:lvlText w:val="(%1)"/>
      <w:numFmt w:val="lowerLetter"/>
      <w:start w:val="2"/>
    </w:lvl>
    <w:lvl w:ilvl="1">
      <w:lvlJc w:val="left"/>
      <w:lvlText w:val="(%2)"/>
      <w:numFmt w:val="lowerRoman"/>
      <w:start w:val="1"/>
    </w:lvl>
  </w:abstractNum>
  <w:abstractNum w:abstractNumId="48">
    <w:nsid w:val="D34B6A8"/>
    <w:multiLevelType w:val="hybridMultilevel"/>
    <w:lvl w:ilvl="0">
      <w:lvlJc w:val="left"/>
      <w:lvlText w:val="(%1)"/>
      <w:numFmt w:val="lowerLetter"/>
      <w:start w:val="1"/>
    </w:lvl>
    <w:lvl w:ilvl="1">
      <w:lvlJc w:val="left"/>
      <w:lvlText w:val="(%2)"/>
      <w:numFmt w:val="lowerLetter"/>
      <w:start w:val="9"/>
    </w:lvl>
  </w:abstractNum>
  <w:abstractNum w:abstractNumId="49">
    <w:nsid w:val="10233C99"/>
    <w:multiLevelType w:val="hybridMultilevel"/>
    <w:lvl w:ilvl="0">
      <w:lvlJc w:val="left"/>
      <w:lvlText w:val="%1"/>
      <w:numFmt w:val="lowerLetter"/>
      <w:start w:val="1"/>
    </w:lvl>
    <w:lvl w:ilvl="1">
      <w:lvlJc w:val="left"/>
      <w:lvlText w:val="(%2)"/>
      <w:numFmt w:val="lowerRoman"/>
      <w:start w:val="2"/>
    </w:lvl>
  </w:abstractNum>
  <w:abstractNum w:abstractNumId="50">
    <w:nsid w:val="3F6AB60F"/>
    <w:multiLevelType w:val="hybridMultilevel"/>
    <w:lvl w:ilvl="0">
      <w:lvlJc w:val="left"/>
      <w:lvlText w:val="(%1)"/>
      <w:numFmt w:val="lowerLetter"/>
      <w:start w:val="2"/>
    </w:lvl>
    <w:lvl w:ilvl="1">
      <w:lvlJc w:val="left"/>
      <w:lvlText w:val="(%2)"/>
      <w:numFmt w:val="lowerRoman"/>
      <w:start w:val="1"/>
    </w:lvl>
  </w:abstractNum>
  <w:abstractNum w:abstractNumId="51">
    <w:nsid w:val="61574095"/>
    <w:multiLevelType w:val="hybridMultilevel"/>
    <w:lvl w:ilvl="0">
      <w:lvlJc w:val="left"/>
      <w:lvlText w:val="(%1)"/>
      <w:numFmt w:val="lowerLetter"/>
      <w:start w:val="1"/>
    </w:lvl>
  </w:abstractNum>
  <w:abstractNum w:abstractNumId="52">
    <w:nsid w:val="7E0C57B1"/>
    <w:multiLevelType w:val="hybridMultilevel"/>
    <w:lvl w:ilvl="0">
      <w:lvlJc w:val="left"/>
      <w:lvlText w:val="(%1)"/>
      <w:numFmt w:val="lowerLetter"/>
      <w:start w:val="5"/>
    </w:lvl>
  </w:abstractNum>
  <w:abstractNum w:abstractNumId="53">
    <w:nsid w:val="77AE35EB"/>
    <w:multiLevelType w:val="hybridMultilevel"/>
    <w:lvl w:ilvl="0">
      <w:lvlJc w:val="left"/>
      <w:lvlText w:val="(%1)"/>
      <w:numFmt w:val="lowerLetter"/>
      <w:start w:val="7"/>
    </w:lvl>
  </w:abstractNum>
  <w:abstractNum w:abstractNumId="54">
    <w:nsid w:val="579BE4F1"/>
    <w:multiLevelType w:val="hybridMultilevel"/>
    <w:lvl w:ilvl="0">
      <w:lvlJc w:val="left"/>
      <w:lvlText w:val="%1"/>
      <w:numFmt w:val="lowerLetter"/>
      <w:start w:val="1"/>
    </w:lvl>
    <w:lvl w:ilvl="1">
      <w:lvlJc w:val="left"/>
      <w:lvlText w:val="(%2)"/>
      <w:numFmt w:val="lowerLetter"/>
      <w:start w:val="8"/>
    </w:lvl>
  </w:abstractNum>
  <w:abstractNum w:abstractNumId="55">
    <w:nsid w:val="310C50B3"/>
    <w:multiLevelType w:val="hybridMultilevel"/>
    <w:lvl w:ilvl="0">
      <w:lvlJc w:val="left"/>
      <w:lvlText w:val="(%1)"/>
      <w:numFmt w:val="lowerLetter"/>
      <w:start w:val="61"/>
    </w:lvl>
    <w:lvl w:ilvl="1">
      <w:lvlJc w:val="left"/>
      <w:lvlText w:val="%2"/>
      <w:numFmt w:val="lowerLetter"/>
      <w:start w:val="1"/>
    </w:lvl>
  </w:abstractNum>
  <w:abstractNum w:abstractNumId="56">
    <w:nsid w:val="5FF87E05"/>
    <w:multiLevelType w:val="hybridMultilevel"/>
    <w:lvl w:ilvl="0">
      <w:lvlJc w:val="left"/>
      <w:lvlText w:val="(%1)"/>
      <w:numFmt w:val="lowerLetter"/>
      <w:start w:val="10"/>
    </w:lvl>
  </w:abstractNum>
  <w:abstractNum w:abstractNumId="57">
    <w:nsid w:val="2F305DEF"/>
    <w:multiLevelType w:val="hybridMultilevel"/>
    <w:lvl w:ilvl="0">
      <w:lvlJc w:val="left"/>
      <w:lvlText w:val="(%1)"/>
      <w:numFmt w:val="lowerLetter"/>
      <w:start w:val="12"/>
    </w:lvl>
  </w:abstractNum>
  <w:abstractNum w:abstractNumId="58">
    <w:nsid w:val="25A70BF7"/>
    <w:multiLevelType w:val="hybridMultilevel"/>
    <w:lvl w:ilvl="0">
      <w:lvlJc w:val="left"/>
      <w:lvlText w:val="(%1)"/>
      <w:numFmt w:val="lowerLetter"/>
      <w:start w:val="16"/>
    </w:lvl>
  </w:abstractNum>
  <w:abstractNum w:abstractNumId="59">
    <w:nsid w:val="1DBABF00"/>
    <w:multiLevelType w:val="hybridMultilevel"/>
    <w:lvl w:ilvl="0">
      <w:lvlJc w:val="left"/>
      <w:lvlText w:val="(%1)"/>
      <w:numFmt w:val="lowerLetter"/>
      <w:start w:val="19"/>
    </w:lvl>
  </w:abstractNum>
  <w:abstractNum w:abstractNumId="60">
    <w:nsid w:val="4AD084E9"/>
    <w:multiLevelType w:val="hybridMultilevel"/>
    <w:lvl w:ilvl="0">
      <w:lvlJc w:val="left"/>
      <w:lvlText w:val="(%1)"/>
      <w:numFmt w:val="lowerLetter"/>
      <w:start w:val="22"/>
    </w:lvl>
  </w:abstractNum>
  <w:abstractNum w:abstractNumId="61">
    <w:nsid w:val="1F48EAA1"/>
    <w:multiLevelType w:val="hybridMultilevel"/>
    <w:lvl w:ilvl="0">
      <w:lvlJc w:val="left"/>
      <w:lvlText w:val="(%1)"/>
      <w:numFmt w:val="lowerLetter"/>
      <w:start w:val="26"/>
    </w:lvl>
  </w:abstractNum>
  <w:abstractNum w:abstractNumId="62">
    <w:nsid w:val="1381823A"/>
    <w:multiLevelType w:val="hybridMultilevel"/>
    <w:lvl w:ilvl="0">
      <w:lvlJc w:val="left"/>
      <w:lvlText w:val="(%1)"/>
      <w:numFmt w:val="lowerLetter"/>
      <w:start w:val="27"/>
    </w:lvl>
  </w:abstractNum>
  <w:abstractNum w:abstractNumId="63">
    <w:nsid w:val="5DB70AE5"/>
    <w:multiLevelType w:val="hybridMultilevel"/>
    <w:lvl w:ilvl="0">
      <w:lvlJc w:val="left"/>
      <w:lvlText w:val="(%1)"/>
      <w:numFmt w:val="lowerLetter"/>
      <w:start w:val="28"/>
    </w:lvl>
  </w:abstractNum>
  <w:abstractNum w:abstractNumId="64">
    <w:nsid w:val="100F8FCA"/>
    <w:multiLevelType w:val="hybridMultilevel"/>
    <w:lvl w:ilvl="0">
      <w:lvlJc w:val="left"/>
      <w:lvlText w:val="%1"/>
      <w:numFmt w:val="lowerLetter"/>
      <w:start w:val="1"/>
    </w:lvl>
    <w:lvl w:ilvl="1">
      <w:lvlJc w:val="left"/>
      <w:lvlText w:val="(%2)"/>
      <w:numFmt w:val="lowerLetter"/>
      <w:start w:val="32"/>
    </w:lvl>
  </w:abstractNum>
  <w:abstractNum w:abstractNumId="65">
    <w:nsid w:val="6590700B"/>
    <w:multiLevelType w:val="hybridMultilevel"/>
    <w:lvl w:ilvl="0">
      <w:lvlJc w:val="left"/>
      <w:lvlText w:val="(%1)"/>
      <w:numFmt w:val="lowerLetter"/>
      <w:start w:val="61"/>
    </w:lvl>
    <w:lvl w:ilvl="1">
      <w:lvlJc w:val="left"/>
      <w:lvlText w:val="(%2)"/>
      <w:numFmt w:val="lowerLetter"/>
      <w:start w:val="34"/>
    </w:lvl>
  </w:abstractNum>
  <w:abstractNum w:abstractNumId="66">
    <w:nsid w:val="15014ACB"/>
    <w:multiLevelType w:val="hybridMultilevel"/>
    <w:lvl w:ilvl="0">
      <w:lvlJc w:val="left"/>
      <w:lvlText w:val="(%1)"/>
      <w:numFmt w:val="lowerLetter"/>
      <w:start w:val="35"/>
    </w:lvl>
  </w:abstractNum>
  <w:abstractNum w:abstractNumId="67">
    <w:nsid w:val="5F5E7FD0"/>
    <w:multiLevelType w:val="hybridMultilevel"/>
    <w:lvl w:ilvl="0">
      <w:lvlJc w:val="left"/>
      <w:lvlText w:val="(%1)"/>
      <w:numFmt w:val="lowerLetter"/>
      <w:start w:val="1"/>
    </w:lvl>
  </w:abstractNum>
  <w:abstractNum w:abstractNumId="68">
    <w:nsid w:val="98A3148"/>
    <w:multiLevelType w:val="hybridMultilevel"/>
    <w:lvl w:ilvl="0">
      <w:lvlJc w:val="left"/>
      <w:lvlText w:val="(%1)"/>
      <w:numFmt w:val="lowerLetter"/>
      <w:start w:val="2"/>
    </w:lvl>
  </w:abstractNum>
  <w:abstractNum w:abstractNumId="69">
    <w:nsid w:val="799D0247"/>
    <w:multiLevelType w:val="hybridMultilevel"/>
    <w:lvl w:ilvl="0">
      <w:lvlJc w:val="left"/>
      <w:lvlText w:val="(%1)"/>
      <w:numFmt w:val="lowerLetter"/>
      <w:start w:val="6"/>
    </w:lvl>
  </w:abstractNum>
  <w:abstractNum w:abstractNumId="70">
    <w:nsid w:val="6B94764"/>
    <w:multiLevelType w:val="hybridMultilevel"/>
    <w:lvl w:ilvl="0">
      <w:lvlJc w:val="left"/>
      <w:lvlText w:val="(%1)"/>
      <w:numFmt w:val="lowerLetter"/>
      <w:start w:val="1"/>
    </w:lvl>
  </w:abstractNum>
  <w:abstractNum w:abstractNumId="71">
    <w:nsid w:val="42C296BD"/>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2020-12-21T15:40:55Z</dcterms:created>
  <dcterms:modified xsi:type="dcterms:W3CDTF">2020-12-21T15:40:55Z</dcterms:modified>
</cp:coreProperties>
</file>