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760"/>
        <w:spacing w:after="0"/>
        <w:rPr>
          <w:sz w:val="20"/>
          <w:szCs w:val="20"/>
          <w:color w:val="auto"/>
        </w:rPr>
      </w:pPr>
      <w:r>
        <w:rPr>
          <w:rFonts w:ascii="Arial" w:cs="Arial" w:eastAsia="Arial" w:hAnsi="Arial"/>
          <w:sz w:val="16"/>
          <w:szCs w:val="16"/>
          <w:b w:val="1"/>
          <w:bCs w:val="1"/>
          <w:color w:val="auto"/>
        </w:rPr>
        <w:t>Filed Pursuant to Rule 424(b)(5)</w:t>
      </w:r>
    </w:p>
    <w:p>
      <w:pPr>
        <w:spacing w:after="0" w:line="50" w:lineRule="exact"/>
        <w:rPr>
          <w:sz w:val="24"/>
          <w:szCs w:val="24"/>
          <w:color w:val="auto"/>
        </w:rPr>
      </w:pPr>
    </w:p>
    <w:p>
      <w:pPr>
        <w:ind w:left="8240"/>
        <w:spacing w:after="0"/>
        <w:rPr>
          <w:sz w:val="20"/>
          <w:szCs w:val="20"/>
          <w:color w:val="auto"/>
        </w:rPr>
      </w:pPr>
      <w:r>
        <w:rPr>
          <w:rFonts w:ascii="Arial" w:cs="Arial" w:eastAsia="Arial" w:hAnsi="Arial"/>
          <w:sz w:val="16"/>
          <w:szCs w:val="16"/>
          <w:b w:val="1"/>
          <w:bCs w:val="1"/>
          <w:color w:val="auto"/>
        </w:rPr>
        <w:t>Registration Statement No. 333-232764</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July 30, 2019)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XPRESSPA GROUP, INC.</w:t>
      </w:r>
    </w:p>
    <w:p>
      <w:pPr>
        <w:spacing w:after="0" w:line="24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7,895,000 Shares of Common Stock</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Pre-Funded Warrants to Purchase 2,105,000 shares of Common Stock</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(and the shares of Common Stock underlying such Pre-Funded Warrants)</w:t>
      </w:r>
    </w:p>
    <w:p>
      <w:pPr>
        <w:spacing w:after="0" w:line="211" w:lineRule="exact"/>
        <w:rPr>
          <w:sz w:val="24"/>
          <w:szCs w:val="24"/>
          <w:color w:val="auto"/>
        </w:rPr>
      </w:pPr>
    </w:p>
    <w:p>
      <w:pPr>
        <w:jc w:val="both"/>
        <w:spacing w:after="0" w:line="293" w:lineRule="auto"/>
        <w:rPr>
          <w:sz w:val="20"/>
          <w:szCs w:val="20"/>
          <w:color w:val="auto"/>
        </w:rPr>
      </w:pPr>
      <w:r>
        <w:rPr>
          <w:rFonts w:ascii="Arial" w:cs="Arial" w:eastAsia="Arial" w:hAnsi="Arial"/>
          <w:sz w:val="16"/>
          <w:szCs w:val="16"/>
          <w:color w:val="auto"/>
        </w:rPr>
        <w:t>We are offering an aggregate of 7,895,000 shares of our common stock, par value $0.01 per share (the “Common Stock”) at a purchase price equal to $0.20 per share. We are also offering to certain purchasers pre-funded warrants to purchase an aggregate of 2,105,000 shares of Common Stock, in lieu of shares of Common Stock. Each pre-funded warrant is exercisable for one share of our Common Stock. The purchase price of each pre-funded warrant is equal to the price at which a share of Common Stock is sold to the public in this offering, minus $0.01, and the exercise price of each pre-funded warrant is $0.01 per share. The pre-funded warrants are immediately exercisable and may be exercised at any time until all of the pre-funded warrants are exercised in full. This offering also relates to the shares of Common Stock issuable upon exercise of the pre-funded warrants sold in this offering.</w:t>
      </w:r>
    </w:p>
    <w:p>
      <w:pPr>
        <w:spacing w:after="0" w:line="164"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Our Common Stock is listed on The Nasdaq Capital Market, or Nasdaq, under the symbol “XSPA.” The last reported sale price of our Common Stock on March 27, 2020 was $0.224 per share.</w:t>
      </w:r>
    </w:p>
    <w:p>
      <w:pPr>
        <w:spacing w:after="0" w:line="170"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You should read this prospectus supplement and the accompanying prospectus and the documents incorporated by reference in this prospectus supplement carefully before you invest.</w:t>
      </w:r>
    </w:p>
    <w:p>
      <w:pPr>
        <w:spacing w:after="0" w:line="166" w:lineRule="exact"/>
        <w:rPr>
          <w:sz w:val="24"/>
          <w:szCs w:val="24"/>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See “Risk Factors” on page S-4 of this prospectus supplement to read about factors you should consider before buying shares of our Common Stock.</w:t>
      </w:r>
    </w:p>
    <w:p>
      <w:pPr>
        <w:spacing w:after="0" w:line="162" w:lineRule="exact"/>
        <w:rPr>
          <w:sz w:val="24"/>
          <w:szCs w:val="24"/>
          <w:color w:val="auto"/>
        </w:rPr>
      </w:pPr>
    </w:p>
    <w:p>
      <w:pPr>
        <w:jc w:val="both"/>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supplement is truthful or complete. Any representation to the contrary is a criminal offense.</w:t>
      </w:r>
    </w:p>
    <w:p>
      <w:pPr>
        <w:spacing w:after="0" w:line="144" w:lineRule="exact"/>
        <w:rPr>
          <w:sz w:val="24"/>
          <w:szCs w:val="24"/>
          <w:color w:val="auto"/>
        </w:rPr>
      </w:pPr>
    </w:p>
    <w:p>
      <w:pPr>
        <w:jc w:val="both"/>
        <w:spacing w:after="0" w:line="257" w:lineRule="auto"/>
        <w:rPr>
          <w:sz w:val="20"/>
          <w:szCs w:val="20"/>
          <w:color w:val="auto"/>
        </w:rPr>
      </w:pPr>
      <w:r>
        <w:rPr>
          <w:rFonts w:ascii="Arial" w:cs="Arial" w:eastAsia="Arial" w:hAnsi="Arial"/>
          <w:sz w:val="18"/>
          <w:szCs w:val="18"/>
          <w:color w:val="auto"/>
        </w:rPr>
        <w:t>As of March 27, 2020, the aggregate market value of our outstanding Common Stock held by non-affiliates was approximately $46,791,745, based on 46,409,401 shares of outstanding Common Stock, of which 39,654,021 shares were held by non-affiliates, and a per share price of $1.18, which was the last reported sale price of our Common Stock on The Nasdaq Capital Market on February 19, 2020. We have offered and sold $6,950,327 worth of our securities pursuant to General Instruction I.B.6. of Form S-3 during the prior 12 calendar month period that ends on and includes the date of this prospectus supplement and the securities offered hereby.</w:t>
      </w:r>
    </w:p>
    <w:p>
      <w:pPr>
        <w:spacing w:after="0" w:line="184"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6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Per Pre-</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2"/>
              </w:rPr>
              <w:t>Per Share of</w:t>
            </w:r>
          </w:p>
        </w:tc>
        <w:tc>
          <w:tcPr>
            <w:tcW w:w="18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Funded</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6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48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0"/>
              </w:rPr>
              <w:t>Common Stock</w:t>
            </w:r>
          </w:p>
        </w:tc>
        <w:tc>
          <w:tcPr>
            <w:tcW w:w="180" w:type="dxa"/>
            <w:vAlign w:val="bottom"/>
          </w:tcPr>
          <w:p>
            <w:pPr>
              <w:spacing w:after="0"/>
              <w:rPr>
                <w:sz w:val="20"/>
                <w:szCs w:val="20"/>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6"/>
              </w:rPr>
              <w:t>Warrant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r>
      <w:tr>
        <w:trPr>
          <w:trHeight w:val="210"/>
        </w:trPr>
        <w:tc>
          <w:tcPr>
            <w:tcW w:w="4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2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Advisory fees(1)</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0.016</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0.0152</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160,000</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0.184</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0.1748</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1,840,000</w:t>
            </w:r>
          </w:p>
        </w:tc>
      </w:tr>
    </w:tbl>
    <w:p>
      <w:pPr>
        <w:spacing w:after="0" w:line="202" w:lineRule="exact"/>
        <w:rPr>
          <w:sz w:val="24"/>
          <w:szCs w:val="24"/>
          <w:color w:val="auto"/>
        </w:rPr>
      </w:pPr>
    </w:p>
    <w:p>
      <w:pPr>
        <w:ind w:right="20" w:firstLine="8"/>
        <w:spacing w:after="0" w:line="277" w:lineRule="auto"/>
        <w:tabs>
          <w:tab w:leader="none" w:pos="262"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have agreed to pay a certain financial advisory consultant a cash payment equal to 8% of the aggregate gross proceeds raised in the offering. See “Plan of Distribution” for more information.</w:t>
      </w:r>
    </w:p>
    <w:p>
      <w:pPr>
        <w:spacing w:after="0" w:line="17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Delivery of the shares of our Common Stock and pre-funded warrants being offered pursuant to this prospectus supplement and the accompanying prospectus is expected to be made on or about March 30, 2020.</w:t>
      </w:r>
    </w:p>
    <w:p>
      <w:pPr>
        <w:spacing w:after="0" w:line="17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 date of this prospectus supplement is March 27,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40" w:type="dxa"/>
            <w:vAlign w:val="bottom"/>
            <w:gridSpan w:val="4"/>
          </w:tcPr>
          <w:p>
            <w:pPr>
              <w:jc w:val="center"/>
              <w:ind w:right="3920"/>
              <w:spacing w:after="0"/>
              <w:rPr>
                <w:sz w:val="20"/>
                <w:szCs w:val="20"/>
                <w:color w:val="auto"/>
              </w:rPr>
            </w:pPr>
            <w:r>
              <w:rPr>
                <w:rFonts w:ascii="Arial" w:cs="Arial" w:eastAsia="Arial" w:hAnsi="Arial"/>
                <w:sz w:val="18"/>
                <w:szCs w:val="18"/>
                <w:b w:val="1"/>
                <w:bCs w:val="1"/>
                <w:color w:val="auto"/>
                <w:w w:val="98"/>
              </w:rPr>
              <w:t>TABLE OF CONTENTS</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40" w:type="dxa"/>
            <w:vAlign w:val="bottom"/>
            <w:gridSpan w:val="4"/>
          </w:tcPr>
          <w:p>
            <w:pPr>
              <w:jc w:val="center"/>
              <w:ind w:right="3920"/>
              <w:spacing w:after="0"/>
              <w:rPr>
                <w:sz w:val="20"/>
                <w:szCs w:val="20"/>
                <w:color w:val="auto"/>
              </w:rPr>
            </w:pPr>
            <w:r>
              <w:rPr>
                <w:rFonts w:ascii="Arial" w:cs="Arial" w:eastAsia="Arial" w:hAnsi="Arial"/>
                <w:sz w:val="18"/>
                <w:szCs w:val="18"/>
                <w:b w:val="1"/>
                <w:bCs w:val="1"/>
                <w:color w:val="auto"/>
                <w:w w:val="87"/>
              </w:rPr>
              <w:t>Prospectus Supplement</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2"/>
        </w:trPr>
        <w:tc>
          <w:tcPr>
            <w:tcW w:w="7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6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462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gridSpan w:val="10"/>
          </w:tcPr>
          <w:p>
            <w:pPr>
              <w:jc w:val="center"/>
              <w:spacing w:after="0"/>
              <w:rPr>
                <w:sz w:val="20"/>
                <w:szCs w:val="20"/>
                <w:color w:val="auto"/>
              </w:rPr>
            </w:pPr>
            <w:r>
              <w:rPr>
                <w:rFonts w:ascii="Arial" w:cs="Arial" w:eastAsia="Arial" w:hAnsi="Arial"/>
                <w:sz w:val="18"/>
                <w:szCs w:val="18"/>
                <w:b w:val="1"/>
                <w:bCs w:val="1"/>
                <w:color w:val="auto"/>
                <w:w w:val="83"/>
              </w:rPr>
              <w:t>Page</w:t>
            </w:r>
          </w:p>
        </w:tc>
      </w:tr>
      <w:tr>
        <w:trPr>
          <w:trHeight w:val="169"/>
        </w:trPr>
        <w:tc>
          <w:tcPr>
            <w:tcW w:w="10600" w:type="dxa"/>
            <w:vAlign w:val="bottom"/>
            <w:gridSpan w:val="25"/>
            <w:shd w:val="clear" w:color="auto" w:fill="CCEEFF"/>
          </w:tcPr>
          <w:p>
            <w:pPr>
              <w:spacing w:after="0" w:line="169" w:lineRule="exact"/>
              <w:rPr>
                <w:rFonts w:ascii="Arial" w:cs="Arial" w:eastAsia="Arial" w:hAnsi="Arial"/>
                <w:sz w:val="18"/>
                <w:szCs w:val="18"/>
                <w:color w:val="0000EE"/>
              </w:rPr>
            </w:pPr>
            <w:hyperlink w:anchor="page3">
              <w:r>
                <w:rPr>
                  <w:rFonts w:ascii="Arial" w:cs="Arial" w:eastAsia="Arial" w:hAnsi="Arial"/>
                  <w:sz w:val="18"/>
                  <w:szCs w:val="18"/>
                  <w:color w:val="0000EE"/>
                </w:rPr>
                <w:t>ABOUT THIS PROSPECTUS SUPPLEMENT</w:t>
              </w:r>
            </w:hyperlink>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40" w:type="dxa"/>
            <w:vAlign w:val="bottom"/>
            <w:gridSpan w:val="7"/>
            <w:shd w:val="clear" w:color="auto" w:fill="CCEEFF"/>
          </w:tcPr>
          <w:p>
            <w:pPr>
              <w:jc w:val="center"/>
              <w:ind w:right="200"/>
              <w:spacing w:after="0" w:line="169" w:lineRule="exact"/>
              <w:rPr>
                <w:rFonts w:ascii="Arial" w:cs="Arial" w:eastAsia="Arial" w:hAnsi="Arial"/>
                <w:sz w:val="18"/>
                <w:szCs w:val="18"/>
                <w:color w:val="0000EE"/>
              </w:rPr>
            </w:pPr>
            <w:hyperlink w:anchor="page3">
              <w:r>
                <w:rPr>
                  <w:rFonts w:ascii="Arial" w:cs="Arial" w:eastAsia="Arial" w:hAnsi="Arial"/>
                  <w:sz w:val="18"/>
                  <w:szCs w:val="18"/>
                  <w:color w:val="0000EE"/>
                </w:rPr>
                <w:t>s-ii</w:t>
              </w:r>
            </w:hyperlink>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6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600" w:type="dxa"/>
            <w:vAlign w:val="bottom"/>
            <w:gridSpan w:val="25"/>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SPECIAL NOTE REGARDING FORWARD-LOOKING STATEMENTS</w:t>
              </w:r>
            </w:hyperlink>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gridSpan w:val="8"/>
          </w:tcPr>
          <w:p>
            <w:pPr>
              <w:jc w:val="center"/>
              <w:ind w:right="18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s-iii</w:t>
              </w:r>
            </w:hyperlink>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76"/>
        </w:trPr>
        <w:tc>
          <w:tcPr>
            <w:tcW w:w="3300" w:type="dxa"/>
            <w:vAlign w:val="bottom"/>
            <w:gridSpan w:val="16"/>
            <w:shd w:val="clear" w:color="auto" w:fill="CCEEFF"/>
          </w:tcPr>
          <w:p>
            <w:pPr>
              <w:spacing w:after="0" w:line="176" w:lineRule="exact"/>
              <w:rPr>
                <w:rFonts w:ascii="Arial" w:cs="Arial" w:eastAsia="Arial" w:hAnsi="Arial"/>
                <w:sz w:val="18"/>
                <w:szCs w:val="18"/>
                <w:color w:val="0000EE"/>
                <w:w w:val="94"/>
              </w:rPr>
            </w:pPr>
            <w:hyperlink w:anchor="page6">
              <w:r>
                <w:rPr>
                  <w:rFonts w:ascii="Arial" w:cs="Arial" w:eastAsia="Arial" w:hAnsi="Arial"/>
                  <w:sz w:val="18"/>
                  <w:szCs w:val="18"/>
                  <w:color w:val="0000EE"/>
                  <w:w w:val="94"/>
                </w:rPr>
                <w:t>PROSPECTUS SUPPLEMENT SUMMARY</w:t>
              </w:r>
            </w:hyperlink>
          </w:p>
        </w:tc>
        <w:tc>
          <w:tcPr>
            <w:tcW w:w="7300" w:type="dxa"/>
            <w:vAlign w:val="bottom"/>
            <w:gridSpan w:val="9"/>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40" w:type="dxa"/>
            <w:vAlign w:val="bottom"/>
            <w:gridSpan w:val="7"/>
            <w:shd w:val="clear" w:color="auto" w:fill="CCEEFF"/>
          </w:tcPr>
          <w:p>
            <w:pPr>
              <w:jc w:val="center"/>
              <w:ind w:right="200"/>
              <w:spacing w:after="0" w:line="176" w:lineRule="exact"/>
              <w:rPr>
                <w:rFonts w:ascii="Arial" w:cs="Arial" w:eastAsia="Arial" w:hAnsi="Arial"/>
                <w:sz w:val="18"/>
                <w:szCs w:val="18"/>
                <w:color w:val="0000EE"/>
                <w:w w:val="85"/>
              </w:rPr>
            </w:pPr>
            <w:hyperlink w:anchor="page6">
              <w:r>
                <w:rPr>
                  <w:rFonts w:ascii="Arial" w:cs="Arial" w:eastAsia="Arial" w:hAnsi="Arial"/>
                  <w:sz w:val="18"/>
                  <w:szCs w:val="18"/>
                  <w:color w:val="0000EE"/>
                  <w:w w:val="85"/>
                </w:rPr>
                <w:t>S-1</w:t>
              </w:r>
            </w:hyperlink>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6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3300" w:type="dxa"/>
            <w:vAlign w:val="bottom"/>
            <w:gridSpan w:val="16"/>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THE OFFERING</w:t>
              </w:r>
            </w:hyperlink>
          </w:p>
        </w:tc>
        <w:tc>
          <w:tcPr>
            <w:tcW w:w="7300" w:type="dxa"/>
            <w:vAlign w:val="bottom"/>
            <w:gridSpan w:val="9"/>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gridSpan w:val="7"/>
          </w:tcPr>
          <w:p>
            <w:pPr>
              <w:jc w:val="center"/>
              <w:ind w:right="200"/>
              <w:spacing w:after="0" w:line="176" w:lineRule="exact"/>
              <w:rPr>
                <w:rFonts w:ascii="Arial" w:cs="Arial" w:eastAsia="Arial" w:hAnsi="Arial"/>
                <w:sz w:val="18"/>
                <w:szCs w:val="18"/>
                <w:color w:val="0000EE"/>
                <w:w w:val="85"/>
              </w:rPr>
            </w:pPr>
            <w:hyperlink w:anchor="page8">
              <w:r>
                <w:rPr>
                  <w:rFonts w:ascii="Arial" w:cs="Arial" w:eastAsia="Arial" w:hAnsi="Arial"/>
                  <w:sz w:val="18"/>
                  <w:szCs w:val="18"/>
                  <w:color w:val="0000EE"/>
                  <w:w w:val="85"/>
                </w:rPr>
                <w:t>S-3</w:t>
              </w:r>
            </w:hyperlink>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75"/>
        </w:trPr>
        <w:tc>
          <w:tcPr>
            <w:tcW w:w="1260" w:type="dxa"/>
            <w:vAlign w:val="bottom"/>
            <w:gridSpan w:val="3"/>
            <w:shd w:val="clear" w:color="auto" w:fill="CCEEFF"/>
          </w:tcPr>
          <w:p>
            <w:pPr>
              <w:spacing w:after="0" w:line="176" w:lineRule="exact"/>
              <w:rPr>
                <w:rFonts w:ascii="Arial" w:cs="Arial" w:eastAsia="Arial" w:hAnsi="Arial"/>
                <w:sz w:val="18"/>
                <w:szCs w:val="18"/>
                <w:color w:val="0000EE"/>
                <w:w w:val="93"/>
              </w:rPr>
            </w:pPr>
            <w:hyperlink w:anchor="page9">
              <w:r>
                <w:rPr>
                  <w:rFonts w:ascii="Arial" w:cs="Arial" w:eastAsia="Arial" w:hAnsi="Arial"/>
                  <w:sz w:val="18"/>
                  <w:szCs w:val="18"/>
                  <w:color w:val="0000EE"/>
                  <w:w w:val="93"/>
                </w:rPr>
                <w:t>RISK FACTORS</w:t>
              </w:r>
            </w:hyperlink>
          </w:p>
        </w:tc>
        <w:tc>
          <w:tcPr>
            <w:tcW w:w="9340" w:type="dxa"/>
            <w:vAlign w:val="bottom"/>
            <w:gridSpan w:val="22"/>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40" w:type="dxa"/>
            <w:vAlign w:val="bottom"/>
            <w:gridSpan w:val="7"/>
            <w:shd w:val="clear" w:color="auto" w:fill="CCEEFF"/>
          </w:tcPr>
          <w:p>
            <w:pPr>
              <w:jc w:val="center"/>
              <w:ind w:right="200"/>
              <w:spacing w:after="0" w:line="176" w:lineRule="exact"/>
              <w:rPr>
                <w:rFonts w:ascii="Arial" w:cs="Arial" w:eastAsia="Arial" w:hAnsi="Arial"/>
                <w:sz w:val="18"/>
                <w:szCs w:val="18"/>
                <w:color w:val="0000EE"/>
                <w:w w:val="85"/>
              </w:rPr>
            </w:pPr>
            <w:hyperlink w:anchor="page9">
              <w:r>
                <w:rPr>
                  <w:rFonts w:ascii="Arial" w:cs="Arial" w:eastAsia="Arial" w:hAnsi="Arial"/>
                  <w:sz w:val="18"/>
                  <w:szCs w:val="18"/>
                  <w:color w:val="0000EE"/>
                  <w:w w:val="85"/>
                </w:rPr>
                <w:t>S-4</w:t>
              </w:r>
            </w:hyperlink>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6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600" w:type="dxa"/>
            <w:vAlign w:val="bottom"/>
            <w:gridSpan w:val="25"/>
          </w:tcPr>
          <w:p>
            <w:pPr>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USE OF PROCEEDS</w:t>
              </w:r>
            </w:hyperlink>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gridSpan w:val="7"/>
          </w:tcPr>
          <w:p>
            <w:pPr>
              <w:jc w:val="center"/>
              <w:ind w:right="200"/>
              <w:spacing w:after="0" w:line="176" w:lineRule="exact"/>
              <w:rPr>
                <w:rFonts w:ascii="Arial" w:cs="Arial" w:eastAsia="Arial" w:hAnsi="Arial"/>
                <w:sz w:val="18"/>
                <w:szCs w:val="18"/>
                <w:color w:val="0000EE"/>
                <w:w w:val="85"/>
              </w:rPr>
            </w:pPr>
            <w:hyperlink w:anchor="page14">
              <w:r>
                <w:rPr>
                  <w:rFonts w:ascii="Arial" w:cs="Arial" w:eastAsia="Arial" w:hAnsi="Arial"/>
                  <w:sz w:val="18"/>
                  <w:szCs w:val="18"/>
                  <w:color w:val="0000EE"/>
                  <w:w w:val="85"/>
                </w:rPr>
                <w:t>S-9</w:t>
              </w:r>
            </w:hyperlink>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75"/>
        </w:trPr>
        <w:tc>
          <w:tcPr>
            <w:tcW w:w="10600" w:type="dxa"/>
            <w:vAlign w:val="bottom"/>
            <w:gridSpan w:val="25"/>
            <w:shd w:val="clear" w:color="auto" w:fill="CCEEFF"/>
          </w:tcPr>
          <w:p>
            <w:pPr>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DIVIDEND POLICY</w:t>
              </w:r>
            </w:hyperlink>
          </w:p>
        </w:tc>
        <w:tc>
          <w:tcPr>
            <w:tcW w:w="140" w:type="dxa"/>
            <w:vAlign w:val="bottom"/>
            <w:shd w:val="clear" w:color="auto" w:fill="CCEEFF"/>
          </w:tcPr>
          <w:p>
            <w:pPr>
              <w:spacing w:after="0"/>
              <w:rPr>
                <w:sz w:val="15"/>
                <w:szCs w:val="15"/>
                <w:color w:val="auto"/>
              </w:rPr>
            </w:pPr>
          </w:p>
        </w:tc>
        <w:tc>
          <w:tcPr>
            <w:tcW w:w="500" w:type="dxa"/>
            <w:vAlign w:val="bottom"/>
            <w:gridSpan w:val="9"/>
            <w:shd w:val="clear" w:color="auto" w:fill="CCEEFF"/>
          </w:tcPr>
          <w:p>
            <w:pPr>
              <w:jc w:val="center"/>
              <w:ind w:right="160"/>
              <w:spacing w:after="0" w:line="176" w:lineRule="exact"/>
              <w:rPr>
                <w:rFonts w:ascii="Arial" w:cs="Arial" w:eastAsia="Arial" w:hAnsi="Arial"/>
                <w:sz w:val="18"/>
                <w:szCs w:val="18"/>
                <w:color w:val="0000EE"/>
                <w:w w:val="89"/>
              </w:rPr>
            </w:pPr>
            <w:hyperlink w:anchor="page15">
              <w:r>
                <w:rPr>
                  <w:rFonts w:ascii="Arial" w:cs="Arial" w:eastAsia="Arial" w:hAnsi="Arial"/>
                  <w:sz w:val="18"/>
                  <w:szCs w:val="18"/>
                  <w:color w:val="0000EE"/>
                  <w:w w:val="89"/>
                </w:rPr>
                <w:t>S-10</w:t>
              </w:r>
            </w:hyperlink>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6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580" w:type="dxa"/>
            <w:vAlign w:val="bottom"/>
            <w:gridSpan w:val="6"/>
          </w:tcPr>
          <w:p>
            <w:pPr>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DILUTION</w:t>
              </w:r>
            </w:hyperlink>
          </w:p>
        </w:tc>
        <w:tc>
          <w:tcPr>
            <w:tcW w:w="9020" w:type="dxa"/>
            <w:vAlign w:val="bottom"/>
            <w:gridSpan w:val="19"/>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gridSpan w:val="9"/>
          </w:tcPr>
          <w:p>
            <w:pPr>
              <w:jc w:val="center"/>
              <w:ind w:right="160"/>
              <w:spacing w:after="0" w:line="176" w:lineRule="exact"/>
              <w:rPr>
                <w:rFonts w:ascii="Arial" w:cs="Arial" w:eastAsia="Arial" w:hAnsi="Arial"/>
                <w:sz w:val="18"/>
                <w:szCs w:val="18"/>
                <w:color w:val="0000EE"/>
                <w:w w:val="89"/>
              </w:rPr>
            </w:pPr>
            <w:hyperlink w:anchor="page16">
              <w:r>
                <w:rPr>
                  <w:rFonts w:ascii="Arial" w:cs="Arial" w:eastAsia="Arial" w:hAnsi="Arial"/>
                  <w:sz w:val="18"/>
                  <w:szCs w:val="18"/>
                  <w:color w:val="0000EE"/>
                  <w:w w:val="89"/>
                </w:rPr>
                <w:t>S-11</w:t>
              </w:r>
            </w:hyperlink>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76"/>
        </w:trPr>
        <w:tc>
          <w:tcPr>
            <w:tcW w:w="10600" w:type="dxa"/>
            <w:vAlign w:val="bottom"/>
            <w:gridSpan w:val="25"/>
            <w:shd w:val="clear" w:color="auto" w:fill="CCEEFF"/>
          </w:tcPr>
          <w:p>
            <w:pPr>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DESCRIPTION OF THE SECURITIES WE ARE OFFERING</w:t>
              </w:r>
            </w:hyperlink>
          </w:p>
        </w:tc>
        <w:tc>
          <w:tcPr>
            <w:tcW w:w="140" w:type="dxa"/>
            <w:vAlign w:val="bottom"/>
            <w:shd w:val="clear" w:color="auto" w:fill="CCEEFF"/>
          </w:tcPr>
          <w:p>
            <w:pPr>
              <w:spacing w:after="0"/>
              <w:rPr>
                <w:sz w:val="15"/>
                <w:szCs w:val="15"/>
                <w:color w:val="auto"/>
              </w:rPr>
            </w:pPr>
          </w:p>
        </w:tc>
        <w:tc>
          <w:tcPr>
            <w:tcW w:w="500" w:type="dxa"/>
            <w:vAlign w:val="bottom"/>
            <w:gridSpan w:val="9"/>
            <w:shd w:val="clear" w:color="auto" w:fill="CCEEFF"/>
          </w:tcPr>
          <w:p>
            <w:pPr>
              <w:jc w:val="center"/>
              <w:ind w:right="160"/>
              <w:spacing w:after="0" w:line="176" w:lineRule="exact"/>
              <w:rPr>
                <w:rFonts w:ascii="Arial" w:cs="Arial" w:eastAsia="Arial" w:hAnsi="Arial"/>
                <w:sz w:val="18"/>
                <w:szCs w:val="18"/>
                <w:color w:val="0000EE"/>
                <w:w w:val="89"/>
              </w:rPr>
            </w:pPr>
            <w:hyperlink w:anchor="page17">
              <w:r>
                <w:rPr>
                  <w:rFonts w:ascii="Arial" w:cs="Arial" w:eastAsia="Arial" w:hAnsi="Arial"/>
                  <w:sz w:val="18"/>
                  <w:szCs w:val="18"/>
                  <w:color w:val="0000EE"/>
                  <w:w w:val="89"/>
                </w:rPr>
                <w:t>S-12</w:t>
              </w:r>
            </w:hyperlink>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6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560" w:type="dxa"/>
            <w:vAlign w:val="bottom"/>
            <w:gridSpan w:val="21"/>
          </w:tcPr>
          <w:p>
            <w:pPr>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PLAN OF DISTRIBUTION</w:t>
              </w:r>
            </w:hyperlink>
          </w:p>
        </w:tc>
        <w:tc>
          <w:tcPr>
            <w:tcW w:w="6040" w:type="dxa"/>
            <w:vAlign w:val="bottom"/>
            <w:gridSpan w:val="4"/>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gridSpan w:val="9"/>
          </w:tcPr>
          <w:p>
            <w:pPr>
              <w:jc w:val="center"/>
              <w:ind w:right="160"/>
              <w:spacing w:after="0" w:line="176" w:lineRule="exact"/>
              <w:rPr>
                <w:rFonts w:ascii="Arial" w:cs="Arial" w:eastAsia="Arial" w:hAnsi="Arial"/>
                <w:sz w:val="18"/>
                <w:szCs w:val="18"/>
                <w:color w:val="0000EE"/>
                <w:w w:val="89"/>
              </w:rPr>
            </w:pPr>
            <w:hyperlink w:anchor="page19">
              <w:r>
                <w:rPr>
                  <w:rFonts w:ascii="Arial" w:cs="Arial" w:eastAsia="Arial" w:hAnsi="Arial"/>
                  <w:sz w:val="18"/>
                  <w:szCs w:val="18"/>
                  <w:color w:val="0000EE"/>
                  <w:w w:val="89"/>
                </w:rPr>
                <w:t>S-14</w:t>
              </w:r>
            </w:hyperlink>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75"/>
        </w:trPr>
        <w:tc>
          <w:tcPr>
            <w:tcW w:w="10600" w:type="dxa"/>
            <w:vAlign w:val="bottom"/>
            <w:gridSpan w:val="25"/>
            <w:shd w:val="clear" w:color="auto" w:fill="CCEEFF"/>
          </w:tcPr>
          <w:p>
            <w:pPr>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LEGAL MATTERS</w:t>
              </w:r>
            </w:hyperlink>
          </w:p>
        </w:tc>
        <w:tc>
          <w:tcPr>
            <w:tcW w:w="140" w:type="dxa"/>
            <w:vAlign w:val="bottom"/>
            <w:shd w:val="clear" w:color="auto" w:fill="CCEEFF"/>
          </w:tcPr>
          <w:p>
            <w:pPr>
              <w:spacing w:after="0"/>
              <w:rPr>
                <w:sz w:val="15"/>
                <w:szCs w:val="15"/>
                <w:color w:val="auto"/>
              </w:rPr>
            </w:pPr>
          </w:p>
        </w:tc>
        <w:tc>
          <w:tcPr>
            <w:tcW w:w="500" w:type="dxa"/>
            <w:vAlign w:val="bottom"/>
            <w:gridSpan w:val="9"/>
            <w:shd w:val="clear" w:color="auto" w:fill="CCEEFF"/>
          </w:tcPr>
          <w:p>
            <w:pPr>
              <w:jc w:val="center"/>
              <w:ind w:right="160"/>
              <w:spacing w:after="0" w:line="176" w:lineRule="exact"/>
              <w:rPr>
                <w:rFonts w:ascii="Arial" w:cs="Arial" w:eastAsia="Arial" w:hAnsi="Arial"/>
                <w:sz w:val="18"/>
                <w:szCs w:val="18"/>
                <w:color w:val="0000EE"/>
                <w:w w:val="89"/>
              </w:rPr>
            </w:pPr>
            <w:hyperlink w:anchor="page19">
              <w:r>
                <w:rPr>
                  <w:rFonts w:ascii="Arial" w:cs="Arial" w:eastAsia="Arial" w:hAnsi="Arial"/>
                  <w:sz w:val="18"/>
                  <w:szCs w:val="18"/>
                  <w:color w:val="0000EE"/>
                  <w:w w:val="89"/>
                </w:rPr>
                <w:t>S-14</w:t>
              </w:r>
            </w:hyperlink>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6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460" w:type="dxa"/>
            <w:vAlign w:val="bottom"/>
            <w:gridSpan w:val="5"/>
          </w:tcPr>
          <w:p>
            <w:pPr>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EXPERTS</w:t>
              </w:r>
            </w:hyperlink>
          </w:p>
        </w:tc>
        <w:tc>
          <w:tcPr>
            <w:tcW w:w="9140" w:type="dxa"/>
            <w:vAlign w:val="bottom"/>
            <w:gridSpan w:val="20"/>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gridSpan w:val="9"/>
          </w:tcPr>
          <w:p>
            <w:pPr>
              <w:jc w:val="center"/>
              <w:ind w:right="160"/>
              <w:spacing w:after="0" w:line="176" w:lineRule="exact"/>
              <w:rPr>
                <w:rFonts w:ascii="Arial" w:cs="Arial" w:eastAsia="Arial" w:hAnsi="Arial"/>
                <w:sz w:val="18"/>
                <w:szCs w:val="18"/>
                <w:color w:val="0000EE"/>
                <w:w w:val="89"/>
              </w:rPr>
            </w:pPr>
            <w:hyperlink w:anchor="page19">
              <w:r>
                <w:rPr>
                  <w:rFonts w:ascii="Arial" w:cs="Arial" w:eastAsia="Arial" w:hAnsi="Arial"/>
                  <w:sz w:val="18"/>
                  <w:szCs w:val="18"/>
                  <w:color w:val="0000EE"/>
                  <w:w w:val="89"/>
                </w:rPr>
                <w:t>S-14</w:t>
              </w:r>
            </w:hyperlink>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76"/>
        </w:trPr>
        <w:tc>
          <w:tcPr>
            <w:tcW w:w="10600" w:type="dxa"/>
            <w:vAlign w:val="bottom"/>
            <w:gridSpan w:val="25"/>
            <w:shd w:val="clear" w:color="auto" w:fill="CCEEFF"/>
          </w:tcPr>
          <w:p>
            <w:pPr>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WHERE YOU CAN FIND MORE INFORMATION</w:t>
              </w:r>
            </w:hyperlink>
          </w:p>
        </w:tc>
        <w:tc>
          <w:tcPr>
            <w:tcW w:w="140" w:type="dxa"/>
            <w:vAlign w:val="bottom"/>
            <w:shd w:val="clear" w:color="auto" w:fill="CCEEFF"/>
          </w:tcPr>
          <w:p>
            <w:pPr>
              <w:spacing w:after="0"/>
              <w:rPr>
                <w:sz w:val="15"/>
                <w:szCs w:val="15"/>
                <w:color w:val="auto"/>
              </w:rPr>
            </w:pPr>
          </w:p>
        </w:tc>
        <w:tc>
          <w:tcPr>
            <w:tcW w:w="500" w:type="dxa"/>
            <w:vAlign w:val="bottom"/>
            <w:gridSpan w:val="9"/>
            <w:shd w:val="clear" w:color="auto" w:fill="CCEEFF"/>
          </w:tcPr>
          <w:p>
            <w:pPr>
              <w:jc w:val="center"/>
              <w:ind w:right="160"/>
              <w:spacing w:after="0" w:line="176" w:lineRule="exact"/>
              <w:rPr>
                <w:rFonts w:ascii="Arial" w:cs="Arial" w:eastAsia="Arial" w:hAnsi="Arial"/>
                <w:sz w:val="18"/>
                <w:szCs w:val="18"/>
                <w:color w:val="0000EE"/>
                <w:w w:val="89"/>
              </w:rPr>
            </w:pPr>
            <w:hyperlink w:anchor="page19">
              <w:r>
                <w:rPr>
                  <w:rFonts w:ascii="Arial" w:cs="Arial" w:eastAsia="Arial" w:hAnsi="Arial"/>
                  <w:sz w:val="18"/>
                  <w:szCs w:val="18"/>
                  <w:color w:val="0000EE"/>
                  <w:w w:val="89"/>
                </w:rPr>
                <w:t>S-14</w:t>
              </w:r>
            </w:hyperlink>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6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600" w:type="dxa"/>
            <w:vAlign w:val="bottom"/>
            <w:gridSpan w:val="25"/>
          </w:tcPr>
          <w:p>
            <w:pPr>
              <w:spacing w:after="0" w:line="176" w:lineRule="exact"/>
              <w:rPr>
                <w:rFonts w:ascii="Arial" w:cs="Arial" w:eastAsia="Arial" w:hAnsi="Arial"/>
                <w:sz w:val="18"/>
                <w:szCs w:val="18"/>
                <w:color w:val="0000EE"/>
              </w:rPr>
            </w:pPr>
            <w:hyperlink w:anchor="page20">
              <w:r>
                <w:rPr>
                  <w:rFonts w:ascii="Arial" w:cs="Arial" w:eastAsia="Arial" w:hAnsi="Arial"/>
                  <w:sz w:val="18"/>
                  <w:szCs w:val="18"/>
                  <w:color w:val="0000EE"/>
                </w:rPr>
                <w:t>INCORPORATION OF CERTAIN INFORMATION BY REFERENCE</w:t>
              </w:r>
            </w:hyperlink>
          </w:p>
        </w:tc>
        <w:tc>
          <w:tcPr>
            <w:tcW w:w="140" w:type="dxa"/>
            <w:vAlign w:val="bottom"/>
          </w:tcPr>
          <w:p>
            <w:pPr>
              <w:spacing w:after="0"/>
              <w:rPr>
                <w:sz w:val="15"/>
                <w:szCs w:val="15"/>
                <w:color w:val="auto"/>
              </w:rPr>
            </w:pPr>
          </w:p>
        </w:tc>
        <w:tc>
          <w:tcPr>
            <w:tcW w:w="500" w:type="dxa"/>
            <w:vAlign w:val="bottom"/>
            <w:gridSpan w:val="9"/>
          </w:tcPr>
          <w:p>
            <w:pPr>
              <w:jc w:val="center"/>
              <w:ind w:right="160"/>
              <w:spacing w:after="0" w:line="176" w:lineRule="exact"/>
              <w:rPr>
                <w:rFonts w:ascii="Arial" w:cs="Arial" w:eastAsia="Arial" w:hAnsi="Arial"/>
                <w:sz w:val="18"/>
                <w:szCs w:val="18"/>
                <w:color w:val="0000EE"/>
                <w:w w:val="89"/>
              </w:rPr>
            </w:pPr>
            <w:hyperlink w:anchor="page20">
              <w:r>
                <w:rPr>
                  <w:rFonts w:ascii="Arial" w:cs="Arial" w:eastAsia="Arial" w:hAnsi="Arial"/>
                  <w:sz w:val="18"/>
                  <w:szCs w:val="18"/>
                  <w:color w:val="0000EE"/>
                  <w:w w:val="89"/>
                </w:rPr>
                <w:t>S-15</w:t>
              </w:r>
            </w:hyperlink>
          </w:p>
        </w:tc>
      </w:tr>
      <w:tr>
        <w:trPr>
          <w:trHeight w:val="453"/>
        </w:trPr>
        <w:tc>
          <w:tcPr>
            <w:tcW w:w="7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5420" w:type="dxa"/>
            <w:vAlign w:val="bottom"/>
            <w:gridSpan w:val="3"/>
          </w:tcPr>
          <w:p>
            <w:pPr>
              <w:jc w:val="center"/>
              <w:ind w:right="4540"/>
              <w:spacing w:after="0"/>
              <w:rPr>
                <w:sz w:val="20"/>
                <w:szCs w:val="20"/>
                <w:color w:val="auto"/>
              </w:rPr>
            </w:pPr>
            <w:r>
              <w:rPr>
                <w:rFonts w:ascii="Arial" w:cs="Arial" w:eastAsia="Arial" w:hAnsi="Arial"/>
                <w:sz w:val="18"/>
                <w:szCs w:val="18"/>
                <w:b w:val="1"/>
                <w:bCs w:val="1"/>
                <w:color w:val="auto"/>
                <w:w w:val="85"/>
              </w:rPr>
              <w:t>Prospectus</w:t>
            </w:r>
          </w:p>
        </w:tc>
        <w:tc>
          <w:tcPr>
            <w:tcW w:w="14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6"/>
        </w:trPr>
        <w:tc>
          <w:tcPr>
            <w:tcW w:w="2240" w:type="dxa"/>
            <w:vAlign w:val="bottom"/>
            <w:gridSpan w:val="11"/>
            <w:shd w:val="clear" w:color="auto" w:fill="CCEEFF"/>
          </w:tcPr>
          <w:p>
            <w:pPr>
              <w:spacing w:after="0" w:line="176" w:lineRule="exact"/>
              <w:rPr>
                <w:rFonts w:ascii="Arial" w:cs="Arial" w:eastAsia="Arial" w:hAnsi="Arial"/>
                <w:sz w:val="18"/>
                <w:szCs w:val="18"/>
                <w:color w:val="0000EE"/>
                <w:w w:val="93"/>
              </w:rPr>
            </w:pPr>
            <w:hyperlink w:anchor="page25">
              <w:r>
                <w:rPr>
                  <w:rFonts w:ascii="Arial" w:cs="Arial" w:eastAsia="Arial" w:hAnsi="Arial"/>
                  <w:sz w:val="18"/>
                  <w:szCs w:val="18"/>
                  <w:color w:val="0000EE"/>
                  <w:w w:val="93"/>
                </w:rPr>
                <w:t>ABOUT THIS PROSPECTUS</w:t>
              </w:r>
            </w:hyperlink>
          </w:p>
        </w:tc>
        <w:tc>
          <w:tcPr>
            <w:tcW w:w="8360" w:type="dxa"/>
            <w:vAlign w:val="bottom"/>
            <w:gridSpan w:val="14"/>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360" w:type="dxa"/>
            <w:vAlign w:val="bottom"/>
            <w:gridSpan w:val="6"/>
            <w:shd w:val="clear" w:color="auto" w:fill="CCEEFF"/>
          </w:tcPr>
          <w:p>
            <w:pPr>
              <w:jc w:val="center"/>
              <w:ind w:right="260"/>
              <w:spacing w:after="0" w:line="176" w:lineRule="exact"/>
              <w:rPr>
                <w:rFonts w:ascii="Arial" w:cs="Arial" w:eastAsia="Arial" w:hAnsi="Arial"/>
                <w:sz w:val="18"/>
                <w:szCs w:val="18"/>
                <w:color w:val="0000EE"/>
                <w:w w:val="76"/>
              </w:rPr>
            </w:pPr>
            <w:hyperlink w:anchor="page25">
              <w:r>
                <w:rPr>
                  <w:rFonts w:ascii="Arial" w:cs="Arial" w:eastAsia="Arial" w:hAnsi="Arial"/>
                  <w:sz w:val="18"/>
                  <w:szCs w:val="18"/>
                  <w:color w:val="0000EE"/>
                  <w:w w:val="76"/>
                </w:rPr>
                <w:t>iv</w:t>
              </w:r>
            </w:hyperlink>
          </w:p>
        </w:tc>
      </w:tr>
      <w:tr>
        <w:trPr>
          <w:trHeight w:val="176"/>
        </w:trPr>
        <w:tc>
          <w:tcPr>
            <w:tcW w:w="2240" w:type="dxa"/>
            <w:vAlign w:val="bottom"/>
            <w:tcBorders>
              <w:top w:val="single" w:sz="8" w:color="0000EE"/>
            </w:tcBorders>
            <w:gridSpan w:val="11"/>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PROSPECTUS SUMMARY</w:t>
              </w:r>
            </w:hyperlink>
          </w:p>
        </w:tc>
        <w:tc>
          <w:tcPr>
            <w:tcW w:w="8360" w:type="dxa"/>
            <w:vAlign w:val="bottom"/>
            <w:tcBorders>
              <w:top w:val="single" w:sz="8" w:color="CCEEFF"/>
            </w:tcBorders>
            <w:gridSpan w:val="14"/>
          </w:tcPr>
          <w:p>
            <w:pPr>
              <w:spacing w:after="0"/>
              <w:rPr>
                <w:sz w:val="15"/>
                <w:szCs w:val="15"/>
                <w:color w:val="auto"/>
              </w:rPr>
            </w:pPr>
          </w:p>
        </w:tc>
        <w:tc>
          <w:tcPr>
            <w:tcW w:w="280" w:type="dxa"/>
            <w:vAlign w:val="bottom"/>
            <w:tcBorders>
              <w:top w:val="single" w:sz="8" w:color="CCEEFF"/>
            </w:tcBorders>
            <w:gridSpan w:val="4"/>
          </w:tcPr>
          <w:p>
            <w:pPr>
              <w:spacing w:after="0"/>
              <w:rPr>
                <w:sz w:val="15"/>
                <w:szCs w:val="15"/>
                <w:color w:val="auto"/>
              </w:rPr>
            </w:pPr>
          </w:p>
        </w:tc>
        <w:tc>
          <w:tcPr>
            <w:tcW w:w="120" w:type="dxa"/>
            <w:vAlign w:val="bottom"/>
            <w:tcBorders>
              <w:top w:val="single" w:sz="8" w:color="0000EE"/>
            </w:tcBorders>
            <w:gridSpan w:val="2"/>
          </w:tcPr>
          <w:p>
            <w:pPr>
              <w:jc w:val="center"/>
              <w:ind w:right="40"/>
              <w:spacing w:after="0" w:line="176" w:lineRule="exact"/>
              <w:rPr>
                <w:rFonts w:ascii="Arial" w:cs="Arial" w:eastAsia="Arial" w:hAnsi="Arial"/>
                <w:sz w:val="18"/>
                <w:szCs w:val="18"/>
                <w:color w:val="0000EE"/>
                <w:w w:val="79"/>
              </w:rPr>
            </w:pPr>
            <w:hyperlink w:anchor="page26">
              <w:r>
                <w:rPr>
                  <w:rFonts w:ascii="Arial" w:cs="Arial" w:eastAsia="Arial" w:hAnsi="Arial"/>
                  <w:sz w:val="18"/>
                  <w:szCs w:val="18"/>
                  <w:color w:val="0000EE"/>
                  <w:w w:val="79"/>
                </w:rPr>
                <w:t>1</w:t>
              </w:r>
            </w:hyperlink>
          </w:p>
        </w:tc>
        <w:tc>
          <w:tcPr>
            <w:tcW w:w="4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76"/>
        </w:trPr>
        <w:tc>
          <w:tcPr>
            <w:tcW w:w="1260" w:type="dxa"/>
            <w:vAlign w:val="bottom"/>
            <w:gridSpan w:val="3"/>
            <w:shd w:val="clear" w:color="auto" w:fill="CCEEFF"/>
          </w:tcPr>
          <w:p>
            <w:pPr>
              <w:spacing w:after="0" w:line="176" w:lineRule="exact"/>
              <w:rPr>
                <w:rFonts w:ascii="Arial" w:cs="Arial" w:eastAsia="Arial" w:hAnsi="Arial"/>
                <w:sz w:val="18"/>
                <w:szCs w:val="18"/>
                <w:color w:val="0000EE"/>
                <w:w w:val="93"/>
              </w:rPr>
            </w:pPr>
            <w:hyperlink w:anchor="page27">
              <w:r>
                <w:rPr>
                  <w:rFonts w:ascii="Arial" w:cs="Arial" w:eastAsia="Arial" w:hAnsi="Arial"/>
                  <w:sz w:val="18"/>
                  <w:szCs w:val="18"/>
                  <w:color w:val="0000EE"/>
                  <w:w w:val="93"/>
                </w:rPr>
                <w:t>RISK FACTORS</w:t>
              </w:r>
            </w:hyperlink>
          </w:p>
        </w:tc>
        <w:tc>
          <w:tcPr>
            <w:tcW w:w="9340" w:type="dxa"/>
            <w:vAlign w:val="bottom"/>
            <w:gridSpan w:val="22"/>
            <w:shd w:val="clear" w:color="auto" w:fill="CCEEFF"/>
          </w:tcPr>
          <w:p>
            <w:pPr>
              <w:spacing w:after="0"/>
              <w:rPr>
                <w:sz w:val="15"/>
                <w:szCs w:val="15"/>
                <w:color w:val="auto"/>
              </w:rPr>
            </w:pPr>
          </w:p>
        </w:tc>
        <w:tc>
          <w:tcPr>
            <w:tcW w:w="400" w:type="dxa"/>
            <w:vAlign w:val="bottom"/>
            <w:tcBorders>
              <w:right w:val="single" w:sz="8" w:color="CCEEFF"/>
            </w:tcBorders>
            <w:gridSpan w:val="6"/>
            <w:shd w:val="clear" w:color="auto" w:fill="CCEEFF"/>
          </w:tcPr>
          <w:p>
            <w:pPr>
              <w:jc w:val="center"/>
              <w:ind w:left="150"/>
              <w:spacing w:after="0" w:line="176" w:lineRule="exact"/>
              <w:rPr>
                <w:rFonts w:ascii="Arial" w:cs="Arial" w:eastAsia="Arial" w:hAnsi="Arial"/>
                <w:sz w:val="18"/>
                <w:szCs w:val="18"/>
                <w:color w:val="0000EE"/>
                <w:w w:val="79"/>
              </w:rPr>
            </w:pPr>
            <w:hyperlink w:anchor="page27">
              <w:r>
                <w:rPr>
                  <w:rFonts w:ascii="Arial" w:cs="Arial" w:eastAsia="Arial" w:hAnsi="Arial"/>
                  <w:sz w:val="18"/>
                  <w:szCs w:val="18"/>
                  <w:color w:val="0000EE"/>
                  <w:w w:val="79"/>
                </w:rPr>
                <w:t>2</w:t>
              </w:r>
            </w:hyperlink>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6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600" w:type="dxa"/>
            <w:vAlign w:val="bottom"/>
            <w:gridSpan w:val="25"/>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SPECIAL NOTE REGARDING FORWARD-LOOKING STATEMENTS</w:t>
              </w:r>
            </w:hyperlink>
          </w:p>
        </w:tc>
        <w:tc>
          <w:tcPr>
            <w:tcW w:w="400" w:type="dxa"/>
            <w:vAlign w:val="bottom"/>
            <w:gridSpan w:val="6"/>
          </w:tcPr>
          <w:p>
            <w:pPr>
              <w:jc w:val="center"/>
              <w:ind w:left="150"/>
              <w:spacing w:after="0" w:line="176" w:lineRule="exact"/>
              <w:rPr>
                <w:rFonts w:ascii="Arial" w:cs="Arial" w:eastAsia="Arial" w:hAnsi="Arial"/>
                <w:sz w:val="18"/>
                <w:szCs w:val="18"/>
                <w:color w:val="0000EE"/>
                <w:w w:val="79"/>
              </w:rPr>
            </w:pPr>
            <w:hyperlink w:anchor="page28">
              <w:r>
                <w:rPr>
                  <w:rFonts w:ascii="Arial" w:cs="Arial" w:eastAsia="Arial" w:hAnsi="Arial"/>
                  <w:sz w:val="18"/>
                  <w:szCs w:val="18"/>
                  <w:color w:val="0000EE"/>
                  <w:w w:val="79"/>
                </w:rPr>
                <w:t>3</w:t>
              </w:r>
            </w:hyperlink>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75"/>
        </w:trPr>
        <w:tc>
          <w:tcPr>
            <w:tcW w:w="10600" w:type="dxa"/>
            <w:vAlign w:val="bottom"/>
            <w:gridSpan w:val="25"/>
            <w:shd w:val="clear" w:color="auto" w:fill="CCEEFF"/>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RATIO OF EARNINGS TO FIXED CHARGES</w:t>
              </w:r>
            </w:hyperlink>
          </w:p>
        </w:tc>
        <w:tc>
          <w:tcPr>
            <w:tcW w:w="400" w:type="dxa"/>
            <w:vAlign w:val="bottom"/>
            <w:tcBorders>
              <w:right w:val="single" w:sz="8" w:color="CCEEFF"/>
            </w:tcBorders>
            <w:gridSpan w:val="6"/>
            <w:shd w:val="clear" w:color="auto" w:fill="CCEEFF"/>
          </w:tcPr>
          <w:p>
            <w:pPr>
              <w:jc w:val="center"/>
              <w:ind w:left="150"/>
              <w:spacing w:after="0" w:line="176" w:lineRule="exact"/>
              <w:rPr>
                <w:rFonts w:ascii="Arial" w:cs="Arial" w:eastAsia="Arial" w:hAnsi="Arial"/>
                <w:sz w:val="18"/>
                <w:szCs w:val="18"/>
                <w:color w:val="0000EE"/>
                <w:w w:val="79"/>
              </w:rPr>
            </w:pPr>
            <w:hyperlink w:anchor="page30">
              <w:r>
                <w:rPr>
                  <w:rFonts w:ascii="Arial" w:cs="Arial" w:eastAsia="Arial" w:hAnsi="Arial"/>
                  <w:sz w:val="18"/>
                  <w:szCs w:val="18"/>
                  <w:color w:val="0000EE"/>
                  <w:w w:val="79"/>
                </w:rPr>
                <w:t>5</w:t>
              </w:r>
            </w:hyperlink>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6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3500" w:type="dxa"/>
            <w:vAlign w:val="bottom"/>
            <w:gridSpan w:val="18"/>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USE OF PROCEEDS</w:t>
              </w:r>
            </w:hyperlink>
          </w:p>
        </w:tc>
        <w:tc>
          <w:tcPr>
            <w:tcW w:w="7100" w:type="dxa"/>
            <w:vAlign w:val="bottom"/>
            <w:gridSpan w:val="7"/>
          </w:tcPr>
          <w:p>
            <w:pPr>
              <w:spacing w:after="0"/>
              <w:rPr>
                <w:sz w:val="15"/>
                <w:szCs w:val="15"/>
                <w:color w:val="auto"/>
              </w:rPr>
            </w:pPr>
          </w:p>
        </w:tc>
        <w:tc>
          <w:tcPr>
            <w:tcW w:w="400" w:type="dxa"/>
            <w:vAlign w:val="bottom"/>
            <w:gridSpan w:val="6"/>
          </w:tcPr>
          <w:p>
            <w:pPr>
              <w:jc w:val="center"/>
              <w:ind w:left="150"/>
              <w:spacing w:after="0" w:line="176" w:lineRule="exact"/>
              <w:rPr>
                <w:rFonts w:ascii="Arial" w:cs="Arial" w:eastAsia="Arial" w:hAnsi="Arial"/>
                <w:sz w:val="18"/>
                <w:szCs w:val="18"/>
                <w:color w:val="0000EE"/>
                <w:w w:val="79"/>
              </w:rPr>
            </w:pPr>
            <w:hyperlink w:anchor="page31">
              <w:r>
                <w:rPr>
                  <w:rFonts w:ascii="Arial" w:cs="Arial" w:eastAsia="Arial" w:hAnsi="Arial"/>
                  <w:sz w:val="18"/>
                  <w:szCs w:val="18"/>
                  <w:color w:val="0000EE"/>
                  <w:w w:val="79"/>
                </w:rPr>
                <w:t>6</w:t>
              </w:r>
            </w:hyperlink>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75"/>
        </w:trPr>
        <w:tc>
          <w:tcPr>
            <w:tcW w:w="2060" w:type="dxa"/>
            <w:vAlign w:val="bottom"/>
            <w:gridSpan w:val="8"/>
            <w:shd w:val="clear" w:color="auto" w:fill="CCEEFF"/>
          </w:tcPr>
          <w:p>
            <w:pPr>
              <w:spacing w:after="0" w:line="176" w:lineRule="exact"/>
              <w:rPr>
                <w:rFonts w:ascii="Arial" w:cs="Arial" w:eastAsia="Arial" w:hAnsi="Arial"/>
                <w:sz w:val="18"/>
                <w:szCs w:val="18"/>
                <w:color w:val="0000EE"/>
                <w:w w:val="97"/>
              </w:rPr>
            </w:pPr>
            <w:hyperlink w:anchor="page32">
              <w:r>
                <w:rPr>
                  <w:rFonts w:ascii="Arial" w:cs="Arial" w:eastAsia="Arial" w:hAnsi="Arial"/>
                  <w:sz w:val="18"/>
                  <w:szCs w:val="18"/>
                  <w:color w:val="0000EE"/>
                  <w:w w:val="97"/>
                </w:rPr>
                <w:t>PLAN OF DISTRIBUTION</w:t>
              </w:r>
            </w:hyperlink>
          </w:p>
        </w:tc>
        <w:tc>
          <w:tcPr>
            <w:tcW w:w="8540" w:type="dxa"/>
            <w:vAlign w:val="bottom"/>
            <w:gridSpan w:val="17"/>
            <w:shd w:val="clear" w:color="auto" w:fill="CCEEFF"/>
          </w:tcPr>
          <w:p>
            <w:pPr>
              <w:spacing w:after="0"/>
              <w:rPr>
                <w:sz w:val="15"/>
                <w:szCs w:val="15"/>
                <w:color w:val="auto"/>
              </w:rPr>
            </w:pPr>
          </w:p>
        </w:tc>
        <w:tc>
          <w:tcPr>
            <w:tcW w:w="400" w:type="dxa"/>
            <w:vAlign w:val="bottom"/>
            <w:tcBorders>
              <w:right w:val="single" w:sz="8" w:color="CCEEFF"/>
            </w:tcBorders>
            <w:gridSpan w:val="6"/>
            <w:shd w:val="clear" w:color="auto" w:fill="CCEEFF"/>
          </w:tcPr>
          <w:p>
            <w:pPr>
              <w:jc w:val="center"/>
              <w:ind w:left="150"/>
              <w:spacing w:after="0" w:line="176" w:lineRule="exact"/>
              <w:rPr>
                <w:rFonts w:ascii="Arial" w:cs="Arial" w:eastAsia="Arial" w:hAnsi="Arial"/>
                <w:sz w:val="18"/>
                <w:szCs w:val="18"/>
                <w:color w:val="0000EE"/>
                <w:w w:val="79"/>
              </w:rPr>
            </w:pPr>
            <w:hyperlink w:anchor="page32">
              <w:r>
                <w:rPr>
                  <w:rFonts w:ascii="Arial" w:cs="Arial" w:eastAsia="Arial" w:hAnsi="Arial"/>
                  <w:sz w:val="18"/>
                  <w:szCs w:val="18"/>
                  <w:color w:val="0000EE"/>
                  <w:w w:val="79"/>
                </w:rPr>
                <w:t>7</w:t>
              </w:r>
            </w:hyperlink>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6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600" w:type="dxa"/>
            <w:vAlign w:val="bottom"/>
            <w:gridSpan w:val="25"/>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DESCRIPTION OF COMMON STOCK</w:t>
              </w:r>
            </w:hyperlink>
          </w:p>
        </w:tc>
        <w:tc>
          <w:tcPr>
            <w:tcW w:w="400" w:type="dxa"/>
            <w:vAlign w:val="bottom"/>
            <w:gridSpan w:val="6"/>
          </w:tcPr>
          <w:p>
            <w:pPr>
              <w:jc w:val="center"/>
              <w:ind w:left="150"/>
              <w:spacing w:after="0" w:line="176" w:lineRule="exact"/>
              <w:rPr>
                <w:rFonts w:ascii="Arial" w:cs="Arial" w:eastAsia="Arial" w:hAnsi="Arial"/>
                <w:sz w:val="18"/>
                <w:szCs w:val="18"/>
                <w:color w:val="0000EE"/>
                <w:w w:val="79"/>
              </w:rPr>
            </w:pPr>
            <w:hyperlink w:anchor="page34">
              <w:r>
                <w:rPr>
                  <w:rFonts w:ascii="Arial" w:cs="Arial" w:eastAsia="Arial" w:hAnsi="Arial"/>
                  <w:sz w:val="18"/>
                  <w:szCs w:val="18"/>
                  <w:color w:val="0000EE"/>
                  <w:w w:val="79"/>
                </w:rPr>
                <w:t>9</w:t>
              </w:r>
            </w:hyperlink>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10600" w:type="dxa"/>
            <w:vAlign w:val="bottom"/>
            <w:gridSpan w:val="25"/>
            <w:shd w:val="clear" w:color="auto" w:fill="CCEEFF"/>
          </w:tcPr>
          <w:p>
            <w:pPr>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DESCRIPTION OF PREFERRED STOCK</w:t>
              </w:r>
            </w:hyperlink>
          </w:p>
        </w:tc>
        <w:tc>
          <w:tcPr>
            <w:tcW w:w="400" w:type="dxa"/>
            <w:vAlign w:val="bottom"/>
            <w:tcBorders>
              <w:right w:val="single" w:sz="8" w:color="CCEEFF"/>
            </w:tcBorders>
            <w:gridSpan w:val="6"/>
            <w:shd w:val="clear" w:color="auto" w:fill="CCEEFF"/>
          </w:tcPr>
          <w:p>
            <w:pPr>
              <w:jc w:val="center"/>
              <w:ind w:left="130"/>
              <w:spacing w:after="0" w:line="176" w:lineRule="exact"/>
              <w:rPr>
                <w:rFonts w:ascii="Arial" w:cs="Arial" w:eastAsia="Arial" w:hAnsi="Arial"/>
                <w:sz w:val="18"/>
                <w:szCs w:val="18"/>
                <w:color w:val="0000EE"/>
                <w:w w:val="89"/>
              </w:rPr>
            </w:pPr>
            <w:hyperlink w:anchor="page35">
              <w:r>
                <w:rPr>
                  <w:rFonts w:ascii="Arial" w:cs="Arial" w:eastAsia="Arial" w:hAnsi="Arial"/>
                  <w:sz w:val="18"/>
                  <w:szCs w:val="18"/>
                  <w:color w:val="0000EE"/>
                  <w:w w:val="89"/>
                </w:rPr>
                <w:t>10</w:t>
              </w:r>
            </w:hyperlink>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175"/>
        </w:trPr>
        <w:tc>
          <w:tcPr>
            <w:tcW w:w="3140" w:type="dxa"/>
            <w:vAlign w:val="bottom"/>
            <w:tcBorders>
              <w:top w:val="single" w:sz="8" w:color="0000EE"/>
            </w:tcBorders>
            <w:gridSpan w:val="15"/>
          </w:tcPr>
          <w:p>
            <w:pPr>
              <w:spacing w:after="0" w:line="176" w:lineRule="exact"/>
              <w:rPr>
                <w:rFonts w:ascii="Arial" w:cs="Arial" w:eastAsia="Arial" w:hAnsi="Arial"/>
                <w:sz w:val="18"/>
                <w:szCs w:val="18"/>
                <w:color w:val="0000EE"/>
                <w:w w:val="97"/>
              </w:rPr>
            </w:pPr>
            <w:hyperlink w:anchor="page37">
              <w:r>
                <w:rPr>
                  <w:rFonts w:ascii="Arial" w:cs="Arial" w:eastAsia="Arial" w:hAnsi="Arial"/>
                  <w:sz w:val="18"/>
                  <w:szCs w:val="18"/>
                  <w:color w:val="0000EE"/>
                  <w:w w:val="97"/>
                </w:rPr>
                <w:t>DESCRIPTION OF DEBT SECURITIES</w:t>
              </w:r>
            </w:hyperlink>
          </w:p>
        </w:tc>
        <w:tc>
          <w:tcPr>
            <w:tcW w:w="7460" w:type="dxa"/>
            <w:vAlign w:val="bottom"/>
            <w:tcBorders>
              <w:top w:val="single" w:sz="8" w:color="CCEEFF"/>
            </w:tcBorders>
            <w:gridSpan w:val="10"/>
          </w:tcPr>
          <w:p>
            <w:pPr>
              <w:spacing w:after="0"/>
              <w:rPr>
                <w:sz w:val="15"/>
                <w:szCs w:val="15"/>
                <w:color w:val="auto"/>
              </w:rPr>
            </w:pPr>
          </w:p>
        </w:tc>
        <w:tc>
          <w:tcPr>
            <w:tcW w:w="280" w:type="dxa"/>
            <w:vAlign w:val="bottom"/>
            <w:tcBorders>
              <w:top w:val="single" w:sz="8" w:color="CCEEFF"/>
            </w:tcBorders>
            <w:gridSpan w:val="4"/>
          </w:tcPr>
          <w:p>
            <w:pPr>
              <w:spacing w:after="0"/>
              <w:rPr>
                <w:sz w:val="15"/>
                <w:szCs w:val="15"/>
                <w:color w:val="auto"/>
              </w:rPr>
            </w:pPr>
          </w:p>
        </w:tc>
        <w:tc>
          <w:tcPr>
            <w:tcW w:w="120" w:type="dxa"/>
            <w:vAlign w:val="bottom"/>
            <w:tcBorders>
              <w:top w:val="single" w:sz="8" w:color="0000EE"/>
            </w:tcBorders>
            <w:gridSpan w:val="2"/>
          </w:tcPr>
          <w:p>
            <w:pPr>
              <w:jc w:val="center"/>
              <w:spacing w:after="0"/>
              <w:rPr>
                <w:rFonts w:ascii="Arial" w:cs="Arial" w:eastAsia="Arial" w:hAnsi="Arial"/>
                <w:sz w:val="15"/>
                <w:szCs w:val="15"/>
                <w:color w:val="0000EE"/>
                <w:w w:val="71"/>
              </w:rPr>
            </w:pPr>
            <w:hyperlink w:anchor="page37">
              <w:r>
                <w:rPr>
                  <w:rFonts w:ascii="Arial" w:cs="Arial" w:eastAsia="Arial" w:hAnsi="Arial"/>
                  <w:sz w:val="15"/>
                  <w:szCs w:val="15"/>
                  <w:color w:val="0000EE"/>
                  <w:w w:val="71"/>
                </w:rPr>
                <w:t>12</w:t>
              </w:r>
            </w:hyperlink>
          </w:p>
        </w:tc>
        <w:tc>
          <w:tcPr>
            <w:tcW w:w="4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10600" w:type="dxa"/>
            <w:vAlign w:val="bottom"/>
            <w:gridSpan w:val="25"/>
            <w:shd w:val="clear" w:color="auto" w:fill="CCEEFF"/>
          </w:tcPr>
          <w:p>
            <w:pPr>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DESCRIPTION OF WARRANTS</w:t>
              </w:r>
            </w:hyperlink>
          </w:p>
        </w:tc>
        <w:tc>
          <w:tcPr>
            <w:tcW w:w="400" w:type="dxa"/>
            <w:vAlign w:val="bottom"/>
            <w:tcBorders>
              <w:right w:val="single" w:sz="8" w:color="CCEEFF"/>
            </w:tcBorders>
            <w:gridSpan w:val="6"/>
            <w:shd w:val="clear" w:color="auto" w:fill="CCEEFF"/>
          </w:tcPr>
          <w:p>
            <w:pPr>
              <w:jc w:val="center"/>
              <w:ind w:left="130"/>
              <w:spacing w:after="0" w:line="176" w:lineRule="exact"/>
              <w:rPr>
                <w:rFonts w:ascii="Arial" w:cs="Arial" w:eastAsia="Arial" w:hAnsi="Arial"/>
                <w:sz w:val="18"/>
                <w:szCs w:val="18"/>
                <w:color w:val="0000EE"/>
                <w:w w:val="89"/>
              </w:rPr>
            </w:pPr>
            <w:hyperlink w:anchor="page43">
              <w:r>
                <w:rPr>
                  <w:rFonts w:ascii="Arial" w:cs="Arial" w:eastAsia="Arial" w:hAnsi="Arial"/>
                  <w:sz w:val="18"/>
                  <w:szCs w:val="18"/>
                  <w:color w:val="0000EE"/>
                  <w:w w:val="89"/>
                </w:rPr>
                <w:t>18</w:t>
              </w:r>
            </w:hyperlink>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175"/>
        </w:trPr>
        <w:tc>
          <w:tcPr>
            <w:tcW w:w="2480" w:type="dxa"/>
            <w:vAlign w:val="bottom"/>
            <w:tcBorders>
              <w:top w:val="single" w:sz="8" w:color="0000EE"/>
            </w:tcBorders>
            <w:gridSpan w:val="12"/>
          </w:tcPr>
          <w:p>
            <w:pPr>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DESCRIPTION OF RIGHTS</w:t>
              </w:r>
            </w:hyperlink>
          </w:p>
        </w:tc>
        <w:tc>
          <w:tcPr>
            <w:tcW w:w="8120" w:type="dxa"/>
            <w:vAlign w:val="bottom"/>
            <w:tcBorders>
              <w:top w:val="single" w:sz="8" w:color="CCEEFF"/>
            </w:tcBorders>
            <w:gridSpan w:val="13"/>
          </w:tcPr>
          <w:p>
            <w:pPr>
              <w:spacing w:after="0"/>
              <w:rPr>
                <w:sz w:val="15"/>
                <w:szCs w:val="15"/>
                <w:color w:val="auto"/>
              </w:rPr>
            </w:pPr>
          </w:p>
        </w:tc>
        <w:tc>
          <w:tcPr>
            <w:tcW w:w="280" w:type="dxa"/>
            <w:vAlign w:val="bottom"/>
            <w:tcBorders>
              <w:top w:val="single" w:sz="8" w:color="CCEEFF"/>
            </w:tcBorders>
            <w:gridSpan w:val="4"/>
          </w:tcPr>
          <w:p>
            <w:pPr>
              <w:spacing w:after="0"/>
              <w:rPr>
                <w:sz w:val="15"/>
                <w:szCs w:val="15"/>
                <w:color w:val="auto"/>
              </w:rPr>
            </w:pPr>
          </w:p>
        </w:tc>
        <w:tc>
          <w:tcPr>
            <w:tcW w:w="120" w:type="dxa"/>
            <w:vAlign w:val="bottom"/>
            <w:tcBorders>
              <w:top w:val="single" w:sz="8" w:color="0000EE"/>
            </w:tcBorders>
            <w:gridSpan w:val="2"/>
          </w:tcPr>
          <w:p>
            <w:pPr>
              <w:jc w:val="center"/>
              <w:spacing w:after="0"/>
              <w:rPr>
                <w:rFonts w:ascii="Arial" w:cs="Arial" w:eastAsia="Arial" w:hAnsi="Arial"/>
                <w:sz w:val="15"/>
                <w:szCs w:val="15"/>
                <w:color w:val="0000EE"/>
                <w:w w:val="71"/>
              </w:rPr>
            </w:pPr>
            <w:hyperlink w:anchor="page44">
              <w:r>
                <w:rPr>
                  <w:rFonts w:ascii="Arial" w:cs="Arial" w:eastAsia="Arial" w:hAnsi="Arial"/>
                  <w:sz w:val="15"/>
                  <w:szCs w:val="15"/>
                  <w:color w:val="0000EE"/>
                  <w:w w:val="71"/>
                </w:rPr>
                <w:t>19</w:t>
              </w:r>
            </w:hyperlink>
          </w:p>
        </w:tc>
        <w:tc>
          <w:tcPr>
            <w:tcW w:w="4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75"/>
        </w:trPr>
        <w:tc>
          <w:tcPr>
            <w:tcW w:w="10600" w:type="dxa"/>
            <w:vAlign w:val="bottom"/>
            <w:gridSpan w:val="25"/>
            <w:shd w:val="clear" w:color="auto" w:fill="CCEEFF"/>
          </w:tcPr>
          <w:p>
            <w:pPr>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DESCRIPTION OF UNITS</w:t>
              </w:r>
            </w:hyperlink>
          </w:p>
        </w:tc>
        <w:tc>
          <w:tcPr>
            <w:tcW w:w="400" w:type="dxa"/>
            <w:vAlign w:val="bottom"/>
            <w:tcBorders>
              <w:right w:val="single" w:sz="8" w:color="CCEEFF"/>
            </w:tcBorders>
            <w:gridSpan w:val="6"/>
            <w:shd w:val="clear" w:color="auto" w:fill="CCEEFF"/>
          </w:tcPr>
          <w:p>
            <w:pPr>
              <w:jc w:val="center"/>
              <w:ind w:left="130"/>
              <w:spacing w:after="0" w:line="176" w:lineRule="exact"/>
              <w:rPr>
                <w:rFonts w:ascii="Arial" w:cs="Arial" w:eastAsia="Arial" w:hAnsi="Arial"/>
                <w:sz w:val="18"/>
                <w:szCs w:val="18"/>
                <w:color w:val="0000EE"/>
                <w:w w:val="89"/>
              </w:rPr>
            </w:pPr>
            <w:hyperlink w:anchor="page46">
              <w:r>
                <w:rPr>
                  <w:rFonts w:ascii="Arial" w:cs="Arial" w:eastAsia="Arial" w:hAnsi="Arial"/>
                  <w:sz w:val="18"/>
                  <w:szCs w:val="18"/>
                  <w:color w:val="0000EE"/>
                  <w:w w:val="89"/>
                </w:rPr>
                <w:t>21</w:t>
              </w:r>
            </w:hyperlink>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6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600" w:type="dxa"/>
            <w:vAlign w:val="bottom"/>
            <w:gridSpan w:val="25"/>
          </w:tcPr>
          <w:p>
            <w:pPr>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CERTAIN PROVISIONS OF DELAWARE LAW AND OF THE COMPANY’S CERTIFICATE OF INCORPORATION AND BYLAWS</w:t>
              </w:r>
            </w:hyperlink>
          </w:p>
        </w:tc>
        <w:tc>
          <w:tcPr>
            <w:tcW w:w="400" w:type="dxa"/>
            <w:vAlign w:val="bottom"/>
            <w:gridSpan w:val="6"/>
          </w:tcPr>
          <w:p>
            <w:pPr>
              <w:jc w:val="center"/>
              <w:ind w:left="130"/>
              <w:spacing w:after="0" w:line="176" w:lineRule="exact"/>
              <w:rPr>
                <w:rFonts w:ascii="Arial" w:cs="Arial" w:eastAsia="Arial" w:hAnsi="Arial"/>
                <w:sz w:val="18"/>
                <w:szCs w:val="18"/>
                <w:color w:val="0000EE"/>
                <w:w w:val="89"/>
              </w:rPr>
            </w:pPr>
            <w:hyperlink w:anchor="page47">
              <w:r>
                <w:rPr>
                  <w:rFonts w:ascii="Arial" w:cs="Arial" w:eastAsia="Arial" w:hAnsi="Arial"/>
                  <w:sz w:val="18"/>
                  <w:szCs w:val="18"/>
                  <w:color w:val="0000EE"/>
                  <w:w w:val="89"/>
                </w:rPr>
                <w:t>22</w:t>
              </w:r>
            </w:hyperlink>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620" w:type="dxa"/>
            <w:vAlign w:val="bottom"/>
            <w:tcBorders>
              <w:top w:val="single" w:sz="8" w:color="0000E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10600" w:type="dxa"/>
            <w:vAlign w:val="bottom"/>
            <w:gridSpan w:val="25"/>
            <w:shd w:val="clear" w:color="auto" w:fill="CCEEFF"/>
          </w:tcPr>
          <w:p>
            <w:pPr>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LEGAL MATTERS</w:t>
              </w:r>
            </w:hyperlink>
          </w:p>
        </w:tc>
        <w:tc>
          <w:tcPr>
            <w:tcW w:w="400" w:type="dxa"/>
            <w:vAlign w:val="bottom"/>
            <w:tcBorders>
              <w:right w:val="single" w:sz="8" w:color="CCEEFF"/>
            </w:tcBorders>
            <w:gridSpan w:val="6"/>
            <w:shd w:val="clear" w:color="auto" w:fill="CCEEFF"/>
          </w:tcPr>
          <w:p>
            <w:pPr>
              <w:jc w:val="center"/>
              <w:ind w:left="130"/>
              <w:spacing w:after="0" w:line="176" w:lineRule="exact"/>
              <w:rPr>
                <w:rFonts w:ascii="Arial" w:cs="Arial" w:eastAsia="Arial" w:hAnsi="Arial"/>
                <w:sz w:val="18"/>
                <w:szCs w:val="18"/>
                <w:color w:val="0000EE"/>
                <w:w w:val="89"/>
              </w:rPr>
            </w:pPr>
            <w:hyperlink w:anchor="page49">
              <w:r>
                <w:rPr>
                  <w:rFonts w:ascii="Arial" w:cs="Arial" w:eastAsia="Arial" w:hAnsi="Arial"/>
                  <w:sz w:val="18"/>
                  <w:szCs w:val="18"/>
                  <w:color w:val="0000EE"/>
                  <w:w w:val="89"/>
                </w:rPr>
                <w:t>24</w:t>
              </w:r>
            </w:hyperlink>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175"/>
        </w:trPr>
        <w:tc>
          <w:tcPr>
            <w:tcW w:w="1460" w:type="dxa"/>
            <w:vAlign w:val="bottom"/>
            <w:tcBorders>
              <w:top w:val="single" w:sz="8" w:color="0000EE"/>
            </w:tcBorders>
            <w:gridSpan w:val="5"/>
          </w:tcPr>
          <w:p>
            <w:pPr>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EXPERTS</w:t>
              </w:r>
            </w:hyperlink>
          </w:p>
        </w:tc>
        <w:tc>
          <w:tcPr>
            <w:tcW w:w="9140" w:type="dxa"/>
            <w:vAlign w:val="bottom"/>
            <w:tcBorders>
              <w:top w:val="single" w:sz="8" w:color="CCEEFF"/>
            </w:tcBorders>
            <w:gridSpan w:val="20"/>
          </w:tcPr>
          <w:p>
            <w:pPr>
              <w:spacing w:after="0"/>
              <w:rPr>
                <w:sz w:val="15"/>
                <w:szCs w:val="15"/>
                <w:color w:val="auto"/>
              </w:rPr>
            </w:pPr>
          </w:p>
        </w:tc>
        <w:tc>
          <w:tcPr>
            <w:tcW w:w="280" w:type="dxa"/>
            <w:vAlign w:val="bottom"/>
            <w:tcBorders>
              <w:top w:val="single" w:sz="8" w:color="CCEEFF"/>
            </w:tcBorders>
            <w:gridSpan w:val="4"/>
          </w:tcPr>
          <w:p>
            <w:pPr>
              <w:spacing w:after="0"/>
              <w:rPr>
                <w:sz w:val="15"/>
                <w:szCs w:val="15"/>
                <w:color w:val="auto"/>
              </w:rPr>
            </w:pPr>
          </w:p>
        </w:tc>
        <w:tc>
          <w:tcPr>
            <w:tcW w:w="120" w:type="dxa"/>
            <w:vAlign w:val="bottom"/>
            <w:tcBorders>
              <w:top w:val="single" w:sz="8" w:color="0000EE"/>
            </w:tcBorders>
            <w:gridSpan w:val="2"/>
          </w:tcPr>
          <w:p>
            <w:pPr>
              <w:jc w:val="center"/>
              <w:spacing w:after="0"/>
              <w:rPr>
                <w:rFonts w:ascii="Arial" w:cs="Arial" w:eastAsia="Arial" w:hAnsi="Arial"/>
                <w:sz w:val="15"/>
                <w:szCs w:val="15"/>
                <w:color w:val="0000EE"/>
                <w:w w:val="71"/>
              </w:rPr>
            </w:pPr>
            <w:hyperlink w:anchor="page49">
              <w:r>
                <w:rPr>
                  <w:rFonts w:ascii="Arial" w:cs="Arial" w:eastAsia="Arial" w:hAnsi="Arial"/>
                  <w:sz w:val="15"/>
                  <w:szCs w:val="15"/>
                  <w:color w:val="0000EE"/>
                  <w:w w:val="71"/>
                </w:rPr>
                <w:t>24</w:t>
              </w:r>
            </w:hyperlink>
          </w:p>
        </w:tc>
        <w:tc>
          <w:tcPr>
            <w:tcW w:w="4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75"/>
        </w:trPr>
        <w:tc>
          <w:tcPr>
            <w:tcW w:w="10600" w:type="dxa"/>
            <w:vAlign w:val="bottom"/>
            <w:gridSpan w:val="25"/>
            <w:shd w:val="clear" w:color="auto" w:fill="CCEEFF"/>
          </w:tcPr>
          <w:p>
            <w:pPr>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WHERE YOU CAN FIND MORE INFORMATION</w:t>
              </w:r>
            </w:hyperlink>
          </w:p>
        </w:tc>
        <w:tc>
          <w:tcPr>
            <w:tcW w:w="400" w:type="dxa"/>
            <w:vAlign w:val="bottom"/>
            <w:tcBorders>
              <w:right w:val="single" w:sz="8" w:color="CCEEFF"/>
            </w:tcBorders>
            <w:gridSpan w:val="6"/>
            <w:shd w:val="clear" w:color="auto" w:fill="CCEEFF"/>
          </w:tcPr>
          <w:p>
            <w:pPr>
              <w:jc w:val="center"/>
              <w:ind w:left="130"/>
              <w:spacing w:after="0" w:line="176" w:lineRule="exact"/>
              <w:rPr>
                <w:rFonts w:ascii="Arial" w:cs="Arial" w:eastAsia="Arial" w:hAnsi="Arial"/>
                <w:sz w:val="18"/>
                <w:szCs w:val="18"/>
                <w:color w:val="0000EE"/>
                <w:w w:val="89"/>
              </w:rPr>
            </w:pPr>
            <w:hyperlink w:anchor="page49">
              <w:r>
                <w:rPr>
                  <w:rFonts w:ascii="Arial" w:cs="Arial" w:eastAsia="Arial" w:hAnsi="Arial"/>
                  <w:sz w:val="18"/>
                  <w:szCs w:val="18"/>
                  <w:color w:val="0000EE"/>
                  <w:w w:val="89"/>
                </w:rPr>
                <w:t>24</w:t>
              </w:r>
            </w:hyperlink>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6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600" w:type="dxa"/>
            <w:vAlign w:val="bottom"/>
            <w:gridSpan w:val="25"/>
          </w:tcPr>
          <w:p>
            <w:pPr>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INCORPORATION OF DOCUMENTS BY REFERENCE</w:t>
              </w:r>
            </w:hyperlink>
          </w:p>
        </w:tc>
        <w:tc>
          <w:tcPr>
            <w:tcW w:w="400" w:type="dxa"/>
            <w:vAlign w:val="bottom"/>
            <w:gridSpan w:val="6"/>
          </w:tcPr>
          <w:p>
            <w:pPr>
              <w:jc w:val="center"/>
              <w:ind w:left="130"/>
              <w:spacing w:after="0" w:line="176" w:lineRule="exact"/>
              <w:rPr>
                <w:rFonts w:ascii="Arial" w:cs="Arial" w:eastAsia="Arial" w:hAnsi="Arial"/>
                <w:sz w:val="18"/>
                <w:szCs w:val="18"/>
                <w:color w:val="0000EE"/>
                <w:w w:val="89"/>
              </w:rPr>
            </w:pPr>
            <w:hyperlink w:anchor="page49">
              <w:r>
                <w:rPr>
                  <w:rFonts w:ascii="Arial" w:cs="Arial" w:eastAsia="Arial" w:hAnsi="Arial"/>
                  <w:sz w:val="18"/>
                  <w:szCs w:val="18"/>
                  <w:color w:val="0000EE"/>
                  <w:w w:val="89"/>
                </w:rPr>
                <w:t>24</w:t>
              </w:r>
            </w:hyperlink>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This document consists of two parts. The first part is this prospectus supplement, which describes the specific terms of the offering and other matters relating to us. The second part is the accompanying prospectus, which provides more general information about the securities we may offer from time to time, some of which may not apply to this offering of Common Stock and pre-funded warrants (and the shares of Common Stock underlying such pre-funded warrants). This prospectus supplement and the accompanying prospectus are part of a registration statement that we filed with the Securities and Exchange Commission (the “SEC”) using the SEC’s shelf registration rules. You should read both this prospectus supplement and the accompanying prospectus, together with the documents incorporated by reference and the additional information described under the heading “Where You Can Find More Information” in this prospectus supplement and the accompanying prospectus before making an investment decision.</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 the extent there is a conflict between the information contained in this prospectus supplement, on the one hand, and the information contained in the accompanying prospectus, on the other hand, the information contained in this prospectus supplement shall control. If any statement in this prospectus supplement conflicts with any statement in a document that has been incorporated herein by reference, then you should consider only the statement in the more recent document. You should assume that the information contained in this prospectus supplement, the accompanying prospectus and the documents incorporated by reference is accurate only as of their respective dates.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not authorized any person to provide you with any information or to make any representation other than as contained in this prospectus supplement or in the accompanying prospectus and the information incorporated by reference herein and therein. We do not take any responsibility for, and can provide no assurance as to the reliability of, any information that others may provide you. The information appearing or incorporated by reference in this prospectus supplement and the accompanying prospectus is accurate only as of the date of this prospectus supplement or the date of the document in which incorporated information appears unless otherwise noted in such documents. Our business, financial condition, results of operations and prospects may have changed since those dates.</w:t>
      </w:r>
    </w:p>
    <w:p>
      <w:pPr>
        <w:spacing w:after="0" w:line="19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distribution of this prospectus supplement and the accompanying prospectus and the offering of the Common Stock and pre-funded warrants (and the shares of Common Stock underlying such pre-funded warrants) in certain jurisdictions may be restricted by law. We are not making an offer of the Common Stock and pre-funded warrants (and the shares of Common Stock underlying such pre-funded warrants) in any jurisdiction where the offer is not permitted. Persons who come into possession of this prospectus supplement and the accompanying prospectus should inform themselves about and observe any such restrictions. This prospectus supplement and the accompanying prospectus do not constitute, and may not be used in connection with, an offer or solicitation by anyone in any jurisdiction in which such offer or solicitation is not authorized or in which the person making such offer or solicitation is not qualified to do so or to any person to whom it is unlawful to make such offer or solicitation.</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This prospectus supplement and the base prospectus and the documents incorporated by reference in this prospectus include forward-looking statements within the meaning of Section 27A of the Securities Act and Section 21E of the Securities Exchange Act of 1934, as amended (the “Exchange Act”) that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Words such as, but not limited to, “believe,” “expect,” “anticipate,” “estimate,” “intend,” “may,” “plan,” “potential,” “predict,” “project,” “targets,” “likely,” “will,” “would,” “could,” “should,” “continue,” and similar expressions or phrases, or the negative of those expressions or phrases, are intended to identify forward-looking statements, although not all forward-looking statements contain these identifying words. Although we believe that we have a reasonable basis for each forward-looking statement contained in this prospectus and incorporated by reference in this prospectus, we caution you that these statements are based on our projections of the future that are subject to known and unknown risks and uncertainties and other factors that may cause our actual results, level of activity, performance or achievements expressed or implied by these forward-looking statements, to differ. The sections in our periodic reports, including our Annual Report on Form 10-K for the fiscal year ended December 31, 2018, entitled “Business,” “Risk Factors,” and “Management’s Discussion and Analysis of Financial Condition and Results of Operations,” as well as other sections in this prospectus and the documents or reports incorporated by reference in this prospectus, discuss some of the factors that could contribute to these differences. These forward-looking statements include, among other things, statements about: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These risks and uncertainties, many of which are beyond our control, include, but are not limited to, the following:</w:t>
      </w:r>
    </w:p>
    <w:p>
      <w:pPr>
        <w:spacing w:after="0" w:line="225"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continue as a going concern;</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decision by our Board of Directors to pursue a restructuring in the event that our process to identify and evaluate potential business alternatives is not successful;</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adverse effects of public health epidemics, including the recent coronavirus outbreak, on our business, results of operations and financial condition;</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 of our business and asset acquisitions on our operations and operating results including our ability to realize the expected value and benefits of such acquisitions;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develop and offer new products and services;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raise additional capital to fund our operations and business plan and the effects that such financing may have on the value of the equity instruments held by our stockholders;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general economic conditions and level of consumer and corporate spending on health and wellness and travel;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secure new locations, maintain existing ones, and ensure continued customer traffic at those locations;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hire a skilled labor force and the costs associated with that labor;</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accurately forecast the costs associated with opening new retail locations and maintaining existing ones and the revenue derived from our retail locations;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performance by our Airport Concession Disadvantaged Business Enterprise partners on obligations set forth in our joint venture agreements;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protect our confidential information and customers’ financial data and other personal information;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failure or disruption to our information technology systems;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recently passed federal tax reform bill;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retain key members of our management team;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loss of, or an adverse change with regard to, one or more of our significant suppliers, distributors, vendors or other business relationships;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unexpected events and trends in the health and wellness and travel industries;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market acceptance, quality, pricing, availability and useful life of our products and/or services, as well as the mix of our products and services sold;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competitive conditions within our industries;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compliance with laws and regulations in the jurisdictions in which we do business and any changes in such laws and regulations;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lawsuits, claims, and investigations that may be filed against us and other events that may adversely affect our reputation;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protect and maintain our intellectual property rights;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license and monetize our patents, including litigation outcomes.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cautionary statements in this prospectus supplement and the base prospectus and in the documents incorporated by reference herein, particularly in the “Risk Factors” section, that we believe could cause actual results or events to differ materially from the forward-looking statements that we make. For a summary of such factors, please refer to the section entitled “Risk Factors” in this prospectus supplement and the base prospectus, as updated and supplemented by the discussion of risks and uncertainties under “Risk Factors” contained in any supplements to this prospectus supplement and the base prospectus and in our most recent annual report on Form 10-K, as revised or supplemented by our subsequent quarterly reports on Form 10-Q or our current reports on Form 8-K, as well as any amendments thereto, as filed with the SEC and which are incorporated herein by reference. The information contained in this document is believed to be current as of the date of this document. We do not intend to update any of the forward-looking statements after the date of this document to conform these statements to actual results or to changes in our expectations, except as required by law.</w:t>
      </w:r>
    </w:p>
    <w:p>
      <w:pPr>
        <w:spacing w:after="0" w:line="18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light of these assumptions, risks and uncertainties, the results and events discussed in the forward-looking statements contained in this prospectus supplement and the base prospectus or in any document incorporated herein by reference might not occur. Investors are cautioned not to place undue reliance on the forward-looking statements, which speak only as of the date of this prospectus supplement or the date of the document incorporated by reference in this prospectus. We are not under any obligation, and we expressly disclaim any obligation, to update or alter any forward-looking statements, whether as a result of new information, future events or otherwise. All subsequent forward-looking statements attributable to us or to any person acting on our behalf are expressly qualified in their entirety by the cautionary statements contained or referred to in this section.</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584200</wp:posOffset>
            </wp:positionV>
            <wp:extent cx="7136130" cy="57905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5790565"/>
                    </a:xfrm>
                    <a:prstGeom prst="rect">
                      <a:avLst/>
                    </a:prstGeom>
                    <a:noFill/>
                  </pic:spPr>
                </pic:pic>
              </a:graphicData>
            </a:graphic>
          </wp:anchor>
        </w:drawing>
        <w:t>PROSPECTUS SUPPLEMENT SUMMARY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The following is only a summary. We urge you to read the entire prospectus, including the more detailed consolidated financial statements, notes to the consolidated financial statements and other information included herein or incorporated by reference from our other filings with the U.S. Securities and Exchange Commission, or SEC. Investing in our securities involves risks. Therefore, please carefully consider the information provided under the heading “Risk Factors” starting on page S-4.</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color w:val="auto"/>
        </w:rPr>
        <w:t>On January 5, 2018, we changed our name to XpresSpa Group, Inc. (“XpresSpa Group” or the “Company”) from FORM Holdings Corp. Our common stock, par value $0.01 per share, which had previously been listed under the trading symbol “FH” on the Nasdaq Capital Market, has been listed under the trading symbol “XSPA” since January 8, 2018. Rebranding to XpresSpa Group aligned our corporate strategy to build a pure-play health and wellness services company, which we commenced following our acquisition of XpresSpa Holdings, LLC (“XpresSpa”) on December 23, 2016.</w:t>
      </w:r>
    </w:p>
    <w:p>
      <w:pPr>
        <w:spacing w:after="0" w:line="15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 result of the transition to a pure-play health and wellness services company, we currently have one operating segment that is also our sole reporting unit, XpresSpa, a leading airport retailer of spa services. XpresSpa is a well-recognized airport spa brand with 51 locations, consisting of 46 domestic and 5 international locations as of September 30, 2019. XpresSpa offers travelers premium spa services, including massage, nail and skin care, as well as spa and travel products. During 2018 and 2017, XpresSpa generated $49,294,000 and $48,373,000 of revenue, respectively. In 2018, approximately 83% of XpresSpa’s total revenue was generated by services, primarily massage and nailcare, and 17% was generated by retail products, primarily travel accessories.</w:t>
      </w:r>
    </w:p>
    <w:p>
      <w:pPr>
        <w:spacing w:after="0" w:line="19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October 2017, we completed the sale of FLI Charge, Inc. (“FLI Charge”) and in March 2018, we completed the sale of Group Mobile Int’l LLC (“Group Mobile”). These two entities previously comprised our technology operating segment. The results of operations for FLI Charge and Group Mobile are presented in the consolidated statements of operations and comprehensive loss as consolidated net loss from discontinued operations. The carrying amounts of assets and liabilities belonging to Group Mobile as of December 31, 2018, and FLI Charge and Group Mobile as of December 31, 2017, are presented in the consolidated balance sheets as assets held for disposal and liabilities held for disposal, respectively.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Update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2019, we had cash, cash equivalents and marketable securities of approximately $2,184,000.</w:t>
      </w:r>
    </w:p>
    <w:p>
      <w:pPr>
        <w:spacing w:after="0" w:line="225"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color w:val="auto"/>
        </w:rPr>
        <w:t>The estimated cash, cash equivalents, and marketable securities as of December 31, 2019 are preliminary and may change, are based on information available to management as of the date of this prospectus supplement, and are subject to completion by management of the financial statements as of and for the year ended December 31, 2019. There can be no assurance that our cash, cash equivalents, and marketable securities as of December 31, 2019 will not differ from these estimates, including as a result of quarter-end closing and any such changes could be material.</w:t>
      </w:r>
    </w:p>
    <w:p>
      <w:pPr>
        <w:spacing w:after="0" w:line="15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foregoing preliminary financial data has been prepared by, and is the responsibility of, our management. This data could change as a result of further review. Complete annual results will be included in our Annual Report on Form 10-K for the year ended December 31, 2019.</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14605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400" w:top="1134" w:right="39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206375</wp:posOffset>
            </wp:positionH>
            <wp:positionV relativeFrom="page">
              <wp:posOffset>584200</wp:posOffset>
            </wp:positionV>
            <wp:extent cx="7136130" cy="67760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130" cy="6776085"/>
                    </a:xfrm>
                    <a:prstGeom prst="rect">
                      <a:avLst/>
                    </a:prstGeom>
                    <a:noFill/>
                  </pic:spPr>
                </pic:pic>
              </a:graphicData>
            </a:graphic>
          </wp:anchor>
        </w:drawing>
        <w:t>Effects of Coronavirus on Business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Effective March 24, 2020, we had temporarily closed all global spa locations, largely due to the categorization of such spa locations by local jurisdictions as “non-essential services” in connection with the recent outbreak of the novel coronavirus (“COVID-19”). We intend to reopen our spa locations and resume normal operations once such restrictions are lifted and airport traffic returns to sufficient levels to support such operations. On March 25, 2020, we announced that, during such period as we remain unable to reopen our spa locations for normal operations, we were advancing conversations with certain COVID-19 testing partners to develop a model for testing in U.S. airports.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Similar to many businesses in the travel sector, our business has been materially adversely impacted by the recent coronavirus outbreak and associated restrictions on travel that have been implemented. The extent to which the coronavirus continues to impact our results will depend on future developments, which are highly uncertain and cannot be predicted, including new information which may emerge concerning the severity of the coronavirus and the actions to contain the coronavirus or treat its impact, among others.</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the coronavirus has spread, we have seen a material decline in demand across all our locations and this has resulted in a materially adverse impact on our cash flows from operations and has caused an immediate liquidity crisis. Accordingly, we are seeking sources of capital to help fund our business operations during the coronavirus crisis. If we are unable to obtain additional funding in the immediate term, we may be required to curtail or terminate some or all of our business operations and cause our Board of Directors to decide to pursue a restructuring, which may include a reorganization or bankruptcy under Federal bankruptcy laws, or a dissolution, liquidation and/or winding up of the Company. Accordingly, holders of our common stock may lose their entire investment in the event of a reorganization, bankruptcy, liquidation, dissolution or winding up of the Company.</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currently exploring sources of capital, including additional indebtedness. We plan to have discussions with our existing lender, B3D, LLC, and additional lenders regarding potential funding options. If additional indebtedness becomes available from sources other than B3D, LLC, the consent of B3D, LLC as our secured lender will be required and, based on past experience, we expect to be required to pay a consent fee to B3D, LLC as consideration for their consent.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Exchange</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On March 19, 2020, we entered into separate Warrant Exchange Agreements (the “Exchange Agreements”) with the holders of certain existing warrants (the “Exchanged Warrants”) to purchase shares of our Common Stock. The Exchanged Warrants were originally issued (i) pursuant to a securities purchase agreement, dated as of May 15, 2018, and in connection with a related consent and (ii) </w:t>
      </w:r>
      <w:r>
        <w:rPr>
          <w:rFonts w:ascii="Arial" w:cs="Arial" w:eastAsia="Arial" w:hAnsi="Arial"/>
          <w:sz w:val="16"/>
          <w:szCs w:val="16"/>
          <w:color w:val="auto"/>
          <w:highlight w:val="white"/>
        </w:rPr>
        <w:t>in connection with that certain Agreement and Plan of</w:t>
      </w:r>
      <w:r>
        <w:rPr>
          <w:rFonts w:ascii="Arial" w:cs="Arial" w:eastAsia="Arial" w:hAnsi="Arial"/>
          <w:sz w:val="16"/>
          <w:szCs w:val="16"/>
          <w:color w:val="auto"/>
        </w:rPr>
        <w:t xml:space="preserve"> </w:t>
      </w:r>
      <w:r>
        <w:rPr>
          <w:rFonts w:ascii="Arial" w:cs="Arial" w:eastAsia="Arial" w:hAnsi="Arial"/>
          <w:sz w:val="16"/>
          <w:szCs w:val="16"/>
          <w:color w:val="auto"/>
          <w:highlight w:val="white"/>
        </w:rPr>
        <w:t xml:space="preserve">Merger by and among the Company (formerly known as FORM Holdings Corp.), FHXMS, LLC, XpresSpa Holdings, LLC and Mistral XH Representative, LLC, as representative of the unitholders, dated October 25, 2016, as subsequently amended. </w:t>
      </w:r>
      <w:r>
        <w:rPr>
          <w:rFonts w:ascii="Arial" w:cs="Arial" w:eastAsia="Arial" w:hAnsi="Arial"/>
          <w:sz w:val="16"/>
          <w:szCs w:val="16"/>
          <w:color w:val="auto"/>
        </w:rPr>
        <w:t>The Company has begun discussion with</w:t>
      </w:r>
      <w:r>
        <w:rPr>
          <w:rFonts w:ascii="Arial" w:cs="Arial" w:eastAsia="Arial" w:hAnsi="Arial"/>
          <w:sz w:val="16"/>
          <w:szCs w:val="16"/>
          <w:color w:val="auto"/>
          <w:highlight w:val="white"/>
        </w:rPr>
        <w:t xml:space="preserve"> </w:t>
      </w:r>
      <w:r>
        <w:rPr>
          <w:rFonts w:ascii="Arial" w:cs="Arial" w:eastAsia="Arial" w:hAnsi="Arial"/>
          <w:sz w:val="16"/>
          <w:szCs w:val="16"/>
          <w:color w:val="auto"/>
        </w:rPr>
        <w:t xml:space="preserve">Calm.com, Inc. (“Calm”), regarding the potential exchange of warrants held by Calm that were issued pursuant to a securities purchase agreement, dated as of July 8, 2019, by and between the Company and Calm. Pursuant to the Exchange Agreements, on the closing date and subject to (i) the </w:t>
      </w:r>
      <w:r>
        <w:rPr>
          <w:rFonts w:ascii="Arial" w:cs="Arial" w:eastAsia="Arial" w:hAnsi="Arial"/>
          <w:sz w:val="16"/>
          <w:szCs w:val="16"/>
          <w:color w:val="auto"/>
          <w:highlight w:val="white"/>
        </w:rPr>
        <w:t>receipt of</w:t>
      </w:r>
      <w:r>
        <w:rPr>
          <w:rFonts w:ascii="Arial" w:cs="Arial" w:eastAsia="Arial" w:hAnsi="Arial"/>
          <w:sz w:val="16"/>
          <w:szCs w:val="16"/>
          <w:color w:val="auto"/>
        </w:rPr>
        <w:t xml:space="preserve"> </w:t>
      </w:r>
      <w:r>
        <w:rPr>
          <w:rFonts w:ascii="Arial" w:cs="Arial" w:eastAsia="Arial" w:hAnsi="Arial"/>
          <w:sz w:val="16"/>
          <w:szCs w:val="16"/>
          <w:color w:val="auto"/>
          <w:highlight w:val="white"/>
        </w:rPr>
        <w:t>approval of our stockholders as required by the applicable rules and regulations of the Nasdaq Stock Market and (ii) the receipt of approval of our stockholders to increase our authorized shares (collectively, the “Shareholder Approval”)</w:t>
      </w:r>
      <w:r>
        <w:rPr>
          <w:rFonts w:ascii="Arial" w:cs="Arial" w:eastAsia="Arial" w:hAnsi="Arial"/>
          <w:sz w:val="16"/>
          <w:szCs w:val="16"/>
          <w:color w:val="auto"/>
        </w:rPr>
        <w:t>, the holders of Exchanged Warrants would exchange (the</w:t>
      </w:r>
      <w:r>
        <w:rPr>
          <w:rFonts w:ascii="Arial" w:cs="Arial" w:eastAsia="Arial" w:hAnsi="Arial"/>
          <w:sz w:val="16"/>
          <w:szCs w:val="16"/>
          <w:color w:val="auto"/>
          <w:highlight w:val="white"/>
        </w:rPr>
        <w:t xml:space="preserve"> </w:t>
      </w:r>
      <w:r>
        <w:rPr>
          <w:rFonts w:ascii="Arial" w:cs="Arial" w:eastAsia="Arial" w:hAnsi="Arial"/>
          <w:sz w:val="16"/>
          <w:szCs w:val="16"/>
          <w:color w:val="auto"/>
        </w:rPr>
        <w:t>“Exchange”) each Exchanged Warrant for a number of shares of Common Stock equal to the product of (i) the number of shares of Common Stock underlying such Exchanged Warrants and (ii) 1.5 (collectively, the “New Shares”). The closing of the Exchange is expected to take place on the first business day on which the conditions to the closing are satisfied or waived, subject to satisfaction of customary closing conditions.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Information</w:t>
      </w:r>
    </w:p>
    <w:p>
      <w:pPr>
        <w:spacing w:after="0" w:line="229"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We were incorporated in Delaware as a corporation on January 9, 2006 and completed an initial public offering in June 2010. Our principal executive offices are located at 254 West 31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Street, 11</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New York, New York 10001. Our telephone number is (212) 309-7549 and our website address is </w:t>
      </w:r>
      <w:r>
        <w:rPr>
          <w:rFonts w:ascii="Arial" w:cs="Arial" w:eastAsia="Arial" w:hAnsi="Arial"/>
          <w:sz w:val="18"/>
          <w:szCs w:val="18"/>
          <w:i w:val="1"/>
          <w:iCs w:val="1"/>
          <w:u w:val="single" w:color="auto"/>
          <w:color w:val="auto"/>
        </w:rPr>
        <w:t>www.xpresspagroup.com</w:t>
      </w:r>
      <w:r>
        <w:rPr>
          <w:rFonts w:ascii="Arial" w:cs="Arial" w:eastAsia="Arial" w:hAnsi="Arial"/>
          <w:sz w:val="18"/>
          <w:szCs w:val="18"/>
          <w:color w:val="auto"/>
        </w:rPr>
        <w:t xml:space="preserve">. We also operate the website </w:t>
      </w:r>
      <w:r>
        <w:rPr>
          <w:rFonts w:ascii="Arial" w:cs="Arial" w:eastAsia="Arial" w:hAnsi="Arial"/>
          <w:sz w:val="18"/>
          <w:szCs w:val="18"/>
          <w:i w:val="1"/>
          <w:iCs w:val="1"/>
          <w:u w:val="single" w:color="auto"/>
          <w:color w:val="auto"/>
        </w:rPr>
        <w:t>www.xpresspa.com</w:t>
      </w:r>
      <w:r>
        <w:rPr>
          <w:rFonts w:ascii="Arial" w:cs="Arial" w:eastAsia="Arial" w:hAnsi="Arial"/>
          <w:sz w:val="18"/>
          <w:szCs w:val="18"/>
          <w:color w:val="auto"/>
        </w:rPr>
        <w:t>. References in this prospectus to our website address does not constitute incorporation by reference of the information contained on the website.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14605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400" w:top="1138" w:right="39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584200</wp:posOffset>
            </wp:positionV>
            <wp:extent cx="7136130" cy="6887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130" cy="6887845"/>
                    </a:xfrm>
                    <a:prstGeom prst="rect">
                      <a:avLst/>
                    </a:prstGeom>
                    <a:noFill/>
                  </pic:spPr>
                </pic:pic>
              </a:graphicData>
            </a:graphic>
          </wp:anchor>
        </w:drawing>
        <w:t>THE OFFERING</w:t>
      </w:r>
    </w:p>
    <w:p>
      <w:pPr>
        <w:sectPr>
          <w:pgSz w:w="11900" w:h="16838" w:orient="portrait"/>
          <w:cols w:equalWidth="0" w:num="1">
            <w:col w:w="11080"/>
          </w:cols>
          <w:pgMar w:left="400" w:top="1134" w:right="419" w:bottom="1440" w:gutter="0" w:footer="0" w:header="0"/>
        </w:sectPr>
      </w:pP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Common Stock offered</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color w:val="auto"/>
        </w:rPr>
        <w:t>7,895,000 shares.</w:t>
      </w:r>
    </w:p>
    <w:p>
      <w:pPr>
        <w:spacing w:after="0" w:line="475" w:lineRule="exact"/>
        <w:rPr>
          <w:sz w:val="20"/>
          <w:szCs w:val="20"/>
          <w:color w:val="auto"/>
        </w:rPr>
      </w:pPr>
    </w:p>
    <w:p>
      <w:pPr>
        <w:sectPr>
          <w:pgSz w:w="11900" w:h="16838" w:orient="portrait"/>
          <w:cols w:equalWidth="0" w:num="2">
            <w:col w:w="1120" w:space="320"/>
            <w:col w:w="9640"/>
          </w:cols>
          <w:pgMar w:left="400" w:top="1134" w:right="419" w:bottom="1440" w:gutter="0" w:footer="0" w:header="0"/>
          <w:type w:val="continuous"/>
        </w:sectPr>
      </w:pPr>
    </w:p>
    <w:p>
      <w:pPr>
        <w:spacing w:after="0" w:line="342" w:lineRule="auto"/>
        <w:rPr>
          <w:sz w:val="20"/>
          <w:szCs w:val="20"/>
          <w:color w:val="auto"/>
        </w:rPr>
      </w:pPr>
      <w:r>
        <w:rPr>
          <w:rFonts w:ascii="Arial" w:cs="Arial" w:eastAsia="Arial" w:hAnsi="Arial"/>
          <w:sz w:val="16"/>
          <w:szCs w:val="16"/>
          <w:color w:val="auto"/>
        </w:rPr>
        <w:t>Pre-funded warrants offered</w:t>
      </w:r>
    </w:p>
    <w:p>
      <w:pPr>
        <w:spacing w:after="0" w:line="20" w:lineRule="exact"/>
        <w:rPr>
          <w:sz w:val="20"/>
          <w:szCs w:val="20"/>
          <w:color w:val="auto"/>
        </w:rPr>
      </w:pPr>
      <w:r>
        <w:rPr>
          <w:sz w:val="20"/>
          <w:szCs w:val="20"/>
          <w:color w:val="auto"/>
        </w:rPr>
        <w:br w:type="column"/>
      </w:r>
    </w:p>
    <w:p>
      <w:pPr>
        <w:jc w:val="both"/>
        <w:spacing w:after="0" w:line="269" w:lineRule="auto"/>
        <w:rPr>
          <w:sz w:val="20"/>
          <w:szCs w:val="20"/>
          <w:color w:val="auto"/>
        </w:rPr>
      </w:pPr>
      <w:r>
        <w:rPr>
          <w:rFonts w:ascii="Arial" w:cs="Arial" w:eastAsia="Arial" w:hAnsi="Arial"/>
          <w:sz w:val="17"/>
          <w:szCs w:val="17"/>
          <w:color w:val="auto"/>
        </w:rPr>
        <w:t>We are also offering pre-funded warrants to purchase 2,105,000 shares of Common Stock to certain purchasers whose purchase of shares of Common Stock in this offering would otherwise result in the purchaser, together with its affiliates and certain related parties, beneficially owning more than 4.99% (or, at the election of the purchaser, 9.99%) of our outstanding Common Stock immediately following the consummation of this offering, in lieu of shares of Common Stock that would otherwise result in each such purchaser’s beneficial ownership exceeding 4.99% (or, at the election of the purchaser, 9.99%) of our outstanding Common Stock. Each pre-funded warrant is exercisable for one share of our Common Stock. The purchase price of each pre-funded warrant is equal to the price at which the share of Common Stock is being sold to the public in this offering, minus $0.01, and the exercise price of each pre-funded warrant is $0.01 per share. The pre-funded warrants are exercisable immediately and may be exercised at any time until all of the pre-funded warrants are exercised in full. This offering also relates to the shares of Common Stock issuable upon exercise of the pre-funded warrants sold in this offering.</w:t>
      </w:r>
    </w:p>
    <w:p>
      <w:pPr>
        <w:spacing w:after="0" w:line="185" w:lineRule="exact"/>
        <w:rPr>
          <w:sz w:val="20"/>
          <w:szCs w:val="20"/>
          <w:color w:val="auto"/>
        </w:rPr>
      </w:pPr>
    </w:p>
    <w:p>
      <w:pPr>
        <w:sectPr>
          <w:pgSz w:w="11900" w:h="16838" w:orient="portrait"/>
          <w:cols w:equalWidth="0" w:num="2">
            <w:col w:w="1180" w:space="260"/>
            <w:col w:w="9640"/>
          </w:cols>
          <w:pgMar w:left="400" w:top="1134" w:right="419" w:bottom="1440" w:gutter="0" w:footer="0" w:header="0"/>
          <w:type w:val="continuous"/>
        </w:sectPr>
      </w:pPr>
    </w:p>
    <w:p>
      <w:pPr>
        <w:spacing w:after="0" w:line="311" w:lineRule="auto"/>
        <w:rPr>
          <w:sz w:val="20"/>
          <w:szCs w:val="20"/>
          <w:color w:val="auto"/>
        </w:rPr>
      </w:pPr>
      <w:r>
        <w:rPr>
          <w:rFonts w:ascii="Arial" w:cs="Arial" w:eastAsia="Arial" w:hAnsi="Arial"/>
          <w:sz w:val="16"/>
          <w:szCs w:val="16"/>
          <w:color w:val="auto"/>
        </w:rPr>
        <w:t>Common stock to be outstanding after the offering</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54,304,401 shares (assuming no exercise of the pre-funded warrants). Assuming all of the pre-funded warrants were immediately exercised, there would be 56,409,401 shares of our Common Stock outstanding after this offering.</w:t>
      </w:r>
    </w:p>
    <w:p>
      <w:pPr>
        <w:spacing w:after="0" w:line="386" w:lineRule="exact"/>
        <w:rPr>
          <w:sz w:val="20"/>
          <w:szCs w:val="20"/>
          <w:color w:val="auto"/>
        </w:rPr>
      </w:pPr>
    </w:p>
    <w:p>
      <w:pPr>
        <w:sectPr>
          <w:pgSz w:w="11900" w:h="16838" w:orient="portrait"/>
          <w:cols w:equalWidth="0" w:num="2">
            <w:col w:w="1280" w:space="160"/>
            <w:col w:w="9640"/>
          </w:cols>
          <w:pgMar w:left="400" w:top="1134" w:right="419" w:bottom="1440" w:gutter="0" w:footer="0" w:header="0"/>
          <w:type w:val="continuous"/>
        </w:sectPr>
      </w:pPr>
    </w:p>
    <w:p>
      <w:pPr>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jc w:val="both"/>
        <w:spacing w:after="0" w:line="259" w:lineRule="auto"/>
        <w:rPr>
          <w:sz w:val="20"/>
          <w:szCs w:val="20"/>
          <w:color w:val="auto"/>
        </w:rPr>
      </w:pPr>
      <w:r>
        <w:rPr>
          <w:rFonts w:ascii="Arial" w:cs="Arial" w:eastAsia="Arial" w:hAnsi="Arial"/>
          <w:sz w:val="18"/>
          <w:szCs w:val="18"/>
          <w:color w:val="auto"/>
        </w:rPr>
        <w:t>We expect to receive net proceeds of approximately $1,718,950 from this offering, excluding any proceeds that may be received upon the exercise of the pre-funded warrants, after deducting the estimated offering expenses payable by us, including the financial advisory consultant fees. We intend to use the net proceeds from this offering for general corporate purposes. See “Use of Proceeds.”</w:t>
      </w:r>
    </w:p>
    <w:p>
      <w:pPr>
        <w:spacing w:after="0" w:line="187" w:lineRule="exact"/>
        <w:rPr>
          <w:sz w:val="20"/>
          <w:szCs w:val="20"/>
          <w:color w:val="auto"/>
        </w:rPr>
      </w:pPr>
    </w:p>
    <w:p>
      <w:pPr>
        <w:sectPr>
          <w:pgSz w:w="11900" w:h="16838" w:orient="portrait"/>
          <w:cols w:equalWidth="0" w:num="2">
            <w:col w:w="1160" w:space="280"/>
            <w:col w:w="9640"/>
          </w:cols>
          <w:pgMar w:left="400" w:top="1134" w:right="419" w:bottom="1440" w:gutter="0" w:footer="0" w:header="0"/>
          <w:type w:val="continuous"/>
        </w:sectPr>
      </w:pPr>
    </w:p>
    <w:p>
      <w:pPr>
        <w:jc w:val="both"/>
        <w:spacing w:after="0" w:line="342" w:lineRule="auto"/>
        <w:rPr>
          <w:sz w:val="20"/>
          <w:szCs w:val="20"/>
          <w:color w:val="auto"/>
        </w:rPr>
      </w:pPr>
      <w:r>
        <w:rPr>
          <w:rFonts w:ascii="Arial" w:cs="Arial" w:eastAsia="Arial" w:hAnsi="Arial"/>
          <w:sz w:val="16"/>
          <w:szCs w:val="16"/>
          <w:color w:val="auto"/>
        </w:rPr>
        <w:t>Nasdaq Capital Market symbol</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Our Common Stock is listed on Nasdaq under the symbol “XSPA”. We do not intend to list the pre-funded warrants on any securities exchange or nationally recognized trading system.</w:t>
      </w:r>
    </w:p>
    <w:p>
      <w:pPr>
        <w:spacing w:after="0" w:line="170" w:lineRule="exact"/>
        <w:rPr>
          <w:sz w:val="20"/>
          <w:szCs w:val="20"/>
          <w:color w:val="auto"/>
        </w:rPr>
      </w:pPr>
    </w:p>
    <w:p>
      <w:pPr>
        <w:sectPr>
          <w:pgSz w:w="11900" w:h="16838" w:orient="portrait"/>
          <w:cols w:equalWidth="0" w:num="2">
            <w:col w:w="1100" w:space="340"/>
            <w:col w:w="9640"/>
          </w:cols>
          <w:pgMar w:left="400" w:top="1134" w:right="419" w:bottom="1440" w:gutter="0" w:footer="0" w:header="0"/>
          <w:type w:val="continuous"/>
        </w:sectPr>
      </w:pPr>
    </w:p>
    <w:p>
      <w:pPr>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Investing in our securities involves a high degree of risk. See “Risk Factors” on page S-4 of this prospectus supplement to read about factors you should consider carefully before buying shares of our Common Stock.</w:t>
      </w:r>
    </w:p>
    <w:p>
      <w:pPr>
        <w:spacing w:after="0" w:line="170" w:lineRule="exact"/>
        <w:rPr>
          <w:sz w:val="20"/>
          <w:szCs w:val="20"/>
          <w:color w:val="auto"/>
        </w:rPr>
      </w:pPr>
    </w:p>
    <w:p>
      <w:pPr>
        <w:sectPr>
          <w:pgSz w:w="11900" w:h="16838" w:orient="portrait"/>
          <w:cols w:equalWidth="0" w:num="2">
            <w:col w:w="860" w:space="580"/>
            <w:col w:w="9640"/>
          </w:cols>
          <w:pgMar w:left="400" w:top="1134" w:right="419" w:bottom="1440" w:gutter="0" w:footer="0" w:header="0"/>
          <w:type w:val="continuous"/>
        </w:sectPr>
      </w:pPr>
    </w:p>
    <w:p>
      <w:pPr>
        <w:spacing w:after="0"/>
        <w:rPr>
          <w:sz w:val="20"/>
          <w:szCs w:val="20"/>
          <w:color w:val="auto"/>
        </w:rPr>
      </w:pPr>
      <w:r>
        <w:rPr>
          <w:rFonts w:ascii="Arial" w:cs="Arial" w:eastAsia="Arial" w:hAnsi="Arial"/>
          <w:sz w:val="16"/>
          <w:szCs w:val="16"/>
          <w:color w:val="auto"/>
        </w:rPr>
        <w:t>The number of shares of Common Stock that will be outstanding after this offering is based on 46,409,401 shares of Common Stock outstanding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27, 2020, and also excludes:</w:t>
      </w:r>
    </w:p>
    <w:p>
      <w:pPr>
        <w:spacing w:after="0" w:line="211" w:lineRule="exact"/>
        <w:rPr>
          <w:sz w:val="20"/>
          <w:szCs w:val="20"/>
          <w:color w:val="auto"/>
        </w:rPr>
      </w:pPr>
    </w:p>
    <w:p>
      <w:pPr>
        <w:ind w:left="640" w:hanging="325"/>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2,406,239 shares of Common Stock issuable as of the date hereof upon the conversion of preferred stock outstanding as of March 27, 2020;</w:t>
      </w:r>
    </w:p>
    <w:p>
      <w:pPr>
        <w:spacing w:after="0" w:line="248" w:lineRule="exact"/>
        <w:rPr>
          <w:rFonts w:ascii="Arial" w:cs="Arial" w:eastAsia="Arial" w:hAnsi="Arial"/>
          <w:sz w:val="16"/>
          <w:szCs w:val="16"/>
          <w:color w:val="auto"/>
        </w:rPr>
      </w:pPr>
    </w:p>
    <w:p>
      <w:pPr>
        <w:ind w:left="640" w:hanging="325"/>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46,654,493 shares of Common Stock issuable as of the date hereof upon the conversion of indebtedness outstanding as of March 27, 2020;</w:t>
      </w:r>
    </w:p>
    <w:p>
      <w:pPr>
        <w:spacing w:after="0" w:line="248" w:lineRule="exact"/>
        <w:rPr>
          <w:rFonts w:ascii="Arial" w:cs="Arial" w:eastAsia="Arial" w:hAnsi="Arial"/>
          <w:sz w:val="16"/>
          <w:szCs w:val="16"/>
          <w:color w:val="auto"/>
        </w:rPr>
      </w:pPr>
    </w:p>
    <w:p>
      <w:pPr>
        <w:ind w:left="640" w:hanging="325"/>
        <w:spacing w:after="0" w:line="277"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25,863,878 shares of Common Stock issuable as of the date hereof upon the exercise of common stock warrants outstanding as of March 27, 2020 at a weighted average exercise price of $0.175 per share;</w:t>
      </w:r>
    </w:p>
    <w:p>
      <w:pPr>
        <w:spacing w:after="0" w:line="170" w:lineRule="exact"/>
        <w:rPr>
          <w:rFonts w:ascii="Arial" w:cs="Arial" w:eastAsia="Arial" w:hAnsi="Arial"/>
          <w:sz w:val="18"/>
          <w:szCs w:val="18"/>
          <w:color w:val="auto"/>
        </w:rPr>
      </w:pPr>
    </w:p>
    <w:p>
      <w:pPr>
        <w:ind w:left="640" w:hanging="325"/>
        <w:spacing w:after="0" w:line="277"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162,250 shares of Common Stock issuable as of the date hereof upon the exercise of stock options outstanding as of March 27, 2020 at a weighted average exercise price of $16.40 per share; and</w:t>
      </w:r>
    </w:p>
    <w:p>
      <w:pPr>
        <w:spacing w:after="0" w:line="170" w:lineRule="exact"/>
        <w:rPr>
          <w:rFonts w:ascii="Arial" w:cs="Arial" w:eastAsia="Arial" w:hAnsi="Arial"/>
          <w:sz w:val="18"/>
          <w:szCs w:val="18"/>
          <w:color w:val="auto"/>
        </w:rPr>
      </w:pPr>
    </w:p>
    <w:p>
      <w:pPr>
        <w:ind w:left="640" w:hanging="325"/>
        <w:spacing w:after="0" w:line="277"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2,249,069 shares of Common Stock available for future issuance under the 2012 Employee, Director and Consultant Equity Incentive Plan, as amended, as of March 27,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Unless otherwise indicated, this prospectus supplement assumes no exercise of the pre-funded warrants.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14605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80"/>
          </w:cols>
          <w:pgMar w:left="400" w:top="1134" w:right="41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Investing in our securities involves a high degree of risk. You should carefully consider the risks and uncertainties described below and discussed under the section entitled “Risk Factors” contained in our Annual Report on Form 10-K for the year ended December 31, 2018, which is incorporated by reference in this prospectus supplement, together with all of the other information contained in, or incorporated by reference, in this prospectus supplement and the accompanying prospectus, before purchasing any of our securities. These risks and uncertainties are not the only ones facing us. Additional risks and uncertainties that we are unaware of, or that we currently deem immaterial, also may become important factors that affect us. If any of these risks actually occur, our business, financial condition, results of operations and future prospects could be materially and adversely affected. In that case, the trading price of our Common Stock could decline, and you may lose some or all of your investment.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COMPANY</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will need additional financing to fund our operations in the future. If we are unable to obtain additional financing on acceptable terms, we will need to curtail or cease our business plans and operations.</w:t>
      </w:r>
    </w:p>
    <w:p>
      <w:pPr>
        <w:spacing w:after="0" w:line="16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do not have sufficient capital to fund our operations in the long term. As a result, we will need to raise additional capital and/or complete a strategic combination. Additional funds may be raised through the issuance of equity securities and/or debt financing, there being no assurance that any type of financing on terms acceptable to us will be available or otherwise occur. Debt financing must be repaid regardless of whether we generate revenues or cash flows from operations and may be secured by substantially all of our assets. Any equity financing or debt financing that requires the issuance of warrants or other equity securities to the lender would cause the percentage ownership by our current stockholders to be diluted, which dilution may be substantial. Also, any additional equity securities issued may have rights, preferences or privileges senior to those of existing stockholders. If such financing is not available when required or is not available on acceptable terms, we may be required to reduce or eliminate certain business activities, and it may ultimately require us to suspend or cease operations, which could cause investors to lose the entire amount of their investment.</w:t>
      </w:r>
    </w:p>
    <w:p>
      <w:pPr>
        <w:spacing w:after="0" w:line="16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If our process to identify and evaluate potential business alternatives is not successful, our Board of Directors may decide to pursue a restructuring, which may include a reorganization or bankruptcy under Federal bankruptcy laws, or a dissolution, liquidation and/or winding up of the Company.</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There can be no assurance that the process to identify and evaluate potential business alternatives will result in a successful alternative for our business. If no transactions with respect to potential business alternatives are identified and completed, our Board of Directors may decide to pursue a restructuring, which may include a reorganization or bankruptcy under Federal bankruptcy laws, or a dissolution, liquidation and/or winding up of the Company. If our Board of Directors were to approve and recommend, and our stockholders were to approve, a dissolution and liquidation of our company, we would be required under Delaware corporate law to pay our outstanding obligations, as well as to make reasonable provisions for contingent and unknown obligations, prior to making any distributions in liquidation to our stockholders. Our commitments and contingent liabilities may include (i) obligations under our employment agreements with certain members of management that provide for severance and other payments following a termination of employment occurring for various reasons, including a change in control of our Company, (ii) various claims and legal actions arising in the ordinary course of business and (iii) non-cancelable lease obligations. As a result of this requirement, a portion of our assets may need to be reserved pending the resolution of such obligations. In addition, we may be subject to litigation or other claims related to a dissolution and liquidation of our company. If a dissolution and liquidation were pursued, our Board of Directors, in consultation with its advisors, would need to evaluate these matters and make a determination about a reasonable amount to reserve. Accordingly, holders of our Common Stock may lose their entire investment in the event of a reorganization, bankruptcy, liquidation, dissolution or winding up of the Company.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jc w:val="both"/>
        <w:spacing w:after="0" w:line="282" w:lineRule="auto"/>
        <w:rPr>
          <w:sz w:val="20"/>
          <w:szCs w:val="20"/>
          <w:color w:val="auto"/>
        </w:rPr>
      </w:pPr>
      <w:r>
        <w:rPr>
          <w:rFonts w:ascii="Arial" w:cs="Arial" w:eastAsia="Arial" w:hAnsi="Arial"/>
          <w:sz w:val="18"/>
          <w:szCs w:val="18"/>
          <w:b w:val="1"/>
          <w:bCs w:val="1"/>
          <w:color w:val="auto"/>
        </w:rPr>
        <w:t>Our business, results of operations and financial condition has been and may continue to be materially adversely impacted by public health epidemics, including the recent coronavirus outbreak.</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business, results of operations and financial condition has been and may continue to be materially adversely impacted if a public health epidemic, including the recent coronavirus outbreak, interferes with our ability, or the ability of our employees, workers, contractors, suppliers and other business partners to perform our and their respective responsibilities and obligations relative to the conduct of our business. A public health epidemic, including the coronavirus, poses the risk of disruptions from the temporary closure of third-party suppliers and manufacturers, restrictions on the shipment of our products, restrictions on our employees' and other service providers' ability to travel, the decreased willingness or ability of our customers to travel or to utilize our services and shutdowns that may be requested or mandated by governmental authorities. The extent to which the coronavirus continues to impact our results will depend on future developments, which are highly uncertain and cannot be predicted, including new information which may emerge concerning the severity of the coronavirus and the actions to contain the coronavirus or treat its impact, among others.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COMMON STOCK AND THIS OFFERING</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You will experience immediate and substantial dilution in the net tangible book value per share of the Common Stock you purchase.</w:t>
      </w:r>
    </w:p>
    <w:p>
      <w:pPr>
        <w:spacing w:after="0" w:line="24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Since the price per share of our Common Stock being offered is substantially higher than the net tangible book value per share of our Common Stock, you will suffer immediate and substantial dilution in the net tangible book value of the Common Stock you purchase in this offering. As of September 30, 2019, our net tangible book value was approximately $(2,821,000), or $(0.967) per share. Based on a weighted average offering price of $0.198 per share of Common Stock and Pre-Funded Warrant, and our net tangible book value as of September 30, 2019, if you purchase securities in this offering, you will suffer immediate and substantial dilution of $0.174 per share with respect to the net tangible book value of our Common Stock and, assuming all of the pre-funded warrants to purchase 2,105,000 shares of our Common Stock were immediately exercised for cash at an exercise price of $0.01 per share, you would suffer immediate and substantial dilution of $0.173 per share.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is no public market for the pre-funded warrants being offered in this offering.</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is no established public trading market for the pre-funded warrants being offered in this offering, and we do not expect a market to develop. In addition, we do not intend to apply to list the pre-funded warrants on any securities exchange or nationally recognized trading system, including Nasdaq. Without an active market, the liquidity of the pre-funded warrants will be limited.</w:t>
      </w:r>
    </w:p>
    <w:p>
      <w:pPr>
        <w:spacing w:after="0" w:line="18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Holders of pre-funded warrants purchased in this offering will have no rights as common stockholders until such holders exercise such pre-funded warrants and acquire our Common Stock.</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Until holders of pre-funded warrants acquire shares of our Common Stock upon exercise of such pre-funded warrants, holders of pre-funded warrants will have no rights with respect to the shares of our Common Stock underlying such pre-funded warrants. Upon exercise of the pre-funded warrants, the holders will be entitled to exercise the rights of a common stockholder only as to matters for which the record date occurs after the exercise date.</w:t>
      </w:r>
    </w:p>
    <w:p>
      <w:pPr>
        <w:spacing w:after="0" w:line="161"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We have a significant number of outstanding warrants, some of which contain full-ratchet anti-dilution protection, which may cause significant dilution to our stockholders, have a material adverse impact on the market price of our Common Stock and make it more difficult for us to raise funds through future equity offerings.</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March 27, 2020, we had 46,409,401 shares of Common Stock outstanding. In addition, as of that date we had outstanding warrants to acquire up to 25,863,878 shares of Common Stock. The issuance of shares of Common Stock upon the exercise of warrants would dilute the percentage ownership interest of all stockholders, might dilute the book value per share of our Common Stock and would increase the number of our publicly traded shares, which could depress the market price of our Common Stock.</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jc w:val="both"/>
        <w:spacing w:after="0" w:line="271" w:lineRule="auto"/>
        <w:rPr>
          <w:sz w:val="20"/>
          <w:szCs w:val="20"/>
          <w:color w:val="auto"/>
        </w:rPr>
      </w:pPr>
      <w:r>
        <w:rPr>
          <w:rFonts w:ascii="Arial" w:cs="Arial" w:eastAsia="Arial" w:hAnsi="Arial"/>
          <w:sz w:val="17"/>
          <w:szCs w:val="17"/>
          <w:color w:val="auto"/>
        </w:rPr>
        <w:t>Historically, certain of our outstanding warrants contain full-ratchet anti-dilution provisions which, subject to limited exceptions, would reduce the exercise price of the warrants (and increase the number of shares issuable) in the event that we in the future issue Common Stock, or securities convertible into or exercisable to purchase Common Stock at a price per share lower than the exercise price then in effect, to such lower price. The offering of our securities in connection with a prospectus supplement dated March 19, 2020, triggered such full-ratchet anti-dilution provisions in the instruments listed below and reduced the exercise price or conversion price, as the case may be, of each such warrant, convertible note or convertible preferred stock, as the case may be, to $0.175 per share. Because this offering relates to the sale of Common Stock at a purchase price per share that is above the current exercise price of each of the warrants described below, this offering does not trigger the full-ratchet anti-dilution provisions contained in such instruments; however, such full-ratchet anti-dilution provisions could be triggered in connection with future offerings.</w:t>
      </w:r>
    </w:p>
    <w:p>
      <w:pPr>
        <w:spacing w:after="0" w:line="178" w:lineRule="exact"/>
        <w:rPr>
          <w:sz w:val="20"/>
          <w:szCs w:val="20"/>
          <w:color w:val="auto"/>
        </w:rPr>
      </w:pPr>
    </w:p>
    <w:p>
      <w:pPr>
        <w:jc w:val="both"/>
        <w:ind w:left="660" w:hanging="328"/>
        <w:spacing w:after="0" w:line="263"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May 15, 2018, we entered into a securities purchase agreement with certain purchasers, pursuant to which we agreed to issue Class A Warrants to purchase shares of Common Stock, at an exercise price that was subsequently reduced to $0.175 per share (the “Class A Warrants”). The Class A Warrants contain anti-dilution price protection.</w:t>
      </w:r>
    </w:p>
    <w:p>
      <w:pPr>
        <w:spacing w:after="0" w:line="183" w:lineRule="exact"/>
        <w:rPr>
          <w:rFonts w:ascii="Arial" w:cs="Arial" w:eastAsia="Arial" w:hAnsi="Arial"/>
          <w:sz w:val="18"/>
          <w:szCs w:val="18"/>
          <w:color w:val="auto"/>
        </w:rPr>
      </w:pPr>
    </w:p>
    <w:p>
      <w:pPr>
        <w:jc w:val="both"/>
        <w:ind w:left="660" w:hanging="328"/>
        <w:spacing w:after="0" w:line="25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July 8, 2019, we entered into a securities purchase agreement with Calm.com, Inc., pursuant to which we agreed to sell (i) an aggregate principal amount of $2,500,000 in 5.00% unsecured convertible Notes due 2022 (the “Calm Note”), which are convertible into shares of Series E Convertible Preferred Stock, which shares of Series E Convertible Preferred Stock are convertible into Common Stock and (ii) warrants to purchase 937,500 shares of the Common Stock at an exercise price that was subsequently reduced to $0.175 per share (the “Calm Warrants”). The Calm Note is currently convertible into shares of Series E Convertible Preferred Stock that are convertible into 14,285,715 shares of Common Stock, and the Calm Warrants are currently convertible into 10,714,286 shares of Common Stock. The Calm Note and Calm Warrants contain anti-dilution price protection.</w:t>
      </w:r>
    </w:p>
    <w:p>
      <w:pPr>
        <w:spacing w:after="0" w:line="194"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July 8, 2019, we entered into an amendment to certain outstanding warrants issued in December 2016 (the “December 2016 Warrants”), in order to, among other things, reduce the exercise price of such warrants, which exercise price was subsequently reduced to $0.175 per share. The December 2016 Warrants contain anti-dilution price protection.</w:t>
      </w:r>
    </w:p>
    <w:p>
      <w:pPr>
        <w:spacing w:after="0" w:line="183"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March 6, 2020, we entered into a sixth amendment to our existing credit agreement with B3D, LLC (“B3D”) in order to, among other provisions, amend and restate our existing convertible promissory note (the “B3D Note”) in order to increase the principal amount owed to B3D to $7.9 million. B3D may convert up to $7.0 million in principal and the interest accrued thereon into shares of Common Stock at its option at a conversion price that was subsequently reduced to $0.175 per share. The B3D Note is currently convertible into 32,368,778 shares of Common Stock. The B3D Note contains anti-dilution price protection.</w:t>
      </w:r>
    </w:p>
    <w:p>
      <w:pPr>
        <w:spacing w:after="0" w:line="187" w:lineRule="exact"/>
        <w:rPr>
          <w:rFonts w:ascii="Arial" w:cs="Arial" w:eastAsia="Arial" w:hAnsi="Arial"/>
          <w:sz w:val="18"/>
          <w:szCs w:val="18"/>
          <w:color w:val="auto"/>
        </w:rPr>
      </w:pPr>
    </w:p>
    <w:p>
      <w:pPr>
        <w:jc w:val="both"/>
        <w:ind w:left="700" w:hanging="328"/>
        <w:spacing w:after="0" w:line="263" w:lineRule="auto"/>
        <w:tabs>
          <w:tab w:leader="none" w:pos="700" w:val="left"/>
        </w:tabs>
        <w:numPr>
          <w:ilvl w:val="1"/>
          <w:numId w:val="5"/>
        </w:numPr>
        <w:rPr>
          <w:rFonts w:ascii="Arial" w:cs="Arial" w:eastAsia="Arial" w:hAnsi="Arial"/>
          <w:sz w:val="18"/>
          <w:szCs w:val="18"/>
          <w:color w:val="auto"/>
        </w:rPr>
      </w:pPr>
      <w:r>
        <w:rPr>
          <w:rFonts w:ascii="Arial" w:cs="Arial" w:eastAsia="Arial" w:hAnsi="Arial"/>
          <w:sz w:val="18"/>
          <w:szCs w:val="18"/>
          <w:color w:val="auto"/>
        </w:rPr>
        <w:t>On July 8, 2019, we issued shares of Series F Convertible Preferred Stock, which features a conversion price that was subsequently reduced to $0.175. The shares of Series F Convertible Preferred Stock currently outstanding are convertible into an aggregate of 874,858 shares of Common Stock. The Series F Convertible Preferred Stock contains anti-dilution price protection.</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addition to the dilutive effects described above, the perceived risk of dilution as a result of the significant number of outstanding warrants may cause our common stockholders to be more inclined to sell their shares, which would contribute to a downward movement in the price of our Common Stock. Moreover, the perceived risk of dilution and the resulting downward pressure on our Common Stock price could encourage investors to engage in short sales of our Common Stock, which could further contribute to price declines in our Common Stock. The fact that our stockholders and warrant holders can sell substantial amounts of our Common Stock in the public market, whether or not sales have occurred or are occurring, as well as the existence of full-ratchet anti-dilution provisions in our warrants, could make it more difficult for us to raise additional funds through the sale of equity or equity-related securities in the future at a time and price that we deem reasonable or appropriate, or at all.</w:t>
      </w:r>
    </w:p>
    <w:p>
      <w:pPr>
        <w:spacing w:after="0" w:line="17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we sell shares of our Common Stock in future financings, stockholders may experience immediate dilution and, as a result, our stock price may decline.</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may from time to time issue additional shares of Common Stock at a discount from the current market price of our Common Stock. As a result, our stockholders would experience immediate dilution upon the purchase of any shares of our Common Stock sold at such discount. In addition, as opportunities present themselves, we may enter into financings or similar arrangements in the future, including the issuance of debt securities, preferred stock or Common Stock. If we issue Common Stock or securities convertible or exercisable into Common Stock, our common stockholders would experience additional dilution and, as a result, our stock price may decline.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 w:name="page12"/>
    <w:bookmarkEnd w:id="11"/>
    <w:p>
      <w:pPr>
        <w:jc w:val="both"/>
        <w:ind w:right="20"/>
        <w:spacing w:after="0" w:line="282" w:lineRule="auto"/>
        <w:rPr>
          <w:sz w:val="20"/>
          <w:szCs w:val="20"/>
          <w:color w:val="auto"/>
        </w:rPr>
      </w:pPr>
      <w:r>
        <w:rPr>
          <w:rFonts w:ascii="Arial" w:cs="Arial" w:eastAsia="Arial" w:hAnsi="Arial"/>
          <w:sz w:val="18"/>
          <w:szCs w:val="18"/>
          <w:b w:val="1"/>
          <w:bCs w:val="1"/>
          <w:color w:val="auto"/>
        </w:rPr>
        <w:t>We will have broad discretion in how we use the net proceeds of this offering. We may not use these proceeds effectively, which could affect our results of operations and cause our stock price to decline.</w:t>
      </w:r>
    </w:p>
    <w:p>
      <w:pPr>
        <w:spacing w:after="0" w:line="16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will have considerable discretion in the application of the net proceeds of this offering, including for any of the purposes described in the section entitled “Use of Proceeds.” We intend to use the net proceeds from this offering for general corporate purposes. As a result, investors will be relying upon management’s judgment with only limited information about our specific intentions for the use of the balance of the net proceeds of this offering. We may use the net proceeds for purposes that do not yield a significant return or any return at all for our stockholders. In addition, pending their use, we may invest the net proceeds from this offering in a manner that does not produce income or that loses value.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 active trading market for our Common Stock may not be sustained.</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Although our Common Stock is listed on the Nasdaq, the market for our Common Stock has demonstrated varying levels of trading activity. Furthermore, the current level of trading may not be sustained in the future. The lack of an active market for our Common Stock may impair investors’ ability to sell their shares at the time they wish to sell them or at a price that they consider reasonable, may reduce the fair market value of their shares and may impair our ability to raise capital to continue to fund operations by selling shares and may impair our ability to acquire additional intellectual property assets by using our shares as consideration.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stock price may be subject to substantial volatility, and stockholders may lose all or a substantial part of their investment.</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Common Stock currently trades on Nasdaq. There is limited public float, and trading volume historically has been low and sporadic. As a result, the market price for our Common Stock may not necessarily be a reliable indicator of our fair market value. The price at which our Common Stock trades may fluctuate as a result of a number of factors, including the number of shares available for sale in the market, quarterly variations in our operating results, actual or anticipated announcements of new releases by us or competitors, the gain or loss of significant customers, changes in the estimates of our operating performance, market conditions in our industry and the economy as a whole.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failure to meet the continued listing requirements of The Nasdaq Capital Market could result in a delisting of our Common Stock.</w:t>
      </w:r>
    </w:p>
    <w:p>
      <w:pPr>
        <w:spacing w:after="0" w:line="24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continued listing standards of Nasdaq provide, among other things, that a company may be delisted if the bid price of its stock drops below $1.00 for a period of 30 consecutive business days or if stockholders’ equity is less than $2.5 million. On January 2, 2020, we received a deficiency letter from The Nasdaq Stock Market which provided us a grace period of 180 calendar days, or until June 30, 2020, to regain compliance with the minimum bid price requirement. If we fail to regain compliance on or prior to June 30, 2020, we may be eligible for an additional 180 day compliance period. Additionally, if we fail to comply with any other continued listing standards of Nasdaq, our Common Stock will also be subject to delisting. If that were to occur, our Common Stock would be subject to rules that impose additional sales practice requirements on broker-dealers who sell our securities. The additional burdens imposed upon broker-dealers by these requirements could discourage broker-dealers from effecting transactions in our Common Stock. This would significantly and negatively affect the ability of investors to trade our securities and would significantly and negatively affect the value and liquidity of our Common Stock. These factors could contribute to lower prices and larger spreads in the bid and ask prices for our Common Stock. If we seek to implement a reverse stock split in order to remain listed on The Nasdaq Capital Market, the announcement and/or implementation of a reverse stock split could significantly negatively affect the price of our Common Stock.</w:t>
      </w:r>
    </w:p>
    <w:p>
      <w:pPr>
        <w:spacing w:after="0" w:line="18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While we have exercised diligent efforts to maintain the listing of our Common Stock on Nasdaq, there can be no assurance that we will be able to continue to meet the continuing listing requirements of The Nasdaq Capital Market. If we are unable to meet the continuing listing requirements, Nasdaq may take steps to delist our Common Stock. Such a delisting would likely have a negative effect on the price of our Common Stock and would impair your ability to sell or purchase our Common Stock when you wish to do so. Further, if we were to be delisted from The Nasdaq Capital Market, our Common Stock would cease to be recognized as covered securities and we would be subject to regulation in each state in which we offer our securities.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jc w:val="both"/>
        <w:spacing w:after="0" w:line="259" w:lineRule="auto"/>
        <w:rPr>
          <w:sz w:val="20"/>
          <w:szCs w:val="20"/>
          <w:color w:val="auto"/>
        </w:rPr>
      </w:pPr>
      <w:r>
        <w:rPr>
          <w:rFonts w:ascii="Arial" w:cs="Arial" w:eastAsia="Arial" w:hAnsi="Arial"/>
          <w:sz w:val="18"/>
          <w:szCs w:val="18"/>
          <w:color w:val="auto"/>
        </w:rPr>
        <w:t>Delisting from Nasdaq could adversely affect our ability to raise additional financing through the public or private sale of equity securities, would significantly affect the ability of investors to trade our securities and would negatively affect the value and liquidity of our Common Stock. Delisting could also have other negative results, including the potential loss of confidence by employees, the loss of institutional investor interest and fewer business development opportunities.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our Common Stock becomes subject to the penny stock rules, it may be more difficult to sell our Common Stock.</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SEC has adopted rules that regulate broker-dealer practices in connection with transactions in penny stocks. Penny stocks are generally equity securities with a price of less than $5.00 (other than securities registered on certain national securities exchanges or authorized for quotation on certain automated quotation systems, provided that current price and volume information with respect to transactions in such securities is provided by the exchange or system). The OTC Bulletin Board does not meet such requirements and if the price of our Common Stock is less than $5.00 and our Common Stock is no longer listed on a national securities exchange such as Nasdaq, our stock may be deemed a penny stock. The penny stock rules require a broker-dealer, at least two business days prior to a transaction in a penny stock not otherwise exempt from those rules, to deliver to the customer a standardized risk disclosure document containing specified information and to obtain from the customer a signed and date acknowledgment of receipt of that document. In addition, the penny stock rules require that prior to effecting any transaction in a penny stock not otherwise exempt from those rules, a broker-dealer must make a special written determination that the penny stock is a suitable investment for the purchaser and receive: (i) the purchaser’s written acknowledgment of the receipt of a risk disclosure statement; (ii) a written agreement to transactions involving penny stocks; and (iii) a signed and dated copy of a written suitability statement. These disclosure requirements may have the effect of reducing the trading activity in the secondary market for our Common Stock, and therefore stockholders may have difficulty selling their shares.</w:t>
      </w:r>
    </w:p>
    <w:p>
      <w:pPr>
        <w:spacing w:after="0" w:line="164"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Because we do not anticipate paying any cash dividends on our Common Stock in the foreseeable future, capital appreciation, if any, will be your sole source of gain.</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never paid or declared any cash dividends on our Common Stock. We currently intend to retain earnings, if any, to finance the growth and development of our business and we do not anticipate paying any cash dividends in the foreseeable future. As a result, only appreciation of the price of our Common Stock will provide a return to our stockholders.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expect to receive net proceeds of approximately $1,718,950 from this offering, after deducting estimated offering expenses payable by us, including the financial advisory consultant fees, and excluding the proceeds, if any, from the exercise of the pre-funded warrants issued in this offering. We intend to use the net proceeds from this offering for general corporate purposes.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never declared or paid any cash dividends on our Common Stock and do not expect to pay any cash dividends for the foreseeable future. We intend to use future earnings, if any, in the operation and expansion of our business. Any future determination relating to our dividend policy will be made at the discretion of our board of directors, based on our financial condition, results of operations, contractual restrictions, capital requirements, business properties, restrictions imposed by applicable law and other factors our board of directors may deem relevant.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September 30, 2019, our net tangible book value was approximately $(2,821,000), or $(0.967) per share of our Common Stock. Net tangible book value per share represents the amount of our total tangible assets less our total liabilities, divided by the total number of shares of our Common Stock outstanding as of September 30, 2019.</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pro forma net tangible book value as of September 30, 2019 was $(351,231), or $(0.061) per share of our Common Stock. Pro forma net tangible book value per share represents total tangible assets less total liabilities, divided by the number of shares of our Common Stock outstanding as of September 30, 2019, after giving effect to the issuance of an aggregate of (i) 28,255,516 shares of Common Stock upon conversion or exercise of existing preferred stock or indebtedness or warrants, as the case may be, and (ii) 15,235,716 shares of Common Stock issued in connection with our registered direct offerings on March 19, 2020 and March 25, 2020, in each case subsequent to September 30, 2019.</w:t>
      </w:r>
    </w:p>
    <w:p>
      <w:pPr>
        <w:spacing w:after="0" w:line="17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After giving effect to the issuance of (i) and (ii) in the foregoing paragraph, as well as the sale of 7,895,000 shares of our Common Stock and pre-funded warrants to purchase up to 2,105,000 shares of Common Stock in this offering at an offering price of $0.20 per share of Common Stock and $0.19 per pre-funded warrant, and after deducting estimated offering expenses payable by us, and excluding the proceeds, if any, from the exercise of the pre-funded warrants issued in this offering, our pro forma as adjusted net tangible book value as of September 30, 2019 would have been approximately $1,367,719, or $0.024 per share of Common Stock. This represents an immediate increase in pro forma as adjusted net tangible book value of $0.991 per share to our existing stockholders and immediate dilution in pro forma as adjusted net tangible book value of $0.174 per share to investors participating in this offering. The following table illustrates this dilution per share of Common Stock to investors participating in this offering:</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public offering price per share and pre-funded warrant</w:t>
            </w: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0.198</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Net tangible book value per share as of September 30, 2019</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470"/>
              <w:spacing w:after="0"/>
              <w:rPr>
                <w:sz w:val="20"/>
                <w:szCs w:val="20"/>
                <w:color w:val="auto"/>
              </w:rPr>
            </w:pPr>
            <w:r>
              <w:rPr>
                <w:rFonts w:ascii="Arial" w:cs="Arial" w:eastAsia="Arial" w:hAnsi="Arial"/>
                <w:sz w:val="18"/>
                <w:szCs w:val="18"/>
                <w:color w:val="auto"/>
              </w:rPr>
              <w:t>(0.967)</w:t>
            </w:r>
          </w:p>
        </w:tc>
        <w:tc>
          <w:tcPr>
            <w:tcW w:w="880" w:type="dxa"/>
            <w:vAlign w:val="bottom"/>
          </w:tcPr>
          <w:p>
            <w:pPr>
              <w:spacing w:after="0"/>
              <w:rPr>
                <w:sz w:val="18"/>
                <w:szCs w:val="18"/>
                <w:color w:val="auto"/>
              </w:rPr>
            </w:pPr>
          </w:p>
        </w:tc>
      </w:tr>
      <w:tr>
        <w:trPr>
          <w:trHeight w:val="22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Increase in net tangible book value per share attributable to pro forma adjustments</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470"/>
              <w:spacing w:after="0"/>
              <w:rPr>
                <w:sz w:val="20"/>
                <w:szCs w:val="20"/>
                <w:color w:val="auto"/>
              </w:rPr>
            </w:pPr>
            <w:r>
              <w:rPr>
                <w:rFonts w:ascii="Arial" w:cs="Arial" w:eastAsia="Arial" w:hAnsi="Arial"/>
                <w:sz w:val="18"/>
                <w:szCs w:val="18"/>
                <w:color w:val="auto"/>
              </w:rPr>
              <w:t>0.906</w:t>
            </w:r>
          </w:p>
        </w:tc>
        <w:tc>
          <w:tcPr>
            <w:tcW w:w="880" w:type="dxa"/>
            <w:vAlign w:val="bottom"/>
            <w:shd w:val="clear" w:color="auto" w:fill="CCEEFF"/>
          </w:tcPr>
          <w:p>
            <w:pPr>
              <w:spacing w:after="0"/>
              <w:rPr>
                <w:sz w:val="19"/>
                <w:szCs w:val="19"/>
                <w:color w:val="auto"/>
              </w:rPr>
            </w:pPr>
          </w:p>
        </w:tc>
      </w:tr>
      <w:tr>
        <w:trPr>
          <w:trHeight w:val="210"/>
        </w:trPr>
        <w:tc>
          <w:tcPr>
            <w:tcW w:w="8680" w:type="dxa"/>
            <w:vAlign w:val="bottom"/>
          </w:tcPr>
          <w:p>
            <w:pPr>
              <w:spacing w:after="0"/>
              <w:rPr>
                <w:sz w:val="20"/>
                <w:szCs w:val="20"/>
                <w:color w:val="auto"/>
              </w:rPr>
            </w:pPr>
            <w:r>
              <w:rPr>
                <w:rFonts w:ascii="Arial" w:cs="Arial" w:eastAsia="Arial" w:hAnsi="Arial"/>
                <w:sz w:val="18"/>
                <w:szCs w:val="18"/>
                <w:color w:val="auto"/>
              </w:rPr>
              <w:t>Pro forma net tangible book value per share as of September 30, 2019</w:t>
            </w: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5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(0.061)</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Increase in pro forma net tangible book value per share attributable to this offering</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470"/>
              <w:spacing w:after="0"/>
              <w:rPr>
                <w:sz w:val="20"/>
                <w:szCs w:val="20"/>
                <w:color w:val="auto"/>
              </w:rPr>
            </w:pPr>
            <w:r>
              <w:rPr>
                <w:rFonts w:ascii="Arial" w:cs="Arial" w:eastAsia="Arial" w:hAnsi="Arial"/>
                <w:sz w:val="18"/>
                <w:szCs w:val="18"/>
                <w:color w:val="auto"/>
              </w:rPr>
              <w:t>0.991</w:t>
            </w:r>
          </w:p>
        </w:tc>
        <w:tc>
          <w:tcPr>
            <w:tcW w:w="880" w:type="dxa"/>
            <w:vAlign w:val="bottom"/>
            <w:shd w:val="clear" w:color="auto" w:fill="CCEEFF"/>
          </w:tcPr>
          <w:p>
            <w:pPr>
              <w:spacing w:after="0"/>
              <w:rPr>
                <w:sz w:val="18"/>
                <w:szCs w:val="18"/>
                <w:color w:val="auto"/>
              </w:rPr>
            </w:pPr>
          </w:p>
        </w:tc>
      </w:tr>
      <w:tr>
        <w:trPr>
          <w:trHeight w:val="229"/>
        </w:trPr>
        <w:tc>
          <w:tcPr>
            <w:tcW w:w="8680" w:type="dxa"/>
            <w:vAlign w:val="bottom"/>
          </w:tcPr>
          <w:p>
            <w:pPr>
              <w:spacing w:after="0"/>
              <w:rPr>
                <w:sz w:val="20"/>
                <w:szCs w:val="20"/>
                <w:color w:val="auto"/>
              </w:rPr>
            </w:pPr>
            <w:r>
              <w:rPr>
                <w:rFonts w:ascii="Arial" w:cs="Arial" w:eastAsia="Arial" w:hAnsi="Arial"/>
                <w:sz w:val="18"/>
                <w:szCs w:val="18"/>
                <w:color w:val="auto"/>
              </w:rPr>
              <w:t>Pro forma as adjusted net tangible book value per share after giving effect to the offering</w:t>
            </w:r>
          </w:p>
        </w:tc>
        <w:tc>
          <w:tcPr>
            <w:tcW w:w="340" w:type="dxa"/>
            <w:vAlign w:val="bottom"/>
          </w:tcPr>
          <w:p>
            <w:pPr>
              <w:spacing w:after="0"/>
              <w:rPr>
                <w:sz w:val="19"/>
                <w:szCs w:val="19"/>
                <w:color w:val="auto"/>
              </w:rPr>
            </w:pPr>
          </w:p>
        </w:tc>
        <w:tc>
          <w:tcPr>
            <w:tcW w:w="13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0.024</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new investors in this offering</w:t>
            </w: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0.174</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foregoing illustration does not reflect the potential dilution from (i) the exercise of pre-funded warrants to purchase up to 2,105,000 shares of Common Stock and (ii) the exercise of outstanding options or warrants to purchase shares of our Common Stock.</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Assuming all of the pre-funded warrants to purchase up to 2,105,000 shares of Common Stock were immediately exercised for cash at an exercise price of $0.01 per share, our as adjusted net tangible book value as of September 30, 2019 would be $1,388,769, or $0.025 per share of Common Stock. This amount represents an immediate increase in as adjusted net tangible book value of $0.001 per share to our existing stockholders and an immediate dilution of $0.173 per share to investors participating in this offering.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DESCRIPTION OF THE SECURITIES WE ARE OFFERING</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offering shares of our Common Stock and pre-funded warrants. The following description of our Common Stock and pre-funded warrants summarizes the material terms and provisions thereof, including the material terms of the Common Stock and pre-funded warrants we are offering under this prospectus supplement and the accompanying prospectus.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“Description of Common Stock” on page 9 of the accompanying prospectus for a description of the material terms of our Common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Pre-Funded Warrants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The following summary of certain terms and provisions of pre-funded warrants that are being offered hereby is not complete and is subject to, and qualified in its entirety by, the provisions of the pre-funded warrant, the form of which is filed as an exhibit to our Current Report on Form 8-K filed with the SEC on March 26, 2020. Prospective investors should carefully review the terms and provisions of the form of pre-funded warrant for a complete description of the terms and conditions of the pre-funded warrants.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Duration and Exercise Price. </w:t>
      </w:r>
      <w:r>
        <w:rPr>
          <w:rFonts w:ascii="Arial" w:cs="Arial" w:eastAsia="Arial" w:hAnsi="Arial"/>
          <w:sz w:val="18"/>
          <w:szCs w:val="18"/>
          <w:color w:val="auto"/>
        </w:rPr>
        <w:t>Each pre-funded warrant offered hereby has an initial exercise price per share equal to $0.01. The pre-funded warrants are</w:t>
      </w:r>
      <w:r>
        <w:rPr>
          <w:rFonts w:ascii="Arial" w:cs="Arial" w:eastAsia="Arial" w:hAnsi="Arial"/>
          <w:sz w:val="18"/>
          <w:szCs w:val="18"/>
          <w:i w:val="1"/>
          <w:iCs w:val="1"/>
          <w:color w:val="auto"/>
        </w:rPr>
        <w:t xml:space="preserve"> </w:t>
      </w:r>
      <w:r>
        <w:rPr>
          <w:rFonts w:ascii="Arial" w:cs="Arial" w:eastAsia="Arial" w:hAnsi="Arial"/>
          <w:sz w:val="18"/>
          <w:szCs w:val="18"/>
          <w:color w:val="auto"/>
        </w:rPr>
        <w:t>immediately exercisable and may be exercised at any time until the pre-funded warrants are exercised in full. The exercise price and number of shares of Common Stock issuable upon exercise is subject to appropriate adjustment in the event of stock dividends, stock splits, reorganizations or similar events affecting our Common Stock and the exercise price.</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Exercisability. </w:t>
      </w:r>
      <w:r>
        <w:rPr>
          <w:rFonts w:ascii="Arial" w:cs="Arial" w:eastAsia="Arial" w:hAnsi="Arial"/>
          <w:sz w:val="17"/>
          <w:szCs w:val="17"/>
          <w:color w:val="auto"/>
        </w:rPr>
        <w:t>The pre-funded warrants are exercisable, at the option of each holder, in whole or in part, by delivering to us a duly executed exercise notice</w:t>
      </w:r>
      <w:r>
        <w:rPr>
          <w:rFonts w:ascii="Arial" w:cs="Arial" w:eastAsia="Arial" w:hAnsi="Arial"/>
          <w:sz w:val="17"/>
          <w:szCs w:val="17"/>
          <w:i w:val="1"/>
          <w:iCs w:val="1"/>
          <w:color w:val="auto"/>
        </w:rPr>
        <w:t xml:space="preserve"> </w:t>
      </w:r>
      <w:r>
        <w:rPr>
          <w:rFonts w:ascii="Arial" w:cs="Arial" w:eastAsia="Arial" w:hAnsi="Arial"/>
          <w:sz w:val="17"/>
          <w:szCs w:val="17"/>
          <w:color w:val="auto"/>
        </w:rPr>
        <w:t>accompanied by payment in full for the number of shares of our Common Stock purchased upon such exercise (except in the case of a cashless exercise as discussed below). Purchasers of the pre-funded warrants in this offering may elect to deliver their exercise notice following the pricing of the offering and prior to the issuance of the pre-funded warrants at closing to have their pre-funded warrants exercised immediately upon issuance and receive shares of Common Stock underlying the pre-funded warrants upon closing of this offering. A holder (together with its affiliates) may not exercise any portion of the pre-funded warrant to the extent that the holder would own more than 4.99% of the outstanding Common Stock immediately after exercise, except that upon at least 61 days’ prior notice from the holder to us, the holder may increase the amount of ownership of outstanding Common Stock after exercising the holder’s pre-funded warrants up to 9.99% of the number of shares of our Common Stock outstanding immediately after giving effect to the exercise, as such percentage ownership is determined in accordance with the terms of the pre-funded warrants. Purchasers of pre-funded warrants in this offering may also elect prior to the issuance of the pre-funded warrants to have the initial exercise limitation set at 9.99% of our outstanding Common Stock. No fractional shares of Common Stock will be issued in connection with the exercise of a pre-funded warrant. In lieu of fractional shares, we will round down to the next whole share.</w:t>
      </w:r>
    </w:p>
    <w:p>
      <w:pPr>
        <w:spacing w:after="0" w:line="17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Cashless Exercise. </w:t>
      </w:r>
      <w:r>
        <w:rPr>
          <w:rFonts w:ascii="Arial" w:cs="Arial" w:eastAsia="Arial" w:hAnsi="Arial"/>
          <w:sz w:val="16"/>
          <w:szCs w:val="16"/>
          <w:color w:val="auto"/>
        </w:rPr>
        <w:t>If, at the time a holder exercises its pre-funded warrants, a registration statement registering the issuance of the shares of Common Stock</w:t>
      </w:r>
      <w:r>
        <w:rPr>
          <w:rFonts w:ascii="Arial" w:cs="Arial" w:eastAsia="Arial" w:hAnsi="Arial"/>
          <w:sz w:val="16"/>
          <w:szCs w:val="16"/>
          <w:i w:val="1"/>
          <w:iCs w:val="1"/>
          <w:color w:val="auto"/>
        </w:rPr>
        <w:t xml:space="preserve"> </w:t>
      </w:r>
      <w:r>
        <w:rPr>
          <w:rFonts w:ascii="Arial" w:cs="Arial" w:eastAsia="Arial" w:hAnsi="Arial"/>
          <w:sz w:val="16"/>
          <w:szCs w:val="16"/>
          <w:color w:val="auto"/>
        </w:rPr>
        <w:t>underlying the pre-funded warrants under the Securities Act is not then effective or available, then in lieu of making the cash payment otherwise contemplated to be made to us upon such exercise in payment of the aggregate exercise price, the holder may elect instead to receive upon such exercise (either in whole or in part) the net number of shares of Common Stock determined according to a formula set forth in the pre-funded warrants.</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Transferability. </w:t>
      </w:r>
      <w:r>
        <w:rPr>
          <w:rFonts w:ascii="Arial" w:cs="Arial" w:eastAsia="Arial" w:hAnsi="Arial"/>
          <w:sz w:val="18"/>
          <w:szCs w:val="18"/>
          <w:color w:val="auto"/>
        </w:rPr>
        <w:t>Subject to applicable laws, a pre-funded warrant may be transferred at the option of the holder upon surrender of the pre-funded warrant to</w:t>
      </w:r>
      <w:r>
        <w:rPr>
          <w:rFonts w:ascii="Arial" w:cs="Arial" w:eastAsia="Arial" w:hAnsi="Arial"/>
          <w:sz w:val="18"/>
          <w:szCs w:val="18"/>
          <w:i w:val="1"/>
          <w:iCs w:val="1"/>
          <w:color w:val="auto"/>
        </w:rPr>
        <w:t xml:space="preserve"> </w:t>
      </w:r>
      <w:r>
        <w:rPr>
          <w:rFonts w:ascii="Arial" w:cs="Arial" w:eastAsia="Arial" w:hAnsi="Arial"/>
          <w:sz w:val="18"/>
          <w:szCs w:val="18"/>
          <w:color w:val="auto"/>
        </w:rPr>
        <w:t>us together with the appropriate instruments of transfer.</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Exchange Listing. </w:t>
      </w:r>
      <w:r>
        <w:rPr>
          <w:rFonts w:ascii="Arial" w:cs="Arial" w:eastAsia="Arial" w:hAnsi="Arial"/>
          <w:sz w:val="18"/>
          <w:szCs w:val="18"/>
          <w:color w:val="auto"/>
        </w:rPr>
        <w:t>There is no trading market available for the pre-funded warrants on any securities exchange or nationally recognized trading system. We</w:t>
      </w:r>
      <w:r>
        <w:rPr>
          <w:rFonts w:ascii="Arial" w:cs="Arial" w:eastAsia="Arial" w:hAnsi="Arial"/>
          <w:sz w:val="18"/>
          <w:szCs w:val="18"/>
          <w:i w:val="1"/>
          <w:iCs w:val="1"/>
          <w:color w:val="auto"/>
        </w:rPr>
        <w:t xml:space="preserve"> </w:t>
      </w:r>
      <w:r>
        <w:rPr>
          <w:rFonts w:ascii="Arial" w:cs="Arial" w:eastAsia="Arial" w:hAnsi="Arial"/>
          <w:sz w:val="18"/>
          <w:szCs w:val="18"/>
          <w:color w:val="auto"/>
        </w:rPr>
        <w:t>do not intend to list the pre-funded warrants on any securities exchange or nationally recognized trading system.</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jc w:val="both"/>
        <w:spacing w:after="0" w:line="263" w:lineRule="auto"/>
        <w:rPr>
          <w:sz w:val="20"/>
          <w:szCs w:val="20"/>
          <w:color w:val="auto"/>
        </w:rPr>
      </w:pPr>
      <w:r>
        <w:rPr>
          <w:rFonts w:ascii="Arial" w:cs="Arial" w:eastAsia="Arial" w:hAnsi="Arial"/>
          <w:sz w:val="18"/>
          <w:szCs w:val="18"/>
          <w:i w:val="1"/>
          <w:iCs w:val="1"/>
          <w:color w:val="auto"/>
        </w:rPr>
        <w:t>Right as a Stockholder</w:t>
      </w:r>
      <w:r>
        <w:rPr>
          <w:rFonts w:ascii="Arial" w:cs="Arial" w:eastAsia="Arial" w:hAnsi="Arial"/>
          <w:sz w:val="18"/>
          <w:szCs w:val="18"/>
          <w:color w:val="auto"/>
        </w:rPr>
        <w:t>. Except as otherwise provided in the pre-funded warrants or by virtue of such holder’s ownership of shares of our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the holders of the pre-funded warrants do not have the rights or privileges of holders of our Common Stock, including any voting rights, until they exercise their pre-funded warrants.</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Fundamental Transaction. </w:t>
      </w:r>
      <w:r>
        <w:rPr>
          <w:rFonts w:ascii="Arial" w:cs="Arial" w:eastAsia="Arial" w:hAnsi="Arial"/>
          <w:sz w:val="17"/>
          <w:szCs w:val="17"/>
          <w:color w:val="auto"/>
        </w:rPr>
        <w:t>In the event of a fundamental transaction, as described in the pre-funded warrants and generally including any reorganization,</w:t>
      </w:r>
      <w:r>
        <w:rPr>
          <w:rFonts w:ascii="Arial" w:cs="Arial" w:eastAsia="Arial" w:hAnsi="Arial"/>
          <w:sz w:val="17"/>
          <w:szCs w:val="17"/>
          <w:i w:val="1"/>
          <w:iCs w:val="1"/>
          <w:color w:val="auto"/>
        </w:rPr>
        <w:t xml:space="preserve"> </w:t>
      </w:r>
      <w:r>
        <w:rPr>
          <w:rFonts w:ascii="Arial" w:cs="Arial" w:eastAsia="Arial" w:hAnsi="Arial"/>
          <w:sz w:val="17"/>
          <w:szCs w:val="17"/>
          <w:color w:val="auto"/>
        </w:rPr>
        <w:t>recapitalization or reclassification of our Common Stock, the sale, transfer or other disposition of all or substantially all of our properties or assets, our consolidation or merger with or into another person, the acquisition of more than 50% of our outstanding Common Stock, or any person or group becoming the beneficial owner of 50% of the voting power represented by our outstanding Common Stock, the holders of the pre-funded warrants will be entitled to receive upon exercise of the pre-funded warrants the kind and amount of securities, cash or other property that the holders would have received had they exercised the pre-funded warrants immediately prior to such fundamental transaction.</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engaged Palladium Capital Advisors LLC as a financial advisory consultant in connection with this offering. Palladium Capital Advisors LLC has no commitment to buy any of the securities. We will enter into a securities purchase agreement directly with investors in connection with this offering and we may not sell the entire amount of shares of our Common Stock and pre-funded warrants offered pursuant to this prospectus supplement. We will make offers only to a limited number of qualified institutional buyers and accredited investors.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agreed to indemnify the financial advisory consultant against specified liabilities relating to or arising out of the consultant’s activities as financial advisory consultant.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Expenses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agreed to pay the financial advisory consultant a cash fee equal to 8% of the aggregate gross proceeds from the offering. The following table shows the per share and total cash fees we will pay to the financial advisory consultant in connection with the sale of the shares of our Common Stock and Pre-Funded Warrants offered pursuant to this prospectus supplement and the accompanying prospectus, assuming the purchase of all of the shares and Pre-Funded Warrants offered hereby.</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Per Share of</w:t>
            </w:r>
          </w:p>
        </w:tc>
        <w:tc>
          <w:tcPr>
            <w:tcW w:w="10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Per Pre-Funded</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3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0"/>
              </w:rPr>
              <w:t>Common Stock</w:t>
            </w:r>
          </w:p>
        </w:tc>
        <w:tc>
          <w:tcPr>
            <w:tcW w:w="100" w:type="dxa"/>
            <w:vAlign w:val="bottom"/>
          </w:tcPr>
          <w:p>
            <w:pPr>
              <w:spacing w:after="0"/>
              <w:rPr>
                <w:sz w:val="20"/>
                <w:szCs w:val="20"/>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6"/>
              </w:rPr>
              <w:t>Warrant</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ind w:left="220"/>
              <w:spacing w:after="0"/>
              <w:rPr>
                <w:sz w:val="20"/>
                <w:szCs w:val="20"/>
                <w:color w:val="auto"/>
              </w:rPr>
            </w:pPr>
            <w:r>
              <w:rPr>
                <w:rFonts w:ascii="Arial" w:cs="Arial" w:eastAsia="Arial" w:hAnsi="Arial"/>
                <w:sz w:val="18"/>
                <w:szCs w:val="18"/>
                <w:b w:val="1"/>
                <w:bCs w:val="1"/>
                <w:color w:val="auto"/>
              </w:rPr>
              <w:t>Total</w:t>
            </w:r>
          </w:p>
        </w:tc>
      </w:tr>
      <w:tr>
        <w:trPr>
          <w:trHeight w:val="209"/>
        </w:trPr>
        <w:tc>
          <w:tcPr>
            <w:tcW w:w="4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20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Advisory fees(1)</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0.016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0.0152</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160,000</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0.184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0.1748</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1,840,000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We estimate that the total expenses of the offering payable by us, excluding the financial advisory consultant fees, will be approximately $100,000.</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legal matters relating to the issuance of the securities offered by this prospectus supplement will be passed upon for us by Mintz, Levin, Cohn, Ferris, Glovsky and Popeo, P.C., New York, New York.</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spacing w:after="0" w:line="301" w:lineRule="auto"/>
        <w:rPr>
          <w:rFonts w:ascii="Arial" w:cs="Arial" w:eastAsia="Arial" w:hAnsi="Arial"/>
          <w:sz w:val="16"/>
          <w:szCs w:val="16"/>
          <w:color w:val="auto"/>
        </w:rPr>
      </w:pPr>
      <w:r>
        <w:rPr>
          <w:rFonts w:ascii="Arial" w:cs="Arial" w:eastAsia="Arial" w:hAnsi="Arial"/>
          <w:sz w:val="16"/>
          <w:szCs w:val="16"/>
          <w:color w:val="auto"/>
        </w:rPr>
        <w:t xml:space="preserve">Our consolidated financial statements appearing in our Annual Report on </w:t>
      </w:r>
      <w:hyperlink r:id="rId29">
        <w:r>
          <w:rPr>
            <w:rFonts w:ascii="Arial" w:cs="Arial" w:eastAsia="Arial" w:hAnsi="Arial"/>
            <w:sz w:val="16"/>
            <w:szCs w:val="16"/>
            <w:u w:val="single" w:color="auto"/>
            <w:color w:val="0000EE"/>
          </w:rPr>
          <w:t>Form 10-K</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the year ended December 31, 2018 have been audited by CohnReznick LLP, an independent registered public accounting firm, as stated in their report, which is incorporated herein by reference. Such consolidated financial statements have been so incorporated in reliance upon the report of such firm (which report expresses an unqualified opinion and includes an explanatory paragraph regarding the Company’s going concern uncertainty) given upon their authority as experts in auditing and accounting.</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 xml:space="preserve">We file annual, quarterly and other periodic reports, proxy statements and other information with the SEC. You can read our SEC filings over the Internet at the SEC’s website at </w:t>
      </w:r>
      <w:r>
        <w:rPr>
          <w:rFonts w:ascii="Arial" w:cs="Arial" w:eastAsia="Arial" w:hAnsi="Arial"/>
          <w:sz w:val="16"/>
          <w:szCs w:val="16"/>
          <w:i w:val="1"/>
          <w:iCs w:val="1"/>
          <w:color w:val="auto"/>
        </w:rPr>
        <w:t>www.sec.gov</w:t>
      </w:r>
      <w:r>
        <w:rPr>
          <w:rFonts w:ascii="Arial" w:cs="Arial" w:eastAsia="Arial" w:hAnsi="Arial"/>
          <w:sz w:val="16"/>
          <w:szCs w:val="16"/>
          <w:color w:val="auto"/>
        </w:rPr>
        <w:t>. You may also read and copy any document we file with the SEC at its public reference facilities at 100 F Street NE, Washington, D.C. 20549. You may also obtain copies of these documents at prescribed rates by writing to the Public Reference Section of the SEC at 100 F Street NE, Washington, D.C. 20549. Please call the SEC at 1-800-SEC-0330 for further information on the operation of the public reference facilities.</w:t>
      </w:r>
    </w:p>
    <w:p>
      <w:pPr>
        <w:spacing w:after="0" w:line="15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Internet address is www.xpresspa.com. There we make available free of charge, on or through the investor relations section of our website, annual reports on Form 10-K, quarterly reports on Form 10-Q, current reports on Form 8-K and amendments to those reports filed pursuant to Section 13(a) or 15(d) of the Securities Exchange Act of 1934, as amended (the “Exchange Act”), as soon as reasonably practicable after we electronically file such material with the SEC. The information found on our website is not part of this prospectus supplement or the accompanying prospectus.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“incorporating by reference” specific documents that we file with the SEC, which means that we can disclose important information to you by referring you to those documents that are considered part of this prospectus supplement and the accompanying prospectus. Information that we file subsequently with the SEC will automatically update and supersede this information. We incorporate by reference the documents listed below, and any documents that we file with the SEC under Section 13(a), 13(c), 14 or 15(d) of the Exchange Act, after the date of this prospectus supplement until the termination of the offering of all of the securities registered pursuant to the registration statement of which the accompanying prospectus is a part (excluding any portions of such documents that have been “furnished” but not “filed” for purposes of the Exchange Act):</w:t>
      </w:r>
    </w:p>
    <w:p>
      <w:pPr>
        <w:spacing w:after="0" w:line="178" w:lineRule="exact"/>
        <w:rPr>
          <w:sz w:val="20"/>
          <w:szCs w:val="20"/>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0000EE"/>
        </w:rPr>
      </w:pPr>
      <w:hyperlink r:id="rId31">
        <w:r>
          <w:rPr>
            <w:rFonts w:ascii="Arial" w:cs="Arial" w:eastAsia="Arial" w:hAnsi="Arial"/>
            <w:sz w:val="18"/>
            <w:szCs w:val="18"/>
            <w:color w:val="auto"/>
          </w:rPr>
          <w:t xml:space="preserve">our Annual Report on </w:t>
        </w:r>
        <w:r>
          <w:rPr>
            <w:rFonts w:ascii="Arial" w:cs="Arial" w:eastAsia="Arial" w:hAnsi="Arial"/>
            <w:sz w:val="18"/>
            <w:szCs w:val="18"/>
            <w:u w:val="single" w:color="auto"/>
            <w:color w:val="0000EE"/>
          </w:rPr>
          <w:t>Form 10-K</w:t>
        </w:r>
        <w:r>
          <w:rPr>
            <w:rFonts w:ascii="Arial" w:cs="Arial" w:eastAsia="Arial" w:hAnsi="Arial"/>
            <w:sz w:val="18"/>
            <w:szCs w:val="18"/>
            <w:color w:val="auto"/>
          </w:rPr>
          <w:t xml:space="preserve"> for the year ended December 31, 2018, filed with the SEC on April 1, 2019 and </w:t>
        </w:r>
        <w:r>
          <w:rPr>
            <w:rFonts w:ascii="Arial" w:cs="Arial" w:eastAsia="Arial" w:hAnsi="Arial"/>
            <w:sz w:val="18"/>
            <w:szCs w:val="18"/>
            <w:u w:val="single" w:color="auto"/>
            <w:color w:val="0000EE"/>
          </w:rPr>
          <w:t>Amendment No. 1 to our</w:t>
        </w:r>
      </w:hyperlink>
      <w:r>
        <w:rPr>
          <w:rFonts w:ascii="Arial" w:cs="Arial" w:eastAsia="Arial" w:hAnsi="Arial"/>
          <w:sz w:val="18"/>
          <w:szCs w:val="18"/>
          <w:color w:val="auto"/>
        </w:rPr>
        <w:t xml:space="preserve"> </w:t>
      </w:r>
      <w:hyperlink r:id="rId31">
        <w:r>
          <w:rPr>
            <w:rFonts w:ascii="Arial" w:cs="Arial" w:eastAsia="Arial" w:hAnsi="Arial"/>
            <w:sz w:val="18"/>
            <w:szCs w:val="18"/>
            <w:u w:val="single" w:color="auto"/>
            <w:color w:val="0000EE"/>
          </w:rPr>
          <w:t>Annual Report on Form 10-K</w:t>
        </w:r>
        <w:r>
          <w:rPr>
            <w:rFonts w:ascii="Arial" w:cs="Arial" w:eastAsia="Arial" w:hAnsi="Arial"/>
            <w:sz w:val="18"/>
            <w:szCs w:val="18"/>
            <w:color w:val="0000EE"/>
          </w:rPr>
          <w:t xml:space="preserve"> </w:t>
        </w:r>
        <w:r>
          <w:rPr>
            <w:rFonts w:ascii="Arial" w:cs="Arial" w:eastAsia="Arial" w:hAnsi="Arial"/>
            <w:sz w:val="18"/>
            <w:szCs w:val="18"/>
            <w:color w:val="000000"/>
          </w:rPr>
          <w:t>for the year ended December 31, 2018 filed with the SEC on April 30, 2019;</w:t>
        </w:r>
      </w:hyperlink>
    </w:p>
    <w:p>
      <w:pPr>
        <w:spacing w:after="0" w:line="170" w:lineRule="exact"/>
        <w:rPr>
          <w:rFonts w:ascii="Arial" w:cs="Arial" w:eastAsia="Arial" w:hAnsi="Arial"/>
          <w:sz w:val="18"/>
          <w:szCs w:val="18"/>
          <w:color w:val="0000EE"/>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our Quarterly Reports on Form 10-Q for the quarters ended </w:t>
      </w:r>
      <w:hyperlink r:id="rId32">
        <w:r>
          <w:rPr>
            <w:rFonts w:ascii="Arial" w:cs="Arial" w:eastAsia="Arial" w:hAnsi="Arial"/>
            <w:sz w:val="18"/>
            <w:szCs w:val="18"/>
            <w:u w:val="single" w:color="auto"/>
            <w:color w:val="0000EE"/>
          </w:rPr>
          <w:t>March 31, 2019</w:t>
        </w:r>
      </w:hyperlink>
      <w:r>
        <w:rPr>
          <w:rFonts w:ascii="Arial" w:cs="Arial" w:eastAsia="Arial" w:hAnsi="Arial"/>
          <w:sz w:val="18"/>
          <w:szCs w:val="18"/>
          <w:color w:val="auto"/>
        </w:rPr>
        <w:t xml:space="preserve">, </w:t>
      </w:r>
      <w:hyperlink r:id="rId33">
        <w:r>
          <w:rPr>
            <w:rFonts w:ascii="Arial" w:cs="Arial" w:eastAsia="Arial" w:hAnsi="Arial"/>
            <w:sz w:val="18"/>
            <w:szCs w:val="18"/>
            <w:u w:val="single" w:color="auto"/>
            <w:color w:val="0000EE"/>
          </w:rPr>
          <w:t>June 30,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34">
        <w:r>
          <w:rPr>
            <w:rFonts w:ascii="Arial" w:cs="Arial" w:eastAsia="Arial" w:hAnsi="Arial"/>
            <w:sz w:val="18"/>
            <w:szCs w:val="18"/>
            <w:u w:val="single" w:color="auto"/>
            <w:color w:val="0000EE"/>
          </w:rPr>
          <w:t>September 30, 2019</w:t>
        </w:r>
      </w:hyperlink>
      <w:r>
        <w:rPr>
          <w:rFonts w:ascii="Arial" w:cs="Arial" w:eastAsia="Arial" w:hAnsi="Arial"/>
          <w:sz w:val="18"/>
          <w:szCs w:val="18"/>
          <w:color w:val="auto"/>
        </w:rPr>
        <w:t>, filed on May 15, 2019, August 14, 2019 and November 14, 2019, respectively;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our definitive </w:t>
      </w:r>
      <w:hyperlink r:id="rId35">
        <w:r>
          <w:rPr>
            <w:rFonts w:ascii="Arial" w:cs="Arial" w:eastAsia="Arial" w:hAnsi="Arial"/>
            <w:sz w:val="18"/>
            <w:szCs w:val="18"/>
            <w:u w:val="single" w:color="auto"/>
            <w:color w:val="0000EE"/>
          </w:rPr>
          <w:t>Proxy Statement</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relating to our 2019 annual meeting of stockholders filed on August 12, 2019;</w:t>
      </w:r>
    </w:p>
    <w:p>
      <w:pPr>
        <w:spacing w:after="0" w:line="225"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6"/>
        </w:numPr>
        <w:rPr>
          <w:rFonts w:ascii="Arial" w:cs="Arial" w:eastAsia="Arial" w:hAnsi="Arial"/>
          <w:sz w:val="18"/>
          <w:szCs w:val="18"/>
          <w:color w:val="0000EE"/>
        </w:rPr>
      </w:pPr>
      <w:r>
        <w:rPr>
          <w:rFonts w:ascii="Arial" w:cs="Arial" w:eastAsia="Arial" w:hAnsi="Arial"/>
          <w:sz w:val="18"/>
          <w:szCs w:val="18"/>
          <w:color w:val="auto"/>
        </w:rPr>
        <w:t xml:space="preserve">our Current Reports on Form 8-K, filed with the SEC on </w:t>
      </w:r>
      <w:hyperlink r:id="rId36">
        <w:r>
          <w:rPr>
            <w:rFonts w:ascii="Arial" w:cs="Arial" w:eastAsia="Arial" w:hAnsi="Arial"/>
            <w:sz w:val="18"/>
            <w:szCs w:val="18"/>
            <w:u w:val="single" w:color="auto"/>
            <w:color w:val="0000EE"/>
          </w:rPr>
          <w:t>February 13, 2019</w:t>
        </w:r>
      </w:hyperlink>
      <w:r>
        <w:rPr>
          <w:rFonts w:ascii="Arial" w:cs="Arial" w:eastAsia="Arial" w:hAnsi="Arial"/>
          <w:sz w:val="18"/>
          <w:szCs w:val="18"/>
          <w:color w:val="auto"/>
        </w:rPr>
        <w:t xml:space="preserve">, </w:t>
      </w:r>
      <w:hyperlink r:id="rId37">
        <w:r>
          <w:rPr>
            <w:rFonts w:ascii="Arial" w:cs="Arial" w:eastAsia="Arial" w:hAnsi="Arial"/>
            <w:sz w:val="18"/>
            <w:szCs w:val="18"/>
            <w:u w:val="single" w:color="auto"/>
            <w:color w:val="0000EE"/>
          </w:rPr>
          <w:t>February 22, 2019</w:t>
        </w:r>
      </w:hyperlink>
      <w:r>
        <w:rPr>
          <w:rFonts w:ascii="Arial" w:cs="Arial" w:eastAsia="Arial" w:hAnsi="Arial"/>
          <w:sz w:val="18"/>
          <w:szCs w:val="18"/>
          <w:color w:val="auto"/>
        </w:rPr>
        <w:t xml:space="preserve">, </w:t>
      </w:r>
      <w:hyperlink r:id="rId38">
        <w:r>
          <w:rPr>
            <w:rFonts w:ascii="Arial" w:cs="Arial" w:eastAsia="Arial" w:hAnsi="Arial"/>
            <w:sz w:val="18"/>
            <w:szCs w:val="18"/>
            <w:u w:val="single" w:color="auto"/>
            <w:color w:val="0000EE"/>
          </w:rPr>
          <w:t>March 15, 2019</w:t>
        </w:r>
      </w:hyperlink>
      <w:r>
        <w:rPr>
          <w:rFonts w:ascii="Arial" w:cs="Arial" w:eastAsia="Arial" w:hAnsi="Arial"/>
          <w:sz w:val="18"/>
          <w:szCs w:val="18"/>
          <w:color w:val="auto"/>
        </w:rPr>
        <w:t xml:space="preserve">, </w:t>
      </w:r>
      <w:hyperlink r:id="rId39">
        <w:r>
          <w:rPr>
            <w:rFonts w:ascii="Arial" w:cs="Arial" w:eastAsia="Arial" w:hAnsi="Arial"/>
            <w:sz w:val="18"/>
            <w:szCs w:val="18"/>
            <w:u w:val="single" w:color="auto"/>
            <w:color w:val="0000EE"/>
          </w:rPr>
          <w:t>March 22, 2019</w:t>
        </w:r>
      </w:hyperlink>
      <w:r>
        <w:rPr>
          <w:rFonts w:ascii="Arial" w:cs="Arial" w:eastAsia="Arial" w:hAnsi="Arial"/>
          <w:sz w:val="18"/>
          <w:szCs w:val="18"/>
          <w:color w:val="auto"/>
        </w:rPr>
        <w:t xml:space="preserve">, </w:t>
      </w:r>
      <w:hyperlink r:id="rId40">
        <w:r>
          <w:rPr>
            <w:rFonts w:ascii="Arial" w:cs="Arial" w:eastAsia="Arial" w:hAnsi="Arial"/>
            <w:sz w:val="18"/>
            <w:szCs w:val="18"/>
            <w:u w:val="single" w:color="auto"/>
            <w:color w:val="0000EE"/>
          </w:rPr>
          <w:t>April 30, 2019</w:t>
        </w:r>
      </w:hyperlink>
      <w:r>
        <w:rPr>
          <w:rFonts w:ascii="Arial" w:cs="Arial" w:eastAsia="Arial" w:hAnsi="Arial"/>
          <w:sz w:val="18"/>
          <w:szCs w:val="18"/>
          <w:color w:val="auto"/>
        </w:rPr>
        <w:t xml:space="preserve">, </w:t>
      </w:r>
      <w:hyperlink r:id="rId41">
        <w:r>
          <w:rPr>
            <w:rFonts w:ascii="Arial" w:cs="Arial" w:eastAsia="Arial" w:hAnsi="Arial"/>
            <w:sz w:val="18"/>
            <w:szCs w:val="18"/>
            <w:u w:val="single" w:color="auto"/>
            <w:color w:val="0000EE"/>
          </w:rPr>
          <w:t>May 17, 2019</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June 17, 2019</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June 27, 2019</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July 8, 2019</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August 26, 2019</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September 6, 2019</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October 3, 2019</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January 3, 2020</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January 14,</w:t>
        </w:r>
      </w:hyperlink>
      <w:r>
        <w:rPr>
          <w:rFonts w:ascii="Arial" w:cs="Arial" w:eastAsia="Arial" w:hAnsi="Arial"/>
          <w:sz w:val="18"/>
          <w:szCs w:val="18"/>
          <w:color w:val="0000EE"/>
        </w:rPr>
        <w:t xml:space="preserve"> </w:t>
      </w:r>
      <w:hyperlink r:id="rId41">
        <w:r>
          <w:rPr>
            <w:rFonts w:ascii="Arial" w:cs="Arial" w:eastAsia="Arial" w:hAnsi="Arial"/>
            <w:sz w:val="18"/>
            <w:szCs w:val="18"/>
            <w:u w:val="single" w:color="auto"/>
            <w:color w:val="0000EE"/>
          </w:rPr>
          <w:t>2020</w:t>
        </w:r>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42">
        <w:r>
          <w:rPr>
            <w:rFonts w:ascii="Arial" w:cs="Arial" w:eastAsia="Arial" w:hAnsi="Arial"/>
            <w:sz w:val="18"/>
            <w:szCs w:val="18"/>
            <w:u w:val="single" w:color="auto"/>
            <w:color w:val="0000EE"/>
          </w:rPr>
          <w:t>February 3, 2020</w:t>
        </w:r>
      </w:hyperlink>
      <w:hyperlink r:id="rId41">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43">
        <w:r>
          <w:rPr>
            <w:rFonts w:ascii="Arial" w:cs="Arial" w:eastAsia="Arial" w:hAnsi="Arial"/>
            <w:sz w:val="18"/>
            <w:szCs w:val="18"/>
            <w:u w:val="single" w:color="auto"/>
            <w:color w:val="0000EE"/>
          </w:rPr>
          <w:t>March 6, 2020</w:t>
        </w:r>
      </w:hyperlink>
      <w:hyperlink r:id="rId41">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44">
        <w:r>
          <w:rPr>
            <w:rFonts w:ascii="Arial" w:cs="Arial" w:eastAsia="Arial" w:hAnsi="Arial"/>
            <w:sz w:val="18"/>
            <w:szCs w:val="18"/>
            <w:u w:val="single" w:color="auto"/>
            <w:color w:val="0000EE"/>
          </w:rPr>
          <w:t xml:space="preserve">March 19, 2020, </w:t>
        </w:r>
      </w:hyperlink>
      <w:hyperlink r:id="rId45">
        <w:r>
          <w:rPr>
            <w:rFonts w:ascii="Arial" w:cs="Arial" w:eastAsia="Arial" w:hAnsi="Arial"/>
            <w:sz w:val="18"/>
            <w:szCs w:val="18"/>
            <w:u w:val="single" w:color="auto"/>
            <w:color w:val="0000EE"/>
          </w:rPr>
          <w:t xml:space="preserve">March 26, 2020 </w:t>
        </w:r>
      </w:hyperlink>
      <w:hyperlink r:id="rId41">
        <w:r>
          <w:rPr>
            <w:rFonts w:ascii="Arial" w:cs="Arial" w:eastAsia="Arial" w:hAnsi="Arial"/>
            <w:sz w:val="18"/>
            <w:szCs w:val="18"/>
            <w:color w:val="000000"/>
          </w:rPr>
          <w:t>and</w:t>
        </w:r>
        <w:r>
          <w:rPr>
            <w:rFonts w:ascii="Arial" w:cs="Arial" w:eastAsia="Arial" w:hAnsi="Arial"/>
            <w:sz w:val="18"/>
            <w:szCs w:val="18"/>
            <w:color w:val="0000EE"/>
          </w:rPr>
          <w:t xml:space="preserve"> </w:t>
        </w:r>
      </w:hyperlink>
      <w:hyperlink r:id="rId46">
        <w:r>
          <w:rPr>
            <w:rFonts w:ascii="Arial" w:cs="Arial" w:eastAsia="Arial" w:hAnsi="Arial"/>
            <w:sz w:val="18"/>
            <w:szCs w:val="18"/>
            <w:u w:val="single" w:color="auto"/>
            <w:color w:val="0000EE"/>
          </w:rPr>
          <w:t xml:space="preserve">March 30, 2020 </w:t>
        </w:r>
      </w:hyperlink>
      <w:hyperlink r:id="rId41">
        <w:r>
          <w:rPr>
            <w:rFonts w:ascii="Arial" w:cs="Arial" w:eastAsia="Arial" w:hAnsi="Arial"/>
            <w:sz w:val="18"/>
            <w:szCs w:val="18"/>
            <w:color w:val="000000"/>
          </w:rPr>
          <w:t>(</w:t>
        </w:r>
      </w:hyperlink>
      <w:hyperlink r:id="rId47">
        <w:r>
          <w:rPr>
            <w:rFonts w:ascii="Arial" w:cs="Arial" w:eastAsia="Arial" w:hAnsi="Arial"/>
            <w:sz w:val="18"/>
            <w:szCs w:val="18"/>
            <w:u w:val="single" w:color="auto"/>
            <w:color w:val="0000EE"/>
          </w:rPr>
          <w:t>two reports</w:t>
        </w:r>
      </w:hyperlink>
      <w:hyperlink r:id="rId41">
        <w:r>
          <w:rPr>
            <w:rFonts w:ascii="Arial" w:cs="Arial" w:eastAsia="Arial" w:hAnsi="Arial"/>
            <w:sz w:val="18"/>
            <w:szCs w:val="18"/>
            <w:color w:val="000000"/>
          </w:rPr>
          <w:t>) (except for the information furnished</w:t>
        </w:r>
      </w:hyperlink>
      <w:r>
        <w:rPr>
          <w:rFonts w:ascii="Arial" w:cs="Arial" w:eastAsia="Arial" w:hAnsi="Arial"/>
          <w:sz w:val="18"/>
          <w:szCs w:val="18"/>
          <w:color w:val="0000EE"/>
        </w:rPr>
        <w:t xml:space="preserve"> </w:t>
      </w:r>
      <w:r>
        <w:rPr>
          <w:rFonts w:ascii="Arial" w:cs="Arial" w:eastAsia="Arial" w:hAnsi="Arial"/>
          <w:sz w:val="18"/>
          <w:szCs w:val="18"/>
          <w:color w:val="000000"/>
        </w:rPr>
        <w:t>under Items 2.02 or 7.01 and the exhibits furnished thereto); and</w:t>
      </w:r>
    </w:p>
    <w:p>
      <w:pPr>
        <w:spacing w:after="0" w:line="186" w:lineRule="exact"/>
        <w:rPr>
          <w:rFonts w:ascii="Arial" w:cs="Arial" w:eastAsia="Arial" w:hAnsi="Arial"/>
          <w:sz w:val="18"/>
          <w:szCs w:val="18"/>
          <w:color w:val="0000EE"/>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set forth in our registration statement on Form </w:t>
      </w:r>
      <w:hyperlink r:id="rId48">
        <w:r>
          <w:rPr>
            <w:rFonts w:ascii="Arial" w:cs="Arial" w:eastAsia="Arial" w:hAnsi="Arial"/>
            <w:sz w:val="18"/>
            <w:szCs w:val="18"/>
            <w:u w:val="single" w:color="auto"/>
            <w:color w:val="0000EE"/>
          </w:rPr>
          <w:t>8-A</w:t>
        </w:r>
      </w:hyperlink>
      <w:r>
        <w:rPr>
          <w:rFonts w:ascii="Arial" w:cs="Arial" w:eastAsia="Arial" w:hAnsi="Arial"/>
          <w:sz w:val="18"/>
          <w:szCs w:val="18"/>
          <w:color w:val="auto"/>
        </w:rPr>
        <w:t>, filed with the SEC on April 29, 2013, including any further amendments thereto or reports filed for the purposes of updating this description.</w:t>
      </w:r>
    </w:p>
    <w:p>
      <w:pPr>
        <w:spacing w:after="0" w:line="170" w:lineRule="exact"/>
        <w:rPr>
          <w:rFonts w:ascii="Arial" w:cs="Arial" w:eastAsia="Arial" w:hAnsi="Arial"/>
          <w:sz w:val="18"/>
          <w:szCs w:val="18"/>
          <w:color w:val="0000EE"/>
        </w:rPr>
      </w:pPr>
    </w:p>
    <w:p>
      <w:pPr>
        <w:spacing w:after="0"/>
        <w:rPr>
          <w:sz w:val="20"/>
          <w:szCs w:val="20"/>
          <w:color w:val="auto"/>
        </w:rPr>
      </w:pPr>
      <w:r>
        <w:rPr>
          <w:rFonts w:ascii="Arial" w:cs="Arial" w:eastAsia="Arial" w:hAnsi="Arial"/>
          <w:sz w:val="16"/>
          <w:szCs w:val="16"/>
          <w:color w:val="auto"/>
        </w:rPr>
        <w:t>You may request, orally or in writing, a copy of these documents, which will be provided to you at no cost, by contacting XpresSpa Group, Inc., 254 West</w:t>
      </w:r>
    </w:p>
    <w:p>
      <w:pPr>
        <w:spacing w:after="0" w:line="6" w:lineRule="exact"/>
        <w:rPr>
          <w:rFonts w:ascii="Arial" w:cs="Arial" w:eastAsia="Arial" w:hAnsi="Arial"/>
          <w:sz w:val="18"/>
          <w:szCs w:val="18"/>
          <w:color w:val="0000EE"/>
        </w:rPr>
      </w:pPr>
    </w:p>
    <w:p>
      <w:pPr>
        <w:spacing w:after="0"/>
        <w:rPr>
          <w:sz w:val="20"/>
          <w:szCs w:val="20"/>
          <w:color w:val="auto"/>
        </w:rPr>
      </w:pPr>
      <w:r>
        <w:rPr>
          <w:rFonts w:ascii="Arial" w:cs="Arial" w:eastAsia="Arial" w:hAnsi="Arial"/>
          <w:sz w:val="16"/>
          <w:szCs w:val="16"/>
          <w:color w:val="auto"/>
        </w:rPr>
        <w:t>31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Street, 11</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New York, NY 10001 Attention: Investor Relations. The Investor Relations Department can be reached via telephone at (212) 838-</w:t>
      </w:r>
    </w:p>
    <w:p>
      <w:pPr>
        <w:spacing w:after="0"/>
        <w:rPr>
          <w:sz w:val="20"/>
          <w:szCs w:val="20"/>
          <w:color w:val="auto"/>
        </w:rPr>
      </w:pPr>
      <w:r>
        <w:rPr>
          <w:rFonts w:ascii="Arial" w:cs="Arial" w:eastAsia="Arial" w:hAnsi="Arial"/>
          <w:sz w:val="18"/>
          <w:szCs w:val="18"/>
          <w:color w:val="auto"/>
        </w:rPr>
        <w:t>3777.</w:t>
      </w:r>
    </w:p>
    <w:p>
      <w:pPr>
        <w:spacing w:after="0" w:line="209" w:lineRule="exact"/>
        <w:rPr>
          <w:rFonts w:ascii="Arial" w:cs="Arial" w:eastAsia="Arial" w:hAnsi="Arial"/>
          <w:sz w:val="18"/>
          <w:szCs w:val="18"/>
          <w:color w:val="0000EE"/>
        </w:rPr>
      </w:pPr>
    </w:p>
    <w:p>
      <w:pPr>
        <w:jc w:val="both"/>
        <w:spacing w:after="0" w:line="257" w:lineRule="auto"/>
        <w:rPr>
          <w:sz w:val="20"/>
          <w:szCs w:val="20"/>
          <w:color w:val="auto"/>
        </w:rPr>
      </w:pPr>
      <w:r>
        <w:rPr>
          <w:rFonts w:ascii="Arial" w:cs="Arial" w:eastAsia="Arial" w:hAnsi="Arial"/>
          <w:sz w:val="18"/>
          <w:szCs w:val="18"/>
          <w:color w:val="auto"/>
        </w:rPr>
        <w:t>Any statement contained herein or in a document incorporated or deemed to be incorporated by reference herein shall be deemed to be modified or superseded for purposes of this prospectus supplement and the accompanying prospectus to the extent that a statement contained herein or therein, in any other subsequently filed document that also is or is deemed to be incorporated by reference herein and in any accompanying prospectus supplement, modifies or supersedes such statement. Any statement so modified or superseded shall not be deemed, except as so modified and superseded, to constitute a part of this prospectus supplement.</w:t>
      </w:r>
    </w:p>
    <w:p>
      <w:pPr>
        <w:spacing w:after="0" w:line="188" w:lineRule="exact"/>
        <w:rPr>
          <w:rFonts w:ascii="Arial" w:cs="Arial" w:eastAsia="Arial" w:hAnsi="Arial"/>
          <w:sz w:val="18"/>
          <w:szCs w:val="18"/>
          <w:color w:val="0000EE"/>
        </w:rPr>
      </w:pPr>
    </w:p>
    <w:p>
      <w:pPr>
        <w:ind w:right="20"/>
        <w:spacing w:after="0" w:line="279" w:lineRule="auto"/>
        <w:rPr>
          <w:sz w:val="20"/>
          <w:szCs w:val="20"/>
          <w:color w:val="auto"/>
        </w:rPr>
      </w:pPr>
      <w:r>
        <w:rPr>
          <w:rFonts w:ascii="Arial" w:cs="Arial" w:eastAsia="Arial" w:hAnsi="Arial"/>
          <w:sz w:val="17"/>
          <w:szCs w:val="17"/>
          <w:color w:val="auto"/>
        </w:rPr>
        <w:t>Any statement made in this prospectus supplement and the accompanying prospectus concerning the contents of any contract, agreement or other document is only a summary of the actual contract, agreement or other document. If we have filed or incorporated by reference any contract, agreement or other document as an exhibit to the registration statement, you should read the exhibit for a more complete understanding of the document or matter involved. Each statement regarding a contract, agreement or other document is qualified by reference to the actual document.</w:t>
      </w:r>
    </w:p>
    <w:p>
      <w:pPr>
        <w:spacing w:after="0" w:line="387" w:lineRule="exact"/>
        <w:rPr>
          <w:rFonts w:ascii="Arial" w:cs="Arial" w:eastAsia="Arial" w:hAnsi="Arial"/>
          <w:sz w:val="18"/>
          <w:szCs w:val="18"/>
          <w:color w:val="0000EE"/>
        </w:rPr>
      </w:pPr>
    </w:p>
    <w:p>
      <w:pPr>
        <w:jc w:val="center"/>
        <w:spacing w:after="0"/>
        <w:rPr>
          <w:sz w:val="20"/>
          <w:szCs w:val="20"/>
          <w:color w:val="auto"/>
        </w:rPr>
      </w:pPr>
      <w:r>
        <w:rPr>
          <w:rFonts w:ascii="Arial" w:cs="Arial" w:eastAsia="Arial" w:hAnsi="Arial"/>
          <w:sz w:val="18"/>
          <w:szCs w:val="18"/>
          <w:color w:val="auto"/>
        </w:rPr>
        <w:t>S-15</w:t>
      </w:r>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43"/>
          <w:szCs w:val="43"/>
          <w:b w:val="1"/>
          <w:bCs w:val="1"/>
          <w:color w:val="auto"/>
        </w:rPr>
        <w:t>XPRESSPA GROUP, INC.</w:t>
      </w: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7,895,000 Shares of Common Stock</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Pre-Funded Warrants to Purchase 2,105,000 shares of Common Stock</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(and the shares of Common Stock underlying such Pre-Funded Warrants)</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PROSPECTUS SUPPLEMENT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27, 2020</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879" w:right="1440" w:bottom="1440" w:gutter="0" w:footer="0" w:header="0"/>
        </w:sectPr>
      </w:pPr>
    </w:p>
    <w:bookmarkStart w:id="21" w:name="page22"/>
    <w:bookmarkEnd w:id="21"/>
    <w:p>
      <w:pPr>
        <w:jc w:val="right"/>
        <w:spacing w:after="0"/>
        <w:rPr>
          <w:sz w:val="20"/>
          <w:szCs w:val="20"/>
          <w:color w:val="auto"/>
        </w:rPr>
      </w:pPr>
      <w:r>
        <w:rPr>
          <w:rFonts w:ascii="Arial" w:cs="Arial" w:eastAsia="Arial" w:hAnsi="Arial"/>
          <w:sz w:val="22"/>
          <w:szCs w:val="22"/>
          <w:b w:val="1"/>
          <w:bCs w:val="1"/>
          <w:color w:val="auto"/>
        </w:rPr>
        <w:t>Filed Pursuant to Rule 424(b)(2)</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Registration No. 333-232764</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XPRESSPA GROUP,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$50,000,000</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PREFERRED STOCK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 SECURITIES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RIGHTS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UNITS</w:t>
      </w:r>
    </w:p>
    <w:p>
      <w:pPr>
        <w:spacing w:after="0" w:line="21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This prospectus will allow us to issue, from time to time at prices and on terms to be determined at or prior to the time of the offering, up to $50,000,000 of any combination of the securities described in this prospectus, either individually or in units. We may also offer common stock or preferred stock upon conversion of or exchange for the debt securities; common stock upon conversion of or exchange for the preferred stock; common stock, preferred stock or debt securities upon the exercise of warrants or rights.</w:t>
      </w:r>
    </w:p>
    <w:p>
      <w:pPr>
        <w:spacing w:after="0" w:line="18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This prospectus describes the general terms of these securities and the general manner in which these securities will be offered. We will provide you with the specific terms of any offering in one or more supplements to this prospectus. The prospectus supplements will also describe the specific manner in which these securities will be offered and may also supplement, update or amend information contained in this document. You should read this prospectus and any prospectus supplement, as well as any documents incorporated by reference into this prospectus or any prospectus supplement, carefully before you invest.</w:t>
      </w:r>
    </w:p>
    <w:p>
      <w:pPr>
        <w:spacing w:after="0" w:line="188"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Our securities may be sold directly by us to you, through agents designated from time to time or to or through underwriters or dealers. For additional information on the methods of sale, you should refer to the section entitled “Plan of Distribution” in this prospectus and in the applicable prospectus supplement. If any underwriters or agents are involved in the sale of our securities with respect to which this prospectus is being delivered, the names of such underwriters or agents and any applicable fees, commissions or discounts and over-allotment options will be set forth in a prospectus supplement. The price to the public of such securities and the net proceeds that we expect to receive from such sale will also be set forth in a prospectus supplement.</w:t>
      </w:r>
    </w:p>
    <w:p>
      <w:pPr>
        <w:spacing w:after="0" w:line="16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Our common stock is quoted on The Nasdaq Capital Market, or Nasdaq, under the symbol “XSPA.” On July 12, 2019, the last reported sale price of our common stock was $1.50 per share. The applicable prospectus supplement will contain information, where applicable, as to any other listing, if any, on The Nasdaq Capital Market or any securities market or other securities exchange of the securities covered by the prospectus supplement. Prospective purchasers of our securities are urged to obtain current information as to the market prices of our securities, where applicable.</w:t>
      </w:r>
    </w:p>
    <w:p>
      <w:pPr>
        <w:spacing w:after="0" w:line="17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As of July 26, 2019, the aggregate market value of our common stock held by non-affiliates pursuant to General Instruction I.B.6. of Form S-3 was approximately $13.1 million, which was calculated based on 2,916,919 outstanding shares of our common stock, of which 2,781,162 shares are held by non-affiliates, and a price of $4.71 per share, the closing sale price of our common stock reported on The Nasdaq Capital Market on June 30, 2019. As a result, we are currently eligible to offer and sell up to an aggregate of approximately $4.3 million of our securities pursuant to General Instruction I.B.6 of Form S-3. During the prior twelve calendar month period that ends on the date of this prospectus, we did not offer securities pursuant to General Instruction I.B.6 on Form S-3. Pursuant to General Instruction I.B.6 of Form S-3, in no event will we sell shares pursuant to this prospectus with a value of more than one-third of the aggregate market value of our common stock held by non-affiliates in any 12-month period, so long as the aggregate market value of our common stock held by non-affiliates is less than $75 million.</w:t>
      </w:r>
    </w:p>
    <w:p>
      <w:pPr>
        <w:spacing w:after="0" w:line="174" w:lineRule="exact"/>
        <w:rPr>
          <w:sz w:val="20"/>
          <w:szCs w:val="20"/>
          <w:color w:val="auto"/>
        </w:rPr>
      </w:pPr>
    </w:p>
    <w:p>
      <w:pPr>
        <w:jc w:val="both"/>
        <w:ind w:right="180"/>
        <w:spacing w:after="0" w:line="343" w:lineRule="auto"/>
        <w:rPr>
          <w:sz w:val="20"/>
          <w:szCs w:val="20"/>
          <w:color w:val="auto"/>
        </w:rPr>
      </w:pPr>
      <w:r>
        <w:rPr>
          <w:rFonts w:ascii="Arial" w:cs="Arial" w:eastAsia="Arial" w:hAnsi="Arial"/>
          <w:sz w:val="15"/>
          <w:szCs w:val="15"/>
          <w:b w:val="1"/>
          <w:bCs w:val="1"/>
          <w:color w:val="auto"/>
        </w:rPr>
        <w:t>Investing in our securities involves risks. Before deciding whether to invest in our securities, you should consider carefully the risks that we have described on page 2 of this prospectus under the caption “Risk Factors.” We may include specific risk factors in supplements to this prospectus under the caption “Risk Factors.” This prospectus may not be used to sell our securities unless accompanied by a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382270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2" w:name="page23"/>
    <w:bookmarkEnd w:id="22"/>
    <w:p>
      <w:pPr>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62"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The date of this prospectus is July 30, 2019.</w:t>
      </w:r>
    </w:p>
    <w:p>
      <w:pPr>
        <w:spacing w:after="0" w:line="200" w:lineRule="exact"/>
        <w:rPr>
          <w:sz w:val="20"/>
          <w:szCs w:val="20"/>
          <w:color w:val="auto"/>
        </w:rPr>
      </w:pPr>
    </w:p>
    <w:p>
      <w:pPr>
        <w:spacing w:after="0" w:line="24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00"/>
          </w:cols>
          <w:pgMar w:left="320" w:top="904" w:right="57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760" w:type="dxa"/>
            <w:vAlign w:val="bottom"/>
            <w:gridSpan w:val="3"/>
          </w:tcPr>
          <w:p>
            <w:pPr>
              <w:ind w:left="400"/>
              <w:spacing w:after="0"/>
              <w:rPr>
                <w:sz w:val="20"/>
                <w:szCs w:val="20"/>
                <w:color w:val="auto"/>
              </w:rPr>
            </w:pPr>
            <w:r>
              <w:rPr>
                <w:rFonts w:ascii="Arial" w:cs="Arial" w:eastAsia="Arial" w:hAnsi="Arial"/>
                <w:sz w:val="18"/>
                <w:szCs w:val="18"/>
                <w:b w:val="1"/>
                <w:bCs w:val="1"/>
                <w:color w:val="auto"/>
              </w:rPr>
              <w:t>TABLE OF CONTENTS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6"/>
        </w:trPr>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96"/>
        </w:trPr>
        <w:tc>
          <w:tcPr>
            <w:tcW w:w="2240" w:type="dxa"/>
            <w:vAlign w:val="bottom"/>
            <w:gridSpan w:val="9"/>
            <w:shd w:val="clear" w:color="auto" w:fill="CCEEFF"/>
          </w:tcPr>
          <w:p>
            <w:pPr>
              <w:spacing w:after="0" w:line="176" w:lineRule="exact"/>
              <w:rPr>
                <w:rFonts w:ascii="Arial" w:cs="Arial" w:eastAsia="Arial" w:hAnsi="Arial"/>
                <w:sz w:val="18"/>
                <w:szCs w:val="18"/>
                <w:color w:val="0000EE"/>
                <w:w w:val="93"/>
              </w:rPr>
            </w:pPr>
            <w:hyperlink w:anchor="page25">
              <w:r>
                <w:rPr>
                  <w:rFonts w:ascii="Arial" w:cs="Arial" w:eastAsia="Arial" w:hAnsi="Arial"/>
                  <w:sz w:val="18"/>
                  <w:szCs w:val="18"/>
                  <w:color w:val="0000EE"/>
                  <w:w w:val="93"/>
                </w:rPr>
                <w:t>ABOUT THIS PROSPECTUS</w:t>
              </w:r>
            </w:hyperlink>
          </w:p>
        </w:tc>
        <w:tc>
          <w:tcPr>
            <w:tcW w:w="8780" w:type="dxa"/>
            <w:vAlign w:val="bottom"/>
            <w:tcBorders>
              <w:right w:val="single" w:sz="8" w:color="CCEEFF"/>
            </w:tcBorders>
            <w:gridSpan w:val="10"/>
            <w:shd w:val="clear" w:color="auto" w:fill="CCEEFF"/>
          </w:tcPr>
          <w:p>
            <w:pPr>
              <w:spacing w:after="0"/>
              <w:rPr>
                <w:sz w:val="17"/>
                <w:szCs w:val="17"/>
                <w:color w:val="auto"/>
              </w:rPr>
            </w:pPr>
          </w:p>
        </w:tc>
        <w:tc>
          <w:tcPr>
            <w:tcW w:w="220" w:type="dxa"/>
            <w:vAlign w:val="bottom"/>
            <w:gridSpan w:val="2"/>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iv</w:t>
              </w:r>
            </w:hyperlink>
          </w:p>
        </w:tc>
      </w:tr>
      <w:tr>
        <w:trPr>
          <w:trHeight w:val="175"/>
        </w:trPr>
        <w:tc>
          <w:tcPr>
            <w:tcW w:w="2240" w:type="dxa"/>
            <w:vAlign w:val="bottom"/>
            <w:tcBorders>
              <w:top w:val="single" w:sz="8" w:color="0000EE"/>
            </w:tcBorders>
            <w:gridSpan w:val="9"/>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PROSPECTUS SUMMARY</w:t>
              </w:r>
            </w:hyperlink>
          </w:p>
        </w:tc>
        <w:tc>
          <w:tcPr>
            <w:tcW w:w="8780" w:type="dxa"/>
            <w:vAlign w:val="bottom"/>
            <w:tcBorders>
              <w:top w:val="single" w:sz="8" w:color="CCEEFF"/>
            </w:tcBorders>
            <w:gridSpan w:val="10"/>
          </w:tcPr>
          <w:p>
            <w:pPr>
              <w:spacing w:after="0"/>
              <w:rPr>
                <w:sz w:val="15"/>
                <w:szCs w:val="15"/>
                <w:color w:val="auto"/>
              </w:rPr>
            </w:pPr>
          </w:p>
        </w:tc>
        <w:tc>
          <w:tcPr>
            <w:tcW w:w="100" w:type="dxa"/>
            <w:vAlign w:val="bottom"/>
            <w:tcBorders>
              <w:top w:val="single" w:sz="8" w:color="0000EE"/>
            </w:tcBorders>
          </w:tcPr>
          <w:p>
            <w:pPr>
              <w:jc w:val="right"/>
              <w:spacing w:after="0" w:line="176" w:lineRule="exact"/>
              <w:rPr>
                <w:rFonts w:ascii="Arial" w:cs="Arial" w:eastAsia="Arial" w:hAnsi="Arial"/>
                <w:sz w:val="18"/>
                <w:szCs w:val="18"/>
                <w:color w:val="0000EE"/>
                <w:w w:val="79"/>
              </w:rPr>
            </w:pPr>
            <w:hyperlink w:anchor="page26">
              <w:r>
                <w:rPr>
                  <w:rFonts w:ascii="Arial" w:cs="Arial" w:eastAsia="Arial" w:hAnsi="Arial"/>
                  <w:sz w:val="18"/>
                  <w:szCs w:val="18"/>
                  <w:color w:val="0000EE"/>
                  <w:w w:val="79"/>
                </w:rPr>
                <w:t>1</w:t>
              </w:r>
            </w:hyperlink>
          </w:p>
        </w:tc>
        <w:tc>
          <w:tcPr>
            <w:tcW w:w="120" w:type="dxa"/>
            <w:vAlign w:val="bottom"/>
            <w:tcBorders>
              <w:top w:val="single" w:sz="8" w:color="CCEEFF"/>
            </w:tcBorders>
          </w:tcPr>
          <w:p>
            <w:pPr>
              <w:spacing w:after="0"/>
              <w:rPr>
                <w:sz w:val="15"/>
                <w:szCs w:val="15"/>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93"/>
              </w:rPr>
            </w:pPr>
            <w:hyperlink w:anchor="page27">
              <w:r>
                <w:rPr>
                  <w:rFonts w:ascii="Arial" w:cs="Arial" w:eastAsia="Arial" w:hAnsi="Arial"/>
                  <w:sz w:val="18"/>
                  <w:szCs w:val="18"/>
                  <w:color w:val="0000EE"/>
                  <w:w w:val="93"/>
                </w:rPr>
                <w:t>RISK FACTORS</w:t>
              </w:r>
            </w:hyperlink>
          </w:p>
        </w:tc>
        <w:tc>
          <w:tcPr>
            <w:tcW w:w="9760" w:type="dxa"/>
            <w:vAlign w:val="bottom"/>
            <w:tcBorders>
              <w:bottom w:val="single" w:sz="8" w:color="CCEEFF"/>
              <w:right w:val="single" w:sz="8" w:color="CCEEFF"/>
            </w:tcBorders>
            <w:gridSpan w:val="17"/>
            <w:shd w:val="clear" w:color="auto" w:fill="CCEEFF"/>
          </w:tcPr>
          <w:p>
            <w:pPr>
              <w:spacing w:after="0"/>
              <w:rPr>
                <w:sz w:val="17"/>
                <w:szCs w:val="17"/>
                <w:color w:val="auto"/>
              </w:rPr>
            </w:pPr>
          </w:p>
        </w:tc>
        <w:tc>
          <w:tcPr>
            <w:tcW w:w="100" w:type="dxa"/>
            <w:vAlign w:val="bottom"/>
            <w:tcBorders>
              <w:bottom w:val="single" w:sz="8" w:color="0000EE"/>
            </w:tcBorders>
            <w:shd w:val="clear" w:color="auto" w:fill="CCEEFF"/>
          </w:tcPr>
          <w:p>
            <w:pPr>
              <w:jc w:val="right"/>
              <w:spacing w:after="0" w:line="176" w:lineRule="exact"/>
              <w:rPr>
                <w:rFonts w:ascii="Arial" w:cs="Arial" w:eastAsia="Arial" w:hAnsi="Arial"/>
                <w:sz w:val="18"/>
                <w:szCs w:val="18"/>
                <w:color w:val="0000EE"/>
                <w:w w:val="79"/>
              </w:rPr>
            </w:pPr>
            <w:hyperlink w:anchor="page27">
              <w:r>
                <w:rPr>
                  <w:rFonts w:ascii="Arial" w:cs="Arial" w:eastAsia="Arial" w:hAnsi="Arial"/>
                  <w:sz w:val="18"/>
                  <w:szCs w:val="18"/>
                  <w:color w:val="0000EE"/>
                  <w:w w:val="79"/>
                </w:rPr>
                <w:t>2</w:t>
              </w:r>
            </w:hyperlink>
          </w:p>
        </w:tc>
        <w:tc>
          <w:tcPr>
            <w:tcW w:w="120" w:type="dxa"/>
            <w:vAlign w:val="bottom"/>
            <w:tcBorders>
              <w:bottom w:val="single" w:sz="8" w:color="CCEEFF"/>
            </w:tcBorders>
            <w:shd w:val="clear" w:color="auto" w:fill="CCEEFF"/>
          </w:tcPr>
          <w:p>
            <w:pPr>
              <w:spacing w:after="0"/>
              <w:rPr>
                <w:sz w:val="17"/>
                <w:szCs w:val="17"/>
                <w:color w:val="auto"/>
              </w:rPr>
            </w:pPr>
          </w:p>
        </w:tc>
      </w:tr>
      <w:tr>
        <w:trPr>
          <w:trHeight w:val="176"/>
        </w:trPr>
        <w:tc>
          <w:tcPr>
            <w:tcW w:w="11020" w:type="dxa"/>
            <w:vAlign w:val="bottom"/>
            <w:gridSpan w:val="19"/>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SPECIAL NOTE REGARDING FORWARD-LOOKING STATEMENTS</w:t>
              </w:r>
            </w:hyperlink>
          </w:p>
        </w:tc>
        <w:tc>
          <w:tcPr>
            <w:tcW w:w="220" w:type="dxa"/>
            <w:vAlign w:val="bottom"/>
            <w:gridSpan w:val="2"/>
          </w:tcPr>
          <w:p>
            <w:pPr>
              <w:jc w:val="right"/>
              <w:ind w:right="120"/>
              <w:spacing w:after="0" w:line="176" w:lineRule="exact"/>
              <w:rPr>
                <w:rFonts w:ascii="Arial" w:cs="Arial" w:eastAsia="Arial" w:hAnsi="Arial"/>
                <w:sz w:val="18"/>
                <w:szCs w:val="18"/>
                <w:color w:val="0000EE"/>
                <w:w w:val="79"/>
              </w:rPr>
            </w:pPr>
            <w:hyperlink w:anchor="page28">
              <w:r>
                <w:rPr>
                  <w:rFonts w:ascii="Arial" w:cs="Arial" w:eastAsia="Arial" w:hAnsi="Arial"/>
                  <w:sz w:val="18"/>
                  <w:szCs w:val="18"/>
                  <w:color w:val="0000EE"/>
                  <w:w w:val="79"/>
                </w:rPr>
                <w:t>3</w:t>
              </w:r>
            </w:hyperlink>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1020" w:type="dxa"/>
            <w:vAlign w:val="bottom"/>
            <w:tcBorders>
              <w:right w:val="single" w:sz="8" w:color="CCEEFF"/>
            </w:tcBorders>
            <w:gridSpan w:val="19"/>
            <w:shd w:val="clear" w:color="auto" w:fill="CCEEFF"/>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RATIO OF EARNINGS TO FIXED CHARGES</w:t>
              </w:r>
            </w:hyperlink>
          </w:p>
        </w:tc>
        <w:tc>
          <w:tcPr>
            <w:tcW w:w="220" w:type="dxa"/>
            <w:vAlign w:val="bottom"/>
            <w:gridSpan w:val="2"/>
            <w:shd w:val="clear" w:color="auto" w:fill="CCEEFF"/>
          </w:tcPr>
          <w:p>
            <w:pPr>
              <w:jc w:val="right"/>
              <w:ind w:right="120"/>
              <w:spacing w:after="0" w:line="176" w:lineRule="exact"/>
              <w:rPr>
                <w:rFonts w:ascii="Arial" w:cs="Arial" w:eastAsia="Arial" w:hAnsi="Arial"/>
                <w:sz w:val="18"/>
                <w:szCs w:val="18"/>
                <w:color w:val="0000EE"/>
                <w:w w:val="79"/>
              </w:rPr>
            </w:pPr>
            <w:hyperlink w:anchor="page30">
              <w:r>
                <w:rPr>
                  <w:rFonts w:ascii="Arial" w:cs="Arial" w:eastAsia="Arial" w:hAnsi="Arial"/>
                  <w:sz w:val="18"/>
                  <w:szCs w:val="18"/>
                  <w:color w:val="0000EE"/>
                  <w:w w:val="79"/>
                </w:rPr>
                <w:t>5</w:t>
              </w:r>
            </w:hyperlink>
          </w:p>
        </w:tc>
      </w:tr>
      <w:tr>
        <w:trPr>
          <w:trHeight w:val="175"/>
        </w:trPr>
        <w:tc>
          <w:tcPr>
            <w:tcW w:w="3500" w:type="dxa"/>
            <w:vAlign w:val="bottom"/>
            <w:tcBorders>
              <w:top w:val="single" w:sz="8" w:color="0000EE"/>
            </w:tcBorders>
            <w:gridSpan w:val="14"/>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USE OF PROCEEDS</w:t>
              </w:r>
            </w:hyperlink>
          </w:p>
        </w:tc>
        <w:tc>
          <w:tcPr>
            <w:tcW w:w="7520" w:type="dxa"/>
            <w:vAlign w:val="bottom"/>
            <w:tcBorders>
              <w:top w:val="single" w:sz="8" w:color="CCEEFF"/>
            </w:tcBorders>
            <w:gridSpan w:val="5"/>
          </w:tcPr>
          <w:p>
            <w:pPr>
              <w:spacing w:after="0"/>
              <w:rPr>
                <w:sz w:val="15"/>
                <w:szCs w:val="15"/>
                <w:color w:val="auto"/>
              </w:rPr>
            </w:pPr>
          </w:p>
        </w:tc>
        <w:tc>
          <w:tcPr>
            <w:tcW w:w="100" w:type="dxa"/>
            <w:vAlign w:val="bottom"/>
            <w:tcBorders>
              <w:top w:val="single" w:sz="8" w:color="0000EE"/>
            </w:tcBorders>
          </w:tcPr>
          <w:p>
            <w:pPr>
              <w:jc w:val="right"/>
              <w:spacing w:after="0" w:line="176" w:lineRule="exact"/>
              <w:rPr>
                <w:rFonts w:ascii="Arial" w:cs="Arial" w:eastAsia="Arial" w:hAnsi="Arial"/>
                <w:sz w:val="18"/>
                <w:szCs w:val="18"/>
                <w:color w:val="0000EE"/>
                <w:w w:val="79"/>
              </w:rPr>
            </w:pPr>
            <w:hyperlink w:anchor="page31">
              <w:r>
                <w:rPr>
                  <w:rFonts w:ascii="Arial" w:cs="Arial" w:eastAsia="Arial" w:hAnsi="Arial"/>
                  <w:sz w:val="18"/>
                  <w:szCs w:val="18"/>
                  <w:color w:val="0000EE"/>
                  <w:w w:val="79"/>
                </w:rPr>
                <w:t>6</w:t>
              </w:r>
            </w:hyperlink>
          </w:p>
        </w:tc>
        <w:tc>
          <w:tcPr>
            <w:tcW w:w="120" w:type="dxa"/>
            <w:vAlign w:val="bottom"/>
            <w:tcBorders>
              <w:top w:val="single" w:sz="8" w:color="CCEEFF"/>
            </w:tcBorders>
          </w:tcPr>
          <w:p>
            <w:pPr>
              <w:spacing w:after="0"/>
              <w:rPr>
                <w:sz w:val="15"/>
                <w:szCs w:val="15"/>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97"/>
              </w:rPr>
            </w:pPr>
            <w:hyperlink w:anchor="page32">
              <w:r>
                <w:rPr>
                  <w:rFonts w:ascii="Arial" w:cs="Arial" w:eastAsia="Arial" w:hAnsi="Arial"/>
                  <w:sz w:val="18"/>
                  <w:szCs w:val="18"/>
                  <w:color w:val="0000EE"/>
                  <w:w w:val="97"/>
                </w:rPr>
                <w:t>PLAN OF DISTRIBUTION</w:t>
              </w:r>
            </w:hyperlink>
          </w:p>
        </w:tc>
        <w:tc>
          <w:tcPr>
            <w:tcW w:w="8960" w:type="dxa"/>
            <w:vAlign w:val="bottom"/>
            <w:tcBorders>
              <w:bottom w:val="single" w:sz="8" w:color="CCEEFF"/>
              <w:right w:val="single" w:sz="8" w:color="CCEEFF"/>
            </w:tcBorders>
            <w:gridSpan w:val="13"/>
            <w:shd w:val="clear" w:color="auto" w:fill="CCEEFF"/>
          </w:tcPr>
          <w:p>
            <w:pPr>
              <w:spacing w:after="0"/>
              <w:rPr>
                <w:sz w:val="17"/>
                <w:szCs w:val="17"/>
                <w:color w:val="auto"/>
              </w:rPr>
            </w:pPr>
          </w:p>
        </w:tc>
        <w:tc>
          <w:tcPr>
            <w:tcW w:w="100" w:type="dxa"/>
            <w:vAlign w:val="bottom"/>
            <w:tcBorders>
              <w:bottom w:val="single" w:sz="8" w:color="0000EE"/>
            </w:tcBorders>
            <w:shd w:val="clear" w:color="auto" w:fill="CCEEFF"/>
          </w:tcPr>
          <w:p>
            <w:pPr>
              <w:jc w:val="right"/>
              <w:spacing w:after="0" w:line="176" w:lineRule="exact"/>
              <w:rPr>
                <w:rFonts w:ascii="Arial" w:cs="Arial" w:eastAsia="Arial" w:hAnsi="Arial"/>
                <w:sz w:val="18"/>
                <w:szCs w:val="18"/>
                <w:color w:val="0000EE"/>
                <w:w w:val="79"/>
              </w:rPr>
            </w:pPr>
            <w:hyperlink w:anchor="page32">
              <w:r>
                <w:rPr>
                  <w:rFonts w:ascii="Arial" w:cs="Arial" w:eastAsia="Arial" w:hAnsi="Arial"/>
                  <w:sz w:val="18"/>
                  <w:szCs w:val="18"/>
                  <w:color w:val="0000EE"/>
                  <w:w w:val="79"/>
                </w:rPr>
                <w:t>7</w:t>
              </w:r>
            </w:hyperlink>
          </w:p>
        </w:tc>
        <w:tc>
          <w:tcPr>
            <w:tcW w:w="120" w:type="dxa"/>
            <w:vAlign w:val="bottom"/>
            <w:tcBorders>
              <w:bottom w:val="single" w:sz="8" w:color="CCEEFF"/>
            </w:tcBorders>
            <w:shd w:val="clear" w:color="auto" w:fill="CCEEFF"/>
          </w:tcPr>
          <w:p>
            <w:pPr>
              <w:spacing w:after="0"/>
              <w:rPr>
                <w:sz w:val="17"/>
                <w:szCs w:val="17"/>
                <w:color w:val="auto"/>
              </w:rPr>
            </w:pPr>
          </w:p>
        </w:tc>
      </w:tr>
      <w:tr>
        <w:trPr>
          <w:trHeight w:val="176"/>
        </w:trPr>
        <w:tc>
          <w:tcPr>
            <w:tcW w:w="11020" w:type="dxa"/>
            <w:vAlign w:val="bottom"/>
            <w:gridSpan w:val="19"/>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DESCRIPTION OF COMMON STOCK</w:t>
              </w:r>
            </w:hyperlink>
          </w:p>
        </w:tc>
        <w:tc>
          <w:tcPr>
            <w:tcW w:w="220" w:type="dxa"/>
            <w:vAlign w:val="bottom"/>
            <w:gridSpan w:val="2"/>
          </w:tcPr>
          <w:p>
            <w:pPr>
              <w:jc w:val="right"/>
              <w:ind w:right="120"/>
              <w:spacing w:after="0" w:line="176" w:lineRule="exact"/>
              <w:rPr>
                <w:rFonts w:ascii="Arial" w:cs="Arial" w:eastAsia="Arial" w:hAnsi="Arial"/>
                <w:sz w:val="18"/>
                <w:szCs w:val="18"/>
                <w:color w:val="0000EE"/>
                <w:w w:val="79"/>
              </w:rPr>
            </w:pPr>
            <w:hyperlink w:anchor="page34">
              <w:r>
                <w:rPr>
                  <w:rFonts w:ascii="Arial" w:cs="Arial" w:eastAsia="Arial" w:hAnsi="Arial"/>
                  <w:sz w:val="18"/>
                  <w:szCs w:val="18"/>
                  <w:color w:val="0000EE"/>
                  <w:w w:val="79"/>
                </w:rPr>
                <w:t>9</w:t>
              </w:r>
            </w:hyperlink>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1020" w:type="dxa"/>
            <w:vAlign w:val="bottom"/>
            <w:tcBorders>
              <w:right w:val="single" w:sz="8" w:color="CCEEFF"/>
            </w:tcBorders>
            <w:gridSpan w:val="19"/>
            <w:shd w:val="clear" w:color="auto" w:fill="CCEEFF"/>
          </w:tcPr>
          <w:p>
            <w:pPr>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DESCRIPTION OF PREFERRED STOCK</w:t>
              </w:r>
            </w:hyperlink>
          </w:p>
        </w:tc>
        <w:tc>
          <w:tcPr>
            <w:tcW w:w="220" w:type="dxa"/>
            <w:vAlign w:val="bottom"/>
            <w:gridSpan w:val="2"/>
            <w:shd w:val="clear" w:color="auto" w:fill="CCEEFF"/>
          </w:tcPr>
          <w:p>
            <w:pPr>
              <w:jc w:val="right"/>
              <w:ind w:right="120"/>
              <w:spacing w:after="0"/>
              <w:rPr>
                <w:rFonts w:ascii="Arial" w:cs="Arial" w:eastAsia="Arial" w:hAnsi="Arial"/>
                <w:sz w:val="10"/>
                <w:szCs w:val="10"/>
                <w:color w:val="0000EE"/>
                <w:w w:val="71"/>
              </w:rPr>
            </w:pPr>
            <w:hyperlink w:anchor="page35">
              <w:r>
                <w:rPr>
                  <w:rFonts w:ascii="Arial" w:cs="Arial" w:eastAsia="Arial" w:hAnsi="Arial"/>
                  <w:sz w:val="10"/>
                  <w:szCs w:val="10"/>
                  <w:color w:val="0000EE"/>
                  <w:w w:val="71"/>
                </w:rPr>
                <w:t>10</w:t>
              </w:r>
            </w:hyperlink>
          </w:p>
        </w:tc>
      </w:tr>
      <w:tr>
        <w:trPr>
          <w:trHeight w:val="176"/>
        </w:trPr>
        <w:tc>
          <w:tcPr>
            <w:tcW w:w="3140" w:type="dxa"/>
            <w:vAlign w:val="bottom"/>
            <w:tcBorders>
              <w:top w:val="single" w:sz="8" w:color="0000EE"/>
            </w:tcBorders>
            <w:gridSpan w:val="13"/>
          </w:tcPr>
          <w:p>
            <w:pPr>
              <w:spacing w:after="0" w:line="176" w:lineRule="exact"/>
              <w:rPr>
                <w:rFonts w:ascii="Arial" w:cs="Arial" w:eastAsia="Arial" w:hAnsi="Arial"/>
                <w:sz w:val="18"/>
                <w:szCs w:val="18"/>
                <w:color w:val="0000EE"/>
                <w:w w:val="97"/>
              </w:rPr>
            </w:pPr>
            <w:hyperlink w:anchor="page37">
              <w:r>
                <w:rPr>
                  <w:rFonts w:ascii="Arial" w:cs="Arial" w:eastAsia="Arial" w:hAnsi="Arial"/>
                  <w:sz w:val="18"/>
                  <w:szCs w:val="18"/>
                  <w:color w:val="0000EE"/>
                  <w:w w:val="97"/>
                </w:rPr>
                <w:t>DESCRIPTION OF DEBT SECURITIES</w:t>
              </w:r>
            </w:hyperlink>
          </w:p>
        </w:tc>
        <w:tc>
          <w:tcPr>
            <w:tcW w:w="7880" w:type="dxa"/>
            <w:vAlign w:val="bottom"/>
            <w:tcBorders>
              <w:top w:val="single" w:sz="8" w:color="CCEEFF"/>
            </w:tcBorders>
            <w:gridSpan w:val="6"/>
          </w:tcPr>
          <w:p>
            <w:pPr>
              <w:spacing w:after="0"/>
              <w:rPr>
                <w:sz w:val="15"/>
                <w:szCs w:val="15"/>
                <w:color w:val="auto"/>
              </w:rPr>
            </w:pPr>
          </w:p>
        </w:tc>
        <w:tc>
          <w:tcPr>
            <w:tcW w:w="100" w:type="dxa"/>
            <w:vAlign w:val="bottom"/>
            <w:tcBorders>
              <w:top w:val="single" w:sz="8" w:color="0000EE"/>
            </w:tcBorders>
          </w:tcPr>
          <w:p>
            <w:pPr>
              <w:jc w:val="right"/>
              <w:spacing w:after="0"/>
              <w:rPr>
                <w:rFonts w:ascii="Arial" w:cs="Arial" w:eastAsia="Arial" w:hAnsi="Arial"/>
                <w:sz w:val="10"/>
                <w:szCs w:val="10"/>
                <w:color w:val="0000EE"/>
                <w:w w:val="71"/>
              </w:rPr>
            </w:pPr>
            <w:hyperlink w:anchor="page37">
              <w:r>
                <w:rPr>
                  <w:rFonts w:ascii="Arial" w:cs="Arial" w:eastAsia="Arial" w:hAnsi="Arial"/>
                  <w:sz w:val="10"/>
                  <w:szCs w:val="10"/>
                  <w:color w:val="0000EE"/>
                  <w:w w:val="71"/>
                </w:rPr>
                <w:t>12</w:t>
              </w:r>
            </w:hyperlink>
          </w:p>
        </w:tc>
        <w:tc>
          <w:tcPr>
            <w:tcW w:w="120" w:type="dxa"/>
            <w:vAlign w:val="bottom"/>
            <w:tcBorders>
              <w:top w:val="single" w:sz="8" w:color="CCEEFF"/>
            </w:tcBorders>
          </w:tcPr>
          <w:p>
            <w:pPr>
              <w:spacing w:after="0"/>
              <w:rPr>
                <w:sz w:val="15"/>
                <w:szCs w:val="15"/>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1020" w:type="dxa"/>
            <w:vAlign w:val="bottom"/>
            <w:tcBorders>
              <w:right w:val="single" w:sz="8" w:color="CCEEFF"/>
            </w:tcBorders>
            <w:gridSpan w:val="19"/>
            <w:shd w:val="clear" w:color="auto" w:fill="CCEEFF"/>
          </w:tcPr>
          <w:p>
            <w:pPr>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DESCRIPTION OF WARRANTS</w:t>
              </w:r>
            </w:hyperlink>
          </w:p>
        </w:tc>
        <w:tc>
          <w:tcPr>
            <w:tcW w:w="220" w:type="dxa"/>
            <w:vAlign w:val="bottom"/>
            <w:gridSpan w:val="2"/>
            <w:shd w:val="clear" w:color="auto" w:fill="CCEEFF"/>
          </w:tcPr>
          <w:p>
            <w:pPr>
              <w:jc w:val="right"/>
              <w:ind w:right="120"/>
              <w:spacing w:after="0"/>
              <w:rPr>
                <w:rFonts w:ascii="Arial" w:cs="Arial" w:eastAsia="Arial" w:hAnsi="Arial"/>
                <w:sz w:val="10"/>
                <w:szCs w:val="10"/>
                <w:color w:val="0000EE"/>
                <w:w w:val="71"/>
              </w:rPr>
            </w:pPr>
            <w:hyperlink w:anchor="page43">
              <w:r>
                <w:rPr>
                  <w:rFonts w:ascii="Arial" w:cs="Arial" w:eastAsia="Arial" w:hAnsi="Arial"/>
                  <w:sz w:val="10"/>
                  <w:szCs w:val="10"/>
                  <w:color w:val="0000EE"/>
                  <w:w w:val="71"/>
                </w:rPr>
                <w:t>18</w:t>
              </w:r>
            </w:hyperlink>
          </w:p>
        </w:tc>
      </w:tr>
      <w:tr>
        <w:trPr>
          <w:trHeight w:val="175"/>
        </w:trPr>
        <w:tc>
          <w:tcPr>
            <w:tcW w:w="2480" w:type="dxa"/>
            <w:vAlign w:val="bottom"/>
            <w:tcBorders>
              <w:top w:val="single" w:sz="8" w:color="0000EE"/>
            </w:tcBorders>
            <w:gridSpan w:val="10"/>
          </w:tcPr>
          <w:p>
            <w:pPr>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DESCRIPTION OF RIGHTS</w:t>
              </w:r>
            </w:hyperlink>
          </w:p>
        </w:tc>
        <w:tc>
          <w:tcPr>
            <w:tcW w:w="8540" w:type="dxa"/>
            <w:vAlign w:val="bottom"/>
            <w:tcBorders>
              <w:top w:val="single" w:sz="8" w:color="CCEEFF"/>
            </w:tcBorders>
            <w:gridSpan w:val="9"/>
          </w:tcPr>
          <w:p>
            <w:pPr>
              <w:spacing w:after="0"/>
              <w:rPr>
                <w:sz w:val="15"/>
                <w:szCs w:val="15"/>
                <w:color w:val="auto"/>
              </w:rPr>
            </w:pPr>
          </w:p>
        </w:tc>
        <w:tc>
          <w:tcPr>
            <w:tcW w:w="100" w:type="dxa"/>
            <w:vAlign w:val="bottom"/>
            <w:tcBorders>
              <w:top w:val="single" w:sz="8" w:color="0000EE"/>
            </w:tcBorders>
          </w:tcPr>
          <w:p>
            <w:pPr>
              <w:jc w:val="right"/>
              <w:spacing w:after="0"/>
              <w:rPr>
                <w:rFonts w:ascii="Arial" w:cs="Arial" w:eastAsia="Arial" w:hAnsi="Arial"/>
                <w:sz w:val="10"/>
                <w:szCs w:val="10"/>
                <w:color w:val="0000EE"/>
                <w:w w:val="71"/>
              </w:rPr>
            </w:pPr>
            <w:hyperlink w:anchor="page44">
              <w:r>
                <w:rPr>
                  <w:rFonts w:ascii="Arial" w:cs="Arial" w:eastAsia="Arial" w:hAnsi="Arial"/>
                  <w:sz w:val="10"/>
                  <w:szCs w:val="10"/>
                  <w:color w:val="0000EE"/>
                  <w:w w:val="71"/>
                </w:rPr>
                <w:t>19</w:t>
              </w:r>
            </w:hyperlink>
          </w:p>
        </w:tc>
        <w:tc>
          <w:tcPr>
            <w:tcW w:w="120" w:type="dxa"/>
            <w:vAlign w:val="bottom"/>
            <w:tcBorders>
              <w:top w:val="single" w:sz="8" w:color="CCEEFF"/>
            </w:tcBorders>
          </w:tcPr>
          <w:p>
            <w:pPr>
              <w:spacing w:after="0"/>
              <w:rPr>
                <w:sz w:val="15"/>
                <w:szCs w:val="15"/>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5"/>
        </w:trPr>
        <w:tc>
          <w:tcPr>
            <w:tcW w:w="11020" w:type="dxa"/>
            <w:vAlign w:val="bottom"/>
            <w:tcBorders>
              <w:right w:val="single" w:sz="8" w:color="CCEEFF"/>
            </w:tcBorders>
            <w:gridSpan w:val="19"/>
            <w:shd w:val="clear" w:color="auto" w:fill="CCEEFF"/>
          </w:tcPr>
          <w:p>
            <w:pPr>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DESCRIPTION OF UNITS</w:t>
              </w:r>
            </w:hyperlink>
          </w:p>
        </w:tc>
        <w:tc>
          <w:tcPr>
            <w:tcW w:w="220" w:type="dxa"/>
            <w:vAlign w:val="bottom"/>
            <w:gridSpan w:val="2"/>
            <w:shd w:val="clear" w:color="auto" w:fill="CCEEFF"/>
          </w:tcPr>
          <w:p>
            <w:pPr>
              <w:jc w:val="right"/>
              <w:ind w:right="120"/>
              <w:spacing w:after="0"/>
              <w:rPr>
                <w:rFonts w:ascii="Arial" w:cs="Arial" w:eastAsia="Arial" w:hAnsi="Arial"/>
                <w:sz w:val="10"/>
                <w:szCs w:val="10"/>
                <w:color w:val="0000EE"/>
                <w:w w:val="71"/>
              </w:rPr>
            </w:pPr>
            <w:hyperlink w:anchor="page46">
              <w:r>
                <w:rPr>
                  <w:rFonts w:ascii="Arial" w:cs="Arial" w:eastAsia="Arial" w:hAnsi="Arial"/>
                  <w:sz w:val="10"/>
                  <w:szCs w:val="10"/>
                  <w:color w:val="0000EE"/>
                  <w:w w:val="71"/>
                </w:rPr>
                <w:t>21</w:t>
              </w:r>
            </w:hyperlink>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46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020" w:type="dxa"/>
            <w:vAlign w:val="bottom"/>
            <w:gridSpan w:val="19"/>
          </w:tcPr>
          <w:p>
            <w:pPr>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CERTAIN PROVISIONS OF DELAWARE LAW AND OF THE COMPANY’S CERTIFICATE OF INCORPORATION AND BYLAWS</w:t>
              </w:r>
            </w:hyperlink>
          </w:p>
        </w:tc>
        <w:tc>
          <w:tcPr>
            <w:tcW w:w="220" w:type="dxa"/>
            <w:vAlign w:val="bottom"/>
            <w:gridSpan w:val="2"/>
          </w:tcPr>
          <w:p>
            <w:pPr>
              <w:jc w:val="right"/>
              <w:ind w:right="120"/>
              <w:spacing w:after="0"/>
              <w:rPr>
                <w:rFonts w:ascii="Arial" w:cs="Arial" w:eastAsia="Arial" w:hAnsi="Arial"/>
                <w:sz w:val="10"/>
                <w:szCs w:val="10"/>
                <w:color w:val="0000EE"/>
                <w:w w:val="71"/>
              </w:rPr>
            </w:pPr>
            <w:hyperlink w:anchor="page47">
              <w:r>
                <w:rPr>
                  <w:rFonts w:ascii="Arial" w:cs="Arial" w:eastAsia="Arial" w:hAnsi="Arial"/>
                  <w:sz w:val="10"/>
                  <w:szCs w:val="10"/>
                  <w:color w:val="0000EE"/>
                  <w:w w:val="71"/>
                </w:rPr>
                <w:t>22</w:t>
              </w:r>
            </w:hyperlink>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620" w:type="dxa"/>
            <w:vAlign w:val="bottom"/>
            <w:tcBorders>
              <w:top w:val="single" w:sz="8" w:color="0000EE"/>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1020" w:type="dxa"/>
            <w:vAlign w:val="bottom"/>
            <w:tcBorders>
              <w:right w:val="single" w:sz="8" w:color="CCEEFF"/>
            </w:tcBorders>
            <w:gridSpan w:val="19"/>
            <w:shd w:val="clear" w:color="auto" w:fill="CCEEFF"/>
          </w:tcPr>
          <w:p>
            <w:pPr>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LEGAL MATTERS</w:t>
              </w:r>
            </w:hyperlink>
          </w:p>
        </w:tc>
        <w:tc>
          <w:tcPr>
            <w:tcW w:w="220" w:type="dxa"/>
            <w:vAlign w:val="bottom"/>
            <w:gridSpan w:val="2"/>
            <w:shd w:val="clear" w:color="auto" w:fill="CCEEFF"/>
          </w:tcPr>
          <w:p>
            <w:pPr>
              <w:jc w:val="right"/>
              <w:ind w:right="120"/>
              <w:spacing w:after="0"/>
              <w:rPr>
                <w:rFonts w:ascii="Arial" w:cs="Arial" w:eastAsia="Arial" w:hAnsi="Arial"/>
                <w:sz w:val="10"/>
                <w:szCs w:val="10"/>
                <w:color w:val="0000EE"/>
                <w:w w:val="71"/>
              </w:rPr>
            </w:pPr>
            <w:hyperlink w:anchor="page49">
              <w:r>
                <w:rPr>
                  <w:rFonts w:ascii="Arial" w:cs="Arial" w:eastAsia="Arial" w:hAnsi="Arial"/>
                  <w:sz w:val="10"/>
                  <w:szCs w:val="10"/>
                  <w:color w:val="0000EE"/>
                  <w:w w:val="71"/>
                </w:rPr>
                <w:t>24</w:t>
              </w:r>
            </w:hyperlink>
          </w:p>
        </w:tc>
      </w:tr>
      <w:tr>
        <w:trPr>
          <w:trHeight w:val="176"/>
        </w:trPr>
        <w:tc>
          <w:tcPr>
            <w:tcW w:w="1460" w:type="dxa"/>
            <w:vAlign w:val="bottom"/>
            <w:tcBorders>
              <w:top w:val="single" w:sz="8" w:color="0000EE"/>
            </w:tcBorders>
            <w:gridSpan w:val="3"/>
          </w:tcPr>
          <w:p>
            <w:pPr>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EXPERTS</w:t>
              </w:r>
            </w:hyperlink>
          </w:p>
        </w:tc>
        <w:tc>
          <w:tcPr>
            <w:tcW w:w="9560" w:type="dxa"/>
            <w:vAlign w:val="bottom"/>
            <w:tcBorders>
              <w:top w:val="single" w:sz="8" w:color="CCEEFF"/>
            </w:tcBorders>
            <w:gridSpan w:val="16"/>
          </w:tcPr>
          <w:p>
            <w:pPr>
              <w:spacing w:after="0"/>
              <w:rPr>
                <w:sz w:val="15"/>
                <w:szCs w:val="15"/>
                <w:color w:val="auto"/>
              </w:rPr>
            </w:pPr>
          </w:p>
        </w:tc>
        <w:tc>
          <w:tcPr>
            <w:tcW w:w="100" w:type="dxa"/>
            <w:vAlign w:val="bottom"/>
            <w:tcBorders>
              <w:top w:val="single" w:sz="8" w:color="0000EE"/>
            </w:tcBorders>
          </w:tcPr>
          <w:p>
            <w:pPr>
              <w:jc w:val="right"/>
              <w:spacing w:after="0"/>
              <w:rPr>
                <w:rFonts w:ascii="Arial" w:cs="Arial" w:eastAsia="Arial" w:hAnsi="Arial"/>
                <w:sz w:val="10"/>
                <w:szCs w:val="10"/>
                <w:color w:val="0000EE"/>
                <w:w w:val="71"/>
              </w:rPr>
            </w:pPr>
            <w:hyperlink w:anchor="page49">
              <w:r>
                <w:rPr>
                  <w:rFonts w:ascii="Arial" w:cs="Arial" w:eastAsia="Arial" w:hAnsi="Arial"/>
                  <w:sz w:val="10"/>
                  <w:szCs w:val="10"/>
                  <w:color w:val="0000EE"/>
                  <w:w w:val="71"/>
                </w:rPr>
                <w:t>24</w:t>
              </w:r>
            </w:hyperlink>
          </w:p>
        </w:tc>
        <w:tc>
          <w:tcPr>
            <w:tcW w:w="120" w:type="dxa"/>
            <w:vAlign w:val="bottom"/>
            <w:tcBorders>
              <w:top w:val="single" w:sz="8" w:color="CCEEFF"/>
            </w:tcBorders>
          </w:tcPr>
          <w:p>
            <w:pPr>
              <w:spacing w:after="0"/>
              <w:rPr>
                <w:sz w:val="15"/>
                <w:szCs w:val="15"/>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5"/>
        </w:trPr>
        <w:tc>
          <w:tcPr>
            <w:tcW w:w="11020" w:type="dxa"/>
            <w:vAlign w:val="bottom"/>
            <w:tcBorders>
              <w:right w:val="single" w:sz="8" w:color="CCEEFF"/>
            </w:tcBorders>
            <w:gridSpan w:val="19"/>
            <w:shd w:val="clear" w:color="auto" w:fill="CCEEFF"/>
          </w:tcPr>
          <w:p>
            <w:pPr>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WHERE YOU CAN FIND MORE INFORMATION</w:t>
              </w:r>
            </w:hyperlink>
          </w:p>
        </w:tc>
        <w:tc>
          <w:tcPr>
            <w:tcW w:w="220" w:type="dxa"/>
            <w:vAlign w:val="bottom"/>
            <w:gridSpan w:val="2"/>
            <w:shd w:val="clear" w:color="auto" w:fill="CCEEFF"/>
          </w:tcPr>
          <w:p>
            <w:pPr>
              <w:jc w:val="right"/>
              <w:ind w:right="120"/>
              <w:spacing w:after="0"/>
              <w:rPr>
                <w:rFonts w:ascii="Arial" w:cs="Arial" w:eastAsia="Arial" w:hAnsi="Arial"/>
                <w:sz w:val="10"/>
                <w:szCs w:val="10"/>
                <w:color w:val="0000EE"/>
                <w:w w:val="71"/>
              </w:rPr>
            </w:pPr>
            <w:hyperlink w:anchor="page49">
              <w:r>
                <w:rPr>
                  <w:rFonts w:ascii="Arial" w:cs="Arial" w:eastAsia="Arial" w:hAnsi="Arial"/>
                  <w:sz w:val="10"/>
                  <w:szCs w:val="10"/>
                  <w:color w:val="0000EE"/>
                  <w:w w:val="71"/>
                </w:rPr>
                <w:t>24</w:t>
              </w:r>
            </w:hyperlink>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46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020" w:type="dxa"/>
            <w:vAlign w:val="bottom"/>
            <w:gridSpan w:val="19"/>
          </w:tcPr>
          <w:p>
            <w:pPr>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INCORPORATION OF DOCUMENTS BY REFERENCE</w:t>
              </w:r>
            </w:hyperlink>
          </w:p>
        </w:tc>
        <w:tc>
          <w:tcPr>
            <w:tcW w:w="220" w:type="dxa"/>
            <w:vAlign w:val="bottom"/>
            <w:gridSpan w:val="2"/>
          </w:tcPr>
          <w:p>
            <w:pPr>
              <w:jc w:val="right"/>
              <w:ind w:right="120"/>
              <w:spacing w:after="0"/>
              <w:rPr>
                <w:rFonts w:ascii="Arial" w:cs="Arial" w:eastAsia="Arial" w:hAnsi="Arial"/>
                <w:sz w:val="10"/>
                <w:szCs w:val="10"/>
                <w:color w:val="0000EE"/>
                <w:w w:val="71"/>
              </w:rPr>
            </w:pPr>
            <w:hyperlink w:anchor="page49">
              <w:r>
                <w:rPr>
                  <w:rFonts w:ascii="Arial" w:cs="Arial" w:eastAsia="Arial" w:hAnsi="Arial"/>
                  <w:sz w:val="10"/>
                  <w:szCs w:val="10"/>
                  <w:color w:val="0000EE"/>
                  <w:w w:val="71"/>
                </w:rPr>
                <w:t>24</w:t>
              </w:r>
            </w:hyperlink>
          </w:p>
        </w:tc>
      </w:tr>
      <w:tr>
        <w:trPr>
          <w:trHeight w:val="20"/>
        </w:trPr>
        <w:tc>
          <w:tcPr>
            <w:tcW w:w="7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0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This prospectus is part of a registration statement that we filed with the Securities and Exchange Commission, or SEC, utilizing a “shelf” registration process. Under this shelf registration process, we may offer shares of our common stock and preferred stock, various series of debt securities and/or warrants, rights to purchase any of such securities, either individually or in units, in one or more offerings, with a total value of up to $50,000,000. This prospectus provides you with a general description of the securities we may offer. Each time we offer a type or series of securities under this prospectus, we will provide a prospectus supplement that will contain specific information about the terms of that offering.</w:t>
      </w:r>
    </w:p>
    <w:p>
      <w:pPr>
        <w:spacing w:after="0" w:line="17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This prospectus does not contain all of the information included in the registration statement. For a more complete understanding of the offering of the securities, you should refer to the registration statement, including its exhibits. The prospectus supplement may also add, update or change information contained or incorporated by reference in this prospectus. However, no prospectus supplement will offer a security that is not registered and described in this prospectus at the time of its effectiveness. This prospectus, together with the applicable prospectus supplements and the documents incorporated by reference into this prospectus, includes all material information relating to the offering of securities under this prospectus. You should carefully read this prospectus, the applicable prospectus supplement, the information and documents incorporated herein by reference and the additional information under the heading “Where You Can Find More Information” before making an investment decision.</w:t>
      </w:r>
    </w:p>
    <w:p>
      <w:pPr>
        <w:spacing w:after="0" w:line="17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You should rely only on the information we have provided or incorporated by reference in this prospectus or any prospectus supplement. We have not authorized anyone to provide you with information different from that contained or incorporated by reference in this prospectus. No dealer, salesperson or other person is authorized to give any information or to represent anything not contained or incorporated by reference in this prospectus. You must not rely on any unauthorized information or representation. This prospectus is an offer to sell only the securities offered hereby, but only under circumstances and in jurisdictions where it is lawful to do so. You should assume that the information in this prospectus or any prospectus supplement is accurate only as of the date on the front of the document and that any information we have incorporated herein by reference is accurate only as of the date of the document incorporated by reference, regardless of the time of delivery of this prospectus or any sale of a security.</w:t>
      </w:r>
    </w:p>
    <w:p>
      <w:pPr>
        <w:spacing w:after="0" w:line="166"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We further note that the representations, warranties and covenants made by us in any agreement that is filed as an exhibit to any document that is incorporated by reference in the accompanying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76"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This prospectus may not be used to consummate sales of our securities, unless it is accompanied by a prospectus supplement. To the extent there are inconsistencies between any prospectus supplement, this prospectus and any documents incorporated by reference, the document with the most recent date will control.</w:t>
      </w:r>
    </w:p>
    <w:p>
      <w:pPr>
        <w:spacing w:after="0" w:line="18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Unless the context otherwise requires, references to “we,” “our,” “us,” or the “Company” in this prospectus mean XpresSpa Group, Inc., together with its subsidiaries.</w:t>
      </w: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584200</wp:posOffset>
            </wp:positionV>
            <wp:extent cx="7136130" cy="58159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5">
                      <a:extLst>
                        <a:ext uri="{28A0092B-C50C-407E-A947-70E740481C1C}"/>
                      </a:extLst>
                    </a:blip>
                    <a:srcRect/>
                    <a:stretch>
                      <a:fillRect/>
                    </a:stretch>
                  </pic:blipFill>
                  <pic:spPr bwMode="auto">
                    <a:xfrm>
                      <a:off x="0" y="0"/>
                      <a:ext cx="7136130" cy="5815965"/>
                    </a:xfrm>
                    <a:prstGeom prst="rect">
                      <a:avLst/>
                    </a:prstGeom>
                    <a:noFill/>
                  </pic:spPr>
                </pic:pic>
              </a:graphicData>
            </a:graphic>
          </wp:anchor>
        </w:drawing>
        <w:t>PROSPECTUS SUMMARY</w:t>
      </w:r>
    </w:p>
    <w:p>
      <w:pPr>
        <w:spacing w:after="0" w:line="22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i w:val="1"/>
          <w:iCs w:val="1"/>
          <w:color w:val="auto"/>
        </w:rPr>
        <w:t>The following is a summary of what we believe to be the most important aspects of our business and the offering of our securities under this prospectus. We urge you to read this entire prospectus, including the more detailed consolidated financial statements, notes to the consolidated financial statements and other information incorporated by reference from our other filings with the SEC or included in any applicable prospectus supplement. Investing in our securities involves risks. Therefore, carefully consider the risk factors set forth in any prospectus supplements and in our most recent annual and quarterly filings with the SEC, as well as other information in this prospectus and any prospectus supplements and the documents incorporated by reference herein or therein, before purchasing our securities. Each of the risk factors could adversely affect our business, operating results and financial condition, as well as adversely affect the value of an investment in our securities.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On January 5, 2018, we changed our name to XpresSpa Group, Inc. (“XpresSpa Group” or the “Company”) from FORM Holdings Corp. Our Common Stock, par value $0.01 per share, which had previously been listed under the trading symbol “FH” on the Nasdaq Capital Market, has been listed under the trading symbol “XSPA” since January 8, 2018. Rebranding to XpresSpa Group aligned our corporate strategy to build a pure-play health and wellness services company, which we commenced following our acquisition of XpresSpa Holdings, LLC (“XpresSpa”) on December 23, 2016.</w:t>
      </w:r>
    </w:p>
    <w:p>
      <w:pPr>
        <w:spacing w:after="0" w:line="15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a result of the transition to a pure-play health and wellness services company, we currently have one operating segment that is also our sole reporting unit, XpresSpa, a leading airport retailer of spa services. XpresSpa is a well-recognized airport spa brand with 56 locations, consisting of 51 domestic and 5 international locations as of December 31, 2018. XpresSpa offers travelers premium spa services, including massage, nail and skin care, as well as spa and travel products. During 2018 and 2017, XpresSpa generated $49,294,000 and $48,373,000 of revenue, respectively. In 2018, approximately 83% of XpresSpa’s total revenue was generated by services, primarily massage and nailcare, and 17% was generated by retail products, primarily travel accessories.</w:t>
      </w:r>
    </w:p>
    <w:p>
      <w:pPr>
        <w:spacing w:after="0" w:line="192"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We own certain patent portfolios, which we look to monetize through sales and licensing agreements. During the year ended December 31, 2018, we determined that our intellectual property operating segment will no longer be an area of focus for us and, as such, will no longer be reflected as a separate operating segment, as it is not expected to generate any material revenues or operating costs.</w:t>
      </w:r>
    </w:p>
    <w:p>
      <w:pPr>
        <w:spacing w:after="0" w:line="165"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In October 2017, we completed the sale of FLI Charge, Inc. (“FLI Charge”) and in March 2018, we completed the sale of Group Mobile Int’l LLC (“Group Mobile”). These two entities previously comprised our technology operating segment. The results of operations for FLI Charge and Group Mobile are presented in the consolidated statements of operations and comprehensive loss as consolidated net loss from discontinued operations. The carrying amounts of assets and liabilities belonging to Group Mobile as of December 31, 2018, and FLI Charge and Group Mobile as of December 31, 2017, are presented in the consolidated balance sheets as assets held for disposal and liabilities held for disposal, respectively.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Information</w:t>
      </w:r>
    </w:p>
    <w:p>
      <w:pPr>
        <w:spacing w:after="0" w:line="229" w:lineRule="exact"/>
        <w:rPr>
          <w:sz w:val="20"/>
          <w:szCs w:val="20"/>
          <w:color w:val="auto"/>
        </w:rPr>
      </w:pPr>
    </w:p>
    <w:p>
      <w:pPr>
        <w:ind w:right="220"/>
        <w:spacing w:after="0" w:line="231" w:lineRule="auto"/>
        <w:rPr>
          <w:sz w:val="20"/>
          <w:szCs w:val="20"/>
          <w:color w:val="auto"/>
        </w:rPr>
      </w:pPr>
      <w:r>
        <w:rPr>
          <w:rFonts w:ascii="Arial" w:cs="Arial" w:eastAsia="Arial" w:hAnsi="Arial"/>
          <w:sz w:val="18"/>
          <w:szCs w:val="18"/>
          <w:color w:val="auto"/>
        </w:rPr>
        <w:t>We were incorporated in Delaware as a corporation on January 9, 2006 and completed an initial public offering in June 2010. Our principal executive offices are located at 780 Third Avenue, 12</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New York, New York 10017. Our telephone number is (212) 309-7549 and our website address is </w:t>
      </w:r>
      <w:r>
        <w:rPr>
          <w:rFonts w:ascii="Arial" w:cs="Arial" w:eastAsia="Arial" w:hAnsi="Arial"/>
          <w:sz w:val="18"/>
          <w:szCs w:val="18"/>
          <w:i w:val="1"/>
          <w:iCs w:val="1"/>
          <w:u w:val="single" w:color="auto"/>
          <w:color w:val="auto"/>
        </w:rPr>
        <w:t>www.xpresspagroup.com</w:t>
      </w:r>
      <w:r>
        <w:rPr>
          <w:rFonts w:ascii="Arial" w:cs="Arial" w:eastAsia="Arial" w:hAnsi="Arial"/>
          <w:sz w:val="18"/>
          <w:szCs w:val="18"/>
          <w:color w:val="auto"/>
        </w:rPr>
        <w:t>. We also operate the website</w:t>
      </w:r>
      <w:r>
        <w:rPr>
          <w:rFonts w:ascii="Arial" w:cs="Arial" w:eastAsia="Arial" w:hAnsi="Arial"/>
          <w:sz w:val="18"/>
          <w:szCs w:val="18"/>
          <w:i w:val="1"/>
          <w:iCs w:val="1"/>
          <w:color w:val="auto"/>
        </w:rPr>
        <w:t xml:space="preserve"> </w:t>
      </w:r>
      <w:r>
        <w:rPr>
          <w:rFonts w:ascii="Arial" w:cs="Arial" w:eastAsia="Arial" w:hAnsi="Arial"/>
          <w:sz w:val="18"/>
          <w:szCs w:val="18"/>
          <w:i w:val="1"/>
          <w:iCs w:val="1"/>
          <w:u w:val="single" w:color="auto"/>
          <w:color w:val="auto"/>
        </w:rPr>
        <w:t>www.xpresspa.com</w:t>
      </w:r>
      <w:r>
        <w:rPr>
          <w:rFonts w:ascii="Arial" w:cs="Arial" w:eastAsia="Arial" w:hAnsi="Arial"/>
          <w:sz w:val="18"/>
          <w:szCs w:val="18"/>
          <w:color w:val="auto"/>
        </w:rPr>
        <w:t>. References in this prospectus to our website address does not constitute</w:t>
      </w:r>
      <w:r>
        <w:rPr>
          <w:rFonts w:ascii="Arial" w:cs="Arial" w:eastAsia="Arial" w:hAnsi="Arial"/>
          <w:sz w:val="18"/>
          <w:szCs w:val="18"/>
          <w:i w:val="1"/>
          <w:iCs w:val="1"/>
          <w:color w:val="auto"/>
        </w:rPr>
        <w:t xml:space="preserve"> </w:t>
      </w:r>
      <w:r>
        <w:rPr>
          <w:rFonts w:ascii="Arial" w:cs="Arial" w:eastAsia="Arial" w:hAnsi="Arial"/>
          <w:sz w:val="18"/>
          <w:szCs w:val="18"/>
          <w:color w:val="auto"/>
        </w:rPr>
        <w:t>incorporation by reference of the information contained on the website.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00"/>
          </w:cols>
          <w:pgMar w:left="440" w:top="1134" w:right="459" w:bottom="1440" w:gutter="0" w:footer="0" w:header="0"/>
        </w:sectPr>
      </w:pPr>
    </w:p>
    <w:bookmarkStart w:id="26" w:name="page27"/>
    <w:bookmarkEnd w:id="26"/>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spacing w:after="0" w:line="269" w:lineRule="auto"/>
        <w:rPr>
          <w:rFonts w:ascii="Arial" w:cs="Arial" w:eastAsia="Arial" w:hAnsi="Arial"/>
          <w:sz w:val="17"/>
          <w:szCs w:val="17"/>
          <w:color w:val="auto"/>
        </w:rPr>
      </w:pPr>
      <w:r>
        <w:rPr>
          <w:rFonts w:ascii="Arial" w:cs="Arial" w:eastAsia="Arial" w:hAnsi="Arial"/>
          <w:sz w:val="17"/>
          <w:szCs w:val="17"/>
          <w:color w:val="auto"/>
        </w:rPr>
        <w:t xml:space="preserve">Investing in our securities involves significant risk. The prospectus supplement applicable to each offering of our securities will contain a discussion of the risks applicable to an investment in us. Prior to making a decision about investing in our securities, you should carefully consider the specific factors discussed under the heading “Risk Factors” in the applicable prospectus supplement, together with all of the other information contained or incorporated by reference in the prospectus supplement or appearing or incorporated by reference in this prospectus. You should also consider the risks, uncertainties and assumptions discussed under the heading “Risk Factors” included in our </w:t>
      </w:r>
      <w:hyperlink r:id="rId29">
        <w:r>
          <w:rPr>
            <w:rFonts w:ascii="Arial" w:cs="Arial" w:eastAsia="Arial" w:hAnsi="Arial"/>
            <w:sz w:val="17"/>
            <w:szCs w:val="17"/>
            <w:u w:val="single" w:color="auto"/>
            <w:color w:val="0000EE"/>
          </w:rPr>
          <w:t>most recent annual report on Form 10-K</w:t>
        </w:r>
      </w:hyperlink>
      <w:r>
        <w:rPr>
          <w:rFonts w:ascii="Arial" w:cs="Arial" w:eastAsia="Arial" w:hAnsi="Arial"/>
          <w:sz w:val="17"/>
          <w:szCs w:val="17"/>
          <w:color w:val="auto"/>
        </w:rPr>
        <w:t xml:space="preserve">, as revised or supplemented by our subsequent </w:t>
      </w:r>
      <w:hyperlink r:id="rId32">
        <w:r>
          <w:rPr>
            <w:rFonts w:ascii="Arial" w:cs="Arial" w:eastAsia="Arial" w:hAnsi="Arial"/>
            <w:sz w:val="17"/>
            <w:szCs w:val="17"/>
            <w:u w:val="single" w:color="auto"/>
            <w:color w:val="0000EE"/>
          </w:rPr>
          <w:t>quarterly reports on Form 10-Q</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or our </w:t>
      </w:r>
      <w:hyperlink r:id="rId57">
        <w:r>
          <w:rPr>
            <w:rFonts w:ascii="Arial" w:cs="Arial" w:eastAsia="Arial" w:hAnsi="Arial"/>
            <w:sz w:val="17"/>
            <w:szCs w:val="17"/>
            <w:u w:val="single" w:color="auto"/>
            <w:color w:val="0000EE"/>
          </w:rPr>
          <w:t>current reports on Form 8-K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that we have filed with the SEC, all of which are incorporated herein by reference, and which may be amended, supplemented or superseded from time to time by other reports we file with the SEC in the future. The risks and uncertainties we have described are not the only ones we face. Additional risks and uncertainties not presently known to us or that we currently deem immaterial may also affect our operations. The occurrence of any of these risks might cause you to lose all or part of your investment in the offered securities.</w:t>
      </w:r>
    </w:p>
    <w:p>
      <w:pPr>
        <w:spacing w:after="0" w:line="200" w:lineRule="exact"/>
        <w:rPr>
          <w:rFonts w:ascii="Arial" w:cs="Arial" w:eastAsia="Arial" w:hAnsi="Arial"/>
          <w:sz w:val="17"/>
          <w:szCs w:val="17"/>
          <w:color w:val="auto"/>
        </w:rPr>
      </w:pPr>
    </w:p>
    <w:p>
      <w:pPr>
        <w:spacing w:after="0" w:line="201" w:lineRule="exact"/>
        <w:rPr>
          <w:rFonts w:ascii="Arial" w:cs="Arial" w:eastAsia="Arial" w:hAnsi="Arial"/>
          <w:sz w:val="17"/>
          <w:szCs w:val="17"/>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7" w:name="page28"/>
    <w:bookmarkEnd w:id="27"/>
    <w:p>
      <w:pPr>
        <w:jc w:val="center"/>
        <w:ind w:right="-9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spacing w:after="0" w:line="268" w:lineRule="auto"/>
        <w:rPr>
          <w:rFonts w:ascii="Arial" w:cs="Arial" w:eastAsia="Arial" w:hAnsi="Arial"/>
          <w:sz w:val="17"/>
          <w:szCs w:val="17"/>
          <w:color w:val="auto"/>
        </w:rPr>
      </w:pPr>
      <w:r>
        <w:rPr>
          <w:rFonts w:ascii="Arial" w:cs="Arial" w:eastAsia="Arial" w:hAnsi="Arial"/>
          <w:sz w:val="17"/>
          <w:szCs w:val="17"/>
          <w:color w:val="auto"/>
        </w:rPr>
        <w:t xml:space="preserve">This prospectus and the documents incorporated by reference in this prospectus include forward-looking statements within the meaning of Section 27A of the Securities Act and Section 21E of the Exchange Act that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Words such as, but not limited to, “believe,” “expect,” “anticipate,” “estimate,” “intend,” “may,” “plan,” “potential,” “predict,” “project,” “targets,” “likely,” “will,” “would,” “could,” “should,” “continue,” and similar expressions or phrases, or the negative of those expressions or phrases, are intended to identify forward-looking statements, although not all forward-looking statements contain these identifying words. Although we believe that we have a reasonable basis for each forward-looking statement contained in this prospectus and incorporated by reference in this prospectus, we caution you that these statements are based on our projections of the future that are subject to known and unknown risks and uncertainties and other factors that may cause our actual results, level of activity, performance or achievements expressed or implied by these forward-looking statements, to differ. The sections in our periodic reports, including our </w:t>
      </w:r>
      <w:hyperlink r:id="rId29">
        <w:r>
          <w:rPr>
            <w:rFonts w:ascii="Arial" w:cs="Arial" w:eastAsia="Arial" w:hAnsi="Arial"/>
            <w:sz w:val="17"/>
            <w:szCs w:val="17"/>
            <w:u w:val="single" w:color="auto"/>
            <w:color w:val="0000EE"/>
          </w:rPr>
          <w:t>Annual Report on Form 10-K for the fiscal year ended December 31, 2018</w:t>
        </w:r>
      </w:hyperlink>
      <w:r>
        <w:rPr>
          <w:rFonts w:ascii="Arial" w:cs="Arial" w:eastAsia="Arial" w:hAnsi="Arial"/>
          <w:sz w:val="17"/>
          <w:szCs w:val="17"/>
          <w:color w:val="auto"/>
        </w:rPr>
        <w:t>, entitled “Business,” “Risk Factors,” and “Management’s Discussion and Analysis of Financial Condition and Results of Operations,” as well as other sections in this prospectus and the documents or reports incorporated by reference in this prospectus, discuss some of the factors that could contribute to these differences. These forward-looking statements include, among other things, statements about: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These risks and uncertainties, many of which are beyond our control, include, but are not limited to, the following:</w:t>
      </w:r>
    </w:p>
    <w:p>
      <w:pPr>
        <w:spacing w:after="0" w:line="22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continue as a going concern;</w:t>
      </w:r>
    </w:p>
    <w:p>
      <w:pPr>
        <w:spacing w:after="0" w:line="225"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our business and asset acquisitions on our operations and operating results including our ability to realize the expected value and benefits of such acquisitions;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develop and offer new products and services;</w:t>
      </w:r>
    </w:p>
    <w:p>
      <w:pPr>
        <w:spacing w:after="0" w:line="225"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raise additional capital to fund our operations and business plan and the effects that such financing may have on the value of the equity instruments held by our stockholders;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 economic conditions and level of consumer and corporate spending on health and wellness and travel;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secure new locations, maintain existing ones, and ensure continued customer traffic at those locations;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hire a skilled labor force and the costs associated with that labor;</w:t>
      </w:r>
    </w:p>
    <w:p>
      <w:pPr>
        <w:spacing w:after="0" w:line="225"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accurately forecast the costs associated with opening new retail locations and maintaining existing ones and the revenue derived from our retail locations;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performance by our Airport Concession Disadvantaged Business Enterprise partners on obligations set forth in our joint venture agreements;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protect our confidential information and customers’ financial data and other personal information;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or disruption to our information technology systems;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the recently passed federal tax reform bill;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retain key members of our management team;</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904" w:right="439" w:bottom="1440" w:gutter="0" w:footer="0" w:header="0"/>
        </w:sectPr>
      </w:pPr>
    </w:p>
    <w:bookmarkStart w:id="28" w:name="page29"/>
    <w:bookmarkEnd w:id="28"/>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loss of, or an adverse change with regard to, one or more of our significant suppliers, distributors, vendors or other business relationships;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unexpected events and trends in the health and wellness and travel industries;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market acceptance, quality, pricing, availability and useful life of our products and/or services, as well as the mix of our products and services sold;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competitive conditions within our industries;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compliance with laws and regulations in the jurisdictions in which we do business and any changes in such laws and regulations;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lawsuits, claims, and investigations that may be filed against us and other events that may adversely affect our reputation;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protect and maintain our intellectual property rights;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license and monetize our patents, including litigation outcomes.</w:t>
      </w:r>
    </w:p>
    <w:p>
      <w:pPr>
        <w:spacing w:after="0" w:line="225" w:lineRule="exact"/>
        <w:rPr>
          <w:sz w:val="20"/>
          <w:szCs w:val="20"/>
          <w:color w:val="auto"/>
        </w:rPr>
      </w:pPr>
    </w:p>
    <w:p>
      <w:pPr>
        <w:ind w:right="60"/>
        <w:spacing w:after="0" w:line="269" w:lineRule="auto"/>
        <w:rPr>
          <w:rFonts w:ascii="Arial" w:cs="Arial" w:eastAsia="Arial" w:hAnsi="Arial"/>
          <w:sz w:val="17"/>
          <w:szCs w:val="17"/>
          <w:color w:val="0000EE"/>
        </w:rPr>
      </w:pPr>
      <w:r>
        <w:rPr>
          <w:rFonts w:ascii="Arial" w:cs="Arial" w:eastAsia="Arial" w:hAnsi="Arial"/>
          <w:sz w:val="17"/>
          <w:szCs w:val="17"/>
          <w:color w:val="auto"/>
        </w:rPr>
        <w:t xml:space="preserve">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cautionary statements in this prospectus or in the documents incorporated by reference in this prospectus, particularly in the “Risk Factors” section, that we believe could cause actual results or events to differ materially from the forward-looking statements that we make. For a summary of such factors, please refer to the section entitled “Risk Factors” in this prospectus, as updated and supplemented </w:t>
      </w:r>
      <w:hyperlink r:id="rId29">
        <w:r>
          <w:rPr>
            <w:rFonts w:ascii="Arial" w:cs="Arial" w:eastAsia="Arial" w:hAnsi="Arial"/>
            <w:sz w:val="17"/>
            <w:szCs w:val="17"/>
            <w:color w:val="auto"/>
          </w:rPr>
          <w:t xml:space="preserve">by the discussion of risks and uncertainties under “Risk Factors” contained in any supplements to this prospectus and in our </w:t>
        </w:r>
        <w:r>
          <w:rPr>
            <w:rFonts w:ascii="Arial" w:cs="Arial" w:eastAsia="Arial" w:hAnsi="Arial"/>
            <w:sz w:val="17"/>
            <w:szCs w:val="17"/>
            <w:u w:val="single" w:color="auto"/>
            <w:color w:val="0000EE"/>
          </w:rPr>
          <w:t>most recent annual report on</w:t>
        </w:r>
      </w:hyperlink>
      <w:r>
        <w:rPr>
          <w:rFonts w:ascii="Arial" w:cs="Arial" w:eastAsia="Arial" w:hAnsi="Arial"/>
          <w:sz w:val="17"/>
          <w:szCs w:val="17"/>
          <w:color w:val="auto"/>
        </w:rPr>
        <w:t xml:space="preserve"> </w:t>
      </w:r>
      <w:hyperlink r:id="rId29">
        <w:r>
          <w:rPr>
            <w:rFonts w:ascii="Arial" w:cs="Arial" w:eastAsia="Arial" w:hAnsi="Arial"/>
            <w:sz w:val="17"/>
            <w:szCs w:val="17"/>
            <w:u w:val="single" w:color="auto"/>
            <w:color w:val="0000EE"/>
          </w:rPr>
          <w:t>Form 10-K</w:t>
        </w:r>
        <w:r>
          <w:rPr>
            <w:rFonts w:ascii="Arial" w:cs="Arial" w:eastAsia="Arial" w:hAnsi="Arial"/>
            <w:sz w:val="17"/>
            <w:szCs w:val="17"/>
            <w:color w:val="000000"/>
          </w:rPr>
          <w:t>, as revised or supplemented by our subsequent</w:t>
        </w:r>
        <w:r>
          <w:rPr>
            <w:rFonts w:ascii="Arial" w:cs="Arial" w:eastAsia="Arial" w:hAnsi="Arial"/>
            <w:sz w:val="17"/>
            <w:szCs w:val="17"/>
            <w:color w:val="0000EE"/>
          </w:rPr>
          <w:t xml:space="preserve"> </w:t>
        </w:r>
      </w:hyperlink>
      <w:hyperlink r:id="rId32">
        <w:r>
          <w:rPr>
            <w:rFonts w:ascii="Arial" w:cs="Arial" w:eastAsia="Arial" w:hAnsi="Arial"/>
            <w:sz w:val="17"/>
            <w:szCs w:val="17"/>
            <w:u w:val="single" w:color="auto"/>
            <w:color w:val="0000EE"/>
          </w:rPr>
          <w:t xml:space="preserve">quarterly reports on Form 10-Q </w:t>
        </w:r>
      </w:hyperlink>
      <w:hyperlink r:id="rId29">
        <w:r>
          <w:rPr>
            <w:rFonts w:ascii="Arial" w:cs="Arial" w:eastAsia="Arial" w:hAnsi="Arial"/>
            <w:sz w:val="17"/>
            <w:szCs w:val="17"/>
            <w:color w:val="000000"/>
          </w:rPr>
          <w:t>or our</w:t>
        </w:r>
        <w:r>
          <w:rPr>
            <w:rFonts w:ascii="Arial" w:cs="Arial" w:eastAsia="Arial" w:hAnsi="Arial"/>
            <w:sz w:val="17"/>
            <w:szCs w:val="17"/>
            <w:color w:val="0000EE"/>
          </w:rPr>
          <w:t xml:space="preserve"> </w:t>
        </w:r>
      </w:hyperlink>
      <w:hyperlink r:id="rId57">
        <w:r>
          <w:rPr>
            <w:rFonts w:ascii="Arial" w:cs="Arial" w:eastAsia="Arial" w:hAnsi="Arial"/>
            <w:sz w:val="17"/>
            <w:szCs w:val="17"/>
            <w:u w:val="single" w:color="auto"/>
            <w:color w:val="0000EE"/>
          </w:rPr>
          <w:t>current reports on Form 8-K</w:t>
        </w:r>
      </w:hyperlink>
      <w:hyperlink r:id="rId29">
        <w:r>
          <w:rPr>
            <w:rFonts w:ascii="Arial" w:cs="Arial" w:eastAsia="Arial" w:hAnsi="Arial"/>
            <w:sz w:val="17"/>
            <w:szCs w:val="17"/>
            <w:color w:val="000000"/>
          </w:rPr>
          <w:t>, as well as any amendments</w:t>
        </w:r>
      </w:hyperlink>
      <w:r>
        <w:rPr>
          <w:rFonts w:ascii="Arial" w:cs="Arial" w:eastAsia="Arial" w:hAnsi="Arial"/>
          <w:sz w:val="17"/>
          <w:szCs w:val="17"/>
          <w:color w:val="0000EE"/>
        </w:rPr>
        <w:t xml:space="preserve"> </w:t>
      </w:r>
      <w:r>
        <w:rPr>
          <w:rFonts w:ascii="Arial" w:cs="Arial" w:eastAsia="Arial" w:hAnsi="Arial"/>
          <w:sz w:val="17"/>
          <w:szCs w:val="17"/>
          <w:color w:val="000000"/>
        </w:rPr>
        <w:t>thereto, as filed with the SEC and which are incorporated herein by reference. The information contained in this document is believed to be current as of the date of this document. We do not intend to update any of the forward-looking statements after the date of this document to conform these statements to actual results or to changes in our expectations, except as required by law.</w:t>
      </w:r>
    </w:p>
    <w:p>
      <w:pPr>
        <w:spacing w:after="0" w:line="185" w:lineRule="exact"/>
        <w:rPr>
          <w:rFonts w:ascii="Arial" w:cs="Arial" w:eastAsia="Arial" w:hAnsi="Arial"/>
          <w:sz w:val="17"/>
          <w:szCs w:val="17"/>
          <w:color w:val="0000EE"/>
        </w:rPr>
      </w:pPr>
    </w:p>
    <w:p>
      <w:pPr>
        <w:ind w:right="180"/>
        <w:spacing w:after="0" w:line="273" w:lineRule="auto"/>
        <w:rPr>
          <w:sz w:val="20"/>
          <w:szCs w:val="20"/>
          <w:color w:val="auto"/>
        </w:rPr>
      </w:pPr>
      <w:r>
        <w:rPr>
          <w:rFonts w:ascii="Arial" w:cs="Arial" w:eastAsia="Arial" w:hAnsi="Arial"/>
          <w:sz w:val="17"/>
          <w:szCs w:val="17"/>
          <w:color w:val="auto"/>
        </w:rPr>
        <w:t>In light of these assumptions, risks and uncertainties, the results and events discussed in the forward-looking statements contained in this prospectus or in any document incorporated herein by reference might not occur. Investors are cautioned not to place undue reliance on the forward-looking statements, which speak only as of the date of this prospectus or the date of the document incorporated by reference in this prospectus. We are not under any obligation, and we expressly disclaim any obligation, to update or alter any forward-looking statements, whether as a result of new information, future events or otherwise. All subsequent forward-looking statements attributable to us or to any person acting on our behalf are expressly qualified in their entirety by the cautionary statements contained or referred to in this section.</w:t>
      </w:r>
    </w:p>
    <w:p>
      <w:pPr>
        <w:spacing w:after="0" w:line="394" w:lineRule="exact"/>
        <w:rPr>
          <w:rFonts w:ascii="Arial" w:cs="Arial" w:eastAsia="Arial" w:hAnsi="Arial"/>
          <w:sz w:val="17"/>
          <w:szCs w:val="17"/>
          <w:color w:val="0000EE"/>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rFonts w:ascii="Arial" w:cs="Arial" w:eastAsia="Arial" w:hAnsi="Arial"/>
          <w:sz w:val="17"/>
          <w:szCs w:val="17"/>
          <w:color w:val="0000EE"/>
        </w:rPr>
      </w:pPr>
      <w:r>
        <w:rPr>
          <w:rFonts w:ascii="Arial" w:cs="Arial" w:eastAsia="Arial" w:hAnsi="Arial"/>
          <w:sz w:val="17"/>
          <w:szCs w:val="17"/>
          <w:color w:val="0000EE"/>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29" w:name="page30"/>
    <w:bookmarkEnd w:id="29"/>
    <w:p>
      <w:pPr>
        <w:jc w:val="center"/>
        <w:ind w:right="-259"/>
        <w:spacing w:after="0"/>
        <w:rPr>
          <w:sz w:val="20"/>
          <w:szCs w:val="20"/>
          <w:color w:val="auto"/>
        </w:rPr>
      </w:pPr>
      <w:r>
        <w:rPr>
          <w:rFonts w:ascii="Arial" w:cs="Arial" w:eastAsia="Arial" w:hAnsi="Arial"/>
          <w:sz w:val="18"/>
          <w:szCs w:val="18"/>
          <w:b w:val="1"/>
          <w:bCs w:val="1"/>
          <w:color w:val="auto"/>
        </w:rPr>
        <w:t>RATIO OF EARNINGS TO FIXED CHARGES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Any time debt securities are offered pursuant to this prospectus, we will provide a table setting forth our ratio of earnings to fixed charges on a historical basis in the applicable prospectus supplement, if required.</w:t>
      </w:r>
    </w:p>
    <w:p>
      <w:pPr>
        <w:spacing w:after="0" w:line="38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80"/>
          </w:cols>
          <w:pgMar w:left="320" w:top="904" w:right="599"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Unless otherwise indicated in the applicable prospectus supplement, we intend to use any net proceeds from the sale of securities under this prospectus for our operations and for other general corporate purposes, including, but not limited to, general working capital. We have not determined the amounts we plan to spend on any of the areas listed above or the timing of these expenditures. As a result, our management will have broad discretion to allocate the net proceeds, if any, we receive in connection with securities offered pursuant to this prospectus for any purpose. Pending application of the net proceeds as described above, we may initially invest the net proceeds in short-term, investment-grade, interest-bearing securities or apply them to the reduction of short-term indebtedness.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1" w:name="page32"/>
    <w:bookmarkEnd w:id="31"/>
    <w:p>
      <w:pPr>
        <w:jc w:val="center"/>
        <w:ind w:right="-5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We may offer securities under this prospectus from time to time pursuant to underwritten public offerings, negotiated transactions, block trades or a combination of these methods. We may sell the securities (1) through underwriters or dealers, (2) through agents or (3) directly to one or more purchasers, or through a combination of such methods. We may distribute the securities from time to time in one or more transactions at:</w:t>
      </w:r>
    </w:p>
    <w:p>
      <w:pPr>
        <w:spacing w:after="0" w:line="165"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fixed price or prices, which may be changed from time to time;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market prices prevailing at the time of sale;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prices related to the prevailing market prices;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negotiated prices.</w:t>
      </w:r>
    </w:p>
    <w:p>
      <w:pPr>
        <w:spacing w:after="0" w:line="225"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We may directly solicit offers to purchase the securities being offered by this prospectus. We may also designate agents to solicit offers to purchase the securities from time to time, and may enter into arrangements for “at-the-market,” equity line or similar transactions. We will name in a prospectus supplement any underwriter or agent involved in the offer or sale of the securities.</w:t>
      </w:r>
    </w:p>
    <w:p>
      <w:pPr>
        <w:spacing w:after="0" w:line="18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If we utilize a dealer in the sale of the securities being offered by this prospectus, we will sell the securities to the dealer, as principal. The dealer may then resell the securities to the public at varying prices to be determined by the dealer at the time of resale.</w:t>
      </w:r>
    </w:p>
    <w:p>
      <w:pPr>
        <w:spacing w:after="0" w:line="170"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If we utilize an underwriter in the sale of the securities being offered by this prospectus, we will execute an underwriting agreement with the underwriter at the time of sale, and we will provide the name of any underwriter in the prospectus supplement which the underwriter will use to make resales of the securities to the public. In connection with the sale of the securities, we, or the purchasers of the securities for whom the underwriter may act as agent, may compensate the underwriter in the form of underwriting discounts or commissions. The underwriter may sell the securities to or through dealers, and the underwriter may compensate those dealers in the form of discounts, concessions or commissions.</w:t>
      </w:r>
    </w:p>
    <w:p>
      <w:pPr>
        <w:spacing w:after="0" w:line="17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With respect to underwritten public offerings, negotiated transactions and block trades, we will provide in the applicable prospectus supplement information regarding any compensation we pay to underwriters, dealers or agents in connection with the offering of the securities, and any discounts, concessions or commissions allowed by underwriters to participating dealers. 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w:t>
      </w:r>
    </w:p>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32" w:name="page33"/>
    <w:bookmarkEnd w:id="32"/>
    <w:p>
      <w:pPr>
        <w:ind w:right="60"/>
        <w:spacing w:after="0" w:line="254" w:lineRule="auto"/>
        <w:rPr>
          <w:sz w:val="20"/>
          <w:szCs w:val="20"/>
          <w:color w:val="auto"/>
        </w:rPr>
      </w:pPr>
      <w:r>
        <w:rPr>
          <w:rFonts w:ascii="Arial" w:cs="Arial" w:eastAsia="Arial" w:hAnsi="Arial"/>
          <w:sz w:val="18"/>
          <w:szCs w:val="18"/>
          <w:color w:val="auto"/>
        </w:rPr>
        <w:t>If so indicated in the applicable prospectus supplement, we will authorize underwriters, dealers or other persons acting as our agents to solicit offers by certain institutions to purchase securities from us pursuant to delayed delivery contracts providing for payment and delivery on the date stated in each applicable prospectus supplement. Each contract will be for an amount not less than, and the aggregate amount of securities sold pursuant to such contracts shall not be less nor more than, the respective amounts stated in each applicable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195" w:lineRule="exact"/>
        <w:rPr>
          <w:sz w:val="20"/>
          <w:szCs w:val="20"/>
          <w:color w:val="auto"/>
        </w:rPr>
      </w:pPr>
    </w:p>
    <w:p>
      <w:pPr>
        <w:ind w:left="660" w:right="42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purchase by an institution of the securities covered under that contract shall not at the time of delivery be prohibited under the laws of the jurisdiction to which that institution is subject; and</w:t>
      </w:r>
    </w:p>
    <w:p>
      <w:pPr>
        <w:spacing w:after="0" w:line="170" w:lineRule="exact"/>
        <w:rPr>
          <w:rFonts w:ascii="Arial" w:cs="Arial" w:eastAsia="Arial" w:hAnsi="Arial"/>
          <w:sz w:val="18"/>
          <w:szCs w:val="18"/>
          <w:color w:val="auto"/>
        </w:rPr>
      </w:pPr>
    </w:p>
    <w:p>
      <w:pPr>
        <w:ind w:left="660" w:right="20" w:hanging="328"/>
        <w:spacing w:after="0" w:line="26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w:t>
      </w:r>
    </w:p>
    <w:p>
      <w:pPr>
        <w:spacing w:after="0" w:line="18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One or more firms, referred to as “remarketing firms,” may also offer or sell the securities, if a prospectus supplement so indicates, in connection with a remarketing arrangement upon their purchase. Remarketing firms will act as principals for their own accounts or as our agents. These remarketing firms will offer or sell the securities in accordance with the terms of the securities. Each prospectus supplement will identify and describe any remarketing firm and the terms of its agreement, if any, with us and will describe the remarketing firm’s compensation. Remarketing firms may be deemed to be underwriters in connection with the securities they remarket. Remarketing firms may be entitled under agreements that may be entered into with us to indemnification by us against certain civil liabilities, including liabilities under the Securities Act, and may be customers of, engage in transactions with or perform services for us in the ordinary course of business.</w:t>
      </w:r>
    </w:p>
    <w:p>
      <w:pPr>
        <w:spacing w:after="0" w:line="19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Certain underwriters may use this prospectus and any accompanying prospectus supplement for offers and sales related to market-making transactions in the securities. These underwriters may act as principal or agent in these transactions, and the sales will be made at prices related to prevailing market prices at the time of sale. Any underwriters involved in the sale of the securities may qualify as “underwriters” within the meaning of Section 2(a)(11) of the Securities Act. In addition, the underwriters’ commissions, discounts or concessions may qualify as underwriters’ compensation under the Securities Act and the rules of the Financial Industry Regulatory Authority, Inc., or FINRA.</w:t>
      </w:r>
    </w:p>
    <w:p>
      <w:pPr>
        <w:spacing w:after="0" w:line="188" w:lineRule="exact"/>
        <w:rPr>
          <w:sz w:val="20"/>
          <w:szCs w:val="20"/>
          <w:color w:val="auto"/>
        </w:rPr>
      </w:pPr>
    </w:p>
    <w:p>
      <w:pPr>
        <w:ind w:right="200"/>
        <w:spacing w:after="0" w:line="296" w:lineRule="auto"/>
        <w:rPr>
          <w:sz w:val="20"/>
          <w:szCs w:val="20"/>
          <w:color w:val="auto"/>
        </w:rPr>
      </w:pPr>
      <w:r>
        <w:rPr>
          <w:rFonts w:ascii="Arial" w:cs="Arial" w:eastAsia="Arial" w:hAnsi="Arial"/>
          <w:sz w:val="16"/>
          <w:szCs w:val="16"/>
          <w:color w:val="auto"/>
        </w:rPr>
        <w:t>Shares of our common stock sold pursuant to the registration statement of which this prospectus is a part will be authorized for listing and trading on The Nasdaq Capital Market. The applicable prospectus supplement will contain information, where applicable, as to any other listing, if any, on The Nasdaq Capital Market or any securities market or other securities exchange of the securities covered by the prospectus supplement. Underwriters may make a market in our common stock, but will not be obligated to do so and may discontinue any market making at any time without notice. We can make no assurance as to the liquidity of or the existence, development or maintenance of trading markets for any of the securities.</w:t>
      </w:r>
    </w:p>
    <w:p>
      <w:pPr>
        <w:spacing w:after="0" w:line="16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In order to facilitate the offering of the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 sold to them. In these circumstances, these persons would cover such over-allotments or short positions by making purchases in the open market or by exercising their over-allotment option. In addition, these persons may stabilize or maintain the price of the securities by bidding for or purchasing the applicable security in the open market or by imposing penalty bids, whereby selling concessions allowed to dealers participating in the offering may be reclaimed if the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The underwriters, dealers and agents may engage in other transactions with us, or perform other services for us, in the ordinary course of their business.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3" w:name="page34"/>
    <w:bookmarkEnd w:id="33"/>
    <w:p>
      <w:pPr>
        <w:jc w:val="center"/>
        <w:ind w:right="-39"/>
        <w:spacing w:after="0"/>
        <w:rPr>
          <w:sz w:val="20"/>
          <w:szCs w:val="20"/>
          <w:color w:val="auto"/>
        </w:rPr>
      </w:pPr>
      <w:r>
        <w:rPr>
          <w:rFonts w:ascii="Arial" w:cs="Arial" w:eastAsia="Arial" w:hAnsi="Arial"/>
          <w:sz w:val="18"/>
          <w:szCs w:val="18"/>
          <w:b w:val="1"/>
          <w:bCs w:val="1"/>
          <w:color w:val="auto"/>
        </w:rPr>
        <w:t>DESCRIPTION OF COMMON STOCK</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are authorized to issue 150,000,000 shares of common stock, par value $0.01 per share. As of July 12, 2019, we had 2,916,477 shares of common stock outstanding and approximately 49 stockholders of record.</w:t>
      </w:r>
    </w:p>
    <w:p>
      <w:pPr>
        <w:spacing w:after="0" w:line="17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following summary of certain provisions of our common stock does not purport to be complete. You should refer to the section of this prospectus entitled “Certain Provisions of Delaware Law and of the Company’s Certificate of Incorporation and Bylaws” and our amended and restated certificate of incorporation, as amended, and our amended and restated bylaws, both of which are included as exhibits to the registration statement of which this prospectus is a part. The summary below is also qualified by provisions of applicable law.</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Holders of our common stock are entitled to one vote for each share held on all matters submitted to a vote of stockholders and do not have cumulative voting rights. An election of directors by our stockholders shall be determined by a plurality of the votes cast by the stockholders entitled to vote on the election. Holders of common stock are entitled to receive proportionately any dividends as may be declared by our board of directors, subject to any preferential dividend rights of any then outstanding series of preferred stock. All shares of common stock outstanding as of the date of this prospectus and, upon issuance and sale, all shares of common stock that we may offer pursuant to this prospectus, will be fully paid and nonassessable.</w:t>
      </w:r>
    </w:p>
    <w:p>
      <w:pPr>
        <w:spacing w:after="0" w:line="161"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In the event of our liquidation or dissolution, the holders of common stock are entitled to receive proportionately our net assets available for distribution to stockholders after the payment of all debts and other liabilities and subject to any preferential rights of any then outstanding series of preferred stock. Holders of common stock have no preemptive, subscription, redemption or conversion rights. There are no redemption or sinking fund provisions applicable to the common stock. The voting, dividend and liquidation rights of holders of common stock are subject to and may be adversely affected by the rights of the holders of shares of our existing series of preferred stock or any series of preferred stock that we may designate and issue in the future.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transfer agent and registrar for our common stock is American Stock Transfer &amp; Trust Company, LLC, with offices at 6201 15th Avenue, Brooklyn, New York 11219.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Exchange Listing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for quotation on The Nasdaq Capital Market under the symbol “XSPA.”</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DESCRIPTION OF PREFERRED STOCK</w:t>
      </w:r>
    </w:p>
    <w:p>
      <w:pPr>
        <w:spacing w:after="0" w:line="2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following description of preferred stock and the description of the terms of any particular series of preferred stock that we choose to issue hereunder are not complete. These descriptions are qualified in their entirety by reference to our amended and restated certificate of incorporation and the certificate of designation relating to any series of preferred stock issued by us. The powers, preferences, rights and restrictions of the preferred stock of each series will be fixed by the certificate of designation relating to that series.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Our amended and restated certificate of incorporation, as amended, authorizes us to issue 5,000,000 shares of preferred stock. As of July 12, 2019, we had:</w:t>
      </w:r>
    </w:p>
    <w:p>
      <w:pPr>
        <w:spacing w:after="0" w:line="248"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designated and issued 6,968 shares of our preferred stock as “Series A Convertible Preferred Stock” with no shares outstanding;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designated and issued 300,000 shares of our preferred stock as “Series C Junior Preferred Stock” with no shares outstanding;</w:t>
      </w:r>
    </w:p>
    <w:p>
      <w:pPr>
        <w:spacing w:after="0" w:line="225" w:lineRule="exact"/>
        <w:rPr>
          <w:rFonts w:ascii="Arial" w:cs="Arial" w:eastAsia="Arial" w:hAnsi="Arial"/>
          <w:sz w:val="18"/>
          <w:szCs w:val="18"/>
          <w:color w:val="auto"/>
        </w:rPr>
      </w:pPr>
    </w:p>
    <w:p>
      <w:pPr>
        <w:ind w:left="660" w:right="68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designated 500,000 shares of our preferred stock as “Series D Convertible Preferred Stock,” issued 23,760 shares of Series D Convertible Preferred Stock with 21,027 shares outstanding;</w:t>
      </w:r>
    </w:p>
    <w:p>
      <w:pPr>
        <w:spacing w:after="0" w:line="170" w:lineRule="exact"/>
        <w:rPr>
          <w:rFonts w:ascii="Arial" w:cs="Arial" w:eastAsia="Arial" w:hAnsi="Arial"/>
          <w:sz w:val="18"/>
          <w:szCs w:val="18"/>
          <w:color w:val="auto"/>
        </w:rPr>
      </w:pPr>
    </w:p>
    <w:p>
      <w:pPr>
        <w:ind w:left="660" w:right="58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designated 2,397,060 shares of our preferred stock as “Series E Convertible Preferred Stock,” issued 48,387 shares of Series E Convertible Preferred Stock with 48,387 shares outstanding;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designated and issued 9,000 shares of our preferred stock as “Series F Convertible Preferred Stock” with 9,000 shares outstanding.</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Our board of directors has the authority, without further action by the stockholders, to issue up to an additional 1,786,972 shares of preferred stock in one or more series and to fix the rights, preferences, privileges and restrictions granted to or imposed upon the preferred stock. Any or all of these rights may be greater than the rights of our common stock.</w:t>
      </w:r>
    </w:p>
    <w:p>
      <w:pPr>
        <w:spacing w:after="0" w:line="18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board of directors, without stockholder approval, can issue preferred stock with voting, conversion or other rights that could negatively affect the voting power and other rights of the holders of our common stock. Preferred stock could thus be issued quickly with terms calculated to delay or prevent a change in control of the Company or make it more difficult to remove our management. Additionally, the issuance of preferred stock may have the effect of decreasing the market price of our common stock.</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Our board of directors may specify the following characteristics of any preferred stock:</w:t>
      </w:r>
    </w:p>
    <w:p>
      <w:pPr>
        <w:spacing w:after="0" w:line="225"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maximum number of shares;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designation of the shares;</w:t>
      </w:r>
    </w:p>
    <w:p>
      <w:pPr>
        <w:spacing w:after="0" w:line="225" w:lineRule="exact"/>
        <w:rPr>
          <w:rFonts w:ascii="Arial" w:cs="Arial" w:eastAsia="Arial" w:hAnsi="Arial"/>
          <w:sz w:val="18"/>
          <w:szCs w:val="18"/>
          <w:color w:val="auto"/>
        </w:rPr>
      </w:pPr>
    </w:p>
    <w:p>
      <w:pPr>
        <w:ind w:left="660" w:right="44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annual dividend rate, if any, whether the dividend rate is fixed or variable, the date or dates on which dividends will accrue, the dividend payment dates, and whether dividends will be cumulative;</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price and the terms and conditions for redemption, if any, including redemption at our option or at the option of the holders, including the time period for redemption, and any accumulated dividends or premiums;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liquidation preference, if any, and any accumulated dividends upon the liquidation, dissolution or winding up of our affairs;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sinking fund or similar provision, and, if so, the terms and provisions relating to the purpose and operation of the fund;</w:t>
      </w:r>
    </w:p>
    <w:p>
      <w:pPr>
        <w:spacing w:after="0" w:line="225" w:lineRule="exact"/>
        <w:rPr>
          <w:rFonts w:ascii="Arial" w:cs="Arial" w:eastAsia="Arial" w:hAnsi="Arial"/>
          <w:sz w:val="18"/>
          <w:szCs w:val="18"/>
          <w:color w:val="auto"/>
        </w:rPr>
      </w:pPr>
    </w:p>
    <w:p>
      <w:pPr>
        <w:ind w:left="660" w:right="60" w:hanging="328"/>
        <w:spacing w:after="0" w:line="263"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terms and conditions, if any, for conversion or exchange of shares of any other class or classes of our capital stock or any series of any other class or classes, or of any other series of the same class, or any other securities or assets, including the price or the rate of conversion or exchange and the method, if any, of adjustment;</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voting rights;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any or all other preferences and relative, participating, optional or other special rights, privileges or qualifications, limitations or restrictions; and</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preferred stock issued will be fully paid and nonassessable upon issuance.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and registrar for our preferred stock will be set forth in the applicable prospectus supplement.</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36" w:name="page37"/>
    <w:bookmarkEnd w:id="36"/>
    <w:p>
      <w:pPr>
        <w:jc w:val="center"/>
        <w:ind w:right="-1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following description, together with the additional information we include in any applicable prospectus supplements, summarizes the material terms and provisions of the debt securities that we may offer under this prospectus. While the terms we have summarized below will apply generally to any future debt securities we may offer pursuant to this prospectus, we will describe the particular terms of any debt securities that we may offer in more detail in the applicable prospectus supplement. If we so indicate in a prospectus supplement, the terms of any debt securities offered under such prospectus supplement may differ from the terms we describe below, and to the extent the terms set forth in a prospectus supplement differ from the terms described below, the terms set forth in the prospectus supplement shall control.</w:t>
      </w:r>
    </w:p>
    <w:p>
      <w:pPr>
        <w:spacing w:after="0" w:line="19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may sell from time to time, in one or more offerings under this prospectus, debt securities, which may be senior or subordinated. We will issue any such senior debt securities under a senior indenture that we will enter into with a trustee to be named in the senior indenture. We will issue any such subordinated debt securities under a subordinated indenture, which we will enter into with a trustee to be named in the subordinated indenture. We have filed forms of these documents as exhibits to the registration statement, of which this prospectus is a part. We use the term “indentures” to refer to either the senior indenture or the subordinated indenture, as applicable. The indentures will be qualified under the Trust Indenture Act of 1939, as in effect on the date of the indenture. We use the term “debenture trustee” to refer to either the trustee under the senior indenture or the trustee under the subordinated indenture, as applicable.</w:t>
      </w:r>
    </w:p>
    <w:p>
      <w:pPr>
        <w:spacing w:after="0" w:line="195"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color w:val="auto"/>
        </w:rPr>
        <w:t>The following summaries of material provisions of the senior debt securities, the subordinated debt securities and the indentures are subject to, and qualified in their entirety by reference to, all the provisions of the indenture applicable to a particular series of debt securities.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Each indenture provides that debt securities may be issued from time to time in one or more series and may be denominated and payable in foreign currencies or units based on or relating to foreign currencies. Neither indenture limits the amount of debt securities that may be issued thereunder, and each indenture provides that the specific terms of any series of debt securities shall be set forth in, or determined pursuant to, an authorizing resolution and/or a supplemental indenture, if any, relating to such series.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We will describe in each prospectus supplement the following terms relating to a series of debt securities:</w:t>
      </w:r>
    </w:p>
    <w:p>
      <w:pPr>
        <w:spacing w:after="0" w:line="225"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title or designation;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aggregate principal amount and any limit on the amount that may be issued;</w:t>
      </w:r>
    </w:p>
    <w:p>
      <w:pPr>
        <w:spacing w:after="0" w:line="225"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currency or units based on or relating to currencies in which debt securities of such series are denominated and the currency or units in which principal or interest or both will or may be payable;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whether we will issue the series of debt securities in global form, the terms of any global securities and who the depositary will be;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maturity date and the date or dates on which principal will be payable;</w:t>
      </w:r>
    </w:p>
    <w:p>
      <w:pPr>
        <w:spacing w:after="0" w:line="225"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interest rate, which may be fixed or variable, or the method for determining the rate and the date interest will begin to accrue, the date or dates interest will be payable and the record dates for interest payment dates or the method for determining such dates;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whether or not the debt securities will be secured or unsecured, and the terms of any secured debt;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terms of the subordination of any series of subordinated debt;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place or places where payments will be payable;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right, if any, to defer payment of interest and the maximum length of any such deferral period;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7" w:name="page38"/>
    <w:bookmarkEnd w:id="37"/>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date, if any, after which, and the price at which, we may, at our option, redeem the series of debt securities pursuant to any optional redemption provisions;</w:t>
      </w:r>
    </w:p>
    <w:p>
      <w:pPr>
        <w:spacing w:after="0" w:line="170"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date, if any, on which, and the price at which we are obligated, pursuant to any mandatory sinking fund provisions or otherwise, to redeem, or at the holder’s option to purchase, the series of debt securities;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the indenture will restrict our ability to pay dividends, or will require us to maintain any asset ratios or reserves;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we will be restricted from incurring any additional indebtedness;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discussion of any material or special U.S. federal income tax considerations applicable to a series of debt securities;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denominations in which we will issue the series of debt securities, if other than denominations of $1,000 and any integral multiple thereof; and</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other specific terms, preferences, rights or limitations of, or restrictions on, the debt securities.</w:t>
      </w:r>
    </w:p>
    <w:p>
      <w:pPr>
        <w:spacing w:after="0" w:line="225"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or Exchange Rights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will set forth in the prospectus supplement the terms, if any, on which a series of debt securities may be convertible into or exchangeable for our common stock or our other securities. We will include provisions as to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Sale; No Protection in Event of a Change of Control or Highly Leveraged Transaction</w:t>
      </w:r>
    </w:p>
    <w:p>
      <w:pPr>
        <w:spacing w:after="0" w:line="229"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The indentures do not contain any covenant that restricts our ability to merge or consolidate, or sell, convey, transfer or otherwise dispose of all or substantially all of our assets. However, any successor to or acquirer of such assets must assume all of our obligations under the indentures or the debt securities, as appropriate.</w:t>
      </w:r>
    </w:p>
    <w:p>
      <w:pPr>
        <w:spacing w:after="0" w:line="184"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Unless we state otherwise in the applicable prospectus supplement, the debt securities will not contain any provisions that may afford holders of the debt securities protection in the event we have a change of control or in the event of a highly leveraged transaction (whether or not such transaction results in a change of control), which could adversely affect holders of debt securities.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Under the Indenture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events of default under the indentures with respect to any series of debt securities that we may issue:</w:t>
      </w:r>
    </w:p>
    <w:p>
      <w:pPr>
        <w:spacing w:after="0" w:line="225"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we fail to pay interest when due and our failure continues for 90 days and the time for payment has not been extended or deferred;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we fail to pay the principal, or premium, if any, when due and the time for payment has not been extended or delayed;</w:t>
      </w:r>
    </w:p>
    <w:p>
      <w:pPr>
        <w:spacing w:after="0" w:line="225" w:lineRule="exact"/>
        <w:rPr>
          <w:rFonts w:ascii="Arial" w:cs="Arial" w:eastAsia="Arial" w:hAnsi="Arial"/>
          <w:sz w:val="18"/>
          <w:szCs w:val="18"/>
          <w:color w:val="auto"/>
        </w:rPr>
      </w:pPr>
    </w:p>
    <w:p>
      <w:pPr>
        <w:ind w:left="660" w:right="20" w:hanging="328"/>
        <w:spacing w:after="0" w:line="259"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we fail to observe or perform any other covenant set forth in the debt securities of such series or the applicable indentures, other than a covenant specifically relating to and for the benefit of holders of another series of debt securities, and our failure continues for 90 days after we receive written notice from the debenture trustee or holders of not less than a majority in aggregate principal amount of the outstanding debt securities of the applicable series; and</w:t>
      </w:r>
    </w:p>
    <w:p>
      <w:pPr>
        <w:spacing w:after="0" w:line="186"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specified events of bankruptcy, insolvency or reorganization occur as to us.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8" w:name="page39"/>
    <w:bookmarkEnd w:id="38"/>
    <w:p>
      <w:pPr>
        <w:ind w:right="60"/>
        <w:spacing w:after="0" w:line="301" w:lineRule="auto"/>
        <w:rPr>
          <w:sz w:val="20"/>
          <w:szCs w:val="20"/>
          <w:color w:val="auto"/>
        </w:rPr>
      </w:pPr>
      <w:r>
        <w:rPr>
          <w:rFonts w:ascii="Arial" w:cs="Arial" w:eastAsia="Arial" w:hAnsi="Arial"/>
          <w:sz w:val="16"/>
          <w:szCs w:val="16"/>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an event of default may constitute an event of default under any bank credit agreements we may have in existence from time to time. In addition, the occurrence of certain events of default or an acceleration under the indenture may constitute an event of default under certain of our other indebtedness outstanding from time to time.</w:t>
      </w:r>
    </w:p>
    <w:p>
      <w:pPr>
        <w:spacing w:after="0" w:line="15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If an event of default with respect to debt securities of any series at the time outstanding occurs and is continuing, then the trustee or the holders of not less than a majority in principal amount of the outstanding debt securities of that series may, by a notice in writing to us (and to the debenture trustee if given by the holders), declare to be due and payable immediately the principal (or, if the debt securities of that series are discount securities, that portion of the principal amount as may be specified in the terms of that series) of and premium and accrued and unpaid interest, if any, on all debt securities of that series. Before a judgment or decree for payment of the money due has been obtained with respect to debt securities of any series, the holders of a majority in principal amount of the outstanding debt securities of that series (or, at a meeting of holders of such series at which a quorum is present, the holders of a majority in principal amount of the debt securities of such series represented at such meeting) may rescind and annul the acceleration if all events of default, other than the non-payment of accelerated principal, premium, if any, and interest, if any, with respect to debt securities of that series, have been cured or waived as provided in the applicable indenture (including payments or deposits in respect of principal, premium or interest that had become due other than as a result of such acceleration).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72"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Subject to the terms of the indentures, if an event of default under an indenture shall occur and be continuing, the debenture trustee will be under no obligation to exercise any of its rights or powers under such indenture at the request or direction of any of the holders of the applicable series of debt securities, unless such holders have offered the debenture trustee reasonable indemnity. The holders of a majority in principal amount of the outstanding debt securities of any series will have the right to direct the time, method and place of conducting any proceeding for any remedy available to the debenture trustee, or exercising any trust or power conferred on the debenture trustee, with respect to the debt securities of that series, provided that:</w:t>
      </w:r>
    </w:p>
    <w:p>
      <w:pPr>
        <w:spacing w:after="0" w:line="161"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direction so given by the holder is not in conflict with any law or the applicable indenture; and</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subject to its duties under the Trust Indenture Act, the debenture trustee need not take any action that might involve it in personal liability or might be unduly prejudicial to the holders not involved in the proceeding.</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holder of the debt securities of any series will only have the right to institute a proceeding under the indentures or to appoint a receiver or trustee, or to seek other remedies if:</w:t>
      </w:r>
    </w:p>
    <w:p>
      <w:pPr>
        <w:spacing w:after="0" w:line="197"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holder previously has given written notice to the debenture trustee of a continuing event of default with respect to that series;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holders of at least a majority in aggregate principal amount of the outstanding debt securities of that series have made written request, and such holders have offered reasonable indemnity to the debenture trustee to institute the proceeding as trustee; and</w:t>
      </w:r>
    </w:p>
    <w:p>
      <w:pPr>
        <w:spacing w:after="0" w:line="170" w:lineRule="exact"/>
        <w:rPr>
          <w:rFonts w:ascii="Arial" w:cs="Arial" w:eastAsia="Arial" w:hAnsi="Arial"/>
          <w:sz w:val="18"/>
          <w:szCs w:val="18"/>
          <w:color w:val="auto"/>
        </w:rPr>
      </w:pPr>
    </w:p>
    <w:p>
      <w:pPr>
        <w:ind w:left="660" w:right="280" w:hanging="328"/>
        <w:spacing w:after="0" w:line="259"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debenture trustee does not institute the proceeding, and does not receive from the holders of a majority in aggregate principal amount of the outstanding debt securities of that series (or at a meeting of holders of such series at which a quorum is present, the holders of a majority in principal amount of the debt securities of such series represented at such meeting) other conflicting directions within 60 days after the notice, request and offer.</w:t>
      </w:r>
    </w:p>
    <w:p>
      <w:pPr>
        <w:spacing w:after="0" w:line="1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These limitations do not apply to a suit instituted by a holder of debt securities if we default in the payment of the principal, premium, if any, or interest on, the debt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We will periodically file statements with the applicable debenture trustee regarding our compliance with specified covenants in the applicable indenture.</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Modification of Indenture; Waiver</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debenture trustee and we may change the applicable indenture without the consent of any holders with respect to specific matters, including:</w:t>
      </w:r>
    </w:p>
    <w:p>
      <w:pPr>
        <w:spacing w:after="0" w:line="237" w:lineRule="exact"/>
        <w:rPr>
          <w:sz w:val="20"/>
          <w:szCs w:val="20"/>
          <w:color w:val="auto"/>
        </w:rPr>
      </w:pPr>
    </w:p>
    <w:p>
      <w:pPr>
        <w:ind w:left="580" w:hanging="248"/>
        <w:spacing w:after="0"/>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fix any ambiguity, defect or inconsistency in the indenture; and</w:t>
      </w:r>
    </w:p>
    <w:p>
      <w:pPr>
        <w:spacing w:after="0" w:line="225" w:lineRule="exact"/>
        <w:rPr>
          <w:rFonts w:ascii="Arial" w:cs="Arial" w:eastAsia="Arial" w:hAnsi="Arial"/>
          <w:sz w:val="18"/>
          <w:szCs w:val="18"/>
          <w:color w:val="auto"/>
        </w:rPr>
      </w:pPr>
    </w:p>
    <w:p>
      <w:pPr>
        <w:ind w:left="580" w:right="520" w:hanging="248"/>
        <w:spacing w:after="0" w:line="277" w:lineRule="auto"/>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change anything that does not materially adversely affect the interests of any holder of debt securities of any series issued pursuant to such indenture.</w:t>
      </w:r>
    </w:p>
    <w:p>
      <w:pPr>
        <w:spacing w:after="0" w:line="170"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color w:val="auto"/>
        </w:rPr>
        <w:t>In addition, under the indentures, the rights of holders of a series of debt securities may be changed by us and the debenture trustee with the written consent of the holders of at least a majority in aggregate principal amount of the outstanding debt securities of each series (or, at a meeting of holders of such series at which a quorum is present, the holders of a majority in principal amount of the debt securities of such series represented at such meeting) that is affected. However, the debenture trustee and we may make the following changes only with the consent of each holder of any outstanding debt securities affected:</w:t>
      </w:r>
    </w:p>
    <w:p>
      <w:pPr>
        <w:spacing w:after="0" w:line="157"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extending the fixed maturity of the series of debt securities;</w:t>
      </w:r>
    </w:p>
    <w:p>
      <w:pPr>
        <w:spacing w:after="0" w:line="225"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reducing the principal amount, reducing the rate of or extending the time of payment of interest, or any premium payable upon the redemption of any debt securities;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reducing the principal amount of discount securities payable upon acceleration of maturity;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making the principal of or premium or interest on any debt security payable in currency other than that stated in the debt security;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reducing the percentage of debt securities, the holders of which are required to consent to any amendment or waiver.</w:t>
      </w:r>
    </w:p>
    <w:p>
      <w:pPr>
        <w:spacing w:after="0" w:line="225"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 xml:space="preserve">Except for certain specified provisions, the holders of at least a majority in principal amount of the outstanding debt securities of any series (or, at a meeting of holders of such series at which a quorum is present, the holders of a majority in principal amount of the debt securities of such series represented at such meeting)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or in respect of a covenant or provision, which cannot be modified or amended without the consent of the holder of each outstanding debt security of the series affected;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holders of a majority in principal amount of the outstanding debt securities of any series may rescind an acceleration and its consequences, including any related payment default that resulted from the acceleration.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Discharge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Each indenture provides that we can elect to be discharged from our obligations with respect to one or more series of debt securities, except for obligations to:</w:t>
      </w:r>
    </w:p>
    <w:p>
      <w:pPr>
        <w:spacing w:after="0" w:line="170"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transfer or exchange of debt securities of the series;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replace stolen, lost or mutilated debt securities of the series;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maintain paying agencies;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hold monies for payment in trust;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compensate and indemnify the trustee;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appoint any successor trustee.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ind w:right="80"/>
        <w:spacing w:after="0" w:line="277" w:lineRule="auto"/>
        <w:rPr>
          <w:sz w:val="20"/>
          <w:szCs w:val="20"/>
          <w:color w:val="auto"/>
        </w:rPr>
      </w:pPr>
      <w:r>
        <w:rPr>
          <w:rFonts w:ascii="Arial" w:cs="Arial" w:eastAsia="Arial" w:hAnsi="Arial"/>
          <w:sz w:val="18"/>
          <w:szCs w:val="18"/>
          <w:color w:val="auto"/>
        </w:rPr>
        <w:t>In order to exercise our rights to be discharged with respect to a series, we must deposit with the trustee money or government obligations sufficient to pay all the principal of, the premium, if any, and interest on, the debt securities of the series on the dates payments are due.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Exchange, and Transfer</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will issue the debt securities of each series only in fully registered form without coupons and, unless we otherwise specify in the applicable prospectus supplement, in denominations of $1,000 and any integral multiple thereof. The indentures provide that we may issue debt securities of a series in temporary or permanent global form and as book-entry securities that will be deposited with, or on behalf of, The Depository Trust Company or another depositary named by us and identified in a prospectus supplement with respect to that series.</w:t>
      </w:r>
    </w:p>
    <w:p>
      <w:pPr>
        <w:spacing w:after="0" w:line="187"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At the option of the holder, subject to the terms of the indentures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84"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Subject to the terms of the indentures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or in the applicable indenture, we will make no service charge for any registration of transfer or exchange, but we may require payment of any taxes or other governmental charges.</w:t>
      </w:r>
    </w:p>
    <w:p>
      <w:pPr>
        <w:spacing w:after="0" w:line="16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If we elect to redeem the debt securities of any series, we will not be required to:</w:t>
      </w:r>
    </w:p>
    <w:p>
      <w:pPr>
        <w:spacing w:after="0" w:line="225" w:lineRule="exact"/>
        <w:rPr>
          <w:sz w:val="20"/>
          <w:szCs w:val="20"/>
          <w:color w:val="auto"/>
        </w:rPr>
      </w:pPr>
    </w:p>
    <w:p>
      <w:pPr>
        <w:ind w:left="660" w:right="20" w:hanging="328"/>
        <w:spacing w:after="0" w:line="263"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183"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register the transfer of or exchange any debt securities so selected for redemption, in whole or in part, except the unredeemed portion of any debt securities we are redeeming in part.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Concerning the Debenture Trustee</w:t>
      </w:r>
    </w:p>
    <w:p>
      <w:pPr>
        <w:spacing w:after="0" w:line="229"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The debenture trustee, other than during the occurrence and continuance of an event of default under the applicable indenture, undertakes to perform only those duties as are specifically set forth in the applicable indenture. Upon an event of default under an indenture, the debenture trustee under such indenture must use the same degree of care as a prudent person would exercise or use in the conduct of his or her own affairs. Subject to this provision, the debenture trustee is under no obligation to exercise any of the powers given it by the indentures at the request of any holder of debt securities unless it is offered reasonable security and indemnity against the costs, expenses and liabilities that it might incur.</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229"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41" w:name="page42"/>
    <w:bookmarkEnd w:id="41"/>
    <w:p>
      <w:pPr>
        <w:ind w:right="20"/>
        <w:spacing w:after="0" w:line="255" w:lineRule="auto"/>
        <w:rPr>
          <w:sz w:val="20"/>
          <w:szCs w:val="20"/>
          <w:color w:val="auto"/>
        </w:rPr>
      </w:pPr>
      <w:r>
        <w:rPr>
          <w:rFonts w:ascii="Arial" w:cs="Arial" w:eastAsia="Arial" w:hAnsi="Arial"/>
          <w:sz w:val="18"/>
          <w:szCs w:val="18"/>
          <w:color w:val="auto"/>
        </w:rPr>
        <w:t>We will pay principal of and any premium and interest on the debt securities of a particular series at the office of the paying agents designated by us, except that unless we otherwise indicate in the applicable prospectus supplement, will we make interest payments by check which we will mail to the holder. Unless we otherwise indicate in a prospectus supplement, we will designate the corporate trust office of the debenture trustee in the City of New York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192"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All money we pay to a paying agent or the debenture trustee for the payment of the principal of or any premium or interest on any debt securities which remains unclaimed at the end of two years after such principal, premium or interest has become due and payable will be repaid to us, and the holder of the security thereafter may look only to us for payment thereof.</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indentures and the debt securities will be governed by and construed in accordance with the laws of the State of New York, except to the extent that the Trust Indenture Act is applicable.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Subordination of Subordinated Debt Securities</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Our obligations pursuant to any subordinated debt securities will be unsecured and will be subordinate and junior in priority of payment to certain of our other indebtedness to the extent described in a prospectus supplement. The subordinated indenture does not limit the amount of senior indebtedness we may incur. It also does not limit us from issuing any other secured or unsecured debt.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2" w:name="page43"/>
    <w:bookmarkEnd w:id="42"/>
    <w:p>
      <w:pPr>
        <w:jc w:val="center"/>
        <w:ind w:right="-59"/>
        <w:spacing w:after="0"/>
        <w:rPr>
          <w:sz w:val="20"/>
          <w:szCs w:val="20"/>
          <w:color w:val="auto"/>
        </w:rPr>
      </w:pPr>
      <w:r>
        <w:rPr>
          <w:rFonts w:ascii="Arial" w:cs="Arial" w:eastAsia="Arial" w:hAnsi="Arial"/>
          <w:sz w:val="18"/>
          <w:szCs w:val="18"/>
          <w:b w:val="1"/>
          <w:bCs w:val="1"/>
          <w:color w:val="auto"/>
        </w:rPr>
        <w:t>DESCRIPTION OF WARRANTS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right="120"/>
        <w:spacing w:after="0" w:line="311" w:lineRule="auto"/>
        <w:rPr>
          <w:sz w:val="20"/>
          <w:szCs w:val="20"/>
          <w:color w:val="auto"/>
        </w:rPr>
      </w:pPr>
      <w:r>
        <w:rPr>
          <w:rFonts w:ascii="Arial" w:cs="Arial" w:eastAsia="Arial" w:hAnsi="Arial"/>
          <w:sz w:val="16"/>
          <w:szCs w:val="16"/>
          <w:color w:val="auto"/>
        </w:rPr>
        <w:t>We may issue warrants to purchase shares of our common stock, preferred stock and/or debt securities in one or more series together with other securities or separately, as described in the applicable prospectus supplement. Below is a description of certain general terms and provisions of the warrants that we may offer. Particular terms of the warrants will be described in the warrant agreements and the prospectus supplement relating to the warrants.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The applicable prospectus supplement will contain, where applicable, the following terms of and other information relating to the warrants:</w:t>
      </w:r>
    </w:p>
    <w:p>
      <w:pPr>
        <w:spacing w:after="0" w:line="225"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specific designation and aggregate number of, and the price at which we will issue, the warrants;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designation, amount and terms of the securities purchasable upon exercise of the warrants;</w:t>
      </w:r>
    </w:p>
    <w:p>
      <w:pPr>
        <w:spacing w:after="0" w:line="225"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applicable, the exercise price for shares of our common stock and the number of shares of common stock to be received upon exercise of the warrants;</w:t>
      </w:r>
    </w:p>
    <w:p>
      <w:pPr>
        <w:spacing w:after="0" w:line="170" w:lineRule="exact"/>
        <w:rPr>
          <w:rFonts w:ascii="Arial" w:cs="Arial" w:eastAsia="Arial" w:hAnsi="Arial"/>
          <w:sz w:val="18"/>
          <w:szCs w:val="18"/>
          <w:color w:val="auto"/>
        </w:rPr>
      </w:pPr>
    </w:p>
    <w:p>
      <w:pPr>
        <w:ind w:left="660" w:right="44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applicable, the exercise price for shares of our preferred stock, the number of shares of preferred stock to be received upon exercise, and a description of that series of our preferred stock;</w:t>
      </w:r>
    </w:p>
    <w:p>
      <w:pPr>
        <w:spacing w:after="0" w:line="170"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applicable, the exercise price for our debt securities, the amount of debt securities to be received upon exercise, and a description of that series of debt securities;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spacing w:after="0" w:line="170" w:lineRule="exact"/>
        <w:rPr>
          <w:rFonts w:ascii="Arial" w:cs="Arial" w:eastAsia="Arial" w:hAnsi="Arial"/>
          <w:sz w:val="18"/>
          <w:szCs w:val="18"/>
          <w:color w:val="auto"/>
        </w:rPr>
      </w:pPr>
    </w:p>
    <w:p>
      <w:pPr>
        <w:jc w:val="both"/>
        <w:ind w:left="660" w:right="340" w:hanging="328"/>
        <w:spacing w:after="0" w:line="342"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whether the warrants will be issued in fully registered form or bearer form, in definitive or global form or in any combination of these forms, although, in any case, the form of a warrant included in a unit will correspond to the form of the unit and of any security included in that unit;</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applicable material U.S. federal income tax consequences;</w:t>
      </w:r>
    </w:p>
    <w:p>
      <w:pPr>
        <w:spacing w:after="0" w:line="225"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identity of the warrant agent for the warrants, if any, and of any other depositaries, execution or paying agents, transfer agents, registrars or other agents;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proposed listing, if any, of the warrants or any securities purchasable upon exercise of the warrants on any securities exchange;</w:t>
      </w:r>
    </w:p>
    <w:p>
      <w:pPr>
        <w:spacing w:after="0" w:line="225" w:lineRule="exact"/>
        <w:rPr>
          <w:rFonts w:ascii="Arial" w:cs="Arial" w:eastAsia="Arial" w:hAnsi="Arial"/>
          <w:sz w:val="18"/>
          <w:szCs w:val="18"/>
          <w:color w:val="auto"/>
        </w:rPr>
      </w:pPr>
    </w:p>
    <w:p>
      <w:pPr>
        <w:ind w:left="660" w:right="74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applicable, the date from and after which the warrants and the common stock, preferred stock and/or debt securities will be separately transferable;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warrants that may be exercised at any one time;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anti-dilution provisions of the warrants,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redemption or call provisions;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whether the warrants may be sold separately or with other securities as parts of units;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any additional terms of the warrants, including terms, procedures and limitations relating to the exchange and exercise of the warrants.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and registrar for any warrants will be set forth in the applicable prospectus supplement.</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43" w:name="page44"/>
    <w:bookmarkEnd w:id="43"/>
    <w:p>
      <w:pPr>
        <w:jc w:val="center"/>
        <w:ind w:right="-19"/>
        <w:spacing w:after="0"/>
        <w:rPr>
          <w:sz w:val="20"/>
          <w:szCs w:val="20"/>
          <w:color w:val="auto"/>
        </w:rPr>
      </w:pPr>
      <w:r>
        <w:rPr>
          <w:rFonts w:ascii="Arial" w:cs="Arial" w:eastAsia="Arial" w:hAnsi="Arial"/>
          <w:sz w:val="18"/>
          <w:szCs w:val="18"/>
          <w:b w:val="1"/>
          <w:bCs w:val="1"/>
          <w:color w:val="auto"/>
        </w:rPr>
        <w:t>DESCRIPTION OF RIGHTS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color w:val="auto"/>
        </w:rPr>
        <w:t>We may issue rights to our stockholders to purchase shares of our common stock, preferred stock or the other securities described in this prospectus. We may offer rights separately or together with one or more additional rights, debt securities, preferred stock, common stock, warrants, or any combination of those securities in the form of units, as described in the applicable prospectus supplement. Each series of rights will be issued under a separate rights agreement to be entered into between us and a bank or trust company, as rights agent. The rights agent will act solely as our agent in connection with the certificates relating to the rights of the series of certificates and will not assume any obligation or relationship of agency or trust for or with any holders of rights certificates or beneficial owners of rights. The following description sets forth certain general terms and provisions of the rights to which any prospectus supplement may relate. The particular terms of the rights to which any prospectus supplement may relate and the extent, if any, to which the general provisions may apply to the rights so offered will be described in the applicable prospectus supplement. To the extent that any particular terms of the rights, rights agreement or rights certificates described in a prospectus supplement differ from any of the terms described below, then the terms described below will be deemed to have been superseded by that prospectus supplement. We encourage you to read the applicable rights agreement and rights certificate for additional information before you decide whether to purchase any of our rights. We will provide in a prospectus supplement the following terms of the rights being issued:</w:t>
      </w:r>
    </w:p>
    <w:p>
      <w:pPr>
        <w:spacing w:after="0" w:line="179"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date of determining the stockholders entitled to the rights distribution;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aggregate number of shares of common stock, preferred stock or other securities purchasable upon exercise of the rights;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exercise price;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aggregate number of rights issued;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whether the rights are transferrable and the date, if any, on and after which the rights may be separately transferred;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date on which the right to exercise the rights will commence, and the date on which the right to exercise the rights will expire;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method by which holders of rights will be entitled to exercise;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conditions to the completion of the offering,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withdrawal, termination and cancellation rights,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whether there are any backstop or standby purchaser or purchasers and the terms of their commitment,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whether stockholders are entitled to oversubscription rights,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applicable material U.S. federal income tax considerations;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other terms of the rights, including terms, procedures and limitations relating to the distribution, exchange and exercise of the rights, as applicable.</w:t>
      </w:r>
    </w:p>
    <w:p>
      <w:pPr>
        <w:spacing w:after="0" w:line="170"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Each right will entitle the holder of rights to purchase for cash the principal amount of shares of common stock, preferred stock or other securities at the exercise price provided in the applicable prospectus supplement. Rights may be exercised at any time up to the close of business on the expiration date for the rights provided in the applicable prospectus supplement.</w:t>
      </w: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spacing w:after="0" w:line="255" w:lineRule="auto"/>
        <w:rPr>
          <w:sz w:val="20"/>
          <w:szCs w:val="20"/>
          <w:color w:val="auto"/>
        </w:rPr>
      </w:pPr>
      <w:r>
        <w:rPr>
          <w:rFonts w:ascii="Arial" w:cs="Arial" w:eastAsia="Arial" w:hAnsi="Arial"/>
          <w:sz w:val="18"/>
          <w:szCs w:val="18"/>
          <w:color w:val="auto"/>
        </w:rPr>
        <w:t>Holders may exercise rights as described in the applicable prospectus supplement. Upon receipt of payment and the rights certificate properly completed and duly executed at the corporate trust office of the rights agent or any other office indicated in the prospectus supplement, we will, as soon as practicable, forward the shares of common stock, preferred stock or other securities, as applicable, purchasable upon exercise of the rights. If less than all of the rights issued in any rights offering are exercised, we may offer any unsubscribed securities directly to persons other than stockholders, to or through agents, underwriters or dealers or through a combination of such methods, including pursuant to standby arrangements, as described in the applicable prospectus supplement.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Rights Agent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rights agent for any rights we offer will be set forth in the applicable prospectus supplement.</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following description, together with the additional information that we include in any applicable prospectus supplements summarizes the material terms and provisions of the units that we may offer under this prospectus. While the terms we have summarized below will apply generally to any units that we may offer under this prospectus, we will describe the particular terms of any series of units in more detail in the applicable prospectus supplement. The terms of any units offered under a prospectus supplement may differ from the terms described below.</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will incorporate by reference from reports that we file with the SEC, the form of unit agreement that describes the terms of the series of units we are offering, and any supplemental agreements, before the issuance of the related series of units. The following summaries of material terms and provisions of the units are subject to, and qualified in their entirety by reference to, all the provisions of the unit agreement and any supplemental agreements applicable to a particular series of units. We urge you to read the applicable prospectus supplements related to the particular series of units that we may offer under this prospectus, as well as any related free writing prospectuses and the complete unit agreement and any supplemental agreements that contain the terms of the units.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may issue units consisting of common stock, preferred stock, one or more debt securities, warrants, rights for the purchase of common stock, preferred stock and/or debt securities in one or more series, in any combination. Each unit will be issued so that the holder of the unit is also the holder of each security included in the unit. Thus, the holder of a unit will have the rights and obligations of a holder of each security included in the unit. The unit agreement under which a unit is issued may provide that the securities included in the unit may not be held or transferred separately, at any time or at any time before a specified date.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We will describe in the applicable prospectus supplement the terms of the series of units being offered, including:</w:t>
      </w:r>
    </w:p>
    <w:p>
      <w:pPr>
        <w:spacing w:after="0" w:line="225" w:lineRule="exact"/>
        <w:rPr>
          <w:sz w:val="20"/>
          <w:szCs w:val="20"/>
          <w:color w:val="auto"/>
        </w:rPr>
      </w:pPr>
    </w:p>
    <w:p>
      <w:pPr>
        <w:ind w:left="660" w:right="2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designation and terms of the units and of the securities comprising the units, including whether and under what circumstances those securities may be held or transferred separately;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provisions of the governing unit agreement that differ from those described below;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provisions for the issuance, payment, settlement, transfer or exchange of the units or of the securities comprising the units.</w:t>
      </w:r>
    </w:p>
    <w:p>
      <w:pPr>
        <w:spacing w:after="0" w:line="225"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The provisions described in this section, as well as those set forth in any prospectus supplement or as described under “Description of Common Stock,” “Description of Preferred Stock,” “Description of Debt Securities,” “Description of Warrants” and “Description of Rights” will apply to each unit, as applicable, and to any common stock, preferred stock, debt security, warrant or right included in each unit, as applicable.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 Agent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name and address of the unit agent, if any, for any units we offer will be set forth in the applicable prospectus supplement.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in Series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may issue units in such amounts and in such numerous distinct series as we determine.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Enforceability of Rights by Holders of Units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p>
      <w:pPr>
        <w:ind w:left="380"/>
        <w:spacing w:after="0"/>
        <w:rPr>
          <w:sz w:val="20"/>
          <w:szCs w:val="20"/>
          <w:color w:val="auto"/>
        </w:rPr>
      </w:pPr>
      <w:r>
        <w:rPr>
          <w:rFonts w:ascii="Arial" w:cs="Arial" w:eastAsia="Arial" w:hAnsi="Arial"/>
          <w:sz w:val="18"/>
          <w:szCs w:val="18"/>
          <w:b w:val="1"/>
          <w:bCs w:val="1"/>
          <w:color w:val="auto"/>
        </w:rPr>
        <w:t>CERTAIN PROVISIONS OF DELAWARE LAW AND OF THE COMPANY’S CERTIFICATE OF INCORPORATION AND BYLAWS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Law</w:t>
      </w:r>
    </w:p>
    <w:p>
      <w:pPr>
        <w:spacing w:after="0" w:line="225"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We are subject to Section 203 of the Delaware General Corporation Law. Subject to certain exceptions, Section 203 prevents a publicly held Delaware corporation from engaging in a “business combination” with any “interested stockholder” for three years following the date that the person became an interested stockholder, unless the interested stockholder attained such status with the approval of our board of directors or unless the business combination is approved in a prescribed manner.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Charter Documents</w:t>
      </w:r>
    </w:p>
    <w:p>
      <w:pPr>
        <w:spacing w:after="0" w:line="225" w:lineRule="exact"/>
        <w:rPr>
          <w:sz w:val="20"/>
          <w:szCs w:val="20"/>
          <w:color w:val="auto"/>
        </w:rPr>
      </w:pPr>
    </w:p>
    <w:p>
      <w:pPr>
        <w:ind w:right="40"/>
        <w:spacing w:after="0" w:line="230" w:lineRule="auto"/>
        <w:rPr>
          <w:sz w:val="20"/>
          <w:szCs w:val="20"/>
          <w:color w:val="auto"/>
        </w:rPr>
      </w:pPr>
      <w:r>
        <w:rPr>
          <w:rFonts w:ascii="Arial" w:cs="Arial" w:eastAsia="Arial" w:hAnsi="Arial"/>
          <w:sz w:val="18"/>
          <w:szCs w:val="18"/>
          <w:color w:val="auto"/>
        </w:rPr>
        <w:t>Our amended and restated certificate of incorporation provides that amendments by our stockholders of our amended and restated bylaws require the approval of at least 66</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29"/>
          <w:szCs w:val="29"/>
          <w:color w:val="auto"/>
          <w:vertAlign w:val="subscript"/>
        </w:rPr>
        <w:t>3</w:t>
      </w:r>
      <w:r>
        <w:rPr>
          <w:rFonts w:ascii="Arial" w:cs="Arial" w:eastAsia="Arial" w:hAnsi="Arial"/>
          <w:sz w:val="18"/>
          <w:szCs w:val="18"/>
          <w:color w:val="auto"/>
        </w:rPr>
        <w:t>% of the voting power of all outstanding stock. These provisions could discourage a potential acquirer from making a tender offer or otherwise attempting to obtain control of the Company and could delay changes in management.</w:t>
      </w:r>
    </w:p>
    <w:p>
      <w:pPr>
        <w:spacing w:after="0" w:line="20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 xml:space="preserve">Our amended and restated bylaws provide that a special meeting of stockholders may be called at any time by our board of directors. Because our stockholders do not have the right to call a special meeting, a stockholder cannot force stockholder consideration of a proposal over the opposition of our board of directors by calling a special meeting of stockholders prior to such time as a majority of our board of directors believes the matter should be considered and such stockholder would only be able to force consideration of such proposal at the next annual meeting,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requestor met the applicable notice requirements. The restriction on the ability of our stockholders to call a special meeting means that a proposal to replace one or more directors on our board of directors also could be delayed until the next annual meeting.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of Liability and Indemnification</w:t>
      </w:r>
    </w:p>
    <w:p>
      <w:pPr>
        <w:spacing w:after="0" w:line="22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Our amended and restated certificate of incorporation contains provisions that limit the liability of our directors for monetary damages to the fullest extent permitted by Delaware law. Consequently, our directors will not be personally liable to us or our stockholders for monetary damages for any breach of fiduciary duties as directors, except liability for:</w:t>
      </w:r>
    </w:p>
    <w:p>
      <w:pPr>
        <w:spacing w:after="0" w:line="184"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breach of the director’s duty of loyalty to us or our stockholders;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DGCL;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amended and restated certificate of incorporation and amended and restated bylaws provide that we are required to indemnify our directors and officers, in each case to the fullest extent permitted by Delaware law. The amended and restated bylaws also provide that we are obligated to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Delaware law.</w:t>
      </w:r>
    </w:p>
    <w:p>
      <w:pPr>
        <w:spacing w:after="0" w:line="200" w:lineRule="exact"/>
        <w:rPr>
          <w:sz w:val="20"/>
          <w:szCs w:val="20"/>
          <w:color w:val="auto"/>
        </w:rPr>
      </w:pPr>
    </w:p>
    <w:p>
      <w:pPr>
        <w:spacing w:after="0" w:line="2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47" w:name="page48"/>
    <w:bookmarkEnd w:id="47"/>
    <w:p>
      <w:pPr>
        <w:spacing w:after="0" w:line="291" w:lineRule="auto"/>
        <w:rPr>
          <w:sz w:val="20"/>
          <w:szCs w:val="20"/>
          <w:color w:val="auto"/>
        </w:rPr>
      </w:pPr>
      <w:r>
        <w:rPr>
          <w:rFonts w:ascii="Arial" w:cs="Arial" w:eastAsia="Arial" w:hAnsi="Arial"/>
          <w:sz w:val="16"/>
          <w:szCs w:val="16"/>
          <w:color w:val="auto"/>
        </w:rPr>
        <w:t>We have entered and expect to continue to enter into agreements to indemnify our directors, executive officers and other employees as determined by our board of directors. With specified exceptions, these agreements provide for indemnification for related expenses including, among other things, attorneys’ fees, judgments, fines and settlement amounts incurred by any of these individuals in any action or proceeding brought against them by reason of the fact that they are or were our agents. We believe that these provisions in our amended and restated certificate of incorporation and amended and restated bylaws and indemnification agreements are necessary to attract and retain qualified directors and officers. We also maintain directors’ and officers’ liability insurance. This description of the limitation of liability and indemnification provisions of our amended and restated certificate of incorporation, amended and restated bylaws and indemnification agreements is qualified in its entirety by reference to these documents.</w:t>
      </w:r>
    </w:p>
    <w:p>
      <w:pPr>
        <w:spacing w:after="0" w:line="38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48" w:name="page49"/>
    <w:bookmarkEnd w:id="48"/>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Mintz, Levin, Cohn, Ferris, Glovsky and Popeo, P.C., New York, New York, will pass upon the validity of the issuance of the securities to be offered by this prospectus.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80"/>
        <w:spacing w:after="0" w:line="279" w:lineRule="auto"/>
        <w:rPr>
          <w:rFonts w:ascii="Arial" w:cs="Arial" w:eastAsia="Arial" w:hAnsi="Arial"/>
          <w:sz w:val="17"/>
          <w:szCs w:val="17"/>
          <w:color w:val="0000EE"/>
        </w:rPr>
      </w:pPr>
      <w:hyperlink r:id="rId29">
        <w:r>
          <w:rPr>
            <w:rFonts w:ascii="Arial" w:cs="Arial" w:eastAsia="Arial" w:hAnsi="Arial"/>
            <w:sz w:val="17"/>
            <w:szCs w:val="17"/>
            <w:color w:val="auto"/>
          </w:rPr>
          <w:t xml:space="preserve">CohnReznick LLP, independent registered public accounting firm, has audited our financial statements included in our </w:t>
        </w:r>
        <w:r>
          <w:rPr>
            <w:rFonts w:ascii="Arial" w:cs="Arial" w:eastAsia="Arial" w:hAnsi="Arial"/>
            <w:sz w:val="17"/>
            <w:szCs w:val="17"/>
            <w:u w:val="single" w:color="auto"/>
            <w:color w:val="0000EE"/>
          </w:rPr>
          <w:t>Annual Report on Form 10-K for</w:t>
        </w:r>
      </w:hyperlink>
      <w:r>
        <w:rPr>
          <w:rFonts w:ascii="Arial" w:cs="Arial" w:eastAsia="Arial" w:hAnsi="Arial"/>
          <w:sz w:val="17"/>
          <w:szCs w:val="17"/>
          <w:color w:val="auto"/>
        </w:rPr>
        <w:t xml:space="preserve"> </w:t>
      </w:r>
      <w:hyperlink r:id="rId29">
        <w:r>
          <w:rPr>
            <w:rFonts w:ascii="Arial" w:cs="Arial" w:eastAsia="Arial" w:hAnsi="Arial"/>
            <w:sz w:val="17"/>
            <w:szCs w:val="17"/>
            <w:u w:val="single" w:color="auto"/>
            <w:color w:val="0000EE"/>
          </w:rPr>
          <w:t>the year ended December 31, 2018</w:t>
        </w:r>
        <w:r>
          <w:rPr>
            <w:rFonts w:ascii="Arial" w:cs="Arial" w:eastAsia="Arial" w:hAnsi="Arial"/>
            <w:sz w:val="17"/>
            <w:szCs w:val="17"/>
            <w:color w:val="000000"/>
          </w:rPr>
          <w:t xml:space="preserve">, as set forth in their report (which includes an explanatory paragraph referring to the Company’s ability to continue as </w:t>
        </w:r>
      </w:hyperlink>
      <w:r>
        <w:rPr>
          <w:rFonts w:ascii="Arial" w:cs="Arial" w:eastAsia="Arial" w:hAnsi="Arial"/>
          <w:sz w:val="17"/>
          <w:szCs w:val="17"/>
          <w:color w:val="0000EE"/>
        </w:rPr>
        <w:t xml:space="preserve">a </w:t>
      </w:r>
      <w:r>
        <w:rPr>
          <w:rFonts w:ascii="Arial" w:cs="Arial" w:eastAsia="Arial" w:hAnsi="Arial"/>
          <w:sz w:val="17"/>
          <w:szCs w:val="17"/>
          <w:color w:val="000000"/>
        </w:rPr>
        <w:t>going concern), which is incorporated by reference in this prospectus and elsewhere in this Registration Statement. Our financial statements are incorporated by reference in reliance on CohnReznick LLP’s report, given on their authority as experts in accounting and auditing.</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We are a public company and file annual, quarterly and current reports, proxy statements and other information with the SEC. You may read and copy any document we file at the SEC’s Public Reference Room at Station Place, 100 F Street, N.E., Washington, D.C. 20549. You can request copies of these documents by writing to the SEC and paying a fee for the copying cost. Please call the SEC at 1-800-SEC-0330 for more information about the operation of the Public Reference Room. Our SEC filings are also available to the public at the SEC’s web site at http://www.sec.gov, and on our web site at http://www.xpresspa.com. The information contained on our web site is not included or incorporated by reference into this prospectus. In addition, our common stock is listed for trading on The Nasdaq Capital Market under the symbol “XSPA.” You can read and copy reports and other information concerning us at the offices of the Financial Industry Reporting Authority located at 1735 K Street, N.W., Washington, D.C. 20006.</w:t>
      </w:r>
    </w:p>
    <w:p>
      <w:pPr>
        <w:spacing w:after="0" w:line="16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This prospectus is only part of a Registration Statement on Form S-3 that we have filed with the SEC under the Securities Act, and therefore omits certain information contained in the Registration Statement. We have also filed exhibits and schedules with the Registration Statement that are excluded from this prospectus, and you should refer to the applicable exhibit or schedule for a complete description of any statement referring to any contract or other document. You may:</w:t>
      </w:r>
    </w:p>
    <w:p>
      <w:pPr>
        <w:spacing w:after="0" w:line="187" w:lineRule="exact"/>
        <w:rPr>
          <w:sz w:val="20"/>
          <w:szCs w:val="20"/>
          <w:color w:val="auto"/>
        </w:rPr>
      </w:pPr>
    </w:p>
    <w:p>
      <w:pPr>
        <w:ind w:left="800" w:hanging="333"/>
        <w:spacing w:after="0"/>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inspect a copy of the Registration Statement, including the exhibits and schedules, without charge at the Public Reference Room,</w:t>
      </w:r>
    </w:p>
    <w:p>
      <w:pPr>
        <w:spacing w:after="0" w:line="225" w:lineRule="exact"/>
        <w:rPr>
          <w:rFonts w:ascii="Arial" w:cs="Arial" w:eastAsia="Arial" w:hAnsi="Arial"/>
          <w:sz w:val="18"/>
          <w:szCs w:val="18"/>
          <w:color w:val="auto"/>
        </w:rPr>
      </w:pPr>
    </w:p>
    <w:p>
      <w:pPr>
        <w:ind w:left="800" w:hanging="333"/>
        <w:spacing w:after="0"/>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 a copy from the SEC upon payment of the fees prescribed by the SEC, or</w:t>
      </w:r>
    </w:p>
    <w:p>
      <w:pPr>
        <w:spacing w:after="0" w:line="225" w:lineRule="exact"/>
        <w:rPr>
          <w:rFonts w:ascii="Arial" w:cs="Arial" w:eastAsia="Arial" w:hAnsi="Arial"/>
          <w:sz w:val="18"/>
          <w:szCs w:val="18"/>
          <w:color w:val="auto"/>
        </w:rPr>
      </w:pPr>
    </w:p>
    <w:p>
      <w:pPr>
        <w:ind w:left="800" w:hanging="333"/>
        <w:spacing w:after="0"/>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 a copy from the SEC’s web site or our web site.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29"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SEC allows us to “incorporate by reference” the information we file with it, which means that we can disclose important information to you by referring you to those documents. The information incorporated by reference is considered to be part of this prospectus and information we file later with the SEC will automatically update and supersede this information. We incorporate by reference into this prospectus the documents listed below and any future filings made by us with the SEC under Sections 13(a), 13(c), 14 or 15(d) of the Exchange Act (1) after the date of this prospectus and prior to the time that we sell all of the securities offered by this prospectus or the earlier termination of the offering, and (2) after the date of the initial registration statement of which this prospectus forms a part and prior to the effectiveness of the registration statement (except in each case the information contained in such documents to the extent “furnished” and not “filed”). The documents we are incorporating by reference as of their respective dates of filing are:</w:t>
      </w:r>
    </w:p>
    <w:p>
      <w:pPr>
        <w:spacing w:after="0" w:line="166" w:lineRule="exact"/>
        <w:rPr>
          <w:sz w:val="20"/>
          <w:szCs w:val="20"/>
          <w:color w:val="auto"/>
        </w:rPr>
      </w:pPr>
    </w:p>
    <w:p>
      <w:pPr>
        <w:ind w:left="660" w:hanging="328"/>
        <w:spacing w:after="0" w:line="277" w:lineRule="auto"/>
        <w:tabs>
          <w:tab w:leader="none" w:pos="660" w:val="left"/>
        </w:tabs>
        <w:numPr>
          <w:ilvl w:val="0"/>
          <w:numId w:val="27"/>
        </w:numPr>
        <w:rPr>
          <w:rFonts w:ascii="Arial" w:cs="Arial" w:eastAsia="Arial" w:hAnsi="Arial"/>
          <w:sz w:val="18"/>
          <w:szCs w:val="18"/>
          <w:color w:val="0000EE"/>
        </w:rPr>
      </w:pPr>
      <w:hyperlink r:id="rId31">
        <w:r>
          <w:rPr>
            <w:rFonts w:ascii="Arial" w:cs="Arial" w:eastAsia="Arial" w:hAnsi="Arial"/>
            <w:sz w:val="18"/>
            <w:szCs w:val="18"/>
            <w:u w:val="single" w:color="auto"/>
            <w:color w:val="0000EE"/>
          </w:rPr>
          <w:t>Our Annual Report on Form 10-K for the year ended December 31, 2018, filed on April 1, 2019</w:t>
        </w:r>
        <w:r>
          <w:rPr>
            <w:rFonts w:ascii="Arial" w:cs="Arial" w:eastAsia="Arial" w:hAnsi="Arial"/>
            <w:sz w:val="18"/>
            <w:szCs w:val="18"/>
            <w:color w:val="000000"/>
          </w:rPr>
          <w:t>, as</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amended on April 30, 2019 (File No. 001-</w:t>
        </w:r>
      </w:hyperlink>
      <w:hyperlink r:id="rId31">
        <w:r>
          <w:rPr>
            <w:rFonts w:ascii="Arial" w:cs="Arial" w:eastAsia="Arial" w:hAnsi="Arial"/>
            <w:sz w:val="18"/>
            <w:szCs w:val="18"/>
            <w:u w:val="single" w:color="auto"/>
            <w:color w:val="0000EE"/>
          </w:rPr>
          <w:t>34785)</w:t>
        </w:r>
        <w:r>
          <w:rPr>
            <w:rFonts w:ascii="Arial" w:cs="Arial" w:eastAsia="Arial" w:hAnsi="Arial"/>
            <w:sz w:val="18"/>
            <w:szCs w:val="18"/>
            <w:color w:val="000000"/>
          </w:rPr>
          <w:t>;</w:t>
        </w:r>
      </w:hyperlink>
    </w:p>
    <w:p>
      <w:pPr>
        <w:spacing w:after="0" w:line="386" w:lineRule="exact"/>
        <w:rPr>
          <w:rFonts w:ascii="Arial" w:cs="Arial" w:eastAsia="Arial" w:hAnsi="Arial"/>
          <w:sz w:val="18"/>
          <w:szCs w:val="18"/>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 w:name="page50"/>
    <w:bookmarkEnd w:id="49"/>
    <w:p>
      <w:pPr>
        <w:ind w:left="660" w:right="20" w:hanging="328"/>
        <w:spacing w:after="0" w:line="263" w:lineRule="auto"/>
        <w:tabs>
          <w:tab w:leader="none" w:pos="660" w:val="left"/>
        </w:tabs>
        <w:numPr>
          <w:ilvl w:val="0"/>
          <w:numId w:val="28"/>
        </w:numPr>
        <w:rPr>
          <w:rFonts w:ascii="Arial" w:cs="Arial" w:eastAsia="Arial" w:hAnsi="Arial"/>
          <w:sz w:val="18"/>
          <w:szCs w:val="18"/>
          <w:color w:val="0000EE"/>
        </w:rPr>
      </w:pPr>
      <w:r>
        <w:rPr>
          <w:rFonts w:ascii="Arial" w:cs="Arial" w:eastAsia="Arial" w:hAnsi="Arial"/>
          <w:sz w:val="18"/>
          <w:szCs w:val="18"/>
          <w:color w:val="auto"/>
        </w:rPr>
        <w:t xml:space="preserve">Our Current Reports on Form 8-K filed with the SEC on </w:t>
      </w:r>
      <w:hyperlink r:id="rId36">
        <w:r>
          <w:rPr>
            <w:rFonts w:ascii="Arial" w:cs="Arial" w:eastAsia="Arial" w:hAnsi="Arial"/>
            <w:sz w:val="18"/>
            <w:szCs w:val="18"/>
            <w:u w:val="single" w:color="auto"/>
            <w:color w:val="0000EE"/>
          </w:rPr>
          <w:t>February 13, 2019</w:t>
        </w:r>
      </w:hyperlink>
      <w:r>
        <w:rPr>
          <w:rFonts w:ascii="Arial" w:cs="Arial" w:eastAsia="Arial" w:hAnsi="Arial"/>
          <w:sz w:val="18"/>
          <w:szCs w:val="18"/>
          <w:color w:val="auto"/>
        </w:rPr>
        <w:t xml:space="preserve">, </w:t>
      </w:r>
      <w:hyperlink r:id="rId37">
        <w:r>
          <w:rPr>
            <w:rFonts w:ascii="Arial" w:cs="Arial" w:eastAsia="Arial" w:hAnsi="Arial"/>
            <w:sz w:val="18"/>
            <w:szCs w:val="18"/>
            <w:u w:val="single" w:color="auto"/>
            <w:color w:val="0000EE"/>
          </w:rPr>
          <w:t>February 22, 2019</w:t>
        </w:r>
      </w:hyperlink>
      <w:r>
        <w:rPr>
          <w:rFonts w:ascii="Arial" w:cs="Arial" w:eastAsia="Arial" w:hAnsi="Arial"/>
          <w:sz w:val="18"/>
          <w:szCs w:val="18"/>
          <w:color w:val="auto"/>
        </w:rPr>
        <w:t xml:space="preserve">, </w:t>
      </w:r>
      <w:hyperlink r:id="rId38">
        <w:r>
          <w:rPr>
            <w:rFonts w:ascii="Arial" w:cs="Arial" w:eastAsia="Arial" w:hAnsi="Arial"/>
            <w:sz w:val="18"/>
            <w:szCs w:val="18"/>
            <w:u w:val="single" w:color="auto"/>
            <w:color w:val="0000EE"/>
          </w:rPr>
          <w:t>March 15, 2019</w:t>
        </w:r>
      </w:hyperlink>
      <w:r>
        <w:rPr>
          <w:rFonts w:ascii="Arial" w:cs="Arial" w:eastAsia="Arial" w:hAnsi="Arial"/>
          <w:sz w:val="18"/>
          <w:szCs w:val="18"/>
          <w:color w:val="auto"/>
        </w:rPr>
        <w:t xml:space="preserve">, </w:t>
      </w:r>
      <w:hyperlink r:id="rId39">
        <w:r>
          <w:rPr>
            <w:rFonts w:ascii="Arial" w:cs="Arial" w:eastAsia="Arial" w:hAnsi="Arial"/>
            <w:sz w:val="18"/>
            <w:szCs w:val="18"/>
            <w:u w:val="single" w:color="auto"/>
            <w:color w:val="0000EE"/>
          </w:rPr>
          <w:t>March 22, 2019</w:t>
        </w:r>
      </w:hyperlink>
      <w:r>
        <w:rPr>
          <w:rFonts w:ascii="Arial" w:cs="Arial" w:eastAsia="Arial" w:hAnsi="Arial"/>
          <w:sz w:val="18"/>
          <w:szCs w:val="18"/>
          <w:color w:val="auto"/>
        </w:rPr>
        <w:t xml:space="preserve">, </w:t>
      </w:r>
      <w:hyperlink r:id="rId40">
        <w:r>
          <w:rPr>
            <w:rFonts w:ascii="Arial" w:cs="Arial" w:eastAsia="Arial" w:hAnsi="Arial"/>
            <w:sz w:val="18"/>
            <w:szCs w:val="18"/>
            <w:u w:val="single" w:color="auto"/>
            <w:color w:val="0000EE"/>
          </w:rPr>
          <w:t>April 30, 2019</w:t>
        </w:r>
      </w:hyperlink>
      <w:r>
        <w:rPr>
          <w:rFonts w:ascii="Arial" w:cs="Arial" w:eastAsia="Arial" w:hAnsi="Arial"/>
          <w:sz w:val="18"/>
          <w:szCs w:val="18"/>
          <w:color w:val="auto"/>
        </w:rPr>
        <w:t xml:space="preserve">, </w:t>
      </w:r>
      <w:hyperlink r:id="rId81">
        <w:r>
          <w:rPr>
            <w:rFonts w:ascii="Arial" w:cs="Arial" w:eastAsia="Arial" w:hAnsi="Arial"/>
            <w:sz w:val="18"/>
            <w:szCs w:val="18"/>
            <w:u w:val="single" w:color="auto"/>
            <w:color w:val="0000EE"/>
          </w:rPr>
          <w:t>May 17, 2019</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82">
        <w:r>
          <w:rPr>
            <w:rFonts w:ascii="Arial" w:cs="Arial" w:eastAsia="Arial" w:hAnsi="Arial"/>
            <w:sz w:val="18"/>
            <w:szCs w:val="18"/>
            <w:u w:val="single" w:color="auto"/>
            <w:color w:val="0000EE"/>
          </w:rPr>
          <w:t>June 17, 2019</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83">
        <w:r>
          <w:rPr>
            <w:rFonts w:ascii="Arial" w:cs="Arial" w:eastAsia="Arial" w:hAnsi="Arial"/>
            <w:sz w:val="18"/>
            <w:szCs w:val="18"/>
            <w:u w:val="single" w:color="auto"/>
            <w:color w:val="0000EE"/>
          </w:rPr>
          <w:t xml:space="preserve">June 27, 2019 </w:t>
        </w:r>
      </w:hyperlink>
      <w:r>
        <w:rPr>
          <w:rFonts w:ascii="Arial" w:cs="Arial" w:eastAsia="Arial" w:hAnsi="Arial"/>
          <w:sz w:val="18"/>
          <w:szCs w:val="18"/>
          <w:color w:val="000000"/>
        </w:rPr>
        <w:t>and</w:t>
      </w:r>
      <w:r>
        <w:rPr>
          <w:rFonts w:ascii="Arial" w:cs="Arial" w:eastAsia="Arial" w:hAnsi="Arial"/>
          <w:sz w:val="18"/>
          <w:szCs w:val="18"/>
          <w:color w:val="0000EE"/>
        </w:rPr>
        <w:t xml:space="preserve"> </w:t>
      </w:r>
      <w:hyperlink r:id="rId84">
        <w:r>
          <w:rPr>
            <w:rFonts w:ascii="Arial" w:cs="Arial" w:eastAsia="Arial" w:hAnsi="Arial"/>
            <w:sz w:val="18"/>
            <w:szCs w:val="18"/>
            <w:u w:val="single" w:color="auto"/>
            <w:color w:val="0000EE"/>
          </w:rPr>
          <w:t xml:space="preserve">July 8, 2019 </w:t>
        </w:r>
      </w:hyperlink>
      <w:r>
        <w:rPr>
          <w:rFonts w:ascii="Arial" w:cs="Arial" w:eastAsia="Arial" w:hAnsi="Arial"/>
          <w:sz w:val="18"/>
          <w:szCs w:val="18"/>
          <w:color w:val="000000"/>
        </w:rPr>
        <w:t>(except</w:t>
      </w:r>
      <w:r>
        <w:rPr>
          <w:rFonts w:ascii="Arial" w:cs="Arial" w:eastAsia="Arial" w:hAnsi="Arial"/>
          <w:sz w:val="18"/>
          <w:szCs w:val="18"/>
          <w:color w:val="0000EE"/>
        </w:rPr>
        <w:t xml:space="preserve"> </w:t>
      </w:r>
      <w:r>
        <w:rPr>
          <w:rFonts w:ascii="Arial" w:cs="Arial" w:eastAsia="Arial" w:hAnsi="Arial"/>
          <w:sz w:val="18"/>
          <w:szCs w:val="18"/>
          <w:color w:val="000000"/>
        </w:rPr>
        <w:t>for the information furnished under Items 2.02 or 7.01 and the exhibits</w:t>
      </w:r>
      <w:r>
        <w:rPr>
          <w:rFonts w:ascii="Arial" w:cs="Arial" w:eastAsia="Arial" w:hAnsi="Arial"/>
          <w:sz w:val="18"/>
          <w:szCs w:val="18"/>
          <w:color w:val="0000EE"/>
        </w:rPr>
        <w:t xml:space="preserve"> </w:t>
      </w:r>
      <w:r>
        <w:rPr>
          <w:rFonts w:ascii="Arial" w:cs="Arial" w:eastAsia="Arial" w:hAnsi="Arial"/>
          <w:sz w:val="18"/>
          <w:szCs w:val="18"/>
          <w:color w:val="000000"/>
        </w:rPr>
        <w:t>furnished thereto);</w:t>
      </w:r>
    </w:p>
    <w:p>
      <w:pPr>
        <w:spacing w:after="0" w:line="183" w:lineRule="exact"/>
        <w:rPr>
          <w:rFonts w:ascii="Arial" w:cs="Arial" w:eastAsia="Arial" w:hAnsi="Arial"/>
          <w:sz w:val="18"/>
          <w:szCs w:val="18"/>
          <w:color w:val="0000EE"/>
        </w:rPr>
      </w:pPr>
    </w:p>
    <w:p>
      <w:pPr>
        <w:ind w:left="660" w:right="20" w:hanging="328"/>
        <w:spacing w:after="0" w:line="263" w:lineRule="auto"/>
        <w:tabs>
          <w:tab w:leader="none" w:pos="660" w:val="left"/>
        </w:tabs>
        <w:numPr>
          <w:ilvl w:val="0"/>
          <w:numId w:val="28"/>
        </w:numPr>
        <w:rPr>
          <w:rFonts w:ascii="Arial" w:cs="Arial" w:eastAsia="Arial" w:hAnsi="Arial"/>
          <w:sz w:val="18"/>
          <w:szCs w:val="18"/>
          <w:color w:val="0000EE"/>
        </w:rPr>
      </w:pPr>
      <w:hyperlink r:id="rId48">
        <w:r>
          <w:rPr>
            <w:rFonts w:ascii="Arial" w:cs="Arial" w:eastAsia="Arial" w:hAnsi="Arial"/>
            <w:sz w:val="18"/>
            <w:szCs w:val="18"/>
            <w:color w:val="auto"/>
          </w:rPr>
          <w:t xml:space="preserve">The description of our securities contained in our Registration Statement on Form 8-A filed on </w:t>
        </w:r>
        <w:r>
          <w:rPr>
            <w:rFonts w:ascii="Arial" w:cs="Arial" w:eastAsia="Arial" w:hAnsi="Arial"/>
            <w:sz w:val="18"/>
            <w:szCs w:val="18"/>
            <w:u w:val="single" w:color="auto"/>
            <w:color w:val="0000EE"/>
          </w:rPr>
          <w:t>March 21, 2016 (File No. 001-34785)</w:t>
        </w:r>
        <w:r>
          <w:rPr>
            <w:rFonts w:ascii="Arial" w:cs="Arial" w:eastAsia="Arial" w:hAnsi="Arial"/>
            <w:sz w:val="18"/>
            <w:szCs w:val="18"/>
            <w:color w:val="auto"/>
          </w:rPr>
          <w:t xml:space="preserve">, </w:t>
        </w:r>
        <w:r>
          <w:rPr>
            <w:rFonts w:ascii="Arial" w:cs="Arial" w:eastAsia="Arial" w:hAnsi="Arial"/>
            <w:sz w:val="18"/>
            <w:szCs w:val="18"/>
            <w:u w:val="single" w:color="auto"/>
            <w:color w:val="0000EE"/>
          </w:rPr>
          <w:t>April 29,</w:t>
        </w:r>
      </w:hyperlink>
      <w:r>
        <w:rPr>
          <w:rFonts w:ascii="Arial" w:cs="Arial" w:eastAsia="Arial" w:hAnsi="Arial"/>
          <w:sz w:val="18"/>
          <w:szCs w:val="18"/>
          <w:color w:val="auto"/>
        </w:rPr>
        <w:t xml:space="preserve"> </w:t>
      </w:r>
      <w:hyperlink r:id="rId48">
        <w:r>
          <w:rPr>
            <w:rFonts w:ascii="Arial" w:cs="Arial" w:eastAsia="Arial" w:hAnsi="Arial"/>
            <w:sz w:val="18"/>
            <w:szCs w:val="18"/>
            <w:u w:val="single" w:color="auto"/>
            <w:color w:val="0000EE"/>
          </w:rPr>
          <w:t>2013 (File No. 001-34785)</w:t>
        </w:r>
        <w:r>
          <w:rPr>
            <w:rFonts w:ascii="Arial" w:cs="Arial" w:eastAsia="Arial" w:hAnsi="Arial"/>
            <w:sz w:val="18"/>
            <w:szCs w:val="18"/>
            <w:color w:val="0000EE"/>
          </w:rPr>
          <w:t xml:space="preserve"> </w:t>
        </w:r>
        <w:r>
          <w:rPr>
            <w:rFonts w:ascii="Arial" w:cs="Arial" w:eastAsia="Arial" w:hAnsi="Arial"/>
            <w:sz w:val="18"/>
            <w:szCs w:val="18"/>
            <w:color w:val="000000"/>
          </w:rPr>
          <w:t>and</w:t>
        </w:r>
        <w:r>
          <w:rPr>
            <w:rFonts w:ascii="Arial" w:cs="Arial" w:eastAsia="Arial" w:hAnsi="Arial"/>
            <w:sz w:val="18"/>
            <w:szCs w:val="18"/>
            <w:color w:val="0000EE"/>
          </w:rPr>
          <w:t xml:space="preserve"> </w:t>
        </w:r>
      </w:hyperlink>
      <w:hyperlink r:id="rId85">
        <w:r>
          <w:rPr>
            <w:rFonts w:ascii="Arial" w:cs="Arial" w:eastAsia="Arial" w:hAnsi="Arial"/>
            <w:sz w:val="18"/>
            <w:szCs w:val="18"/>
            <w:u w:val="single" w:color="auto"/>
            <w:color w:val="0000EE"/>
          </w:rPr>
          <w:t>June 16, 2010 (File No. 001-34785)</w:t>
        </w:r>
      </w:hyperlink>
      <w:hyperlink r:id="rId48">
        <w:r>
          <w:rPr>
            <w:rFonts w:ascii="Arial" w:cs="Arial" w:eastAsia="Arial" w:hAnsi="Arial"/>
            <w:sz w:val="18"/>
            <w:szCs w:val="18"/>
            <w:color w:val="000000"/>
          </w:rPr>
          <w:t xml:space="preserve">, pursuant to Section 12(b) of the Exchange Act, and any amendment or </w:t>
        </w:r>
      </w:hyperlink>
      <w:r>
        <w:rPr>
          <w:rFonts w:ascii="Arial" w:cs="Arial" w:eastAsia="Arial" w:hAnsi="Arial"/>
          <w:sz w:val="18"/>
          <w:szCs w:val="18"/>
          <w:color w:val="0000EE"/>
        </w:rPr>
        <w:t xml:space="preserve">report </w:t>
      </w:r>
      <w:r>
        <w:rPr>
          <w:rFonts w:ascii="Arial" w:cs="Arial" w:eastAsia="Arial" w:hAnsi="Arial"/>
          <w:sz w:val="18"/>
          <w:szCs w:val="18"/>
          <w:color w:val="000000"/>
        </w:rPr>
        <w:t>filed with the SEC for purposes of updating such description; and</w:t>
      </w:r>
    </w:p>
    <w:p>
      <w:pPr>
        <w:spacing w:after="0" w:line="183" w:lineRule="exact"/>
        <w:rPr>
          <w:rFonts w:ascii="Arial" w:cs="Arial" w:eastAsia="Arial" w:hAnsi="Arial"/>
          <w:sz w:val="18"/>
          <w:szCs w:val="18"/>
          <w:color w:val="0000EE"/>
        </w:rPr>
      </w:pPr>
    </w:p>
    <w:p>
      <w:pPr>
        <w:ind w:left="660" w:hanging="328"/>
        <w:spacing w:after="0" w:line="286" w:lineRule="auto"/>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All reports and other documents subsequently filed by us pursuant to Sections 13(a), 13(c), 14 and 15(d) of the Exchange Act after the date of this prospectus and prior to the termination or completion of the offering of securities under this prospectus shall be deemed to be incorporated by reference in this prospectus and to be a part hereof from the date of filing such reports and other documents.</w:t>
      </w:r>
    </w:p>
    <w:p>
      <w:pPr>
        <w:spacing w:after="0" w:line="165" w:lineRule="exact"/>
        <w:rPr>
          <w:rFonts w:ascii="Arial" w:cs="Arial" w:eastAsia="Arial" w:hAnsi="Arial"/>
          <w:sz w:val="18"/>
          <w:szCs w:val="18"/>
          <w:color w:val="0000EE"/>
        </w:rPr>
      </w:pPr>
    </w:p>
    <w:p>
      <w:pPr>
        <w:spacing w:after="0" w:line="279" w:lineRule="auto"/>
        <w:rPr>
          <w:sz w:val="20"/>
          <w:szCs w:val="20"/>
          <w:color w:val="auto"/>
        </w:rPr>
      </w:pPr>
      <w:r>
        <w:rPr>
          <w:rFonts w:ascii="Arial" w:cs="Arial" w:eastAsia="Arial" w:hAnsi="Arial"/>
          <w:sz w:val="17"/>
          <w:szCs w:val="17"/>
          <w:color w:val="auto"/>
        </w:rPr>
        <w:t>Any statement contained in this prospectus or in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171" w:lineRule="exact"/>
        <w:rPr>
          <w:rFonts w:ascii="Arial" w:cs="Arial" w:eastAsia="Arial" w:hAnsi="Arial"/>
          <w:sz w:val="18"/>
          <w:szCs w:val="18"/>
          <w:color w:val="0000EE"/>
        </w:rPr>
      </w:pPr>
    </w:p>
    <w:p>
      <w:pPr>
        <w:ind w:right="40"/>
        <w:spacing w:after="0" w:line="263" w:lineRule="auto"/>
        <w:rPr>
          <w:sz w:val="20"/>
          <w:szCs w:val="20"/>
          <w:color w:val="auto"/>
        </w:rPr>
      </w:pPr>
      <w:r>
        <w:rPr>
          <w:rFonts w:ascii="Arial" w:cs="Arial" w:eastAsia="Arial" w:hAnsi="Arial"/>
          <w:sz w:val="18"/>
          <w:szCs w:val="18"/>
          <w:color w:val="auto"/>
        </w:rPr>
        <w:t>You may request, orally or in writing, a copy of these documents, which will be provided to you at no cost, by contacting XpresSpa Group, Inc., 780 Third Avenue, 12th Floor, New York, NY 10017 Attention: Investor Relations. The Investor Relations Department can be reached via telephone at (212) 838-3777.</w:t>
      </w:r>
    </w:p>
    <w:p>
      <w:pPr>
        <w:spacing w:after="0" w:line="400" w:lineRule="exact"/>
        <w:rPr>
          <w:rFonts w:ascii="Arial" w:cs="Arial" w:eastAsia="Arial" w:hAnsi="Arial"/>
          <w:sz w:val="18"/>
          <w:szCs w:val="18"/>
          <w:color w:val="0000EE"/>
        </w:rPr>
      </w:pPr>
    </w:p>
    <w:p>
      <w:pPr>
        <w:jc w:val="center"/>
        <w:ind w:right="-119"/>
        <w:spacing w:after="0"/>
        <w:rPr>
          <w:sz w:val="20"/>
          <w:szCs w:val="20"/>
          <w:color w:val="auto"/>
        </w:rPr>
      </w:pPr>
      <w:r>
        <w:rPr>
          <w:rFonts w:ascii="Arial" w:cs="Arial" w:eastAsia="Arial" w:hAnsi="Arial"/>
          <w:sz w:val="18"/>
          <w:szCs w:val="18"/>
          <w:color w:val="auto"/>
        </w:rPr>
        <w:t>25</w:t>
      </w:r>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50" w:name="page51"/>
    <w:bookmarkEnd w:id="50"/>
    <w:p>
      <w:pPr>
        <w:jc w:val="center"/>
        <w:ind w:right="19"/>
        <w:spacing w:after="0"/>
        <w:rPr>
          <w:sz w:val="20"/>
          <w:szCs w:val="20"/>
          <w:color w:val="auto"/>
        </w:rPr>
      </w:pPr>
      <w:r>
        <w:rPr>
          <w:rFonts w:ascii="Arial" w:cs="Arial" w:eastAsia="Arial" w:hAnsi="Arial"/>
          <w:sz w:val="39"/>
          <w:szCs w:val="39"/>
          <w:b w:val="1"/>
          <w:bCs w:val="1"/>
          <w:color w:val="auto"/>
        </w:rPr>
        <w:t>XpresSpa, Inc.</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$50,000,000</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PREFERRED STOCK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DEBT SECURITIES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WARRANTS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RIGHTS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PROSPECTUS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July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163195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9019"/>
      </w:cols>
      <w:pgMar w:left="1440" w:top="87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1)"/>
      <w:numFmt w:val="decimal"/>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
      <w:numFmt w:val="bullet"/>
      <w:start w:val="1"/>
    </w:lvl>
    <w:lvl w:ilvl="1">
      <w:lvlJc w:val="left"/>
      <w:lvlText w:val="·"/>
      <w:numFmt w:val="bullet"/>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
      <w:numFmt w:val="bullet"/>
      <w:start w:val="1"/>
    </w:lvl>
  </w:abstractNum>
  <w:abstractNum w:abstractNumId="25">
    <w:nsid w:val="54E49EB4"/>
    <w:multiLevelType w:val="hybridMultilevel"/>
    <w:lvl w:ilvl="0">
      <w:lvlJc w:val="left"/>
      <w:lvlText w:val="·"/>
      <w:numFmt w:val="bullet"/>
      <w:start w:val="1"/>
    </w:lvl>
  </w:abstractNum>
  <w:abstractNum w:abstractNumId="26">
    <w:nsid w:val="71F32454"/>
    <w:multiLevelType w:val="hybridMultilevel"/>
    <w:lvl w:ilvl="0">
      <w:lvlJc w:val="left"/>
      <w:lvlText w:val="·"/>
      <w:numFmt w:val="bullet"/>
      <w:start w:val="1"/>
    </w:lvl>
  </w:abstractNum>
  <w:abstractNum w:abstractNumId="27">
    <w:nsid w:val="2CA8861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30" Type="http://schemas.openxmlformats.org/officeDocument/2006/relationships/image" Target="media/image22.png"/><Relationship Id="rId49" Type="http://schemas.openxmlformats.org/officeDocument/2006/relationships/image" Target="media/image23.png"/><Relationship Id="rId50" Type="http://schemas.openxmlformats.org/officeDocument/2006/relationships/image" Target="media/image24.png"/><Relationship Id="rId51" Type="http://schemas.openxmlformats.org/officeDocument/2006/relationships/image" Target="media/image25.png"/><Relationship Id="rId52" Type="http://schemas.openxmlformats.org/officeDocument/2006/relationships/image" Target="media/image26.png"/><Relationship Id="rId53" Type="http://schemas.openxmlformats.org/officeDocument/2006/relationships/image" Target="media/image27.png"/><Relationship Id="rId54" Type="http://schemas.openxmlformats.org/officeDocument/2006/relationships/image" Target="media/image28.png"/><Relationship Id="rId55" Type="http://schemas.openxmlformats.org/officeDocument/2006/relationships/image" Target="media/image29.png"/><Relationship Id="rId56" Type="http://schemas.openxmlformats.org/officeDocument/2006/relationships/image" Target="media/image30.png"/><Relationship Id="rId58" Type="http://schemas.openxmlformats.org/officeDocument/2006/relationships/image" Target="media/image31.png"/><Relationship Id="rId59" Type="http://schemas.openxmlformats.org/officeDocument/2006/relationships/image" Target="media/image32.png"/><Relationship Id="rId60" Type="http://schemas.openxmlformats.org/officeDocument/2006/relationships/image" Target="media/image33.png"/><Relationship Id="rId61" Type="http://schemas.openxmlformats.org/officeDocument/2006/relationships/image" Target="media/image34.png"/><Relationship Id="rId62" Type="http://schemas.openxmlformats.org/officeDocument/2006/relationships/image" Target="media/image35.png"/><Relationship Id="rId63" Type="http://schemas.openxmlformats.org/officeDocument/2006/relationships/image" Target="media/image36.png"/><Relationship Id="rId64" Type="http://schemas.openxmlformats.org/officeDocument/2006/relationships/image" Target="media/image37.png"/><Relationship Id="rId65" Type="http://schemas.openxmlformats.org/officeDocument/2006/relationships/image" Target="media/image38.png"/><Relationship Id="rId66" Type="http://schemas.openxmlformats.org/officeDocument/2006/relationships/image" Target="media/image39.png"/><Relationship Id="rId67" Type="http://schemas.openxmlformats.org/officeDocument/2006/relationships/image" Target="media/image40.png"/><Relationship Id="rId68" Type="http://schemas.openxmlformats.org/officeDocument/2006/relationships/image" Target="media/image41.png"/><Relationship Id="rId69" Type="http://schemas.openxmlformats.org/officeDocument/2006/relationships/image" Target="media/image42.png"/><Relationship Id="rId70" Type="http://schemas.openxmlformats.org/officeDocument/2006/relationships/image" Target="media/image43.png"/><Relationship Id="rId71" Type="http://schemas.openxmlformats.org/officeDocument/2006/relationships/image" Target="media/image44.png"/><Relationship Id="rId72" Type="http://schemas.openxmlformats.org/officeDocument/2006/relationships/image" Target="media/image45.png"/><Relationship Id="rId73" Type="http://schemas.openxmlformats.org/officeDocument/2006/relationships/image" Target="media/image46.png"/><Relationship Id="rId74" Type="http://schemas.openxmlformats.org/officeDocument/2006/relationships/image" Target="media/image47.png"/><Relationship Id="rId75" Type="http://schemas.openxmlformats.org/officeDocument/2006/relationships/image" Target="media/image48.png"/><Relationship Id="rId76" Type="http://schemas.openxmlformats.org/officeDocument/2006/relationships/image" Target="media/image49.png"/><Relationship Id="rId77" Type="http://schemas.openxmlformats.org/officeDocument/2006/relationships/image" Target="media/image50.png"/><Relationship Id="rId78" Type="http://schemas.openxmlformats.org/officeDocument/2006/relationships/image" Target="media/image51.png"/><Relationship Id="rId79" Type="http://schemas.openxmlformats.org/officeDocument/2006/relationships/image" Target="media/image52.png"/><Relationship Id="rId80" Type="http://schemas.openxmlformats.org/officeDocument/2006/relationships/image" Target="media/image53.png"/><Relationship Id="rId86" Type="http://schemas.openxmlformats.org/officeDocument/2006/relationships/image" Target="media/image54.png"/><Relationship Id="rId87" Type="http://schemas.openxmlformats.org/officeDocument/2006/relationships/image" Target="media/image55.png"/><Relationship Id="rId88" Type="http://schemas.openxmlformats.org/officeDocument/2006/relationships/image" Target="media/image56.png"/><Relationship Id="rId29" Type="http://schemas.openxmlformats.org/officeDocument/2006/relationships/hyperlink" Target="http://www.sec.gov/Archives/edgar/data/1410428/000114420419017496/tv516017_10k.htm" TargetMode="External"/><Relationship Id="rId31" Type="http://schemas.openxmlformats.org/officeDocument/2006/relationships/hyperlink" Target="http://www.sec.gov/Archives/edgar/data/1410428/000114420419022522/tv519608_10ka.htm" TargetMode="External"/><Relationship Id="rId32" Type="http://schemas.openxmlformats.org/officeDocument/2006/relationships/hyperlink" Target="http://www.sec.gov/Archives/edgar/data/1410428/000114420419026665/tv520725_10q.htm" TargetMode="External"/><Relationship Id="rId33" Type="http://schemas.openxmlformats.org/officeDocument/2006/relationships/hyperlink" Target="http://www.sec.gov/Archives/edgar/data/1410428/000114420419040130/tv527296_10q.htm" TargetMode="External"/><Relationship Id="rId34" Type="http://schemas.openxmlformats.org/officeDocument/2006/relationships/hyperlink" Target="http://www.sec.gov/Archives/edgar/data/1410428/000110465919064328/tm1919635d1_10q.htm" TargetMode="External"/><Relationship Id="rId35" Type="http://schemas.openxmlformats.org/officeDocument/2006/relationships/hyperlink" Target="http://www.sec.gov/Archives/edgar/data/1410428/000114420419038961/tv526329-def14a.htm" TargetMode="External"/><Relationship Id="rId36" Type="http://schemas.openxmlformats.org/officeDocument/2006/relationships/hyperlink" Target="http://www.sec.gov/Archives/edgar/data/1410428/000114420419007309/tv513163_8k.htm" TargetMode="External"/><Relationship Id="rId37" Type="http://schemas.openxmlformats.org/officeDocument/2006/relationships/hyperlink" Target="http://www.sec.gov/Archives/edgar/data/1410428/000114420419009610/tv514467_8k.htm" TargetMode="External"/><Relationship Id="rId38" Type="http://schemas.openxmlformats.org/officeDocument/2006/relationships/hyperlink" Target="http://www.sec.gov/Archives/edgar/data/1410428/000114420419014325/tv516349_8k.htm" TargetMode="External"/><Relationship Id="rId39" Type="http://schemas.openxmlformats.org/officeDocument/2006/relationships/hyperlink" Target="http://www.sec.gov/Archives/edgar/data/1410428/000114420419015650/tv516755_8k.htm" TargetMode="External"/><Relationship Id="rId40" Type="http://schemas.openxmlformats.org/officeDocument/2006/relationships/hyperlink" Target="http://www.sec.gov/Archives/edgar/data/1410428/000114420419022528/tv520089_8k.htm" TargetMode="External"/><Relationship Id="rId41" Type="http://schemas.openxmlformats.org/officeDocument/2006/relationships/hyperlink" Target="http://www.sec.gov/Archives/edgar/data/1410428/000110465920003636/tm203197-1_8k.htm" TargetMode="External"/><Relationship Id="rId42" Type="http://schemas.openxmlformats.org/officeDocument/2006/relationships/hyperlink" Target="http://www.sec.gov/Archives/edgar/data/1410428/000110465920009856/tm206420d1_8k.htm" TargetMode="External"/><Relationship Id="rId43" Type="http://schemas.openxmlformats.org/officeDocument/2006/relationships/hyperlink" Target="http://www.sec.gov/Archives/edgar/data/1410428/000110465920029962/tm2011914d1_8k.htm" TargetMode="External"/><Relationship Id="rId44" Type="http://schemas.openxmlformats.org/officeDocument/2006/relationships/hyperlink" Target="http://www.sec.gov/Archives/edgar/data/1410428/000110465920035631/tm2013177d1_8k.htm" TargetMode="External"/><Relationship Id="rId45" Type="http://schemas.openxmlformats.org/officeDocument/2006/relationships/hyperlink" Target="http://www.sec.gov/Archives/edgar/data/1410428/000110465920038562/tm2013765d1_8k.htm" TargetMode="External"/><Relationship Id="rId46" Type="http://schemas.openxmlformats.org/officeDocument/2006/relationships/hyperlink" Target="http://www.sec.gov/Archives/edgar/data/1410428/000110465920039740/tm2014049-2_8k.htm" TargetMode="External"/><Relationship Id="rId47" Type="http://schemas.openxmlformats.org/officeDocument/2006/relationships/hyperlink" Target="http://www.sec.gov/Archives/edgar/data/1410428/000110465920039953/tm2014049d1_8k.htm" TargetMode="External"/><Relationship Id="rId48" Type="http://schemas.openxmlformats.org/officeDocument/2006/relationships/hyperlink" Target="http://www.sec.gov/Archives/edgar/data/1410428/000114420413024675/v342843_8a12b.htm" TargetMode="External"/><Relationship Id="rId57" Type="http://schemas.openxmlformats.org/officeDocument/2006/relationships/hyperlink" Target="http://www.sec.gov/Archives/edgar/data/1410428/000114420419034328/tv525020_8k.htm" TargetMode="External"/><Relationship Id="rId81" Type="http://schemas.openxmlformats.org/officeDocument/2006/relationships/hyperlink" Target="http://www.sec.gov/Archives/edgar/data/1410428/000114420419027101/tv521899_8k.htm" TargetMode="External"/><Relationship Id="rId82" Type="http://schemas.openxmlformats.org/officeDocument/2006/relationships/hyperlink" Target="http://www.sec.gov/Archives/edgar/data/1410428/000114420419031189/tv523626_8k.htm" TargetMode="External"/><Relationship Id="rId83" Type="http://schemas.openxmlformats.org/officeDocument/2006/relationships/hyperlink" Target="http://www.sec.gov/Archives/edgar/data/1410428/000114420419032532/tv524367_8k.htm" TargetMode="External"/><Relationship Id="rId84" Type="http://schemas.openxmlformats.org/officeDocument/2006/relationships/hyperlink" Target="http://www.sec.gov/Archives/edgar/data/1410428/000114420419033939/tv524856_8k.htm" TargetMode="External"/><Relationship Id="rId85" Type="http://schemas.openxmlformats.org/officeDocument/2006/relationships/hyperlink" Target="http://www.sec.gov/Archives/edgar/data/1410428/000119312510140514/d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2020-03-31T05:03:54Z</dcterms:created>
  <dcterms:modified xsi:type="dcterms:W3CDTF">2020-03-31T05:03:54Z</dcterms:modified>
</cp:coreProperties>
</file>