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23, 2016</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49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w:t>
            </w: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of incorporation)</w:t>
            </w: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40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900" w:type="dxa"/>
            <w:vAlign w:val="bottom"/>
          </w:tcPr>
          <w:p>
            <w:pPr>
              <w:spacing w:after="0"/>
              <w:rPr>
                <w:sz w:val="24"/>
                <w:szCs w:val="24"/>
                <w:color w:val="auto"/>
              </w:rPr>
            </w:pPr>
          </w:p>
        </w:tc>
      </w:tr>
      <w:tr>
        <w:trPr>
          <w:trHeight w:val="216"/>
        </w:trPr>
        <w:tc>
          <w:tcPr>
            <w:tcW w:w="2400" w:type="dxa"/>
            <w:vAlign w:val="bottom"/>
          </w:tcPr>
          <w:p>
            <w:pPr>
              <w:spacing w:after="0"/>
              <w:rPr>
                <w:sz w:val="18"/>
                <w:szCs w:val="18"/>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900" w:type="dxa"/>
            <w:vAlign w:val="bottom"/>
          </w:tcPr>
          <w:p>
            <w:pPr>
              <w:spacing w:after="0"/>
              <w:rPr>
                <w:sz w:val="18"/>
                <w:szCs w:val="18"/>
                <w:color w:val="auto"/>
              </w:rPr>
            </w:pPr>
          </w:p>
        </w:tc>
      </w:tr>
      <w:tr>
        <w:trPr>
          <w:trHeight w:val="234"/>
        </w:trPr>
        <w:tc>
          <w:tcPr>
            <w:tcW w:w="240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1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Statements contained in this Current Report on Form 8-K relating to FORM Holdings Corp.’s or management’s intentions, hopes, beliefs, expectations or predictions of the future, including statements relating to the combined company’s management and board of directors and any other statements about FORM Holdings Corp.’s management team’s future expectations, beliefs, goals, plans or prospects are forward-looking statements. FORM Holdings Corp.’s actual results could differ materially from those projected in these forward-looking statements. Additional factors that could cause actual results to differ materially from those described in the forward-looking statements are set forth in the 424(b)(3) proxy statement/prospectus of FORM Holdings Corp. (File No. 333-213566), filed with the U.S. Securities and Exchange Commission (the “</w:t>
      </w:r>
      <w:r>
        <w:rPr>
          <w:rFonts w:ascii="Arial" w:cs="Arial" w:eastAsia="Arial" w:hAnsi="Arial"/>
          <w:sz w:val="16"/>
          <w:szCs w:val="16"/>
          <w:i w:val="1"/>
          <w:iCs w:val="1"/>
          <w:u w:val="single" w:color="auto"/>
          <w:color w:val="auto"/>
        </w:rPr>
        <w:t>SEC</w:t>
      </w:r>
      <w:r>
        <w:rPr>
          <w:rFonts w:ascii="Arial" w:cs="Arial" w:eastAsia="Arial" w:hAnsi="Arial"/>
          <w:sz w:val="16"/>
          <w:szCs w:val="16"/>
          <w:i w:val="1"/>
          <w:iCs w:val="1"/>
          <w:color w:val="auto"/>
        </w:rPr>
        <w:t>”) on October 28, 2016, and in subsequent reports on Forms 10-Q and 8-K and other filings made with the SEC by FORM Holdings Corp. FORM Holdings Corp. disclaims any intention or obligation to revise any forward-looking statements, including financial estimates,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in Item 2.01 of this Current Report on Form 8-K (the “</w:t>
      </w:r>
      <w:r>
        <w:rPr>
          <w:rFonts w:ascii="Arial" w:cs="Arial" w:eastAsia="Arial" w:hAnsi="Arial"/>
          <w:sz w:val="18"/>
          <w:szCs w:val="18"/>
          <w:u w:val="single" w:color="auto"/>
          <w:color w:val="auto"/>
        </w:rPr>
        <w:t>Current Report</w:t>
      </w:r>
      <w:r>
        <w:rPr>
          <w:rFonts w:ascii="Arial" w:cs="Arial" w:eastAsia="Arial" w:hAnsi="Arial"/>
          <w:sz w:val="18"/>
          <w:szCs w:val="18"/>
          <w:color w:val="auto"/>
        </w:rPr>
        <w: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Completion of Merger with XpresSpa Holdings,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23, 2016 (the “</w:t>
      </w:r>
      <w:r>
        <w:rPr>
          <w:rFonts w:ascii="Arial" w:cs="Arial" w:eastAsia="Arial" w:hAnsi="Arial"/>
          <w:sz w:val="16"/>
          <w:szCs w:val="16"/>
          <w:u w:val="single" w:color="auto"/>
          <w:color w:val="auto"/>
        </w:rPr>
        <w:t>Closing Date</w:t>
      </w:r>
      <w:r>
        <w:rPr>
          <w:rFonts w:ascii="Arial" w:cs="Arial" w:eastAsia="Arial" w:hAnsi="Arial"/>
          <w:sz w:val="16"/>
          <w:szCs w:val="16"/>
          <w:color w:val="auto"/>
        </w:rPr>
        <w:t>”), FHXMS, LLC (“</w:t>
      </w:r>
      <w:r>
        <w:rPr>
          <w:rFonts w:ascii="Arial" w:cs="Arial" w:eastAsia="Arial" w:hAnsi="Arial"/>
          <w:sz w:val="16"/>
          <w:szCs w:val="16"/>
          <w:u w:val="single" w:color="auto"/>
          <w:color w:val="auto"/>
        </w:rPr>
        <w:t>Merger Sub</w:t>
      </w:r>
      <w:r>
        <w:rPr>
          <w:rFonts w:ascii="Arial" w:cs="Arial" w:eastAsia="Arial" w:hAnsi="Arial"/>
          <w:sz w:val="16"/>
          <w:szCs w:val="16"/>
          <w:color w:val="auto"/>
        </w:rPr>
        <w:t>”), a Delaware limited liability company and wholly-owned subsidiary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a Delaware corporation (“</w:t>
      </w:r>
      <w:r>
        <w:rPr>
          <w:rFonts w:ascii="Arial" w:cs="Arial" w:eastAsia="Arial" w:hAnsi="Arial"/>
          <w:sz w:val="18"/>
          <w:szCs w:val="18"/>
          <w:u w:val="single" w:color="auto"/>
          <w:color w:val="auto"/>
        </w:rPr>
        <w:t>FORM</w:t>
      </w:r>
      <w:r>
        <w:rPr>
          <w:rFonts w:ascii="Arial" w:cs="Arial" w:eastAsia="Arial" w:hAnsi="Arial"/>
          <w:sz w:val="18"/>
          <w:szCs w:val="18"/>
          <w:color w:val="auto"/>
        </w:rPr>
        <w:t>”), merged with and into XpresSpa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XpresSpa</w:t>
      </w:r>
      <w:r>
        <w:rPr>
          <w:rFonts w:ascii="Arial" w:cs="Arial" w:eastAsia="Arial" w:hAnsi="Arial"/>
          <w:sz w:val="17"/>
          <w:szCs w:val="17"/>
          <w:color w:val="auto"/>
        </w:rPr>
        <w:t>”), with XpresSpa being the surviving entity and a wholly-owned subsidiary of FORM, pursuant to the terms and conditions of the previously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announced Agreement and Plan of Merger, dated as of August 8, 2016, as subsequently amended on September 8, 2016 and October 25, 2016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FORM, Merger Sub, XpresSpa, the unitholders of XpresSpa who are parties thereto or who become parties thereto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Unitholders</w:t>
      </w:r>
      <w:r>
        <w:rPr>
          <w:rFonts w:ascii="Arial" w:cs="Arial" w:eastAsia="Arial" w:hAnsi="Arial"/>
          <w:sz w:val="18"/>
          <w:szCs w:val="18"/>
          <w:color w:val="auto"/>
        </w:rPr>
        <w:t>”) and Mistral XH Representative, LLC, as representative of the Unitholders (the “</w:t>
      </w:r>
      <w:r>
        <w:rPr>
          <w:rFonts w:ascii="Arial" w:cs="Arial" w:eastAsia="Arial" w:hAnsi="Arial"/>
          <w:sz w:val="18"/>
          <w:szCs w:val="18"/>
          <w:u w:val="single" w:color="auto"/>
          <w:color w:val="auto"/>
        </w:rPr>
        <w:t>Representative</w:t>
      </w:r>
      <w:r>
        <w:rPr>
          <w:rFonts w:ascii="Arial" w:cs="Arial" w:eastAsia="Arial" w:hAnsi="Arial"/>
          <w:sz w:val="18"/>
          <w:szCs w:val="18"/>
          <w:color w:val="auto"/>
        </w:rPr>
        <w: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the Closing Date, (i) the then-outstanding common units of XpresSpa (other than those held by FORM and its subsidiaries, which were cancelled without any consideration) and (ii) the then-outstanding preferred units of XpresSpa (other than those held by FORM and its subsidiaries, which were cancelled without any consideration) were cancelled and automatically converted into the right to receive an aggregate of:</w:t>
      </w:r>
    </w:p>
    <w:p>
      <w:pPr>
        <w:spacing w:after="0" w:line="166"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w:t>
      </w:r>
      <w:r>
        <w:rPr>
          <w:rFonts w:ascii="Arial" w:cs="Arial" w:eastAsia="Arial" w:hAnsi="Arial"/>
          <w:sz w:val="18"/>
          <w:szCs w:val="18"/>
          <w:u w:val="single" w:color="auto"/>
          <w:color w:val="auto"/>
        </w:rPr>
        <w:t>FORM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0" w:hanging="320"/>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(the “</w:t>
      </w:r>
      <w:r>
        <w:rPr>
          <w:rFonts w:ascii="Arial" w:cs="Arial" w:eastAsia="Arial" w:hAnsi="Arial"/>
          <w:sz w:val="18"/>
          <w:szCs w:val="18"/>
          <w:u w:val="single" w:color="auto"/>
          <w:color w:val="auto"/>
        </w:rPr>
        <w:t>FORM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with an aggregate initial liquidation preference of $23,750,000, accruing dividends at 9% per annum and which are initially convertible into 3,958,336 shares of FORM Common Stock, and</w:t>
      </w:r>
    </w:p>
    <w:p>
      <w:pPr>
        <w:spacing w:after="0" w:line="181"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XpresSpa own approximately 18% of the outstanding shares of FORM Common Stock (or 33% of the outstanding shares of FORM Common Stock calculated on a fully diluted basis) and the stockholders of FORM prior to the Merger own approximately 82% of the outstanding shares of FORM Common Stock (or 67% of the outstanding shares of FORM Common Stock calculated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1" w:right="279" w:bottom="1440" w:gutter="0" w:footer="0" w:header="0"/>
        </w:sectPr>
      </w:pPr>
    </w:p>
    <w:bookmarkStart w:id="2" w:name="page3"/>
    <w:bookmarkEnd w:id="2"/>
    <w:p>
      <w:pPr>
        <w:ind w:right="40" w:firstLine="648"/>
        <w:spacing w:after="0" w:line="257" w:lineRule="auto"/>
        <w:rPr>
          <w:sz w:val="20"/>
          <w:szCs w:val="20"/>
          <w:color w:val="auto"/>
        </w:rPr>
      </w:pPr>
      <w:r>
        <w:rPr>
          <w:rFonts w:ascii="Arial" w:cs="Arial" w:eastAsia="Arial" w:hAnsi="Arial"/>
          <w:sz w:val="18"/>
          <w:szCs w:val="18"/>
          <w:color w:val="auto"/>
        </w:rPr>
        <w:t>The FORM Common Stock and FORM Preferred Stock issued in connection with the Merger were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pursuant to a registration statement on Form S-4 (File No. 333-213566), originally filed with the SEC on September 9, 2016, as amended, and declared effective on October 27, 2016 (the “</w:t>
      </w:r>
      <w:r>
        <w:rPr>
          <w:rFonts w:ascii="Arial" w:cs="Arial" w:eastAsia="Arial" w:hAnsi="Arial"/>
          <w:sz w:val="18"/>
          <w:szCs w:val="18"/>
          <w:u w:val="single" w:color="auto"/>
          <w:color w:val="auto"/>
        </w:rPr>
        <w:t>Form S-4</w:t>
      </w:r>
      <w:r>
        <w:rPr>
          <w:rFonts w:ascii="Arial" w:cs="Arial" w:eastAsia="Arial" w:hAnsi="Arial"/>
          <w:sz w:val="18"/>
          <w:szCs w:val="18"/>
          <w:color w:val="auto"/>
        </w:rPr>
        <w:t>”). The prospectus included in the Form S-4 contains additional information about the Merger and the related transactions. The Form S-4 also included the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for FORM’s 2016 Annual Meeting of Stockholders, held on November 28, 2016 (the “</w:t>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188" w:lineRule="exact"/>
        <w:rPr>
          <w:sz w:val="20"/>
          <w:szCs w:val="20"/>
          <w:color w:val="auto"/>
        </w:rPr>
      </w:pPr>
    </w:p>
    <w:p>
      <w:pPr>
        <w:ind w:right="280" w:firstLine="852"/>
        <w:spacing w:after="0" w:line="277" w:lineRule="auto"/>
        <w:rPr>
          <w:sz w:val="20"/>
          <w:szCs w:val="20"/>
          <w:color w:val="auto"/>
        </w:rPr>
      </w:pPr>
      <w:r>
        <w:rPr>
          <w:rFonts w:ascii="Arial" w:cs="Arial" w:eastAsia="Arial" w:hAnsi="Arial"/>
          <w:sz w:val="18"/>
          <w:szCs w:val="18"/>
          <w:color w:val="auto"/>
        </w:rPr>
        <w:t>The foregoing description of the Merger Agreement is not complete and is subject to, and qualified in its entirety by, the full text of the Merger Agreement, which was attached as Annex A to the Proxy Statement, the terms of which are incorporated herein by reference.</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Rockmore Senior Secured Note</w:t>
      </w:r>
    </w:p>
    <w:p>
      <w:pPr>
        <w:spacing w:after="0" w:line="225" w:lineRule="exact"/>
        <w:rPr>
          <w:sz w:val="20"/>
          <w:szCs w:val="20"/>
          <w:color w:val="auto"/>
        </w:rPr>
      </w:pPr>
    </w:p>
    <w:p>
      <w:pPr>
        <w:ind w:right="40" w:firstLine="852"/>
        <w:spacing w:after="0" w:line="254" w:lineRule="auto"/>
        <w:rPr>
          <w:sz w:val="20"/>
          <w:szCs w:val="20"/>
          <w:color w:val="auto"/>
        </w:rPr>
      </w:pPr>
      <w:r>
        <w:rPr>
          <w:rFonts w:ascii="Arial" w:cs="Arial" w:eastAsia="Arial" w:hAnsi="Arial"/>
          <w:sz w:val="18"/>
          <w:szCs w:val="18"/>
          <w:color w:val="auto"/>
        </w:rPr>
        <w:t>XpresSpa is obligated under a senior secured note payable to Rockmore Investment Master Fund Ltd. (“</w:t>
      </w:r>
      <w:r>
        <w:rPr>
          <w:rFonts w:ascii="Arial" w:cs="Arial" w:eastAsia="Arial" w:hAnsi="Arial"/>
          <w:sz w:val="18"/>
          <w:szCs w:val="18"/>
          <w:u w:val="single" w:color="auto"/>
          <w:color w:val="auto"/>
        </w:rPr>
        <w:t>Rockmore</w:t>
      </w:r>
      <w:r>
        <w:rPr>
          <w:rFonts w:ascii="Arial" w:cs="Arial" w:eastAsia="Arial" w:hAnsi="Arial"/>
          <w:sz w:val="18"/>
          <w:szCs w:val="18"/>
          <w:color w:val="auto"/>
        </w:rPr>
        <w:t>”), a significant equity holder of XpresSpa, with an outstanding balance of approximately $6,500,000 (the “</w:t>
      </w:r>
      <w:r>
        <w:rPr>
          <w:rFonts w:ascii="Arial" w:cs="Arial" w:eastAsia="Arial" w:hAnsi="Arial"/>
          <w:sz w:val="18"/>
          <w:szCs w:val="18"/>
          <w:u w:val="single" w:color="auto"/>
          <w:color w:val="auto"/>
        </w:rPr>
        <w:t>Senior Secured Note</w:t>
      </w:r>
      <w:r>
        <w:rPr>
          <w:rFonts w:ascii="Arial" w:cs="Arial" w:eastAsia="Arial" w:hAnsi="Arial"/>
          <w:sz w:val="18"/>
          <w:szCs w:val="18"/>
          <w:color w:val="auto"/>
        </w:rPr>
        <w:t>”). The Senior Secured Note accrues interest of 9.24% per annum, payable monthly, plus an additional 2.0% per annum, and matures on May 1, 2018, with an additional one-year extension if both FORM and Rockmore consent to such extension. Upon completion of the Merger, the Senior Secured Note remained outstanding as an obligation of XpresSpa, but became guaranteed by FORM. Rockmore is an investment entity controlled by FORM’s board member, Bruce T. Bernstein. Rockmore owned equity securities of XpresSpa that received approximately 9.5% of the merger consideration and, following completion of the Merger, Rockmore remained the holder of the Senior Secured Note, and holds approximately 4.7% of the outstanding common stock of FORM on a fully diluted basis. Rockmore provided its consent to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in Item 2.01 of this Current Report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December 23, 2016, FORM filed with the Secretary of State of the State of Delaware a Certificate of Designation of Preferences, Rights and Limitations of Series D Convertible Preferred Stock (the “</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Pursuant to the Certificate of Designations, the holders of FORM Preferred Stock are entitled, among other things, to an aggregate initial liquidation preference of $23,750,000 and the right to participate in any dividends and distributions paid to common stockholders on an as-converted basis. The FORM Preferred Stock will vote on an as-converted basis. The FORM Preferred Stock shall be initially convertible into an aggregate of 3,958,336 shares of FORM Common Stock, which equals a $6.00 per share conversion price, and each holder of FORM Preferred Stock shall be entitled to cast the number of votes equal to the number of whole shares of FORM Common Stock into which such shares of FORM Preferred Stock are convertible. Upon the occurrence of certain fundamental events, the holders of the FORM Preferred Stock will be able to require FORM to redeem the shares of FORM Preferred Stock at the greater of the liquidation preference and the amount per share as would have been payable had the shares of FORM Preferred Stock been converted into FORM Common Stock. The holders of record of FORM Preferred Stock shall be entitled to elect one director of FORM, voting exclusively as a separate class, so long as the holders of FORM Preferred Stock represent beneficial ownership in the aggregate of equal to or more than 5% of FORM’s issued and outstanding Common Stock on an as-converted basis.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terms of the Certificate of Designations, on the seven year anniversary of the initial issuance date of the shares of FORM Preferred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FORM may repay each share of FORM Preferred Stock, at its option, in cash, by delivery of FORM Common Stock or through any combination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thereof. If FORM elects to make a payment, or any portion thereof, in shares of FORM Common Stock, the number of shares deliverable (the “</w:t>
      </w:r>
      <w:r>
        <w:rPr>
          <w:rFonts w:ascii="Arial" w:cs="Arial" w:eastAsia="Arial" w:hAnsi="Arial"/>
          <w:sz w:val="16"/>
          <w:szCs w:val="16"/>
          <w:u w:val="single" w:color="auto"/>
          <w:color w:val="auto"/>
        </w:rPr>
        <w:t>Base 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based on the volume weighted average price per share of FORM Common Stock for the thirty trading days prior to the date of calculation (the “</w:t>
      </w:r>
      <w:r>
        <w:rPr>
          <w:rFonts w:ascii="Arial" w:cs="Arial" w:eastAsia="Arial" w:hAnsi="Arial"/>
          <w:sz w:val="16"/>
          <w:szCs w:val="16"/>
          <w:u w:val="single" w:color="auto"/>
          <w:color w:val="auto"/>
        </w:rPr>
        <w:t>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Price</w:t>
      </w:r>
      <w:r>
        <w:rPr>
          <w:rFonts w:ascii="Arial" w:cs="Arial" w:eastAsia="Arial" w:hAnsi="Arial"/>
          <w:sz w:val="17"/>
          <w:szCs w:val="17"/>
          <w:color w:val="auto"/>
        </w:rPr>
        <w:t>”) plus an additional number of shares of FORM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calculated as follows: (i) if the Base Price is greater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 no Premium Shares shall be issued, (ii) if the Base Price is greater than $7.00 and equal to or less than $9.00, an additional number of shares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 of the Base Shares shall be issued, (iii) if the Base Price is greater than $6.00 and equal to or less than $7.00, an additional number of shares equal to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Base Shares shall be issued, (iv) if the Base Price is greater than $5.00 and equal to or less than $6.00, an additional number of shares equal to 20%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Shares shall be issued and (v) if the Base Price is less than or equal to $5.00, an additional number of shares equal to 25% of the Base Shares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Accordingly, if the volume weighted average price per share of FORM Common Stock is below $9.00 per share at the time of repayment and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exercises the option to make such repayment in shares of FORM Common Stock, a large number of shares of FORM Common Stock may be issued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FORM Preferred Stock upon maturity, which may have a negative effect on the trading price FORM Common Stock. At the seven year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FORM Preferred Stock (which is the date that is seven years from the closing date of the Merger), FORM, at its election, may decide to issue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Common Stock based on the formula set forth above or to re-pay in cash all or any portion of the FORM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firstLine="648"/>
        <w:spacing w:after="0" w:line="272" w:lineRule="auto"/>
        <w:rPr>
          <w:sz w:val="20"/>
          <w:szCs w:val="20"/>
          <w:color w:val="auto"/>
        </w:rPr>
      </w:pPr>
      <w:r>
        <w:rPr>
          <w:rFonts w:ascii="Arial" w:cs="Arial" w:eastAsia="Arial" w:hAnsi="Arial"/>
          <w:sz w:val="17"/>
          <w:szCs w:val="17"/>
          <w:color w:val="auto"/>
        </w:rPr>
        <w:t>In 2023, upon the maturity date of the FORM Preferred Stock, when determining whether to repay the FORM Preferred Stock in cash or shares of FORM Common Stock, FORM expects to consider a number of factors, including its cash position, the price of FORM Common Stock and FORM’s capital structure at such time. Because FORM does not have to make a determination as to which option to elect until 2023, it is impossible to predict whether it is more or less likely to repay in cash, stock or a portion of each. For example, assuming the entire amount of FORM Preferred Stock was outstanding at the seven year maturity date, and FORM opted to repay such FORM Preferred Stock entirely in shares of FORM Common Stock, the number of shares of FORM Common Stock to be issued at such repayment if the Base Price was $9.00 per share, $6.50 per share and $2.50 (above the closing price on December 22, 2016) would be approximately 2,770,833 shares, 4,019,231 shares and 11,875,000, respectively.</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foregoing description of the Certificate of Designations is not complete and is subject to, and qualified in its entirety by, the full text of the Certificate of Designations, which is attached to this Current Report as Exhibit 3.1 and is incorporated herein by reference.</w:t>
      </w:r>
    </w:p>
    <w:p>
      <w:pPr>
        <w:spacing w:after="0" w:line="16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60" w:firstLine="8"/>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23, 2016, the board of directors of FORM (the “Board”) elected Edward Jankowski as Senior Vice President and Chief Executive Officer of XpresSpa, to hold office in accordance with the by-laws of FORM.</w:t>
      </w:r>
    </w:p>
    <w:p>
      <w:pPr>
        <w:spacing w:after="0" w:line="170"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color w:val="auto"/>
        </w:rPr>
        <w:t>Mr. Jankowski, age 63, has served as XpresSpa’s Chief Executive Officer since June 2016 and as a member of its Board of Directors since May 2015. From 2012 to 2016, Mr. Jankowski was the Vice President and General Manager of Luxury Retail at Luxottica, where he oversaw the Ilori and Optical Shop of Aspen and Persol retail stores, as well as the development of a go-forward Luxury Retail model for future expansion. From 2007 to 2012, Mr. Jankowski was Senior Vice President and General Manager for Godiva Chocolatier, responsible for the $400 million North America multi-channel business, consisting of 240 retail stores, 2,000 plus wholesale doors and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While there, he was a member of the Senior Executive Committee, with responsibility for the $120 million Airport Division. He managed 85 retail stores throughout the United States, Bermuda and Puerto Rico in the Duty Free Fragrance, Cosmetics, Luxury Specialty and News and Gift retail business. From 1993 to 1999, Mr. Jankowski served as the Vice President/Director of Stores for Liz Claiborne. During this time, he was a member of the Retail Executive Committee and led execution of business strategies, sales results and store profit. Prior to his position at Liz Claiborne, Mr. Jankowski held other significant leadership positions, such as, District Manager at Casual Corner from 1978 to 1980, District Manager at Atherton Industries from 1980 to 1985, District Manager, Reginal Manager and eventually Vice President/Director of Stores at Woman’s World from 1985 to 1990 and as Reginal Vice President at Ganto’s from 1990 to 1993. Mr. Jankowski began his career in 1975 as an Executive Trainee for R.H. Macy’s. Mr. Jankowski currently serves on the Board of Directors of the Accessories Council, FIT Accessories Advisory and the Elizabeth Carter Beach Association. Mr. Jankowski was formerly a member of the LIM Advisory Board. Mr. Jankowski received his B.Sc. in management and commerce marketing from Rider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right="140" w:firstLine="648"/>
        <w:spacing w:after="0" w:line="277" w:lineRule="auto"/>
        <w:rPr>
          <w:sz w:val="20"/>
          <w:szCs w:val="20"/>
          <w:color w:val="auto"/>
        </w:rPr>
      </w:pPr>
      <w:r>
        <w:rPr>
          <w:rFonts w:ascii="Arial" w:cs="Arial" w:eastAsia="Arial" w:hAnsi="Arial"/>
          <w:sz w:val="18"/>
          <w:szCs w:val="18"/>
          <w:color w:val="auto"/>
        </w:rPr>
        <w:t>FORM is currently negotiating the terms of an employment agreement with Mr. Jankowski, which will be disclosed in a subsequent Current Report on Form 8-K once finalized.</w:t>
      </w:r>
    </w:p>
    <w:p>
      <w:pPr>
        <w:spacing w:after="0" w:line="170" w:lineRule="exact"/>
        <w:rPr>
          <w:sz w:val="20"/>
          <w:szCs w:val="20"/>
          <w:color w:val="auto"/>
        </w:rPr>
      </w:pPr>
    </w:p>
    <w:p>
      <w:pPr>
        <w:ind w:right="60" w:firstLine="8"/>
        <w:spacing w:after="0" w:line="273" w:lineRule="auto"/>
        <w:tabs>
          <w:tab w:leader="none" w:pos="525"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December 23, 2016, following the closing of the Merger, Andrew R. Heyer was elected to the Board, to serve on the Board until FORM’s 2017 annual meeting of stockholders or until his successor has been elected and qualified, or until his earlier resignation or removal. Mr. Heyer will serve as the designee of the FORM Preferred Stock pursuant to the Certificate of Designations, which states that the holders of record of FORM Preferred Stock shall be entitled to elect one director of FORM, voting exclusively as a separate class, so long as the holders of FORM Preferred Stock represent beneficial ownership in the aggregate of equal to or more than 5% of FORM’s issued and outstanding Common Stock on an as-converted basis. The Company is not aware of any transaction in which Mr. Heyer has an interest requiring disclosure under Item 404(a) of Regulation S-K.</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connection with Mr. Heyer’s appointment, Mr. Heyer and FORM entered into an Independent Director’s Agreement, dated as of December 23, 2016, a copy of which is attached to this Current Report as Exhibit 10.1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On December 23, 2016, FORM issued a press release announcing the completion of the previously announced Merger, pursuant to the Merger Agreement. A copy of the press release is attached hereto as Exhibit 99.1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financial statements required by this item will be filed by FORM by amendment to this Current Report not later than 71 days after the date on which this Current Report was required to be filed.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financial statements required by this item will be filed by FORM by amendment to this Current Report not later than 71 days after the date on which this Current Report was required to be filed.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260" w:type="dxa"/>
            <w:vAlign w:val="bottom"/>
          </w:tcPr>
          <w:p>
            <w:pPr>
              <w:spacing w:after="0"/>
              <w:rPr>
                <w:sz w:val="20"/>
                <w:szCs w:val="20"/>
                <w:color w:val="auto"/>
              </w:rPr>
            </w:pPr>
          </w:p>
        </w:tc>
      </w:tr>
      <w:tr>
        <w:trPr>
          <w:trHeight w:val="41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Agreement and Plan of Merger by and among FORM Holdings Corp., FHXMS, LLC, XpresSpa Holdings LLC, the unitholders of XpresSpa</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who are parties thereto or who become parties thereto and Mistral XH Representative, LLC, as representative of the XpresSpa unitholders,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dated as of August 8, 2016, as amended on September 8, 2016 and October 25, 2016 (previously filed as Annex A to FORM’s Registration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on Form S-4 filed with the SEC on October 26, 2016).</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Designation of Preferences, Rights and Limitations of Series D Convertible Preferred Stock.</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warrant to purchase shares of common stock of FORM Holdings Corp. (previously filed as Annex F to FORM’s Registration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on Form S-4 filed with the SEC on October 26, 2016).</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Independent Director’s Agreement, by and between FORM Holdings Corp. and Andrew R. Heyer, dated as of December 23, 2016.</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December 23, 2016.</w:t>
            </w:r>
          </w:p>
        </w:tc>
      </w:tr>
      <w:tr>
        <w:trPr>
          <w:trHeight w:val="67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December 23, 2016</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Andrew D. Perlman</w:t>
            </w:r>
          </w:p>
        </w:tc>
      </w:tr>
      <w:tr>
        <w:trPr>
          <w:trHeight w:val="195"/>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945"/>
        </w:trPr>
        <w:tc>
          <w:tcPr>
            <w:tcW w:w="3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11"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WHEREAS, the Amended and Restated Certificate of Incorporation of Form Holdings Corp.,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provides for a class of its authorized stock known as preferred stock, comprised of 5,000,000 shares, issuable from time to time in one or more series;</w:t>
      </w:r>
    </w:p>
    <w:p>
      <w:pPr>
        <w:spacing w:after="0" w:line="14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500,000 shares of the preferred stock which the Corporation has the authority to issue, classified as Series D Convertible Preferred Stock, as follows:</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the rights, preferences, restrictions and other matters relating to such series of preferred stock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D Convertible Preferred Stock”. The initial number of authorized shares of the Series D Convertible Preferred Stock shall be 500,000, which, except as provided herein, shall not be subject to increase without the consent of the holders of a majority of the then outstanding shares of Series D Convertible Preferred Stock. Each share of the Series D Convertible Preferred Stock shall have a par value of $0.01.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Dividends and Distributions to the Holders of Common Stock</w:t>
      </w:r>
      <w:r>
        <w:rPr>
          <w:rFonts w:ascii="Arial" w:cs="Arial" w:eastAsia="Arial" w:hAnsi="Arial"/>
          <w:sz w:val="17"/>
          <w:szCs w:val="17"/>
          <w:color w:val="auto"/>
        </w:rPr>
        <w:t>. From and after the first date of issuance of any shares of Series D Convertible Preferred Stock (the “</w:t>
      </w:r>
      <w:r>
        <w:rPr>
          <w:rFonts w:ascii="Arial" w:cs="Arial" w:eastAsia="Arial" w:hAnsi="Arial"/>
          <w:sz w:val="17"/>
          <w:szCs w:val="17"/>
          <w:u w:val="single" w:color="auto"/>
          <w:color w:val="auto"/>
        </w:rPr>
        <w:t>Initial Issuance Date</w:t>
      </w:r>
      <w:r>
        <w:rPr>
          <w:rFonts w:ascii="Arial" w:cs="Arial" w:eastAsia="Arial" w:hAnsi="Arial"/>
          <w:sz w:val="17"/>
          <w:szCs w:val="17"/>
          <w:color w:val="auto"/>
        </w:rPr>
        <w:t>”), the holders of Series D Convertible Preferred Stock (each, a “Holder”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 shall be entitled to receive such dividends paid and distributions made to the holders of common stock, par value $0.01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pro rata to the holders of Common Stock to the same extent as if such Holders had converted the Series D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both"/>
        <w:ind w:left="652" w:hanging="323"/>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D Convertible Preferred Stock, dividends at the rate per annum of $4.32 per share shall accrue on such shares of Series D Convertible Preferred Stock (subject to appropriate adjustment in the event of any stock dividend, stock split, combination or other similar recapitalization with respect to the Series D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2.2</w:t>
      </w:r>
      <w:r>
        <w:rPr>
          <w:rFonts w:ascii="Arial" w:cs="Arial" w:eastAsia="Arial" w:hAnsi="Arial"/>
          <w:sz w:val="16"/>
          <w:szCs w:val="16"/>
          <w:color w:val="auto"/>
        </w:rPr>
        <w:t>,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the holders of the Series D Convertible Preferred Stock then outstanding shall first receive, or simultaneously receive, a dividend on each outstanding share of Series D Convertible Preferred Stock in an amount at least equal to (i) the amount of the aggregate Accruing Dividends then accrued on such share of Series D Convertible Preferred Stock and not previously paid and (ii) the amount required to be paid pursuant to Section 2.1.</w:t>
      </w:r>
    </w:p>
    <w:p>
      <w:pPr>
        <w:spacing w:after="0" w:line="173" w:lineRule="exact"/>
        <w:rPr>
          <w:sz w:val="20"/>
          <w:szCs w:val="20"/>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Preferential Payments to Holders of Series D Convertible Preferred Stock</w:t>
      </w:r>
      <w:r>
        <w:rPr>
          <w:rFonts w:ascii="Arial" w:cs="Arial" w:eastAsia="Arial" w:hAnsi="Arial"/>
          <w:sz w:val="17"/>
          <w:szCs w:val="17"/>
          <w:color w:val="auto"/>
        </w:rPr>
        <w:t>. In the event of any voluntary or involuntary liquidation, dissolution or winding up of the Corporation or a Deemed Liquidation Event, subject to the rights of the holders of any other class of preferred stock, the holders of shares of Series D Convertible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D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D Liquidation Preference 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 w:name="page9"/>
    <w:bookmarkEnd w:id="8"/>
    <w:p>
      <w:pPr>
        <w:jc w:val="both"/>
        <w:ind w:left="652" w:hanging="323"/>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In the event of any voluntary or involuntary liquidation, dissolution or winding up of the Corporation, after the payment of all preferential amounts required to be paid to the holders of shares of Series D Convertible Preferred Stock (subject to the rights of the holders of any other class of preferred stock), the remaining assets of the Corporation available for distribution to its stockholders shall be distributed among the holders of shares of Common Stock, pro rata based on the number of shares held by each such holder.</w:t>
      </w:r>
    </w:p>
    <w:p>
      <w:pPr>
        <w:spacing w:after="0" w:line="171" w:lineRule="exact"/>
        <w:rPr>
          <w:sz w:val="20"/>
          <w:szCs w:val="20"/>
          <w:color w:val="auto"/>
        </w:rPr>
      </w:pPr>
    </w:p>
    <w:p>
      <w:pPr>
        <w:ind w:left="332" w:hanging="332"/>
        <w:spacing w:after="0"/>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jc w:val="both"/>
        <w:ind w:left="1292" w:hanging="647"/>
        <w:spacing w:after="0" w:line="277" w:lineRule="auto"/>
        <w:tabs>
          <w:tab w:leader="none" w:pos="1272" w:val="left"/>
        </w:tabs>
        <w:rPr>
          <w:sz w:val="20"/>
          <w:szCs w:val="20"/>
          <w:color w:val="auto"/>
        </w:rPr>
      </w:pPr>
      <w:r>
        <w:rPr>
          <w:rFonts w:ascii="Arial" w:cs="Arial" w:eastAsia="Arial" w:hAnsi="Arial"/>
          <w:sz w:val="18"/>
          <w:szCs w:val="18"/>
          <w:color w:val="auto"/>
        </w:rPr>
        <w:t>4.1.1.</w:t>
        <w:tab/>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jc w:val="both"/>
        <w:ind w:left="1292" w:hanging="647"/>
        <w:spacing w:after="0" w:line="285" w:lineRule="auto"/>
        <w:tabs>
          <w:tab w:leader="none" w:pos="127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9" w:name="page10"/>
    <w:bookmarkEnd w:id="9"/>
    <w:p>
      <w:pPr>
        <w:ind w:left="320"/>
        <w:spacing w:after="0"/>
        <w:tabs>
          <w:tab w:leader="none" w:pos="9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jc w:val="both"/>
        <w:ind w:left="960" w:hanging="647"/>
        <w:spacing w:after="0" w:line="277" w:lineRule="auto"/>
        <w:tabs>
          <w:tab w:leader="none" w:pos="940" w:val="left"/>
        </w:tabs>
        <w:rPr>
          <w:sz w:val="20"/>
          <w:szCs w:val="20"/>
          <w:color w:val="auto"/>
        </w:rPr>
      </w:pPr>
      <w:r>
        <w:rPr>
          <w:rFonts w:ascii="Arial" w:cs="Arial" w:eastAsia="Arial" w:hAnsi="Arial"/>
          <w:sz w:val="18"/>
          <w:szCs w:val="18"/>
          <w:color w:val="auto"/>
        </w:rPr>
        <w:t>4.1.4.</w:t>
        <w:tab/>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960" w:hanging="647"/>
        <w:spacing w:after="0" w:line="277" w:lineRule="auto"/>
        <w:tabs>
          <w:tab w:leader="none" w:pos="940" w:val="left"/>
        </w:tabs>
        <w:rPr>
          <w:sz w:val="20"/>
          <w:szCs w:val="20"/>
          <w:color w:val="auto"/>
        </w:rPr>
      </w:pPr>
      <w:r>
        <w:rPr>
          <w:rFonts w:ascii="Arial" w:cs="Arial" w:eastAsia="Arial" w:hAnsi="Arial"/>
          <w:sz w:val="18"/>
          <w:szCs w:val="18"/>
          <w:color w:val="auto"/>
        </w:rPr>
        <w:t>4.1.5.</w:t>
        <w:tab/>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D Convertible Preferred Stock.</w:t>
      </w:r>
    </w:p>
    <w:p>
      <w:pPr>
        <w:spacing w:after="0" w:line="225" w:lineRule="exact"/>
        <w:rPr>
          <w:sz w:val="20"/>
          <w:szCs w:val="20"/>
          <w:color w:val="auto"/>
        </w:rPr>
      </w:pPr>
    </w:p>
    <w:p>
      <w:pPr>
        <w:jc w:val="both"/>
        <w:ind w:left="960" w:hanging="647"/>
        <w:spacing w:after="0" w:line="264" w:lineRule="auto"/>
        <w:tabs>
          <w:tab w:leader="none" w:pos="940" w:val="left"/>
        </w:tabs>
        <w:rPr>
          <w:sz w:val="20"/>
          <w:szCs w:val="20"/>
          <w:color w:val="auto"/>
        </w:rPr>
      </w:pPr>
      <w:r>
        <w:rPr>
          <w:rFonts w:ascii="Arial" w:cs="Arial" w:eastAsia="Arial" w:hAnsi="Arial"/>
          <w:sz w:val="18"/>
          <w:szCs w:val="18"/>
          <w:color w:val="auto"/>
        </w:rPr>
        <w:t>4.1.7.</w:t>
        <w:tab/>
        <w:t>“</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$48 per share, subject to adjustment for stock splits, stock dividends, recapitalizations, reorganizations, reclassifications, combinations, reverse stock splits or other similar events relating to the Series D Convertible Preferred Stock after the Initial Issuance Date.</w:t>
      </w:r>
    </w:p>
    <w:p>
      <w:pPr>
        <w:spacing w:after="0" w:line="181" w:lineRule="exact"/>
        <w:rPr>
          <w:sz w:val="20"/>
          <w:szCs w:val="20"/>
          <w:color w:val="auto"/>
        </w:rPr>
      </w:pPr>
    </w:p>
    <w:p>
      <w:pPr>
        <w:jc w:val="both"/>
        <w:ind w:left="960" w:hanging="647"/>
        <w:spacing w:after="0" w:line="273" w:lineRule="auto"/>
        <w:tabs>
          <w:tab w:leader="none" w:pos="94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960" w:hanging="647"/>
        <w:spacing w:after="0" w:line="259" w:lineRule="auto"/>
        <w:tabs>
          <w:tab w:leader="none" w:pos="940" w:val="left"/>
        </w:tabs>
        <w:rPr>
          <w:sz w:val="20"/>
          <w:szCs w:val="20"/>
          <w:color w:val="auto"/>
        </w:rPr>
      </w:pPr>
      <w:r>
        <w:rPr>
          <w:rFonts w:ascii="Arial" w:cs="Arial" w:eastAsia="Arial" w:hAnsi="Arial"/>
          <w:sz w:val="18"/>
          <w:szCs w:val="18"/>
          <w:color w:val="auto"/>
        </w:rPr>
        <w:t>4.1.9.</w:t>
        <w:tab/>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960" w:hanging="647"/>
        <w:spacing w:after="0" w:line="259" w:lineRule="auto"/>
        <w:tabs>
          <w:tab w:leader="none" w:pos="940" w:val="left"/>
        </w:tabs>
        <w:rPr>
          <w:sz w:val="20"/>
          <w:szCs w:val="20"/>
          <w:color w:val="auto"/>
        </w:rPr>
      </w:pPr>
      <w:r>
        <w:rPr>
          <w:rFonts w:ascii="Arial" w:cs="Arial" w:eastAsia="Arial" w:hAnsi="Arial"/>
          <w:sz w:val="18"/>
          <w:szCs w:val="18"/>
          <w:color w:val="auto"/>
        </w:rPr>
        <w:t>4.2.1.</w:t>
        <w:tab/>
        <w:t>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0" w:name="page11"/>
    <w:bookmarkEnd w:id="10"/>
    <w:p>
      <w:pPr>
        <w:jc w:val="both"/>
        <w:ind w:left="960" w:hanging="647"/>
        <w:spacing w:after="0" w:line="285" w:lineRule="auto"/>
        <w:tabs>
          <w:tab w:leader="none" w:pos="9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In the event of a Deemed Liquidation Event, if the Corporation does not effect a dissolution of the Corporation under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within ninety (90) days after such Deemed Liquidation Event, then (i) the Corporation shall send a written notice to each holder of Series D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D Convertible Preferred Stock, and (iii) if the holders of at least 50% of the then outstanding shares of Series D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6"/>
          <w:szCs w:val="16"/>
          <w:u w:val="single" w:color="auto"/>
          <w:color w:val="auto"/>
        </w:rPr>
        <w:t>Available Proceeds</w:t>
      </w:r>
      <w:r>
        <w:rPr>
          <w:rFonts w:ascii="Arial" w:cs="Arial" w:eastAsia="Arial" w:hAnsi="Arial"/>
          <w:sz w:val="16"/>
          <w:szCs w:val="16"/>
          <w:color w:val="auto"/>
        </w:rPr>
        <w:t>”), on the one hundred fiftieth (150th) day after such Deemed Liquidation Event, to repay and cancel all outstanding shares of Series D Convertible Preferred Stock at a price per share equal to the Series D Liquidation Preference Amount. Notwithstanding the foregoing, in the event of a repayment pursuant to the preceding sentence, if the Available Proceeds are not sufficient to repay all outstanding shares of Series D Convertible Preferred Stock, the Corporation shall ratably repay each Holder’s shares of Series D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jc w:val="both"/>
        <w:ind w:left="320" w:hanging="32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jc w:val="both"/>
        <w:ind w:left="320" w:hanging="323"/>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the transaction agreement shall provide that (a) the portion of such consideration that is not Additional Consideration (such portion, the “</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1" w:name="page12"/>
    <w:bookmarkEnd w:id="11"/>
    <w:p>
      <w:pPr>
        <w:ind w:left="332" w:hanging="332"/>
        <w:spacing w:after="0"/>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D Convertible Preferred Stock held by such holder are convertible as of the record date for determining stockholders entitled to vote on such matter. Except as provided by law or by the other provisions of the Amended and Restated Certificate of Incorporation, the holders of Series D Convertible Preferred Stock shall vote together with the holders of Common Stock as a single class.</w:t>
      </w:r>
    </w:p>
    <w:p>
      <w:pPr>
        <w:spacing w:after="0" w:line="193" w:lineRule="exact"/>
        <w:rPr>
          <w:rFonts w:ascii="Arial" w:cs="Arial" w:eastAsia="Arial" w:hAnsi="Arial"/>
          <w:sz w:val="18"/>
          <w:szCs w:val="18"/>
          <w:color w:val="auto"/>
        </w:rPr>
      </w:pPr>
    </w:p>
    <w:p>
      <w:pPr>
        <w:ind w:left="652" w:hanging="324"/>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D Convertible Preferred Stock, exclusively and as a separate class, shall be entitled to elect one (1) director of the Corporation (the “</w:t>
      </w:r>
      <w:r>
        <w:rPr>
          <w:rFonts w:ascii="Arial" w:cs="Arial" w:eastAsia="Arial" w:hAnsi="Arial"/>
          <w:sz w:val="17"/>
          <w:szCs w:val="17"/>
          <w:u w:val="single" w:color="auto"/>
          <w:color w:val="auto"/>
        </w:rPr>
        <w:t>Series D Director</w:t>
      </w:r>
      <w:r>
        <w:rPr>
          <w:rFonts w:ascii="Arial" w:cs="Arial" w:eastAsia="Arial" w:hAnsi="Arial"/>
          <w:sz w:val="17"/>
          <w:szCs w:val="17"/>
          <w:color w:val="auto"/>
        </w:rPr>
        <w:t xml:space="preserve">”). If the holders of shares of Series D Convertible Preferred Stock fail to elect a director to fill the directorship for which they are entitled to elect a director, voting exclusively and as a separate class, pursuant to the first sentence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then the directorship not so filled shall remain vacant until such time as the holders of the Series D Convertible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D Convertible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The initial Series D Director shall be Mr. Andrew Heyer. The rights of the holders of the Series D Convertible Preferred Stock to elect a Series D Director shall terminate on the first date following the Initial Issuance Date on which the shares of Common Stock underlying the Series D Convertible Preferred Stock represent beneficial ownership (as such term is defined in Rule 13d-3 under the Exchange Act), in the aggregate, of less than five percent (5%) of the Corporation’s issued and outstanding shares of Common Stock on an as-converted basis.</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 w:name="page13"/>
    <w:bookmarkEnd w:id="12"/>
    <w:p>
      <w:pPr>
        <w:ind w:left="332" w:hanging="332"/>
        <w:spacing w:after="0"/>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holders of the Series D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jc w:val="both"/>
        <w:ind w:left="1552" w:hanging="580"/>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 Price</w:t>
      </w:r>
      <w:r>
        <w:rPr>
          <w:rFonts w:ascii="Arial" w:cs="Arial" w:eastAsia="Arial" w:hAnsi="Arial"/>
          <w:sz w:val="17"/>
          <w:szCs w:val="17"/>
          <w:color w:val="auto"/>
        </w:rPr>
        <w:t>” shall initially be equal to $6.00. Such initial Series D Conversion Price, and the rate at which shares of Series D Convertible Preferred Stock may be converted into shares of Common Stock, shall be subject to adjustment as provided below. On the Initial Issuance Date, the Series D Conversion Rate shall be equal to 8 shares of Common Stock for each share of Series D Convertible Preferred Stock.</w:t>
      </w:r>
    </w:p>
    <w:p>
      <w:pPr>
        <w:spacing w:after="0" w:line="179" w:lineRule="exact"/>
        <w:rPr>
          <w:sz w:val="20"/>
          <w:szCs w:val="20"/>
          <w:color w:val="auto"/>
        </w:rPr>
      </w:pPr>
    </w:p>
    <w:p>
      <w:pPr>
        <w:jc w:val="both"/>
        <w:ind w:left="1552" w:hanging="580"/>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D Convertible Preferred Stock.</w:t>
      </w:r>
    </w:p>
    <w:p>
      <w:pPr>
        <w:spacing w:after="0" w:line="181" w:lineRule="exact"/>
        <w:rPr>
          <w:sz w:val="20"/>
          <w:szCs w:val="20"/>
          <w:color w:val="auto"/>
        </w:rPr>
      </w:pPr>
    </w:p>
    <w:p>
      <w:pPr>
        <w:jc w:val="both"/>
        <w:ind w:left="1292" w:hanging="647"/>
        <w:spacing w:after="0" w:line="255" w:lineRule="auto"/>
        <w:tabs>
          <w:tab w:leader="none" w:pos="127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D Convertible Preferred Stock.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D Convertible Preferred Stock the Holder is at the time converting into Common Stock and the aggregate number of shares of Common Stock issuable upon such conversion.</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D Convertible Preferred Stock shall be conducted in the following manner:</w:t>
      </w:r>
    </w:p>
    <w:p>
      <w:pPr>
        <w:spacing w:after="0" w:line="225" w:lineRule="exact"/>
        <w:rPr>
          <w:sz w:val="20"/>
          <w:szCs w:val="20"/>
          <w:color w:val="auto"/>
        </w:rPr>
      </w:pPr>
    </w:p>
    <w:p>
      <w:pPr>
        <w:jc w:val="both"/>
        <w:ind w:left="1292" w:hanging="647"/>
        <w:spacing w:after="0" w:line="285" w:lineRule="auto"/>
        <w:tabs>
          <w:tab w:leader="none" w:pos="1272"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Conversion Notice</w:t>
      </w:r>
      <w:r>
        <w:rPr>
          <w:rFonts w:ascii="Arial" w:cs="Arial" w:eastAsia="Arial" w:hAnsi="Arial"/>
          <w:sz w:val="16"/>
          <w:szCs w:val="16"/>
          <w:color w:val="auto"/>
        </w:rPr>
        <w:t>. The Holder of record of shares of Series D Convertible Preferred Stock being converted shall (A) transmit by email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otherwise deliver) a copy of a properly completed notice of conversion executed by the registered Holder of the Series D Convertible Preferred Stock subject to such conversion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w:t>
      </w:r>
    </w:p>
    <w:p>
      <w:pPr>
        <w:spacing w:after="0" w:line="2" w:lineRule="exact"/>
        <w:rPr>
          <w:sz w:val="20"/>
          <w:szCs w:val="20"/>
          <w:color w:val="auto"/>
        </w:rPr>
      </w:pPr>
    </w:p>
    <w:p>
      <w:pPr>
        <w:jc w:val="both"/>
        <w:ind w:left="1292" w:firstLine="5"/>
        <w:spacing w:after="0" w:line="255" w:lineRule="auto"/>
        <w:tabs>
          <w:tab w:leader="none" w:pos="15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required by </w:t>
      </w:r>
      <w:r>
        <w:rPr>
          <w:rFonts w:ascii="Arial" w:cs="Arial" w:eastAsia="Arial" w:hAnsi="Arial"/>
          <w:sz w:val="18"/>
          <w:szCs w:val="18"/>
          <w:u w:val="single" w:color="auto"/>
          <w:color w:val="auto"/>
        </w:rPr>
        <w:t>Section 6.2.3</w:t>
      </w:r>
      <w:r>
        <w:rPr>
          <w:rFonts w:ascii="Arial" w:cs="Arial" w:eastAsia="Arial" w:hAnsi="Arial"/>
          <w:sz w:val="18"/>
          <w:szCs w:val="18"/>
          <w:color w:val="auto"/>
        </w:rPr>
        <w:t xml:space="preserve">, surrender to a common carrier for delivery to the Corporation as soon as practicable following such date the original certificates, if any, representing the Series D Convertible Preferred Stock being converted (or compliance with the procedures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(the “</w:t>
      </w:r>
      <w:r>
        <w:rPr>
          <w:rFonts w:ascii="Arial" w:cs="Arial" w:eastAsia="Arial" w:hAnsi="Arial"/>
          <w:sz w:val="18"/>
          <w:szCs w:val="18"/>
          <w:u w:val="single" w:color="auto"/>
          <w:color w:val="auto"/>
        </w:rPr>
        <w:t>Preferred Stock Certificates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3" w:name="page14"/>
    <w:bookmarkEnd w:id="13"/>
    <w:p>
      <w:pPr>
        <w:jc w:val="both"/>
        <w:ind w:left="100" w:hanging="647"/>
        <w:spacing w:after="0" w:line="271" w:lineRule="auto"/>
        <w:tabs>
          <w:tab w:leader="none" w:pos="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u w:val="single" w:color="auto"/>
          <w:color w:val="auto"/>
        </w:rPr>
        <w:t>Corporation’s Response</w:t>
      </w:r>
      <w:r>
        <w:rPr>
          <w:rFonts w:ascii="Arial" w:cs="Arial" w:eastAsia="Arial" w:hAnsi="Arial"/>
          <w:sz w:val="17"/>
          <w:szCs w:val="17"/>
          <w:color w:val="auto"/>
        </w:rPr>
        <w:t>. Upon receipt by the Corporation of a copy of a Conversion Notice, the Corporation shall (A) as soon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practicable, but in any event within three (3) Trading Days, send, via email, a confirmation of receipt of such Conversion Notice to such Holder and the Transfer Agent, if applicable, which confirmation shall constitute an instruction to the Transfer Agent to process such</w:t>
      </w:r>
    </w:p>
    <w:p>
      <w:pPr>
        <w:jc w:val="both"/>
        <w:ind w:left="100"/>
        <w:spacing w:after="0" w:line="257" w:lineRule="auto"/>
        <w:rPr>
          <w:sz w:val="20"/>
          <w:szCs w:val="20"/>
          <w:color w:val="auto"/>
        </w:rPr>
      </w:pPr>
      <w:r>
        <w:rPr>
          <w:rFonts w:ascii="Arial" w:cs="Arial" w:eastAsia="Arial" w:hAnsi="Arial"/>
          <w:sz w:val="17"/>
          <w:szCs w:val="17"/>
          <w:color w:val="auto"/>
        </w:rPr>
        <w:t>Conversion Notice in accordance with the terms herein and (B)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D Convertible Preferred Stock represented by the Preferred Stock Certificate(s) submitted for conversion is greater than the number of shares of Series D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D Convertible Preferred Stock not converted or it shall direct the Transfer Agent to update the Holder’s account to reflect the number of shares of Series D Convertible Preferred Stock not converted.</w:t>
      </w:r>
    </w:p>
    <w:p>
      <w:pPr>
        <w:spacing w:after="0" w:line="188" w:lineRule="exact"/>
        <w:rPr>
          <w:sz w:val="20"/>
          <w:szCs w:val="20"/>
          <w:color w:val="auto"/>
        </w:rPr>
      </w:pPr>
    </w:p>
    <w:p>
      <w:pPr>
        <w:jc w:val="both"/>
        <w:ind w:left="100" w:hanging="647"/>
        <w:spacing w:after="0" w:line="285" w:lineRule="auto"/>
        <w:tabs>
          <w:tab w:leader="none" w:pos="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D Convertible Preferred Stock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the terms hereof, the Holder thereof shall not be required to physically surrender the Preferred Stock Certificate, if any, unless (A) the full or remaining number of shares of Series D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D Convertible Preferred Stock upon physical surrender of any Series D Convertible Preferred Stock. The Holder and the Corporation shall maintain records showing the number of shares of Series D Convertible Preferred Stock so converted and the dates of such conversions or shall use such other method, reasonably satisfactory to the Holder and the Corporation, so as not to require physical surrender of the certificate representing the Series D Convertible Preferred Stock upon each such conversion. In the event of any dispute or discrepancy, such records of the Corporation establishing the number of shares of Series D Convertible Preferred Stock to which the record holder is entitled shall be controlling and determinative in the absence of manifest error. Notwithstanding the foregoing, if Series D Convertible Preferred Stock represented by a certificate are converted as aforesaid, a Holder may not transfer the certificate representing the Series D Convertible Preferred Stock unless such Holder first physically surrenders the certificate representing the Series D Convertible Preferred Stock to the Corporation, whereupon the Corporation will forthwith issue and deliver upon the order of such Holder a new certificate of like tenor, registered as such Holder may request, representing in the aggregate the remaining number of shares of Series D Convertible Preferred Stock represented by such certificate. A Holder and any assignee, by acceptance of a certificate, acknowledge and agree that, by reason of the provisions of this paragraph, following conversion of any Series D Convertible Preferred Stock, the number of shares of Series D Convertible Preferred Stock represented by such certificate may be less than the number of shares of Series D Convertible Preferred Stock stated on the face thereof.</w:t>
      </w:r>
    </w:p>
    <w:p>
      <w:pPr>
        <w:spacing w:after="0" w:line="38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jc w:val="both"/>
        <w:ind w:left="100" w:hanging="647"/>
        <w:spacing w:after="0" w:line="269" w:lineRule="auto"/>
        <w:tabs>
          <w:tab w:leader="none" w:pos="8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D Convertible Preferred Stock are outstanding, reserve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keep available out of its authorized and unissued Common Stock, solely for the purpose of effecting the conversion of the Series D Convertible Preferred Stock according to the terms hereof, such number of shares of Common Stock as shall from time to time be sufficient to effect the conversion of all of the Series D Convertible Preferred Stock then outstanding; and if at any time the number of authorized but unissued shares of Common Stock shall not be sufficient to effect the conversion of all then outstanding shares of the Series D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Certificate of Incorporation. Before taking any action which would cause an adjustment reducing the Series D Conversion Price below the then par value of the shares of Common Stock issuable upon conversion of the Series D Convertible Preferred Stock, the Corporation will take any corporate action which may, in the opinion of its counsel, be necessary in order that the Corporation may validly and legally issue fully paid and non-assessable shares of Common Stock at such adjusted Series D Convertible Conversion Price.</w:t>
      </w:r>
    </w:p>
    <w:p>
      <w:pPr>
        <w:spacing w:after="0" w:line="180" w:lineRule="exact"/>
        <w:rPr>
          <w:sz w:val="20"/>
          <w:szCs w:val="20"/>
          <w:color w:val="auto"/>
        </w:rPr>
      </w:pPr>
    </w:p>
    <w:p>
      <w:pPr>
        <w:jc w:val="both"/>
        <w:ind w:left="100" w:hanging="647"/>
        <w:spacing w:after="0" w:line="287" w:lineRule="auto"/>
        <w:tabs>
          <w:tab w:leader="none" w:pos="8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Series D Conversion Rate, the Corporation shall issue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D Conversion Rate within two (2) Business Days of such disputed determination or arithmetic calculation being transmitted to the Holder, then the Corporation shall within one (1) Business Day submit via email the disputed arithmetic calculation of the Series D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3" w:lineRule="exact"/>
        <w:rPr>
          <w:sz w:val="20"/>
          <w:szCs w:val="20"/>
          <w:color w:val="auto"/>
        </w:rPr>
      </w:pPr>
    </w:p>
    <w:p>
      <w:pPr>
        <w:jc w:val="both"/>
        <w:ind w:left="100" w:right="20" w:hanging="647"/>
        <w:spacing w:after="0" w:line="342" w:lineRule="auto"/>
        <w:tabs>
          <w:tab w:leader="none" w:pos="8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D Convertible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Preferred Stock shall be treated for all purposes as the record holder or holders of such shares of Common Stock on the date of conversion.</w:t>
      </w: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100" w:hanging="647"/>
        <w:spacing w:after="0" w:line="291" w:lineRule="auto"/>
        <w:tabs>
          <w:tab w:leader="none" w:pos="8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D Convertible Preferred Stock which shall have been surrendered for conversion as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D Convertible Preferred Stock so converted shall be retired and canceled and shall not be reissued, and the Corporation may from time to time take such appropriate action as may be necessary to reduce the authorized Series D Convertible Preferred Stock accordingly.</w:t>
      </w:r>
    </w:p>
    <w:p>
      <w:pPr>
        <w:spacing w:after="0" w:line="167" w:lineRule="exact"/>
        <w:rPr>
          <w:sz w:val="20"/>
          <w:szCs w:val="20"/>
          <w:color w:val="auto"/>
        </w:rPr>
      </w:pPr>
    </w:p>
    <w:p>
      <w:pPr>
        <w:jc w:val="both"/>
        <w:ind w:left="100" w:hanging="647"/>
        <w:spacing w:after="0" w:line="272" w:lineRule="auto"/>
        <w:tabs>
          <w:tab w:leader="none" w:pos="80"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D Convertible Preferred</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D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78" w:lineRule="exact"/>
        <w:rPr>
          <w:sz w:val="20"/>
          <w:szCs w:val="20"/>
          <w:color w:val="auto"/>
        </w:rPr>
      </w:pPr>
    </w:p>
    <w:p>
      <w:pPr>
        <w:jc w:val="both"/>
        <w:ind w:left="100" w:hanging="647"/>
        <w:spacing w:after="0" w:line="271" w:lineRule="auto"/>
        <w:tabs>
          <w:tab w:leader="none" w:pos="8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17"/>
          <w:szCs w:val="17"/>
          <w:u w:val="single" w:color="auto"/>
          <w:color w:val="auto"/>
        </w:rPr>
        <w:t>Corporation's Failure to Timely Convert</w:t>
      </w:r>
      <w:r>
        <w:rPr>
          <w:rFonts w:ascii="Arial" w:cs="Arial" w:eastAsia="Arial" w:hAnsi="Arial"/>
          <w:sz w:val="17"/>
          <w:szCs w:val="17"/>
          <w:color w:val="auto"/>
        </w:rPr>
        <w:t>. If within three (3) Trading Days after the Corporation’s receipt of the copy of a Conversion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Notice, the Corporation shall fail to credit a Holder's balance account with DTC or issue and deliver a certificate to such Holder for the number of shares of Common Stock to which such Holder is entitled upon such Holder's conversion of Series D Convertible Preferred</w:t>
      </w:r>
    </w:p>
    <w:p>
      <w:pPr>
        <w:jc w:val="both"/>
        <w:ind w:left="100"/>
        <w:spacing w:after="0" w:line="274" w:lineRule="auto"/>
        <w:rPr>
          <w:sz w:val="20"/>
          <w:szCs w:val="20"/>
          <w:color w:val="auto"/>
        </w:rPr>
      </w:pPr>
      <w:r>
        <w:rPr>
          <w:rFonts w:ascii="Arial" w:cs="Arial" w:eastAsia="Arial" w:hAnsi="Arial"/>
          <w:sz w:val="16"/>
          <w:szCs w:val="16"/>
          <w:color w:val="auto"/>
        </w:rPr>
        <w:t>Stock (a "</w:t>
      </w:r>
      <w:r>
        <w:rPr>
          <w:rFonts w:ascii="Arial" w:cs="Arial" w:eastAsia="Arial" w:hAnsi="Arial"/>
          <w:sz w:val="16"/>
          <w:szCs w:val="16"/>
          <w:u w:val="single" w:color="auto"/>
          <w:color w:val="auto"/>
        </w:rPr>
        <w:t>Conversion Failure</w:t>
      </w:r>
      <w:r>
        <w:rPr>
          <w:rFonts w:ascii="Arial" w:cs="Arial" w:eastAsia="Arial" w:hAnsi="Arial"/>
          <w:sz w:val="16"/>
          <w:szCs w:val="16"/>
          <w:color w:val="auto"/>
        </w:rPr>
        <w:t>"),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u w:val="single" w:color="auto"/>
          <w:color w:val="auto"/>
        </w:rPr>
        <w:t>Buy-In</w:t>
      </w:r>
      <w:r>
        <w:rPr>
          <w:rFonts w:ascii="Arial" w:cs="Arial" w:eastAsia="Arial" w:hAnsi="Arial"/>
          <w:sz w:val="16"/>
          <w:szCs w:val="16"/>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 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39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960" w:hanging="647"/>
        <w:spacing w:after="0" w:line="271" w:lineRule="auto"/>
        <w:tabs>
          <w:tab w:leader="none" w:pos="94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7"/>
          <w:szCs w:val="17"/>
          <w:color w:val="auto"/>
        </w:rPr>
        <w:t>At any time or from time to time after the Initial Issuance Date of the Series D Convertible Preferred Stock, if the volume weighted average price per share, as published by Bloomberg L.P. (or if Bloomberg L.P. does not then exist, a comparable publication) (“</w:t>
      </w:r>
      <w:r>
        <w:rPr>
          <w:rFonts w:ascii="Arial" w:cs="Arial" w:eastAsia="Arial" w:hAnsi="Arial"/>
          <w:sz w:val="17"/>
          <w:szCs w:val="17"/>
          <w:u w:val="single" w:color="auto"/>
          <w:color w:val="auto"/>
        </w:rPr>
        <w:t>VWAP</w:t>
      </w:r>
      <w:r>
        <w:rPr>
          <w:rFonts w:ascii="Arial" w:cs="Arial" w:eastAsia="Arial" w:hAnsi="Arial"/>
          <w:sz w:val="17"/>
          <w:szCs w:val="17"/>
          <w:color w:val="auto"/>
        </w:rPr>
        <w:t>”)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the Corporation will have the right, but not the obligation, by notice given no more than ten (10) Trading Days after the occurrence of such Corporation Conversion Right Event, to convert each outstanding share of Series D Convertible Preferred Stock into a number of fully paid and nonassessable shares of Common Stock calculated based on the then applicable Series D Conversion Rate.</w:t>
      </w:r>
    </w:p>
    <w:p>
      <w:pPr>
        <w:spacing w:after="0" w:line="179" w:lineRule="exact"/>
        <w:rPr>
          <w:sz w:val="20"/>
          <w:szCs w:val="20"/>
          <w:color w:val="auto"/>
        </w:rPr>
      </w:pPr>
    </w:p>
    <w:p>
      <w:pPr>
        <w:jc w:val="both"/>
        <w:ind w:left="960" w:hanging="647"/>
        <w:spacing w:after="0" w:line="279" w:lineRule="auto"/>
        <w:tabs>
          <w:tab w:leader="none" w:pos="94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To exercise the Corporation’s right set forth in Section 6.3.1, the Corporation shall deliver to each Holder of record of Series D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171" w:lineRule="exact"/>
        <w:rPr>
          <w:sz w:val="20"/>
          <w:szCs w:val="20"/>
          <w:color w:val="auto"/>
        </w:rPr>
      </w:pPr>
    </w:p>
    <w:p>
      <w:pPr>
        <w:jc w:val="both"/>
        <w:ind w:left="960" w:hanging="647"/>
        <w:spacing w:after="0" w:line="268" w:lineRule="auto"/>
        <w:tabs>
          <w:tab w:leader="none" w:pos="94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7"/>
          <w:szCs w:val="17"/>
          <w:color w:val="auto"/>
        </w:rPr>
        <w:t xml:space="preserve">On the Corporation Conversion Date, the outstanding shares of Series D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D Convertible Preferred shall represent only the shares of Common Stock into which the shares of Series D Convertible Preferred previously represented thereby have been converted pursuant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Corporation shall not be obligated to issue the shares of Common Stock issuable upon such conversion of any shares of Series D Convertible Preferred unless certificates evidencing such shares of Series D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D Convertible Preferred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the Holders of shares of Series D Convertible Preferred shall surrender the certificates representing such shares to the Corporation and the Corporation shall cause its Transfer Agent to deliver the shares of Common Stock issuable upon such conversion (in the same manner set forth in </w:t>
      </w:r>
      <w:r>
        <w:rPr>
          <w:rFonts w:ascii="Arial" w:cs="Arial" w:eastAsia="Arial" w:hAnsi="Arial"/>
          <w:sz w:val="17"/>
          <w:szCs w:val="17"/>
          <w:u w:val="single" w:color="auto"/>
          <w:color w:val="auto"/>
        </w:rPr>
        <w:t>Section 6.2.2</w:t>
      </w:r>
      <w:r>
        <w:rPr>
          <w:rFonts w:ascii="Arial" w:cs="Arial" w:eastAsia="Arial" w:hAnsi="Arial"/>
          <w:sz w:val="17"/>
          <w:szCs w:val="17"/>
          <w:color w:val="auto"/>
        </w:rPr>
        <w:t>) to the Holder within three (3) Business Days of the Holder’s delivery of the applicable Series D Convertible Preferred certificates.</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7" w:name="page18"/>
    <w:bookmarkEnd w:id="17"/>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Repayment of Series D Convertible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D Convertible Preferred (the “</w:t>
      </w:r>
      <w:r>
        <w:rPr>
          <w:rFonts w:ascii="Arial" w:cs="Arial" w:eastAsia="Arial" w:hAnsi="Arial"/>
          <w:sz w:val="18"/>
          <w:szCs w:val="18"/>
          <w:u w:val="single" w:color="auto"/>
          <w:color w:val="auto"/>
        </w:rPr>
        <w:t>Maturity Date</w:t>
      </w:r>
      <w:r>
        <w:rPr>
          <w:rFonts w:ascii="Arial" w:cs="Arial" w:eastAsia="Arial" w:hAnsi="Arial"/>
          <w:sz w:val="18"/>
          <w:szCs w:val="18"/>
          <w:color w:val="auto"/>
        </w:rPr>
        <w:t>”), the Corporation shall, in accordance with Section 7.2 hereof, repay and cancel each share of Series D Convertible Preferred, at a price per share of the Series D Convertible Preferred equal to the Series D Liquidation Preference Amount, plus an amount equal to any accrued but unpaid dividends payable thereon until the Maturity Date.</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7.2.1.</w:t>
        <w:tab/>
        <w:t xml:space="preserve">On the Maturity Date, the Corporation, at its sole option, may elect to pay to the Holders the Series D Liquidation Preference Amount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(i) in cash; (ii) by delivery of shares of Common Stock; or (iii) through any combination of cash and/or Common Stock.</w:t>
      </w:r>
    </w:p>
    <w:p>
      <w:pPr>
        <w:spacing w:after="0" w:line="181" w:lineRule="exact"/>
        <w:rPr>
          <w:sz w:val="20"/>
          <w:szCs w:val="20"/>
          <w:color w:val="auto"/>
        </w:rPr>
      </w:pPr>
    </w:p>
    <w:p>
      <w:pPr>
        <w:jc w:val="both"/>
        <w:ind w:left="1292" w:hanging="647"/>
        <w:spacing w:after="0" w:line="268" w:lineRule="auto"/>
        <w:tabs>
          <w:tab w:leader="none" w:pos="1272"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 xml:space="preserve">If the Corporation elects to make a payment, or any portion thereof,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7"/>
          <w:szCs w:val="17"/>
          <w:i w:val="1"/>
          <w:iCs w:val="1"/>
          <w:color w:val="auto"/>
        </w:rPr>
        <w:t>by</w:t>
      </w:r>
      <w:r>
        <w:rPr>
          <w:rFonts w:ascii="Arial" w:cs="Arial" w:eastAsia="Arial" w:hAnsi="Arial"/>
          <w:sz w:val="17"/>
          <w:szCs w:val="17"/>
          <w:color w:val="auto"/>
        </w:rPr>
        <w:t xml:space="preserve"> (y)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(the “</w:t>
      </w:r>
      <w:r>
        <w:rPr>
          <w:rFonts w:ascii="Arial" w:cs="Arial" w:eastAsia="Arial" w:hAnsi="Arial"/>
          <w:sz w:val="17"/>
          <w:szCs w:val="17"/>
          <w:u w:val="single" w:color="auto"/>
          <w:color w:val="auto"/>
        </w:rPr>
        <w:t>Base Price</w:t>
      </w:r>
      <w:r>
        <w:rPr>
          <w:rFonts w:ascii="Arial" w:cs="Arial" w:eastAsia="Arial" w:hAnsi="Arial"/>
          <w:sz w:val="17"/>
          <w:szCs w:val="17"/>
          <w:color w:val="auto"/>
        </w:rPr>
        <w:t>”) and adding to the number of shares determined in accordance with clause (A), (B) an additional number of shares of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xml:space="preserve">”),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(iii) if the Base Price as calculated pursuant to clause (A) above is greater than $6.00 and equal to or less than $7.00, a number of shares equal to 10%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(iv) if the Base Price as calculated pursuant to clause (A) above is greater than $5.00 and equal to or less than $6.00, a number of shares equal to 20%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and (v) if the Base Price as calculated pursuant to clause (A) above is less than or equal to $5.00, a number of shares equal to 25% of the shares to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All per share prices set forth in Section 7.2.2 shall be subject to appropriate adjustment in the event of any stock dividend, stock split, combination or other similar recapitalization after the Initial Issuance Date.</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8" w:name="page19"/>
    <w:bookmarkEnd w:id="18"/>
    <w:p>
      <w:pPr>
        <w:ind w:left="332" w:hanging="332"/>
        <w:spacing w:after="0"/>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Adjustment of Series D Conversion Price.</w:t>
      </w:r>
    </w:p>
    <w:p>
      <w:pPr>
        <w:spacing w:after="0" w:line="225" w:lineRule="exact"/>
        <w:rPr>
          <w:sz w:val="20"/>
          <w:szCs w:val="20"/>
          <w:color w:val="auto"/>
        </w:rPr>
      </w:pPr>
    </w:p>
    <w:p>
      <w:pPr>
        <w:jc w:val="both"/>
        <w:ind w:left="1292" w:hanging="647"/>
        <w:spacing w:after="0" w:line="255" w:lineRule="auto"/>
        <w:tabs>
          <w:tab w:leader="none" w:pos="127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Adjustment of Series D Conversion Price upon Subdivision or Combination of Common Stock</w:t>
      </w:r>
      <w:r>
        <w:rPr>
          <w:rFonts w:ascii="Arial" w:cs="Arial" w:eastAsia="Arial" w:hAnsi="Arial"/>
          <w:sz w:val="18"/>
          <w:szCs w:val="18"/>
          <w:color w:val="auto"/>
        </w:rPr>
        <w:t>. The Series D Conversion Price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subject to adjustment from time to time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after the Initial Issuance Date subdivides (by any stock split, stock dividend, recapitalization or otherwise) its outstanding shares of Common Stock into a greater number of shares, the Series D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D Conversion Price in effect immediately prior to such combination will be proportionately increased.</w:t>
      </w:r>
    </w:p>
    <w:p>
      <w:pPr>
        <w:spacing w:after="0" w:line="189" w:lineRule="exact"/>
        <w:rPr>
          <w:sz w:val="20"/>
          <w:szCs w:val="20"/>
          <w:color w:val="auto"/>
        </w:rPr>
      </w:pPr>
    </w:p>
    <w:p>
      <w:pPr>
        <w:jc w:val="both"/>
        <w:ind w:left="1292" w:hanging="647"/>
        <w:spacing w:after="0" w:line="287" w:lineRule="auto"/>
        <w:tabs>
          <w:tab w:leader="none" w:pos="1272"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w:t>
      </w:r>
      <w:r>
        <w:rPr>
          <w:rFonts w:ascii="Arial" w:cs="Arial" w:eastAsia="Arial" w:hAnsi="Arial"/>
          <w:sz w:val="16"/>
          <w:szCs w:val="16"/>
          <w:u w:val="single" w:color="auto"/>
          <w:color w:val="auto"/>
        </w:rPr>
        <w:t xml:space="preserve"> Section 4</w:t>
      </w:r>
      <w:r>
        <w:rPr>
          <w:rFonts w:ascii="Arial" w:cs="Arial" w:eastAsia="Arial" w:hAnsi="Arial"/>
          <w:sz w:val="16"/>
          <w:szCs w:val="16"/>
          <w:color w:val="auto"/>
        </w:rPr>
        <w:t>, if there shall occur any reorganization,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recapitalization, reclassification, consolidation or merger involving the Corporation in which the Common Stock (but not the Series D Convertible Preferred Stock) is converted into or exchanged for securities, cash or other property, then, following any such reorganization, recapitalization, reclassification, consolidation or merger, each share of Series D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D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D Convertible Preferred Stock, to the end that the provisions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provisions with respect to changes in and other adjustments of the Series D Conversion Price) shall thereafter be applicable, as nearly as reasonably may be, in relation to any securities or other property thereafter deliverable upon the conversion of the Series A Preferred Stock.</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9" w:name="page20"/>
    <w:bookmarkEnd w:id="19"/>
    <w:p>
      <w:pPr>
        <w:ind w:left="332"/>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292" w:hanging="647"/>
        <w:spacing w:after="0" w:line="279" w:lineRule="auto"/>
        <w:tabs>
          <w:tab w:leader="none" w:pos="127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 xml:space="preserve">Immediately upon any adjustment of the Series D Conversion Rate and Series D Conversion Price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w:t>
      </w:r>
      <w:r>
        <w:rPr>
          <w:rFonts w:ascii="Arial" w:cs="Arial" w:eastAsia="Arial" w:hAnsi="Arial"/>
          <w:sz w:val="17"/>
          <w:szCs w:val="17"/>
          <w:u w:val="single" w:color="auto"/>
          <w:color w:val="auto"/>
        </w:rPr>
        <w:t>Section 6.2.5</w:t>
      </w:r>
      <w:r>
        <w:rPr>
          <w:rFonts w:ascii="Arial" w:cs="Arial" w:eastAsia="Arial" w:hAnsi="Arial"/>
          <w:sz w:val="17"/>
          <w:szCs w:val="17"/>
          <w:color w:val="auto"/>
        </w:rPr>
        <w:t>.</w:t>
      </w:r>
    </w:p>
    <w:p>
      <w:pPr>
        <w:spacing w:after="0" w:line="171"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8.2.2.</w:t>
        <w:tab/>
        <w:t>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jc w:val="both"/>
        <w:ind w:left="1292" w:hanging="647"/>
        <w:spacing w:after="0" w:line="277" w:lineRule="auto"/>
        <w:tabs>
          <w:tab w:leader="none" w:pos="1272" w:val="left"/>
        </w:tabs>
        <w:rPr>
          <w:sz w:val="20"/>
          <w:szCs w:val="20"/>
          <w:color w:val="auto"/>
        </w:rPr>
      </w:pPr>
      <w:r>
        <w:rPr>
          <w:rFonts w:ascii="Arial" w:cs="Arial" w:eastAsia="Arial" w:hAnsi="Arial"/>
          <w:sz w:val="18"/>
          <w:szCs w:val="18"/>
          <w:color w:val="auto"/>
        </w:rPr>
        <w:t>8.2.3.</w:t>
        <w:tab/>
        <w:t>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32" w:hanging="332"/>
        <w:spacing w:after="0" w:line="277"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xml:space="preserve">. In the event any shares of Series D Convertible Preferred Stock shall be converted pursuant to </w:t>
      </w:r>
      <w:r>
        <w:rPr>
          <w:rFonts w:ascii="Arial" w:cs="Arial" w:eastAsia="Arial" w:hAnsi="Arial"/>
          <w:sz w:val="18"/>
          <w:szCs w:val="18"/>
          <w:u w:val="single" w:color="auto"/>
          <w:color w:val="auto"/>
        </w:rPr>
        <w:t>Sections 6 or 7</w:t>
      </w:r>
      <w:r>
        <w:rPr>
          <w:rFonts w:ascii="Arial" w:cs="Arial" w:eastAsia="Arial" w:hAnsi="Arial"/>
          <w:sz w:val="18"/>
          <w:szCs w:val="18"/>
          <w:color w:val="auto"/>
        </w:rPr>
        <w:t xml:space="preserve">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D Convertible Preferred Stock Certificates representing the Series D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D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D Convertible Preferred Stock into Common Stock.</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0" w:name="page21"/>
    <w:bookmarkEnd w:id="20"/>
    <w:p>
      <w:pPr>
        <w:jc w:val="both"/>
        <w:ind w:left="332" w:hanging="332"/>
        <w:spacing w:after="0" w:line="287" w:lineRule="auto"/>
        <w:tabs>
          <w:tab w:leader="none" w:pos="3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D Convertible Preferred Stock’s right to pursue actual damages for any failure by the Corporation to comply with the terms of this Certificate of Designation. The Corporation covenants to each holder of Series D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D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D Convertible Preferred Stock and that the remedy at law for any such breach may be inadequate. The Corporation therefore agrees that, in the event of any such breach or threatened breach, the holders of Series D Convertible Preferred Stock shall be entitled, in addition to all other available remedies, to an injunction restraining any breach, without the necessity of showing economic loss and without any bond or other security being required.</w:t>
      </w:r>
    </w:p>
    <w:p>
      <w:pPr>
        <w:spacing w:after="0" w:line="168" w:lineRule="exact"/>
        <w:rPr>
          <w:rFonts w:ascii="Arial" w:cs="Arial" w:eastAsia="Arial" w:hAnsi="Arial"/>
          <w:sz w:val="16"/>
          <w:szCs w:val="16"/>
          <w:color w:val="auto"/>
        </w:rPr>
      </w:pPr>
    </w:p>
    <w:p>
      <w:pPr>
        <w:jc w:val="both"/>
        <w:ind w:left="332" w:hanging="332"/>
        <w:spacing w:after="0" w:line="264"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Whenever notice or other communication is required to be given hereunder, unless otherwise provided herein, such notice shall be given in accordance with contact information provided by each Holder to the Corporation and set forth in the register for the Series D Convertible Preferred Stock maintained by the Corporation as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D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Transfer of Series D Convertible Preferred Stock</w:t>
      </w:r>
      <w:r>
        <w:rPr>
          <w:rFonts w:ascii="Arial" w:cs="Arial" w:eastAsia="Arial" w:hAnsi="Arial"/>
          <w:sz w:val="18"/>
          <w:szCs w:val="18"/>
          <w:color w:val="auto"/>
        </w:rPr>
        <w:t xml:space="preserve">. A Holder may assign some or all of the Series D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Series D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D Convertible Preferred Stock, in which the Corporation shall record the name, address and email address of the persons in whose name the Series D Convertible Preferred Stock have been issued, as well as the name, address and email address of each transferee. The Corporation may treat the person in whose name any Series D Convertible Preferred Stock is registered on the register as the owner and holder thereof for all purposes, notwithstanding any notice to the contrary, but in all events recognizing any properly made transfers.</w:t>
      </w:r>
    </w:p>
    <w:p>
      <w:pPr>
        <w:spacing w:after="0" w:line="193" w:lineRule="exact"/>
        <w:rPr>
          <w:rFonts w:ascii="Arial" w:cs="Arial" w:eastAsia="Arial" w:hAnsi="Arial"/>
          <w:sz w:val="18"/>
          <w:szCs w:val="18"/>
          <w:color w:val="auto"/>
        </w:rPr>
      </w:pPr>
    </w:p>
    <w:p>
      <w:pPr>
        <w:jc w:val="both"/>
        <w:ind w:left="332" w:hanging="332"/>
        <w:spacing w:after="0" w:line="297" w:lineRule="auto"/>
        <w:tabs>
          <w:tab w:leader="none" w:pos="3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D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1" w:name="page22"/>
    <w:bookmarkEnd w:id="21"/>
    <w:p>
      <w:pPr>
        <w:jc w:val="both"/>
        <w:ind w:left="332" w:hanging="332"/>
        <w:spacing w:after="0" w:line="264"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D Convertible Preferred Stock, such Series D Convertible Preferred Stock shall be subject to and be entitled to the benefit of the provisions set forth in the Amended and Restated Certificate of Incorporation of the Corporation with respect to preferred stock of the Corporation generally.</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D Convertible Preferred Stock set forth herein may be waived or amended on behalf of all holders of Series D Convertible Preferred Stock by the affirmative written consent or vote of the holders of at least 50 % of the shares of Series D Convertible Preferred Stock then outstanding.</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day of December,</w:t>
      </w: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D. Perlman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882"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undersigned hereby elects to convert the number of shares of Series D Convertible Preferred Stock, par value $0.01 per share (the “</w:t>
      </w:r>
      <w:r>
        <w:rPr>
          <w:rFonts w:ascii="Arial" w:cs="Arial" w:eastAsia="Arial" w:hAnsi="Arial"/>
          <w:sz w:val="18"/>
          <w:szCs w:val="18"/>
          <w:b w:val="1"/>
          <w:bCs w:val="1"/>
          <w:color w:val="auto"/>
        </w:rPr>
        <w:t>Series D Convertible Preferred Stock</w:t>
      </w:r>
      <w:r>
        <w:rPr>
          <w:rFonts w:ascii="Arial" w:cs="Arial" w:eastAsia="Arial" w:hAnsi="Arial"/>
          <w:sz w:val="18"/>
          <w:szCs w:val="18"/>
          <w:color w:val="auto"/>
        </w:rPr>
        <w:t>”), of Form Holdings Corp.,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D Convertible Preferred Stock to be converted:_________________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D Convertible Preferred Stock to be converted:_____________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D Conversion Price: 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issue the Common Stock into which the Series D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to:__________________________________________________</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__________________________________________________</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 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INDEPENDENT DIRECTOR'S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December 23, 2016, by and between FORM Holdings Corp., a Delaware corporation (hereinafter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 and Andrew R. Heyer (the "</w:t>
      </w: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desires to appoint the Director to perform the duties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 (within the meaning of the rules of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potentially in the future, on committees of the Board of Directors, and the Director desires to be so appointed for such position(s) and to perform the duties required of such position(s) in accordance with the terms and conditions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 has been elected by the holders of the Company’s Series D Preferred Stock, in accordance with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certificate of incorporation, as amended from time to time.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for the above recited premises and the mutual promises contained herein,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adequacy and sufficiency of which are hereby acknowledged, the Company and the Director hereby agree as follows:</w:t>
      </w:r>
    </w:p>
    <w:p>
      <w:pPr>
        <w:spacing w:after="0" w:line="138" w:lineRule="exact"/>
        <w:rPr>
          <w:sz w:val="20"/>
          <w:szCs w:val="20"/>
          <w:color w:val="auto"/>
        </w:rPr>
      </w:pPr>
    </w:p>
    <w:p>
      <w:pPr>
        <w:jc w:val="both"/>
        <w:ind w:firstLine="656"/>
        <w:spacing w:after="0" w:line="270" w:lineRule="auto"/>
        <w:tabs>
          <w:tab w:leader="none" w:pos="1143"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DUTIES</w:t>
      </w:r>
      <w:r>
        <w:rPr>
          <w:rFonts w:ascii="Arial" w:cs="Arial" w:eastAsia="Arial" w:hAnsi="Arial"/>
          <w:sz w:val="17"/>
          <w:szCs w:val="17"/>
          <w:color w:val="auto"/>
        </w:rPr>
        <w:t>. The Company requires that the Director be available to perform the duties customarily related to an independent director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and assigned by the Board of Directors and as may be required by the Company's constituent instruments, including its certificate of incorporation, by-laws and its corporate governance and board committee charters, each as amended or modified from time to time, and by applicable law, including, without limitation,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and the rules and regulations of the SEC, any exchange or quotation system on which the Company's securities may be traded from time to time and all other applicable legal or regulatory requirements. Initially, the Company and the Director have agreed that the Director will serve as a member of the Audit Committee and the Compensation Committee, effective immediately. The Director agrees to use commercially reasonable efforts to devote as much time as is necessary to perform the duties as an independent director in accordance with such Company requirements, including duties as a member of committees of the Board of Directors as the same may be established from time to time. The Director will use commercially reasonable efforts to attend meetings of the Board of Directors and its committees as the Director may be appointed to, in person or by teleconference. The Director will perform such duties described herein in accordance with the fiduciary duties of directors arising under the DGCL.</w:t>
      </w:r>
    </w:p>
    <w:p>
      <w:pPr>
        <w:spacing w:after="0" w:line="174" w:lineRule="exact"/>
        <w:rPr>
          <w:rFonts w:ascii="Arial" w:cs="Arial" w:eastAsia="Arial" w:hAnsi="Arial"/>
          <w:sz w:val="17"/>
          <w:szCs w:val="17"/>
          <w:b w:val="1"/>
          <w:bCs w:val="1"/>
          <w:color w:val="auto"/>
        </w:rPr>
      </w:pPr>
    </w:p>
    <w:p>
      <w:pPr>
        <w:jc w:val="both"/>
        <w:ind w:firstLine="656"/>
        <w:spacing w:after="0" w:line="277" w:lineRule="auto"/>
        <w:tabs>
          <w:tab w:leader="none" w:pos="124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term of this Agreement shall commence as of the date hereof and shall continue until the Director’s successor is elected and</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or until his earlier death, incapacity, removal or resignation. The Board of Directors or a designated committee thereof shall have the discretion to nominate or decline to nominate the Director for election at each annual or applicable special meeting of the Company's stockholders (subject to the provisions of the Company’s constituent documents, including the terms of the Company’s Series D Preferred Stock), and the failure to nominate the Director as, if and when such nominations are made shall be deemed a termination of this Agreement for purposes of Section 8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 w:name="page26"/>
    <w:bookmarkEnd w:id="25"/>
    <w:p>
      <w:pPr>
        <w:jc w:val="both"/>
        <w:ind w:left="-8" w:firstLine="656"/>
        <w:spacing w:after="0" w:line="256" w:lineRule="auto"/>
        <w:tabs>
          <w:tab w:leader="none" w:pos="123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Subject to the approvals by the Compensation Committee or the Board of Directors, for all duties and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the Director hereunder, the Director will be entitled to earn cash fees under guidelines and rules established by the Company from time to time for compensating non-employee directors for serving on, and attending meetings of, committees of its Board of Directors and the boards of directors of its subsidiaries. In addition to the cash fees described above, the Company may grant the Director options to purchase or restricted shares of the Company's common stock (collectively, the "</w:t>
      </w:r>
      <w:r>
        <w:rPr>
          <w:rFonts w:ascii="Arial" w:cs="Arial" w:eastAsia="Arial" w:hAnsi="Arial"/>
          <w:sz w:val="18"/>
          <w:szCs w:val="18"/>
          <w:b w:val="1"/>
          <w:bCs w:val="1"/>
          <w:color w:val="auto"/>
        </w:rPr>
        <w:t>Shares</w:t>
      </w:r>
      <w:r>
        <w:rPr>
          <w:rFonts w:ascii="Arial" w:cs="Arial" w:eastAsia="Arial" w:hAnsi="Arial"/>
          <w:sz w:val="18"/>
          <w:szCs w:val="18"/>
          <w:color w:val="auto"/>
        </w:rPr>
        <w:t>") under the Company's director compensation plans adopted from time to time. No registration rights are hereby granted with respect to the Shares.</w:t>
      </w:r>
    </w:p>
    <w:p>
      <w:pPr>
        <w:spacing w:after="0" w:line="187" w:lineRule="exact"/>
        <w:rPr>
          <w:rFonts w:ascii="Arial" w:cs="Arial" w:eastAsia="Arial" w:hAnsi="Arial"/>
          <w:sz w:val="18"/>
          <w:szCs w:val="18"/>
          <w:b w:val="1"/>
          <w:bCs w:val="1"/>
          <w:color w:val="auto"/>
        </w:rPr>
      </w:pPr>
    </w:p>
    <w:p>
      <w:pPr>
        <w:ind w:left="-8" w:firstLine="656"/>
        <w:spacing w:after="0" w:line="347" w:lineRule="auto"/>
        <w:tabs>
          <w:tab w:leader="none" w:pos="1449"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MARKET STAND-OFF AGREEMENT</w:t>
      </w:r>
      <w:r>
        <w:rPr>
          <w:rFonts w:ascii="Arial" w:cs="Arial" w:eastAsia="Arial" w:hAnsi="Arial"/>
          <w:sz w:val="16"/>
          <w:szCs w:val="16"/>
          <w:color w:val="auto"/>
        </w:rPr>
        <w:t>. Director agrees to be subject to Section [2.11] (“Market Stand-off” Agreement)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Rights Agreement, dated as of August 8, 2016, as amended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as if Director were an Investor thereunder.</w:t>
      </w:r>
    </w:p>
    <w:p>
      <w:pPr>
        <w:spacing w:after="0" w:line="116" w:lineRule="exact"/>
        <w:rPr>
          <w:rFonts w:ascii="Arial" w:cs="Arial" w:eastAsia="Arial" w:hAnsi="Arial"/>
          <w:sz w:val="16"/>
          <w:szCs w:val="16"/>
          <w:b w:val="1"/>
          <w:bCs w:val="1"/>
          <w:color w:val="auto"/>
        </w:rPr>
      </w:pPr>
    </w:p>
    <w:p>
      <w:pPr>
        <w:jc w:val="both"/>
        <w:ind w:left="-8" w:firstLine="656"/>
        <w:spacing w:after="0" w:line="303" w:lineRule="auto"/>
        <w:tabs>
          <w:tab w:leader="none" w:pos="124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In addition to the compensation provided in paragraph 3 hereof, the Company will reimburse the Director for pre-approved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business related expenses incurred in good faith in the performance of the Director's duties for the Company including attending meetings of the Board of Directors and its committees as the Director may be appointed to. Such payments shall be made by the Company upon submission by the Director of a signed statement itemizing the expenses incurred. Such statement shall be accompanied by sufficient documentary matter to support the expenditures.</w:t>
      </w:r>
    </w:p>
    <w:p>
      <w:pPr>
        <w:spacing w:after="0" w:line="151" w:lineRule="exact"/>
        <w:rPr>
          <w:rFonts w:ascii="Arial" w:cs="Arial" w:eastAsia="Arial" w:hAnsi="Arial"/>
          <w:sz w:val="16"/>
          <w:szCs w:val="16"/>
          <w:b w:val="1"/>
          <w:bCs w:val="1"/>
          <w:color w:val="auto"/>
        </w:rPr>
      </w:pPr>
    </w:p>
    <w:p>
      <w:pPr>
        <w:ind w:left="1152" w:hanging="504"/>
        <w:spacing w:after="0"/>
        <w:tabs>
          <w:tab w:leader="none" w:pos="11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w:t>
      </w:r>
    </w:p>
    <w:p>
      <w:pPr>
        <w:spacing w:after="0" w:line="225" w:lineRule="exact"/>
        <w:rPr>
          <w:sz w:val="20"/>
          <w:szCs w:val="20"/>
          <w:color w:val="auto"/>
        </w:rPr>
      </w:pPr>
    </w:p>
    <w:p>
      <w:pPr>
        <w:jc w:val="both"/>
        <w:ind w:left="-8" w:firstLine="656"/>
        <w:spacing w:after="0" w:line="283" w:lineRule="auto"/>
        <w:tabs>
          <w:tab w:leader="none" w:pos="1195"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CONFIDENTIAL INFORMATION AND INSIDER TRADING</w:t>
      </w:r>
      <w:r>
        <w:rPr>
          <w:rFonts w:ascii="Arial" w:cs="Arial" w:eastAsia="Arial" w:hAnsi="Arial"/>
          <w:sz w:val="16"/>
          <w:szCs w:val="16"/>
          <w:color w:val="auto"/>
        </w:rPr>
        <w:t>. The Company and the Director each acknowledge that, in order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intents and purposes of this Agreement to be accomplished, the Director shall necessarily be obtaining access to certain confidential information concerning the Company and its affairs, including, but not limited to, business methods, information systems, financial data and strategic plans which are unique assets of the Company (as further defined below,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and that the communication of such Confidential Information to third parties could irreparably injure the Company and its business. Accordingly, Director agrees that, during his association with the Company and thereafter, he will treat and safeguard as confidential and secret all Confidential Information received by him at any time and that, without the prior written consent of the Company, he will not disclose or reveal any of the Confidential Information to any third party whatsoever or use the same in any manner except in connection with the business of the Company and in any event in no way harmful to or competitive with the Company or its business. For purposes of this Agreement, "Confidential Information" means any information not generally known to the public or recognized as confidential according to standard industry practice, any trade secrets, know-how, development, manufacturing, marketing and distribution plans and information, inventions, formulas, methods or processes, whether or not patented or patentable, pricing policies and records of the Company (and such other information normally understood to be confidential or otherwise designated as such in writing by the Company), all of which Director expressly acknowledges and agrees shall be confidential and proprietary information belonging to the Company. Confidential Information will not include (i) information which was known to the Director or his agents prior to receipt from the Company; (ii) information which is or becomes generally known other than as a result of a breach of a duty of confidentiality by the Director;</w:t>
      </w:r>
    </w:p>
    <w:p>
      <w:pPr>
        <w:spacing w:after="0" w:line="6" w:lineRule="exact"/>
        <w:rPr>
          <w:rFonts w:ascii="Arial" w:cs="Arial" w:eastAsia="Arial" w:hAnsi="Arial"/>
          <w:sz w:val="16"/>
          <w:szCs w:val="16"/>
          <w:color w:val="auto"/>
        </w:rPr>
      </w:pPr>
    </w:p>
    <w:p>
      <w:pPr>
        <w:jc w:val="both"/>
        <w:ind w:left="-8" w:firstLine="8"/>
        <w:spacing w:after="0" w:line="271" w:lineRule="auto"/>
        <w:tabs>
          <w:tab w:leader="none" w:pos="3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information acquired by the Director or his agents from a third party who was not bound to an obligation of confidentiality; and (iv) disclosure required by applicable law. Upon termination of his association with the Company, Director shall return to the Company all Confidential Information, together with any copies thereof, or certify that he has destroyed all such documents and papers. Notwithstanding the redelivery and destruction obligations of this Section 6(a), the Director may retain one archival copy of the Confidential Information to comply with recordkeeping or regulatory requirements; provided, that such archival material shall remain subject to the confidentiality provisions of this Section 6(a).</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6" w:name="page27"/>
    <w:bookmarkEnd w:id="26"/>
    <w:p>
      <w:pPr>
        <w:jc w:val="both"/>
        <w:ind w:firstLine="648"/>
        <w:spacing w:after="0" w:line="270" w:lineRule="auto"/>
        <w:rPr>
          <w:sz w:val="20"/>
          <w:szCs w:val="20"/>
          <w:color w:val="auto"/>
        </w:rPr>
      </w:pPr>
      <w:r>
        <w:rPr>
          <w:rFonts w:ascii="Arial" w:cs="Arial" w:eastAsia="Arial" w:hAnsi="Arial"/>
          <w:sz w:val="17"/>
          <w:szCs w:val="17"/>
          <w:color w:val="auto"/>
        </w:rPr>
        <w:t>Furthermore, Director recognizes that the Company has received and in the future will receive confidential or proprietary information from third parties subject to a duty on the Company's part to maintain the confidentiality of such information and, in some cases, to use it only for certain limited purposes. Director agrees that Director owes the Company and such third parties, both during the term of Director’s association with the Company and thereafter, a duty to hold all such confidential or proprietary information in the strictest confidence and not to, except as is consistent with the Company's agreement with the third party, disclose it to any person or entity or use it for the benefit of anyone other than the Company or such third party, unless expressly authorized to act otherwise by an officer of the Company. In addition, Director acknowledges and agrees that Director may have access to "material non-public information" for purposes of the federal securities laws ("</w:t>
      </w:r>
      <w:r>
        <w:rPr>
          <w:rFonts w:ascii="Arial" w:cs="Arial" w:eastAsia="Arial" w:hAnsi="Arial"/>
          <w:sz w:val="17"/>
          <w:szCs w:val="17"/>
          <w:b w:val="1"/>
          <w:bCs w:val="1"/>
          <w:color w:val="auto"/>
        </w:rPr>
        <w:t>Insider Information</w:t>
      </w:r>
      <w:r>
        <w:rPr>
          <w:rFonts w:ascii="Arial" w:cs="Arial" w:eastAsia="Arial" w:hAnsi="Arial"/>
          <w:sz w:val="17"/>
          <w:szCs w:val="17"/>
          <w:color w:val="auto"/>
        </w:rPr>
        <w:t>") and that the Director will abide by all securities laws relating to the handling of and acting upon such Insider Information. Further, Director agrees to sign an acknowledgement certifying that Director has reviewed the Company's Insider Trading Manual and understands the policies and procedures contained therein and agrees to be bound by them.</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foregoing, the Director may disclose Confidential Information and other confidential information to his affiliates and his and their respective agents, partners, attorneys, accountants, and other advisors who are subject to confidentiality obligations with respect thereto.</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acknowledges and agrees that the Director generally may not be permitted to disclose to the Company any confidential information related to Director’s affiliates (including investment vehicles advised by Mistral Capital Management, LLC) and that the Director may recuse himself without explanation from any Board of Directors discussions in which such disclosures might otherwise be required.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obligations under this Section 6(a) shall terminate 12 months after he ceases to be a member of the Board of Directors.</w:t>
      </w:r>
    </w:p>
    <w:p>
      <w:pPr>
        <w:spacing w:after="0" w:line="221" w:lineRule="exact"/>
        <w:rPr>
          <w:sz w:val="20"/>
          <w:szCs w:val="20"/>
          <w:color w:val="auto"/>
        </w:rPr>
      </w:pPr>
    </w:p>
    <w:p>
      <w:pPr>
        <w:jc w:val="both"/>
        <w:ind w:firstLine="629"/>
        <w:spacing w:after="0" w:line="258" w:lineRule="auto"/>
        <w:tabs>
          <w:tab w:leader="none" w:pos="1173"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COVENANT AGAINST SOLICITATION. </w:t>
      </w:r>
      <w:r>
        <w:rPr>
          <w:rFonts w:ascii="Arial" w:cs="Arial" w:eastAsia="Arial" w:hAnsi="Arial"/>
          <w:sz w:val="18"/>
          <w:szCs w:val="18"/>
          <w:color w:val="auto"/>
        </w:rPr>
        <w:t>The Director agrees that during, and for twelve (12) months after, the period in which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is a director of the Company, Director shall not, directly or indirectly, either alone or in association with others, without the prior written approval of the Company, in any manner whatsoever, request, solicit, encourage or assist any employee, officer, director or consultant of or to the Company to terminate their relationship with the Company or any of its affiliates, or join with any of them before or after the termination by any of them of any such relationship in any direct or indirect capacity in any competing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29"/>
        <w:spacing w:after="0" w:line="255" w:lineRule="auto"/>
        <w:tabs>
          <w:tab w:leader="none" w:pos="114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DISPARAGING STATEMENTS</w:t>
      </w:r>
      <w:r>
        <w:rPr>
          <w:rFonts w:ascii="Arial" w:cs="Arial" w:eastAsia="Arial" w:hAnsi="Arial"/>
          <w:sz w:val="18"/>
          <w:szCs w:val="18"/>
          <w:color w:val="auto"/>
        </w:rPr>
        <w:t>. At all times during the period in which Director is a member of the Board of Directors, Director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verbally, in writing, electronically or otherwise: (i) make any derogatory or disparaging statements about the Company, any of its affiliates, any of their respective officers, directors, employees and agents, or any of the Company's current or past customers or employees, or (ii) make any public statement or perform or do any other act prejudicial or injurious to the reputation or goodwill of the Company or any of its affiliates or otherwise interfere with the business of the Company or any of its affiliates; provided, however, that nothing in this paragraph shall preclude the Director from complying with all obligations imposed by law or legal compulsion, and provided, further, however, that nothing in this paragraph shall be deemed applicable to any testimony given by Director in any legal or administrative proceedings.</w:t>
      </w:r>
    </w:p>
    <w:p>
      <w:pPr>
        <w:spacing w:after="0" w:line="193" w:lineRule="exact"/>
        <w:rPr>
          <w:sz w:val="20"/>
          <w:szCs w:val="20"/>
          <w:color w:val="auto"/>
        </w:rPr>
      </w:pPr>
    </w:p>
    <w:p>
      <w:pPr>
        <w:jc w:val="both"/>
        <w:ind w:firstLine="621"/>
        <w:spacing w:after="0" w:line="288" w:lineRule="auto"/>
        <w:rPr>
          <w:sz w:val="20"/>
          <w:szCs w:val="20"/>
          <w:color w:val="auto"/>
        </w:rPr>
      </w:pPr>
      <w:r>
        <w:rPr>
          <w:rFonts w:ascii="Arial" w:cs="Arial" w:eastAsia="Arial" w:hAnsi="Arial"/>
          <w:sz w:val="16"/>
          <w:szCs w:val="16"/>
          <w:color w:val="auto"/>
        </w:rPr>
        <w:t>At all times during the period in which Director is a director of the Board of Directors, the Company shall not (and shall cause its officers and directors not to) either verbally, in writing, electronically or otherwise: (i) make any derogatory or disparaging statements about the Director, any of his affiliates, any of their respective officers, directors, employees and agents, or any of the Director's or his affiliates’ current or past customers or employees, or</w:t>
      </w:r>
    </w:p>
    <w:p>
      <w:pPr>
        <w:jc w:val="both"/>
        <w:ind w:firstLine="8"/>
        <w:spacing w:after="0" w:line="295" w:lineRule="auto"/>
        <w:tabs>
          <w:tab w:leader="none" w:pos="2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any public statement or perform or do any other act prejudicial or injurious to the reputation or goodwill of the Director or any of his affiliates or otherwise interfere with the business of the Director or any of his affiliates; provided, however, that nothing in this paragraph shall preclude the Company (or its officers and directors) from complying with all obligations imposed by law or legal compulsion, and provided, further, however, that nothing in this paragraph shall be deemed applicable to any testimony given by the Company (or its officers and directors) in any legal or administrative proceedings.</w:t>
      </w:r>
    </w:p>
    <w:p>
      <w:pPr>
        <w:spacing w:after="0" w:line="157" w:lineRule="exact"/>
        <w:rPr>
          <w:rFonts w:ascii="Arial" w:cs="Arial" w:eastAsia="Arial" w:hAnsi="Arial"/>
          <w:sz w:val="16"/>
          <w:szCs w:val="16"/>
          <w:color w:val="auto"/>
        </w:rPr>
      </w:pPr>
    </w:p>
    <w:p>
      <w:pPr>
        <w:jc w:val="both"/>
        <w:ind w:firstLine="629"/>
        <w:spacing w:after="0" w:line="286" w:lineRule="auto"/>
        <w:tabs>
          <w:tab w:leader="none" w:pos="1335"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The Director and the Company each acknowledges and agrees that the covenants contained in this Section 6 are</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that valid consideration has been and will be received and that the agreements set forth herein are the result of arms-length negotiations between the parties hereto. The Director and the Company each recognizes that the provisions of this Section 6 are vitally important to the continuing welfare of the other and his/its affiliates, and that any violation of this Section 6 could result in irreparable harm to the Company and its affiliates or the Director and its affiliates, respectively, for which money damages would constitute a totally inadequate remedy. Accordingly, in the event of any such violation by the Director or the Company, in addition to any other remedies they may have, the Company and its affiliates or the Director and its affiliates, respectively, shall have the right to institute and maintain a proceeding to compel specific performance thereof or to obtain an injunction or other equitable relief restraining any action by the Director or the Company, respectively, in violation of this Section 6 without posting any bond therefor or demonstrating actual damages, and Director or the Company, respectively, will not claim as a defense thereto that the Company or the Director, respectively, has an adequate remedy at law or require the posting of a bond. If any of the restrictions or activities contained in this Section 6 shall for any reason be held by a court of competent jurisdiction to be excessively broad as to duration, geographical scope, activity or subject, such restrictions shall be construed so as thereafter to be limited or reduced to be enforceable to the extent compatible with the applicable law; it being understood that by the execution of this Agreement the parties hereto regard such restrictions as reasonable and compatible with their respective rights. Director and the Company each acknowledges that injunctive relief may be granted immediately upon the commencement of any such action without notice to the other party and in addition that the other party may recover monetary damages.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29"/>
        <w:spacing w:after="0" w:line="266" w:lineRule="auto"/>
        <w:tabs>
          <w:tab w:leader="none" w:pos="127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SEPARATE AGREEMENT. </w:t>
      </w:r>
      <w:r>
        <w:rPr>
          <w:rFonts w:ascii="Arial" w:cs="Arial" w:eastAsia="Arial" w:hAnsi="Arial"/>
          <w:sz w:val="18"/>
          <w:szCs w:val="18"/>
          <w:color w:val="auto"/>
        </w:rPr>
        <w:t>The parties hereto further agree that the provisions of Section 6 are separate from and independent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this Agreement and that Section 6 is specifically enforceable by each party notwithstanding any claim made by one party against the other. The terms of this Section 6 shall survive termination of this Agreement in accordance with its terms.</w:t>
      </w:r>
    </w:p>
    <w:p>
      <w:pPr>
        <w:spacing w:after="0" w:line="176" w:lineRule="exact"/>
        <w:rPr>
          <w:sz w:val="20"/>
          <w:szCs w:val="20"/>
          <w:color w:val="auto"/>
        </w:rPr>
      </w:pPr>
    </w:p>
    <w:p>
      <w:pPr>
        <w:ind w:firstLine="656"/>
        <w:spacing w:after="0" w:line="282" w:lineRule="auto"/>
        <w:tabs>
          <w:tab w:leader="none" w:pos="118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MATERIAL CHANGE IN FINANCIAL CONDITION OF THE COMPANY</w:t>
      </w:r>
      <w:r>
        <w:rPr>
          <w:rFonts w:ascii="Arial" w:cs="Arial" w:eastAsia="Arial" w:hAnsi="Arial"/>
          <w:sz w:val="18"/>
          <w:szCs w:val="18"/>
          <w:color w:val="auto"/>
        </w:rPr>
        <w:t>. The Company shall endeavor to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in writing, at the earliest practicable time, of any material adverse change in the financial condition of the Company.</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181"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With or without cause, Director may terminate this Agreement and Director's director position with the Company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upon written notice to the Company. In such event, the Company shall be obligated to pay to the Director the compensation and expenses incurred in accordance with this Agreement due up to the date of the termination.</w:t>
      </w:r>
    </w:p>
    <w:p>
      <w:pPr>
        <w:spacing w:after="0" w:line="18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Nothing contained herein or omitted herefrom shall prevent the stockholders of the Company from removing Director with immediate effect at any time for any reason or voting for or against the nomination of Director to serve as such at any annual or special meeting of the Company's stockholders.</w:t>
      </w:r>
    </w:p>
    <w:p>
      <w:pPr>
        <w:spacing w:after="0" w:line="120" w:lineRule="exact"/>
        <w:rPr>
          <w:sz w:val="20"/>
          <w:szCs w:val="20"/>
          <w:color w:val="auto"/>
        </w:rPr>
      </w:pPr>
    </w:p>
    <w:p>
      <w:pPr>
        <w:jc w:val="both"/>
        <w:ind w:firstLine="656"/>
        <w:spacing w:after="0" w:line="272" w:lineRule="auto"/>
        <w:tabs>
          <w:tab w:leader="none" w:pos="1191"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INSURANCE</w:t>
      </w:r>
      <w:r>
        <w:rPr>
          <w:rFonts w:ascii="Arial" w:cs="Arial" w:eastAsia="Arial" w:hAnsi="Arial"/>
          <w:sz w:val="17"/>
          <w:szCs w:val="17"/>
          <w:color w:val="auto"/>
        </w:rPr>
        <w:t>. The Company shall indemnify, defend and hold harmless the Director, to the full extent allowed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law of the State of Delaware, and as provided by, or granted pursuant to the Company's Certificate of Incorporation (as amended and/or restated from time to time) (the "</w:t>
      </w:r>
      <w:r>
        <w:rPr>
          <w:rFonts w:ascii="Arial" w:cs="Arial" w:eastAsia="Arial" w:hAnsi="Arial"/>
          <w:sz w:val="17"/>
          <w:szCs w:val="17"/>
          <w:b w:val="1"/>
          <w:bCs w:val="1"/>
          <w:color w:val="auto"/>
        </w:rPr>
        <w:t>COI</w:t>
      </w:r>
      <w:r>
        <w:rPr>
          <w:rFonts w:ascii="Arial" w:cs="Arial" w:eastAsia="Arial" w:hAnsi="Arial"/>
          <w:sz w:val="17"/>
          <w:szCs w:val="17"/>
          <w:color w:val="auto"/>
        </w:rPr>
        <w:t>"), By-laws (as amended and/or restated from time to time) (the "</w:t>
      </w:r>
      <w:r>
        <w:rPr>
          <w:rFonts w:ascii="Arial" w:cs="Arial" w:eastAsia="Arial" w:hAnsi="Arial"/>
          <w:sz w:val="17"/>
          <w:szCs w:val="17"/>
          <w:b w:val="1"/>
          <w:bCs w:val="1"/>
          <w:color w:val="auto"/>
        </w:rPr>
        <w:t>By-Laws</w:t>
      </w:r>
      <w:r>
        <w:rPr>
          <w:rFonts w:ascii="Arial" w:cs="Arial" w:eastAsia="Arial" w:hAnsi="Arial"/>
          <w:sz w:val="17"/>
          <w:szCs w:val="17"/>
          <w:color w:val="auto"/>
        </w:rPr>
        <w:t xml:space="preserve">"), or any agreement, vote of stockholders or disinterested directors or otherwise, both as to action in the Director's official capacity and as to action in another capacity relating to the Company's business while holding such office except for matters arising out of the Director's gross negligence or willful misconduct. Such indemnification shall cover payment for or reimbursement of expenses (including legal fees and expenses) to the fullest extent provided for in the COI and the By-Laws. The Company shall also enter into the form of indemnification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Company’s compliance with the following insurance provision shall not relieve the Company from liability under this indemnity provision.</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shall have and maintain at its sole cost and expense throughout the term of this Agreement and for six (6) years thereafter, directors’ and officers’ insurance from a recognized insurance company for the benefit of all of its directors and executive officers.</w:t>
      </w:r>
    </w:p>
    <w:p>
      <w:pPr>
        <w:spacing w:after="0" w:line="166" w:lineRule="exact"/>
        <w:rPr>
          <w:sz w:val="20"/>
          <w:szCs w:val="20"/>
          <w:color w:val="auto"/>
        </w:rPr>
      </w:pPr>
    </w:p>
    <w:p>
      <w:pPr>
        <w:jc w:val="both"/>
        <w:ind w:firstLine="656"/>
        <w:spacing w:after="0" w:line="258" w:lineRule="auto"/>
        <w:tabs>
          <w:tab w:leader="none" w:pos="1307"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w:t>
      </w:r>
      <w:r>
        <w:rPr>
          <w:rFonts w:ascii="Arial" w:cs="Arial" w:eastAsia="Arial" w:hAnsi="Arial"/>
          <w:sz w:val="18"/>
          <w:szCs w:val="18"/>
          <w:color w:val="auto"/>
        </w:rPr>
        <w:t>. No provision of this Agreement may be waived or amended except in a written instrument signed,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an amendment, by the Company and the Director or, in the case of a waiver, by the party against whom enforcement of any such waiver is sought. No waiver of any breach with respect to any provision, condition or requirement of this Agreement shall be deemed to be a continuing waiver in the future or a waiver of any subsequent breach or a waiver of any other provision, condition or requirement hereof, nor shall any delay or omission of either party to exercise any right hereunder in any manner impair the exercise of any such right.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firstLine="656"/>
        <w:spacing w:after="0" w:line="293" w:lineRule="auto"/>
        <w:tabs>
          <w:tab w:leader="none" w:pos="1223"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Any notices, consents, waivers or other communications required or permitted to be given under the terms of this Agreement must</w:t>
      </w:r>
      <w:r>
        <w:rPr>
          <w:rFonts w:ascii="Arial" w:cs="Arial" w:eastAsia="Arial" w:hAnsi="Arial"/>
          <w:sz w:val="16"/>
          <w:szCs w:val="16"/>
          <w:b w:val="1"/>
          <w:bCs w:val="1"/>
          <w:color w:val="auto"/>
        </w:rPr>
        <w:t xml:space="preserve"> </w:t>
      </w:r>
      <w:r>
        <w:rPr>
          <w:rFonts w:ascii="Arial" w:cs="Arial" w:eastAsia="Arial" w:hAnsi="Arial"/>
          <w:sz w:val="16"/>
          <w:szCs w:val="16"/>
          <w:color w:val="auto"/>
        </w:rPr>
        <w:t>be in writing and will be deemed to have been delivered: (i) upon receipt, when delivered personally; (ii) within 24 hours, when sent by electronic mail; or</w:t>
      </w:r>
    </w:p>
    <w:p>
      <w:pPr>
        <w:spacing w:after="0" w:line="1" w:lineRule="exact"/>
        <w:rPr>
          <w:rFonts w:ascii="Arial" w:cs="Arial" w:eastAsia="Arial" w:hAnsi="Arial"/>
          <w:sz w:val="16"/>
          <w:szCs w:val="16"/>
          <w:b w:val="1"/>
          <w:bCs w:val="1"/>
          <w:color w:val="auto"/>
        </w:rPr>
      </w:pPr>
    </w:p>
    <w:p>
      <w:pPr>
        <w:ind w:firstLine="8"/>
        <w:spacing w:after="0" w:line="261" w:lineRule="auto"/>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 (1) business day after deposit with an overnight courier service with next day delivery specified, in each case, properly addressed to the party to receive the same. The addresses and facsimile numbers for such communications shall be:</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If to the Company:</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46" w:lineRule="exact"/>
        <w:rPr>
          <w:sz w:val="20"/>
          <w:szCs w:val="20"/>
          <w:color w:val="auto"/>
        </w:rPr>
      </w:pPr>
    </w:p>
    <w:p>
      <w:pPr>
        <w:sectPr>
          <w:pgSz w:w="11900" w:h="16838" w:orient="portrait"/>
          <w:cols w:equalWidth="0" w:num="2">
            <w:col w:w="2160" w:space="720"/>
            <w:col w:w="8540"/>
          </w:cols>
          <w:pgMar w:left="240" w:top="904"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Address: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780 Third Avenue, 15</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APerlman@formholdings.com</w:t>
      </w:r>
    </w:p>
    <w:p>
      <w:pPr>
        <w:spacing w:after="0" w:line="208" w:lineRule="exact"/>
        <w:rPr>
          <w:sz w:val="20"/>
          <w:szCs w:val="20"/>
          <w:color w:val="auto"/>
        </w:rPr>
      </w:pPr>
    </w:p>
    <w:p>
      <w:pPr>
        <w:sectPr>
          <w:pgSz w:w="11900" w:h="16838" w:orient="portrait"/>
          <w:cols w:equalWidth="0" w:num="2">
            <w:col w:w="2160" w:space="720"/>
            <w:col w:w="8540"/>
          </w:cols>
          <w:pgMar w:left="240" w:top="904" w:right="239" w:bottom="1440" w:gutter="0" w:footer="0" w:header="0"/>
          <w:type w:val="continuous"/>
        </w:sectPr>
      </w:pPr>
    </w:p>
    <w:p>
      <w:pPr>
        <w:spacing w:after="0" w:line="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160"/>
        <w:spacing w:after="0"/>
        <w:tabs>
          <w:tab w:leader="none" w:pos="2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Kenneth R. Koch, Esq.</w:t>
      </w:r>
    </w:p>
    <w:p>
      <w:pPr>
        <w:spacing w:after="0" w:line="9" w:lineRule="exact"/>
        <w:rPr>
          <w:sz w:val="20"/>
          <w:szCs w:val="20"/>
          <w:color w:val="auto"/>
        </w:rPr>
      </w:pPr>
    </w:p>
    <w:p>
      <w:pPr>
        <w:ind w:left="1160"/>
        <w:spacing w:after="0"/>
        <w:tabs>
          <w:tab w:leader="none" w:pos="28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666 Third Avenue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160"/>
        <w:spacing w:after="0"/>
        <w:tabs>
          <w:tab w:leader="none" w:pos="28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krkoch@mintz.com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If to the Director, to him at the address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or to such other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computer containing the time and date or (C) provided by an overnight courier service, shall be rebuttable evidence of personal service, receipt by electronic mail or receipt from an overnight courier service in accordance with clause (i),</w:t>
      </w:r>
    </w:p>
    <w:p>
      <w:pPr>
        <w:spacing w:after="0" w:line="2"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 (iii) above, respectively.</w:t>
      </w:r>
    </w:p>
    <w:p>
      <w:pPr>
        <w:spacing w:after="0" w:line="206" w:lineRule="exact"/>
        <w:rPr>
          <w:rFonts w:ascii="Arial" w:cs="Arial" w:eastAsia="Arial" w:hAnsi="Arial"/>
          <w:sz w:val="18"/>
          <w:szCs w:val="18"/>
          <w:color w:val="auto"/>
        </w:rPr>
      </w:pPr>
    </w:p>
    <w:p>
      <w:pPr>
        <w:jc w:val="both"/>
        <w:ind w:firstLine="656"/>
        <w:spacing w:after="0" w:line="292" w:lineRule="auto"/>
        <w:tabs>
          <w:tab w:leader="none" w:pos="1355" w:val="left"/>
        </w:tabs>
        <w:numPr>
          <w:ilvl w:val="1"/>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AND DISPUTE RESOLUTION</w:t>
      </w:r>
      <w:r>
        <w:rPr>
          <w:rFonts w:ascii="Arial" w:cs="Arial" w:eastAsia="Arial" w:hAnsi="Arial"/>
          <w:sz w:val="16"/>
          <w:szCs w:val="16"/>
          <w:color w:val="auto"/>
        </w:rPr>
        <w:t>. This Agreement shall be interpreted in accordance with, and the rights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shall be determined by the laws of Delaware without reference to its conflicts of laws principles. Should a dispute arise between the parties under or relating to this Agreement, each party agrees that prior to initiating any formal proceeding against the other (except when injunctive relief is appropriate), the parties will each designate a representative for purposes of resolving the dispute. If the parties' representatives are unable to resolve the dispute within 14 business days, the dispute shall be settled by mediation and then, if necessary, by arbitration under the then-current commercial arbitration rules of the American Arbitration Association. The location of the proceeding shall be in New York, NY. The award in any such arbitration shall be final, binding, conclusive and not appealable. Judgment upon any award rendered by the arbitrator may be entered by any court having jurisdiction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0" w:name="page31"/>
    <w:bookmarkEnd w:id="30"/>
    <w:p>
      <w:pPr>
        <w:jc w:val="both"/>
        <w:ind w:left="-20" w:firstLine="656"/>
        <w:spacing w:after="0" w:line="314" w:lineRule="auto"/>
        <w:tabs>
          <w:tab w:leader="none" w:pos="123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w:t>
      </w:r>
      <w:r>
        <w:rPr>
          <w:rFonts w:ascii="Arial" w:cs="Arial" w:eastAsia="Arial" w:hAnsi="Arial"/>
          <w:sz w:val="16"/>
          <w:szCs w:val="16"/>
          <w:color w:val="auto"/>
        </w:rPr>
        <w:t>. The rights and benefits of the Company under this Agreement shall be transferable, and all the covenants and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shall inure to the benefit of, and be enforceable by or against, its successors and assigns. The duties and obligations of the Director under this Agreement are personal and therefore the Director may not assign any right or duty under this Agreement without the prior written consent of the Company.</w:t>
      </w:r>
    </w:p>
    <w:p>
      <w:pPr>
        <w:spacing w:after="0" w:line="142" w:lineRule="exact"/>
        <w:rPr>
          <w:rFonts w:ascii="Arial" w:cs="Arial" w:eastAsia="Arial" w:hAnsi="Arial"/>
          <w:sz w:val="16"/>
          <w:szCs w:val="16"/>
          <w:b w:val="1"/>
          <w:bCs w:val="1"/>
          <w:color w:val="auto"/>
        </w:rPr>
      </w:pPr>
    </w:p>
    <w:p>
      <w:pPr>
        <w:jc w:val="both"/>
        <w:ind w:left="-20" w:firstLine="656"/>
        <w:spacing w:after="0" w:line="266" w:lineRule="auto"/>
        <w:tabs>
          <w:tab w:leader="none" w:pos="1209"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shall be declared invalid or illegal, for any reason whatsoever, then, 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invalidity or illegality, the remaining terms and provisions of the this Agreement shall remain in full force and effect in the same manner as if the invalid or illegal provision had not been contained herein.</w:t>
      </w:r>
    </w:p>
    <w:p>
      <w:pPr>
        <w:spacing w:after="0" w:line="176" w:lineRule="exact"/>
        <w:rPr>
          <w:rFonts w:ascii="Arial" w:cs="Arial" w:eastAsia="Arial" w:hAnsi="Arial"/>
          <w:sz w:val="18"/>
          <w:szCs w:val="18"/>
          <w:b w:val="1"/>
          <w:bCs w:val="1"/>
          <w:color w:val="auto"/>
        </w:rPr>
      </w:pPr>
    </w:p>
    <w:p>
      <w:pPr>
        <w:jc w:val="both"/>
        <w:ind w:left="-20" w:firstLine="656"/>
        <w:spacing w:after="0" w:line="266" w:lineRule="auto"/>
        <w:tabs>
          <w:tab w:leader="none" w:pos="119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HEADINGS; CONSTRUCTION</w:t>
      </w:r>
      <w:r>
        <w:rPr>
          <w:rFonts w:ascii="Arial" w:cs="Arial" w:eastAsia="Arial" w:hAnsi="Arial"/>
          <w:sz w:val="18"/>
          <w:szCs w:val="18"/>
          <w:color w:val="auto"/>
        </w:rPr>
        <w:t>. The section headings contained in this Agreement are for reference purposes only and shall not affect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the meaning or interpretation of this Agreement. The language used in this Agreement will be deemed to be the language chosen by the parties to express their mutual intent, and no rules of strict construction will be applied against any party.</w:t>
      </w:r>
    </w:p>
    <w:p>
      <w:pPr>
        <w:spacing w:after="0" w:line="176" w:lineRule="exact"/>
        <w:rPr>
          <w:rFonts w:ascii="Arial" w:cs="Arial" w:eastAsia="Arial" w:hAnsi="Arial"/>
          <w:sz w:val="18"/>
          <w:szCs w:val="18"/>
          <w:b w:val="1"/>
          <w:bCs w:val="1"/>
          <w:color w:val="auto"/>
        </w:rPr>
      </w:pPr>
    </w:p>
    <w:p>
      <w:pPr>
        <w:ind w:left="-20" w:firstLine="656"/>
        <w:spacing w:after="0" w:line="282" w:lineRule="auto"/>
        <w:tabs>
          <w:tab w:leader="none" w:pos="1168"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 THIRD-PARTY BENEFICIARIES</w:t>
      </w:r>
      <w:r>
        <w:rPr>
          <w:rFonts w:ascii="Arial" w:cs="Arial" w:eastAsia="Arial" w:hAnsi="Arial"/>
          <w:sz w:val="18"/>
          <w:szCs w:val="18"/>
          <w:color w:val="auto"/>
        </w:rPr>
        <w:t>. This Agreement is intended for the benefit of the parties hereto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is not for the benefit of, nor may any provision hereof be enforced by, any other person or entity.</w:t>
      </w:r>
    </w:p>
    <w:p>
      <w:pPr>
        <w:spacing w:after="0" w:line="161" w:lineRule="exact"/>
        <w:rPr>
          <w:rFonts w:ascii="Arial" w:cs="Arial" w:eastAsia="Arial" w:hAnsi="Arial"/>
          <w:sz w:val="18"/>
          <w:szCs w:val="18"/>
          <w:b w:val="1"/>
          <w:bCs w:val="1"/>
          <w:color w:val="auto"/>
        </w:rPr>
      </w:pPr>
    </w:p>
    <w:p>
      <w:pPr>
        <w:ind w:left="-20" w:firstLine="656"/>
        <w:spacing w:after="0" w:line="282" w:lineRule="auto"/>
        <w:tabs>
          <w:tab w:leader="none" w:pos="130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may withhold from any and all amounts payable under this Agreement such federal, state, local and</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taxes as may be required to be withheld pursuant to any applicable law or regulation.</w:t>
      </w:r>
    </w:p>
    <w:p>
      <w:pPr>
        <w:spacing w:after="0" w:line="161" w:lineRule="exact"/>
        <w:rPr>
          <w:rFonts w:ascii="Arial" w:cs="Arial" w:eastAsia="Arial" w:hAnsi="Arial"/>
          <w:sz w:val="18"/>
          <w:szCs w:val="18"/>
          <w:b w:val="1"/>
          <w:bCs w:val="1"/>
          <w:color w:val="auto"/>
        </w:rPr>
      </w:pPr>
    </w:p>
    <w:p>
      <w:pPr>
        <w:jc w:val="both"/>
        <w:ind w:left="-20" w:firstLine="656"/>
        <w:spacing w:after="0" w:line="261" w:lineRule="auto"/>
        <w:tabs>
          <w:tab w:leader="none" w:pos="138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Subject to the provisions of the DGCL and the Company's certificates of incorporation and bylaws,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exhibits hereto set forth the entire agreement of the parties with respect to its subject matter and supersedes all prior agreements, promises, covenants, arrangements, communications, representations or warranties, whether oral or written, by any officer, employee or representative of any party to this Agreement with respect to such subject matter.</w:t>
      </w:r>
    </w:p>
    <w:p>
      <w:pPr>
        <w:spacing w:after="0" w:line="180" w:lineRule="exact"/>
        <w:rPr>
          <w:rFonts w:ascii="Arial" w:cs="Arial" w:eastAsia="Arial" w:hAnsi="Arial"/>
          <w:sz w:val="18"/>
          <w:szCs w:val="18"/>
          <w:b w:val="1"/>
          <w:bCs w:val="1"/>
          <w:color w:val="auto"/>
        </w:rPr>
      </w:pPr>
    </w:p>
    <w:p>
      <w:pPr>
        <w:jc w:val="both"/>
        <w:ind w:left="-20" w:firstLine="656"/>
        <w:spacing w:after="0" w:line="256" w:lineRule="auto"/>
        <w:tabs>
          <w:tab w:leader="none" w:pos="126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all of which shall be considered one and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Execution and delivery of this Agreement by facsimile or other electronic signature is legal, valid and binding for all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1" w:name="page32"/>
    <w:bookmarkEnd w:id="31"/>
    <w:p>
      <w:pPr>
        <w:jc w:val="both"/>
        <w:ind w:left="-20" w:firstLine="656"/>
        <w:spacing w:after="0" w:line="270" w:lineRule="auto"/>
        <w:tabs>
          <w:tab w:leader="none" w:pos="12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ACKNOWLEDGMENT</w:t>
      </w:r>
      <w:r>
        <w:rPr>
          <w:rFonts w:ascii="Arial" w:cs="Arial" w:eastAsia="Arial" w:hAnsi="Arial"/>
          <w:sz w:val="17"/>
          <w:szCs w:val="17"/>
          <w:color w:val="auto"/>
        </w:rPr>
        <w:t>. The Company acknowledges that the Director and his affiliates are in the business of venture capital, growth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equity, and private equity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Director or any of his affiliates from investing or participating in any particular enterprise whether or not such enterprise has products or services which compete with those of the Company. The Company also hereby agrees that, to the extent permitted under applicable law, the Director and his affiliates shall not be liable to the Company for any claim arising out of, or based upon, (i) the investment by such Investor in any entity competitive with the Company, or (ii) actions taken by any partner, officer or other representative of the Director or any of his affiliates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relieve (x) the Director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i w:val="1"/>
          <w:iCs w:val="1"/>
          <w:color w:val="auto"/>
        </w:rPr>
        <w:t>Signature Page to Independent Director's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duly executed and delivered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267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R. Heyer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EXHIBIT A: INDEMNIFICATION AGREEMENT</w:t>
      </w:r>
    </w:p>
    <w:p>
      <w:pPr>
        <w:sectPr>
          <w:pgSz w:w="11900" w:h="16838" w:orient="portrait"/>
          <w:cols w:equalWidth="0" w:num="1">
            <w:col w:w="9019"/>
          </w:cols>
          <w:pgMar w:left="1440" w:top="1121" w:right="1440"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attached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type w:val="continuous"/>
        </w:sectPr>
      </w:pPr>
    </w:p>
    <w:bookmarkStart w:id="34" w:name="page35"/>
    <w:bookmarkEnd w:id="34"/>
    <w:p>
      <w:pPr>
        <w:jc w:val="right"/>
        <w:ind w:right="2979"/>
        <w:spacing w:after="0"/>
        <w:rPr>
          <w:sz w:val="20"/>
          <w:szCs w:val="20"/>
          <w:color w:val="auto"/>
        </w:rPr>
      </w:pPr>
      <w:r>
        <w:rPr>
          <w:rFonts w:ascii="Arial" w:cs="Arial" w:eastAsia="Arial" w:hAnsi="Arial"/>
          <w:sz w:val="18"/>
          <w:szCs w:val="18"/>
          <w:b w:val="1"/>
          <w:bCs w:val="1"/>
          <w:color w:val="auto"/>
        </w:rPr>
        <w:t>EXHIBIT B: DIRECTOR'S ADDRESS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Andrew R. Heyer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aheyer@mistralequity.com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effective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Sidney Burke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sidney.burke@dlapiper.com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21"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ANNOUNCES CLOSING OF XPRESSPA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 December 23, 2016 – FORM Holdings Corp. (NASDAQ: FH), a diversified holding company focused on acquiring, investing in and developing small to mid-market businesses, today announced the closing of its acquisition of XpresSpa Holdings LLC (“XpresSpa”). XpresSpa is now a wholly-owned subsidiary of FORM Holdings Corp.</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8, 2016, FORM Holdings entered into a definitive agreement to acquire 100% of XpresSpa. On November 28, 2016, FORM Holdings' stockholders approved the acquisition, and, on December 23, 2016, the transaction closed.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excited to call XpresSpa a FORM Holdings company," said Andrew Perlman, FORM’s Chief Executive Officer. "Since announcing the agreement to acquire XpresSpa in August, the company’s store level performance has outperformed all of our expectations. I look forward to working closely with Ed Jankowski and the XpresSpa team, and am delighted to welcome Andrew Heyer to our board of directors. Our management team and board of directors continue to feel strongly that this is a transformative acquisition for our company. We look forward to updating the market on recent developments at XpresSpa as well as our expectations and vision for 2017 and beyond," Mr. Perlman continued.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I joined XpresSpa in June of this year, the company has been focused on a variety of initiatives to build value and strengthen the XpresSpa brand," said Ed Jankowski, XpresSpa's Chief Executive Officer. "This transaction will help accelerate our growth, and we are very happy to be a part of the FORM Holdings family," Mr. Jankowski continued.</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"Having been a part of many innovative retail companies and concepts, both inside and outside of the airport, I can say that I am particularly excited about this transaction," said Andrew Heyer, Chief Executive Officer of Mistral Equity Partners, and now, also a director of FORM Holdings. "I look forward to being a significant shareholder of FORM Holdings and working with the team as a board member." Mr. Heyer continued.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Holdings will issue a comprehensive business update early in the first quarter of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FORM Holdings Corp. (NASDAQ: FH) is a publicly held diversified holding company that specializes in identifying, investing in and developing companies with superior growth potential. FORM's current holdings include Group Mobile, FLI Charge, Infomedia and intellectual property assets.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7"/>
          <w:szCs w:val="17"/>
          <w:u w:val="single" w:color="auto"/>
          <w:color w:val="auto"/>
        </w:rPr>
        <w:t>www.FormHoldings.com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About XpresSpa</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is the industry-leading luxury travel spa business, serving almost one million air travelers each year at its 51 stores worldwide as of December 23, 2016. XpresSpa offers travelers premium spa services, including massages, reflexology, stress and tension release, manicures, pedicures, facials and waxing. Its Xpress nail, massage and hair blow-out services are designed specifically for the busy traveling customer, with treatments completed in 30 minutes or less. In stores and online, XpresSpa also offers exclusive luxury travel products and accessories, including travel pillows, blankets, massagers, and personal, hair, nail and bath and body products. XpresSpa has over 750 employees, including talented teams of professionally licensed massage therapists, cosmetologists and nail technicians who are committed to providing exceptional customer experiences.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potential value created by the merger for FORM's stockholders and XpresSpa's equity holders; the potential of FORM's business after completion of the merger; XpresSpa's projected revenue, the ability to raise capital to fund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inability to realize the potential value created by the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3"/>
    </w:lvl>
  </w:abstractNum>
  <w:abstractNum w:abstractNumId="3">
    <w:nsid w:val="519B500D"/>
    <w:multiLevelType w:val="hybridMultilevel"/>
    <w:lvl w:ilvl="0">
      <w:lvlJc w:val="left"/>
      <w:lvlText w:val="(%1)"/>
      <w:numFmt w:val="lowerLetter"/>
      <w:start w:val="4"/>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upperLetter"/>
      <w:start w:val="2"/>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1."/>
      <w:numFmt w:val="decimal"/>
      <w:start w:val="17"/>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lowerLetter"/>
      <w:start w:val="1"/>
    </w:lvl>
    <w:lvl w:ilvl="1">
      <w:lvlJc w:val="left"/>
      <w:lvlText w:val="(%2)"/>
      <w:numFmt w:val="lowerLetter"/>
      <w:start w:val="1"/>
    </w:lvl>
  </w:abstractNum>
  <w:abstractNum w:abstractNumId="18">
    <w:nsid w:val="79838CB2"/>
    <w:multiLevelType w:val="hybridMultilevel"/>
    <w:lvl w:ilvl="0">
      <w:lvlJc w:val="left"/>
      <w:lvlText w:val="(%1)"/>
      <w:numFmt w:val="lowerLetter"/>
      <w:start w:val="61"/>
    </w:lvl>
    <w:lvl w:ilvl="1">
      <w:lvlJc w:val="left"/>
      <w:lvlText w:val="%2"/>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3"/>
    </w:lvl>
  </w:abstractNum>
  <w:abstractNum w:abstractNumId="21">
    <w:nsid w:val="189A769B"/>
    <w:multiLevelType w:val="hybridMultilevel"/>
    <w:lvl w:ilvl="0">
      <w:lvlJc w:val="left"/>
      <w:lvlText w:val="(%1)"/>
      <w:numFmt w:val="lowerLetter"/>
      <w:start w:val="35"/>
    </w:lvl>
    <w:lvl w:ilvl="1">
      <w:lvlJc w:val="left"/>
      <w:lvlText w:val="(%2)"/>
      <w:numFmt w:val="lowerLetter"/>
      <w:start w:val="4"/>
    </w:lvl>
  </w:abstractNum>
  <w:abstractNum w:abstractNumId="22">
    <w:nsid w:val="54E49EB4"/>
    <w:multiLevelType w:val="hybridMultilevel"/>
    <w:lvl w:ilvl="0">
      <w:lvlJc w:val="left"/>
      <w:lvlText w:val="(%1)"/>
      <w:numFmt w:val="lowerLetter"/>
      <w:start w:val="5"/>
    </w:lvl>
  </w:abstractNum>
  <w:abstractNum w:abstractNumId="23">
    <w:nsid w:val="71F32454"/>
    <w:multiLevelType w:val="hybridMultilevel"/>
    <w:lvl w:ilvl="0">
      <w:lvlJc w:val="left"/>
      <w:lvlText w:val="%1."/>
      <w:numFmt w:val="decimal"/>
      <w:start w:val="7"/>
    </w:lvl>
  </w:abstractNum>
  <w:abstractNum w:abstractNumId="24">
    <w:nsid w:val="2CA88611"/>
    <w:multiLevelType w:val="hybridMultilevel"/>
    <w:lvl w:ilvl="0">
      <w:lvlJc w:val="left"/>
      <w:lvlText w:val="%1."/>
      <w:numFmt w:val="decimal"/>
      <w:start w:val="9"/>
    </w:lvl>
  </w:abstractNum>
  <w:abstractNum w:abstractNumId="25">
    <w:nsid w:val="836C40E"/>
    <w:multiLevelType w:val="hybridMultilevel"/>
    <w:lvl w:ilvl="0">
      <w:lvlJc w:val="left"/>
      <w:lvlText w:val="%1."/>
      <w:numFmt w:val="decimal"/>
      <w:start w:val="10"/>
    </w:lvl>
  </w:abstractNum>
  <w:abstractNum w:abstractNumId="26">
    <w:nsid w:val="2901D82"/>
    <w:multiLevelType w:val="hybridMultilevel"/>
    <w:lvl w:ilvl="0">
      <w:lvlJc w:val="left"/>
      <w:lvlText w:val="%1"/>
      <w:numFmt w:val="lowerRoman"/>
      <w:start w:val="1"/>
    </w:lvl>
    <w:lvl w:ilvl="1">
      <w:lvlJc w:val="left"/>
      <w:lvlText w:val="%2."/>
      <w:numFmt w:val="decimal"/>
      <w:start w:val="11"/>
    </w:lvl>
  </w:abstractNum>
  <w:abstractNum w:abstractNumId="27">
    <w:nsid w:val="3A95F874"/>
    <w:multiLevelType w:val="hybridMultilevel"/>
    <w:lvl w:ilvl="0">
      <w:lvlJc w:val="left"/>
      <w:lvlText w:val="(%1)"/>
      <w:numFmt w:val="lowerRoman"/>
      <w:start w:val="3"/>
    </w:lvl>
    <w:lvl w:ilvl="1">
      <w:lvlJc w:val="left"/>
      <w:lvlText w:val="%2"/>
      <w:numFmt w:val="decimal"/>
      <w:start w:val="1"/>
    </w:lvl>
  </w:abstractNum>
  <w:abstractNum w:abstractNumId="28">
    <w:nsid w:val="8138641"/>
    <w:multiLevelType w:val="hybridMultilevel"/>
    <w:lvl w:ilvl="0">
      <w:lvlJc w:val="left"/>
      <w:lvlText w:val="(%1)"/>
      <w:numFmt w:val="lowerRoman"/>
      <w:start w:val="2"/>
    </w:lvl>
    <w:lvl w:ilvl="1">
      <w:lvlJc w:val="left"/>
      <w:lvlText w:val="%2."/>
      <w:numFmt w:val="decimal"/>
      <w:start w:val="12"/>
    </w:lvl>
  </w:abstractNum>
  <w:abstractNum w:abstractNumId="29">
    <w:nsid w:val="1E7FF521"/>
    <w:multiLevelType w:val="hybridMultilevel"/>
    <w:lvl w:ilvl="0">
      <w:lvlJc w:val="left"/>
      <w:lvlText w:val="%1."/>
      <w:numFmt w:val="decimal"/>
      <w:start w:val="13"/>
    </w:lvl>
  </w:abstractNum>
  <w:abstractNum w:abstractNumId="30">
    <w:nsid w:val="7C3DBD3D"/>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2019-12-08T15:41:49Z</dcterms:created>
  <dcterms:modified xsi:type="dcterms:W3CDTF">2019-12-08T15:41:49Z</dcterms:modified>
</cp:coreProperties>
</file>