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40" w:space="28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5"/>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0" w:type="dxa"/>
            <w:vAlign w:val="bottom"/>
            <w:gridSpan w:val="5"/>
          </w:tcPr>
          <w:p>
            <w:pPr>
              <w:ind w:left="4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Warburg Pincus Private Equity IX, L.P.</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0" w:type="dxa"/>
            <w:vAlign w:val="bottom"/>
            <w:gridSpan w:val="4"/>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Vringo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VRNG</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20" w:type="dxa"/>
            <w:vAlign w:val="bottom"/>
            <w:gridSpan w:val="2"/>
            <w:vMerge w:val="restart"/>
          </w:tcPr>
          <w:p>
            <w:pPr>
              <w:ind w:left="40"/>
              <w:spacing w:after="0"/>
              <w:rPr>
                <w:sz w:val="20"/>
                <w:szCs w:val="20"/>
                <w:color w:val="auto"/>
              </w:rPr>
            </w:pPr>
            <w:r>
              <w:rPr>
                <w:rFonts w:ascii="Arial" w:cs="Arial" w:eastAsia="Arial" w:hAnsi="Arial"/>
                <w:sz w:val="14"/>
                <w:szCs w:val="14"/>
                <w:color w:val="auto"/>
              </w:rPr>
              <w:t>(Check all applicable)</w:t>
            </w:r>
          </w:p>
        </w:tc>
        <w:tc>
          <w:tcPr>
            <w:tcW w:w="10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0" w:type="dxa"/>
            <w:vAlign w:val="bottom"/>
            <w:gridSpan w:val="4"/>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20" w:type="dxa"/>
            <w:vAlign w:val="bottom"/>
            <w:gridSpan w:val="2"/>
            <w:vMerge w:val="continue"/>
          </w:tcPr>
          <w:p>
            <w:pPr>
              <w:spacing w:after="0"/>
              <w:rPr>
                <w:sz w:val="4"/>
                <w:szCs w:val="4"/>
                <w:color w:val="auto"/>
              </w:rPr>
            </w:pPr>
          </w:p>
        </w:tc>
        <w:tc>
          <w:tcPr>
            <w:tcW w:w="10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gridSpan w:val="4"/>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vMerge w:val="restart"/>
          </w:tcPr>
          <w:p>
            <w:pPr>
              <w:ind w:left="120"/>
              <w:spacing w:after="0"/>
              <w:rPr>
                <w:sz w:val="20"/>
                <w:szCs w:val="20"/>
                <w:color w:val="auto"/>
              </w:rPr>
            </w:pPr>
            <w:r>
              <w:rPr>
                <w:rFonts w:ascii="Arial" w:cs="Arial" w:eastAsia="Arial" w:hAnsi="Arial"/>
                <w:sz w:val="14"/>
                <w:szCs w:val="14"/>
                <w:color w:val="auto"/>
              </w:rPr>
              <w:t>Director</w:t>
            </w:r>
          </w:p>
        </w:tc>
        <w:tc>
          <w:tcPr>
            <w:tcW w:w="1780" w:type="dxa"/>
            <w:vAlign w:val="bottom"/>
            <w:gridSpan w:val="3"/>
            <w:vMerge w:val="restart"/>
          </w:tcPr>
          <w:p>
            <w:pPr>
              <w:ind w:left="2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7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Borders>
              <w:top w:val="single" w:sz="8" w:color="0000EE"/>
            </w:tcBorders>
          </w:tcPr>
          <w:p>
            <w:pPr>
              <w:spacing w:after="0"/>
              <w:rPr>
                <w:sz w:val="8"/>
                <w:szCs w:val="8"/>
                <w:color w:val="auto"/>
              </w:rPr>
            </w:pPr>
          </w:p>
        </w:tc>
        <w:tc>
          <w:tcPr>
            <w:tcW w:w="1040" w:type="dxa"/>
            <w:vAlign w:val="bottom"/>
            <w:tcBorders>
              <w:top w:val="single" w:sz="8" w:color="0000EE"/>
            </w:tcBorders>
          </w:tcPr>
          <w:p>
            <w:pPr>
              <w:spacing w:after="0"/>
              <w:rPr>
                <w:sz w:val="8"/>
                <w:szCs w:val="8"/>
                <w:color w:val="auto"/>
              </w:rPr>
            </w:pPr>
          </w:p>
        </w:tc>
        <w:tc>
          <w:tcPr>
            <w:tcW w:w="1240" w:type="dxa"/>
            <w:vAlign w:val="bottom"/>
            <w:tcBorders>
              <w:top w:val="single" w:sz="8" w:color="0000EE"/>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17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160" w:type="dxa"/>
            <w:vAlign w:val="bottom"/>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80" w:type="dxa"/>
            <w:vAlign w:val="bottom"/>
            <w:gridSpan w:val="3"/>
            <w:vMerge w:val="restart"/>
          </w:tcPr>
          <w:p>
            <w:pPr>
              <w:ind w:left="6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1040" w:type="dxa"/>
            <w:vAlign w:val="bottom"/>
            <w:tcBorders>
              <w:top w:val="single" w:sz="8" w:color="EEEEEE"/>
            </w:tcBorders>
          </w:tcPr>
          <w:p>
            <w:pPr>
              <w:spacing w:after="0"/>
              <w:rPr>
                <w:sz w:val="3"/>
                <w:szCs w:val="3"/>
                <w:color w:val="auto"/>
              </w:rPr>
            </w:pPr>
          </w:p>
        </w:tc>
        <w:tc>
          <w:tcPr>
            <w:tcW w:w="1240" w:type="dxa"/>
            <w:vAlign w:val="bottom"/>
            <w:tcBorders>
              <w:top w:val="single" w:sz="8" w:color="EEEEEE"/>
            </w:tcBorders>
          </w:tcPr>
          <w:p>
            <w:pPr>
              <w:spacing w:after="0"/>
              <w:rPr>
                <w:sz w:val="3"/>
                <w:szCs w:val="3"/>
                <w:color w:val="auto"/>
              </w:rPr>
            </w:pPr>
          </w:p>
        </w:tc>
        <w:tc>
          <w:tcPr>
            <w:tcW w:w="4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178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17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(Last)</w:t>
            </w:r>
          </w:p>
        </w:tc>
        <w:tc>
          <w:tcPr>
            <w:tcW w:w="1040" w:type="dxa"/>
            <w:vAlign w:val="bottom"/>
          </w:tcPr>
          <w:p>
            <w:pPr>
              <w:ind w:left="160"/>
              <w:spacing w:after="0"/>
              <w:rPr>
                <w:sz w:val="20"/>
                <w:szCs w:val="20"/>
                <w:color w:val="auto"/>
              </w:rPr>
            </w:pPr>
            <w:r>
              <w:rPr>
                <w:rFonts w:ascii="Arial" w:cs="Arial" w:eastAsia="Arial" w:hAnsi="Arial"/>
                <w:sz w:val="14"/>
                <w:szCs w:val="14"/>
                <w:color w:val="auto"/>
              </w:rPr>
              <w:t>(First)</w:t>
            </w:r>
          </w:p>
        </w:tc>
        <w:tc>
          <w:tcPr>
            <w:tcW w:w="1640" w:type="dxa"/>
            <w:vAlign w:val="bottom"/>
            <w:gridSpan w:val="2"/>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5"/>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tcPr>
          <w:p>
            <w:pPr>
              <w:ind w:left="120"/>
              <w:spacing w:after="0"/>
              <w:rPr>
                <w:sz w:val="20"/>
                <w:szCs w:val="20"/>
                <w:color w:val="auto"/>
              </w:rPr>
            </w:pPr>
            <w:r>
              <w:rPr>
                <w:rFonts w:ascii="Arial" w:cs="Arial" w:eastAsia="Arial" w:hAnsi="Arial"/>
                <w:sz w:val="14"/>
                <w:szCs w:val="14"/>
                <w:color w:val="auto"/>
              </w:rPr>
              <w:t>below)</w:t>
            </w:r>
          </w:p>
        </w:tc>
        <w:tc>
          <w:tcPr>
            <w:tcW w:w="1020" w:type="dxa"/>
            <w:vAlign w:val="bottom"/>
          </w:tcPr>
          <w:p>
            <w:pPr>
              <w:ind w:left="60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4"/>
            <w:vMerge w:val="restart"/>
          </w:tcPr>
          <w:p>
            <w:pPr>
              <w:spacing w:after="0"/>
              <w:rPr>
                <w:sz w:val="20"/>
                <w:szCs w:val="20"/>
                <w:color w:val="auto"/>
              </w:rPr>
            </w:pPr>
            <w:r>
              <w:rPr>
                <w:rFonts w:ascii="Arial" w:cs="Arial" w:eastAsia="Arial" w:hAnsi="Arial"/>
                <w:sz w:val="18"/>
                <w:szCs w:val="18"/>
                <w:color w:val="0000FF"/>
              </w:rPr>
              <w:t>C/O WARBURG PINCUS LLC</w:t>
            </w:r>
          </w:p>
        </w:tc>
        <w:tc>
          <w:tcPr>
            <w:tcW w:w="1080" w:type="dxa"/>
            <w:vAlign w:val="bottom"/>
            <w:gridSpan w:val="4"/>
          </w:tcPr>
          <w:p>
            <w:pPr>
              <w:ind w:left="160"/>
              <w:spacing w:after="0"/>
              <w:rPr>
                <w:sz w:val="20"/>
                <w:szCs w:val="20"/>
                <w:color w:val="auto"/>
              </w:rPr>
            </w:pPr>
            <w:r>
              <w:rPr>
                <w:rFonts w:ascii="Arial" w:cs="Arial" w:eastAsia="Arial" w:hAnsi="Arial"/>
                <w:sz w:val="18"/>
                <w:szCs w:val="18"/>
                <w:color w:val="0000FF"/>
                <w:w w:val="99"/>
              </w:rPr>
              <w:t>06/22/2011</w:t>
            </w: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2"/>
            <w:vMerge w:val="restart"/>
          </w:tcPr>
          <w:p>
            <w:pPr>
              <w:spacing w:after="0"/>
              <w:rPr>
                <w:sz w:val="20"/>
                <w:szCs w:val="20"/>
                <w:color w:val="auto"/>
              </w:rPr>
            </w:pPr>
            <w:r>
              <w:rPr>
                <w:rFonts w:ascii="Arial" w:cs="Arial" w:eastAsia="Arial" w:hAnsi="Arial"/>
                <w:sz w:val="18"/>
                <w:szCs w:val="18"/>
                <w:color w:val="0000FF"/>
                <w:w w:val="98"/>
              </w:rPr>
              <w:t>450 LEXINGTON AVENUE</w:t>
            </w:r>
          </w:p>
        </w:tc>
        <w:tc>
          <w:tcPr>
            <w:tcW w:w="1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46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800" w:type="dxa"/>
            <w:vAlign w:val="bottom"/>
            <w:tcBorders>
              <w:bottom w:val="single" w:sz="8" w:color="2C2C2C"/>
            </w:tcBorders>
          </w:tcPr>
          <w:p>
            <w:pPr>
              <w:spacing w:after="0"/>
              <w:rPr>
                <w:sz w:val="16"/>
                <w:szCs w:val="16"/>
                <w:color w:val="auto"/>
              </w:rPr>
            </w:pPr>
          </w:p>
        </w:tc>
        <w:tc>
          <w:tcPr>
            <w:tcW w:w="52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460" w:type="dxa"/>
            <w:vAlign w:val="bottom"/>
            <w:tcBorders>
              <w:bottom w:val="single" w:sz="8" w:color="2C2C2C"/>
            </w:tcBorders>
          </w:tcPr>
          <w:p>
            <w:pPr>
              <w:spacing w:after="0"/>
              <w:rPr>
                <w:sz w:val="16"/>
                <w:szCs w:val="16"/>
                <w:color w:val="auto"/>
              </w:rPr>
            </w:pPr>
          </w:p>
        </w:tc>
        <w:tc>
          <w:tcPr>
            <w:tcW w:w="1160" w:type="dxa"/>
            <w:vAlign w:val="bottom"/>
            <w:tcBorders>
              <w:bottom w:val="single" w:sz="8" w:color="2C2C2C"/>
            </w:tcBorders>
          </w:tcPr>
          <w:p>
            <w:pPr>
              <w:spacing w:after="0"/>
              <w:rPr>
                <w:sz w:val="16"/>
                <w:szCs w:val="16"/>
                <w:color w:val="auto"/>
              </w:rPr>
            </w:pPr>
          </w:p>
        </w:tc>
        <w:tc>
          <w:tcPr>
            <w:tcW w:w="102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60" w:type="dxa"/>
            <w:vAlign w:val="bottom"/>
            <w:gridSpan w:val="2"/>
            <w:vMerge w:val="continue"/>
          </w:tcPr>
          <w:p>
            <w:pPr>
              <w:spacing w:after="0"/>
              <w:rPr>
                <w:sz w:val="5"/>
                <w:szCs w:val="5"/>
                <w:color w:val="auto"/>
              </w:rPr>
            </w:pPr>
          </w:p>
        </w:tc>
        <w:tc>
          <w:tcPr>
            <w:tcW w:w="1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520" w:type="dxa"/>
            <w:vAlign w:val="bottom"/>
            <w:gridSpan w:val="6"/>
            <w:vMerge w:val="restart"/>
          </w:tcPr>
          <w:p>
            <w:pPr>
              <w:spacing w:after="0"/>
              <w:rPr>
                <w:sz w:val="20"/>
                <w:szCs w:val="20"/>
                <w:color w:val="auto"/>
              </w:rPr>
            </w:pPr>
            <w:r>
              <w:rPr>
                <w:rFonts w:ascii="Arial" w:cs="Arial" w:eastAsia="Arial" w:hAnsi="Arial"/>
                <w:sz w:val="14"/>
                <w:szCs w:val="14"/>
                <w:color w:val="auto"/>
                <w:w w:val="98"/>
              </w:rPr>
              <w:t>4. If Amendment, Date of Original Filed (Month/Day/Year)</w:t>
            </w: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0" w:type="dxa"/>
            <w:vAlign w:val="bottom"/>
            <w:gridSpan w:val="5"/>
            <w:vMerge w:val="restart"/>
          </w:tcPr>
          <w:p>
            <w:pPr>
              <w:ind w:left="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6"/>
            <w:vMerge w:val="continue"/>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ind w:left="40"/>
              <w:spacing w:after="0" w:line="121" w:lineRule="exact"/>
              <w:rPr>
                <w:sz w:val="20"/>
                <w:szCs w:val="20"/>
                <w:color w:val="auto"/>
              </w:rPr>
            </w:pPr>
            <w:r>
              <w:rPr>
                <w:rFonts w:ascii="Arial" w:cs="Arial" w:eastAsia="Arial" w:hAnsi="Arial"/>
                <w:sz w:val="14"/>
                <w:szCs w:val="14"/>
                <w:color w:val="auto"/>
              </w:rPr>
              <w:t>Line)</w:t>
            </w:r>
          </w:p>
        </w:tc>
        <w:tc>
          <w:tcPr>
            <w:tcW w:w="2940" w:type="dxa"/>
            <w:vAlign w:val="bottom"/>
            <w:gridSpan w:val="4"/>
            <w:vMerge w:val="restart"/>
          </w:tcPr>
          <w:p>
            <w:pPr>
              <w:ind w:left="14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9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40" w:type="dxa"/>
            <w:vAlign w:val="bottom"/>
          </w:tcPr>
          <w:p>
            <w:pPr>
              <w:ind w:left="160"/>
              <w:spacing w:after="0"/>
              <w:rPr>
                <w:sz w:val="20"/>
                <w:szCs w:val="20"/>
                <w:color w:val="auto"/>
              </w:rPr>
            </w:pPr>
            <w:r>
              <w:rPr>
                <w:rFonts w:ascii="Arial" w:cs="Arial" w:eastAsia="Arial" w:hAnsi="Arial"/>
                <w:sz w:val="18"/>
                <w:szCs w:val="18"/>
                <w:color w:val="0000FF"/>
              </w:rPr>
              <w:t>NY</w:t>
            </w:r>
          </w:p>
        </w:tc>
        <w:tc>
          <w:tcPr>
            <w:tcW w:w="1240" w:type="dxa"/>
            <w:vAlign w:val="bottom"/>
          </w:tcPr>
          <w:p>
            <w:pPr>
              <w:ind w:left="380"/>
              <w:spacing w:after="0"/>
              <w:rPr>
                <w:sz w:val="20"/>
                <w:szCs w:val="20"/>
                <w:color w:val="auto"/>
              </w:rPr>
            </w:pPr>
            <w:r>
              <w:rPr>
                <w:rFonts w:ascii="Arial" w:cs="Arial" w:eastAsia="Arial" w:hAnsi="Arial"/>
                <w:sz w:val="18"/>
                <w:szCs w:val="18"/>
                <w:color w:val="0000FF"/>
              </w:rPr>
              <w:t>10017</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vMerge w:val="restart"/>
          </w:tcPr>
          <w:p>
            <w:pPr>
              <w:ind w:left="240"/>
              <w:spacing w:after="0"/>
              <w:rPr>
                <w:sz w:val="20"/>
                <w:szCs w:val="20"/>
                <w:color w:val="auto"/>
              </w:rPr>
            </w:pPr>
            <w:r>
              <w:rPr>
                <w:rFonts w:ascii="Arial" w:cs="Arial" w:eastAsia="Arial" w:hAnsi="Arial"/>
                <w:sz w:val="18"/>
                <w:szCs w:val="18"/>
                <w:color w:val="0000FF"/>
              </w:rPr>
              <w:t>X</w:t>
            </w:r>
          </w:p>
        </w:tc>
        <w:tc>
          <w:tcPr>
            <w:tcW w:w="2940" w:type="dxa"/>
            <w:vAlign w:val="bottom"/>
            <w:gridSpan w:val="4"/>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160" w:type="dxa"/>
            <w:vAlign w:val="bottom"/>
            <w:vMerge w:val="restart"/>
          </w:tcPr>
          <w:p>
            <w:pPr>
              <w:ind w:left="140"/>
              <w:spacing w:after="0"/>
              <w:rPr>
                <w:sz w:val="20"/>
                <w:szCs w:val="20"/>
                <w:color w:val="auto"/>
              </w:rPr>
            </w:pPr>
            <w:r>
              <w:rPr>
                <w:rFonts w:ascii="Arial" w:cs="Arial" w:eastAsia="Arial" w:hAnsi="Arial"/>
                <w:sz w:val="14"/>
                <w:szCs w:val="14"/>
                <w:color w:val="auto"/>
              </w:rPr>
              <w:t>Person</w:t>
            </w:r>
          </w:p>
        </w:tc>
        <w:tc>
          <w:tcPr>
            <w:tcW w:w="10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24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160"/>
              <w:spacing w:after="0"/>
              <w:rPr>
                <w:sz w:val="20"/>
                <w:szCs w:val="20"/>
                <w:color w:val="auto"/>
              </w:rPr>
            </w:pPr>
            <w:r>
              <w:rPr>
                <w:rFonts w:ascii="Arial" w:cs="Arial" w:eastAsia="Arial" w:hAnsi="Arial"/>
                <w:sz w:val="14"/>
                <w:szCs w:val="14"/>
                <w:color w:val="auto"/>
              </w:rPr>
              <w:t>(State)</w:t>
            </w:r>
          </w:p>
        </w:tc>
        <w:tc>
          <w:tcPr>
            <w:tcW w:w="1640" w:type="dxa"/>
            <w:vAlign w:val="bottom"/>
            <w:gridSpan w:val="2"/>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24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gridSpan w:val="2"/>
          </w:tcPr>
          <w:p>
            <w:pPr>
              <w:spacing w:after="0"/>
              <w:rPr>
                <w:sz w:val="11"/>
                <w:szCs w:val="11"/>
                <w:color w:val="auto"/>
              </w:rPr>
            </w:pPr>
          </w:p>
        </w:tc>
        <w:tc>
          <w:tcPr>
            <w:tcW w:w="2980" w:type="dxa"/>
            <w:vAlign w:val="bottom"/>
            <w:tcBorders>
              <w:bottom w:val="single" w:sz="8" w:color="2C2C2C"/>
            </w:tcBorders>
            <w:gridSpan w:val="5"/>
          </w:tcPr>
          <w:p>
            <w:pPr>
              <w:spacing w:after="0"/>
              <w:rPr>
                <w:sz w:val="11"/>
                <w:szCs w:val="11"/>
                <w:color w:val="auto"/>
              </w:rPr>
            </w:pPr>
          </w:p>
        </w:tc>
        <w:tc>
          <w:tcPr>
            <w:tcW w:w="1660" w:type="dxa"/>
            <w:vAlign w:val="bottom"/>
            <w:tcBorders>
              <w:bottom w:val="single" w:sz="8" w:color="2C2C2C"/>
            </w:tcBorders>
            <w:gridSpan w:val="3"/>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1040" w:type="dxa"/>
            <w:vAlign w:val="bottom"/>
            <w:tcBorders>
              <w:top w:val="single" w:sz="8" w:color="2C2C2C"/>
            </w:tcBorders>
          </w:tcPr>
          <w:p>
            <w:pPr>
              <w:spacing w:after="0"/>
              <w:rPr>
                <w:sz w:val="22"/>
                <w:szCs w:val="22"/>
                <w:color w:val="auto"/>
              </w:rPr>
            </w:pPr>
          </w:p>
        </w:tc>
        <w:tc>
          <w:tcPr>
            <w:tcW w:w="7360" w:type="dxa"/>
            <w:vAlign w:val="bottom"/>
            <w:tcBorders>
              <w:top w:val="single" w:sz="8" w:color="2C2C2C"/>
            </w:tcBorders>
            <w:gridSpan w:val="14"/>
          </w:tcPr>
          <w:p>
            <w:pPr>
              <w:ind w:lef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10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6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040" w:type="dxa"/>
            <w:vAlign w:val="bottom"/>
            <w:gridSpan w:val="5"/>
          </w:tcPr>
          <w:p>
            <w:pPr>
              <w:ind w:left="9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60" w:type="dxa"/>
            <w:vAlign w:val="bottom"/>
          </w:tcPr>
          <w:p>
            <w:pPr>
              <w:spacing w:after="0"/>
              <w:rPr>
                <w:sz w:val="15"/>
                <w:szCs w:val="15"/>
                <w:color w:val="auto"/>
              </w:rPr>
            </w:pP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10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40" w:type="dxa"/>
            <w:vAlign w:val="bottom"/>
            <w:gridSpan w:val="2"/>
          </w:tcPr>
          <w:p>
            <w:pPr>
              <w:ind w:left="9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40" w:type="dxa"/>
            <w:vAlign w:val="bottom"/>
            <w:gridSpan w:val="5"/>
          </w:tcPr>
          <w:p>
            <w:pPr>
              <w:ind w:left="9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102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10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46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8"/>
                <w:szCs w:val="8"/>
                <w:color w:val="auto"/>
              </w:rPr>
            </w:pPr>
          </w:p>
        </w:tc>
        <w:tc>
          <w:tcPr>
            <w:tcW w:w="460" w:type="dxa"/>
            <w:vAlign w:val="bottom"/>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226" w:right="239" w:bottom="0" w:gutter="0" w:footer="0" w:header="0"/>
          <w:type w:val="continuous"/>
        </w:sectPr>
      </w:pPr>
    </w:p>
    <w:p>
      <w:pPr>
        <w:spacing w:after="0" w:line="6" w:lineRule="exact"/>
        <w:rPr>
          <w:sz w:val="20"/>
          <w:szCs w:val="20"/>
          <w:color w:val="auto"/>
        </w:rPr>
      </w:pPr>
    </w:p>
    <w:p>
      <w:pPr>
        <w:spacing w:after="0"/>
        <w:rPr>
          <w:sz w:val="20"/>
          <w:szCs w:val="20"/>
          <w:color w:val="auto"/>
        </w:rPr>
      </w:pPr>
      <w:r>
        <w:rPr>
          <w:sz w:val="1"/>
          <w:szCs w:val="1"/>
          <w:color w:val="auto"/>
        </w:rPr>
        <w:drawing>
          <wp:inline distT="0" distB="0" distL="0" distR="0">
            <wp:extent cx="34290" cy="24828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4290" cy="248285"/>
                    </a:xfrm>
                    <a:prstGeom prst="rect">
                      <a:avLst/>
                    </a:prstGeom>
                    <a:noFill/>
                    <a:ln>
                      <a:noFill/>
                    </a:ln>
                  </pic:spPr>
                </pic:pic>
              </a:graphicData>
            </a:graphic>
          </wp:inline>
        </w:drawing>
      </w:r>
      <w:r>
        <w:rPr>
          <w:rFonts w:ascii="Arial" w:cs="Arial" w:eastAsia="Arial" w:hAnsi="Arial"/>
          <w:sz w:val="15"/>
          <w:szCs w:val="15"/>
          <w:color w:val="0000FF"/>
        </w:rPr>
        <w:t xml:space="preserve"> Common Stock, par value $0.01 per share  </w:t>
      </w:r>
      <w:r>
        <w:rPr>
          <w:sz w:val="1"/>
          <w:szCs w:val="1"/>
          <w:color w:val="auto"/>
        </w:rPr>
        <w:drawing>
          <wp:inline distT="0" distB="0" distL="0" distR="0">
            <wp:extent cx="42545" cy="24828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2545" cy="248285"/>
                    </a:xfrm>
                    <a:prstGeom prst="rect">
                      <a:avLst/>
                    </a:prstGeom>
                    <a:noFill/>
                    <a:ln>
                      <a:noFill/>
                    </a:ln>
                  </pic:spPr>
                </pic:pic>
              </a:graphicData>
            </a:graphic>
          </wp:inline>
        </w:drawing>
      </w:r>
      <w:r>
        <w:rPr>
          <w:rFonts w:ascii="Arial" w:cs="Arial" w:eastAsia="Arial" w:hAnsi="Arial"/>
          <w:sz w:val="15"/>
          <w:szCs w:val="15"/>
          <w:color w:val="0000FF"/>
        </w:rPr>
        <w:t xml:space="preserve">  06/22/2011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57"/>
        </w:trPr>
        <w:tc>
          <w:tcPr>
            <w:tcW w:w="420" w:type="dxa"/>
            <w:vAlign w:val="bottom"/>
          </w:tcPr>
          <w:p>
            <w:pPr>
              <w:spacing w:after="0"/>
              <w:rPr>
                <w:sz w:val="20"/>
                <w:szCs w:val="20"/>
                <w:color w:val="auto"/>
              </w:rPr>
            </w:pPr>
            <w:r>
              <w:rPr>
                <w:rFonts w:ascii="Arial" w:cs="Arial" w:eastAsia="Arial" w:hAnsi="Arial"/>
                <w:sz w:val="14"/>
                <w:szCs w:val="14"/>
                <w:color w:val="0000FF"/>
              </w:rPr>
              <w:t>S</w:t>
            </w:r>
          </w:p>
        </w:tc>
        <w:tc>
          <w:tcPr>
            <w:tcW w:w="1060" w:type="dxa"/>
            <w:vAlign w:val="bottom"/>
          </w:tcPr>
          <w:p>
            <w:pPr>
              <w:jc w:val="right"/>
              <w:ind w:right="72"/>
              <w:spacing w:after="0"/>
              <w:rPr>
                <w:sz w:val="20"/>
                <w:szCs w:val="20"/>
                <w:color w:val="auto"/>
              </w:rPr>
            </w:pPr>
            <w:r>
              <w:rPr>
                <w:rFonts w:ascii="Arial" w:cs="Arial" w:eastAsia="Arial" w:hAnsi="Arial"/>
                <w:sz w:val="18"/>
                <w:szCs w:val="18"/>
                <w:color w:val="0000FF"/>
              </w:rPr>
              <w:t>840,116</w:t>
            </w:r>
          </w:p>
        </w:tc>
        <w:tc>
          <w:tcPr>
            <w:tcW w:w="1580" w:type="dxa"/>
            <w:vAlign w:val="bottom"/>
          </w:tcPr>
          <w:p>
            <w:pPr>
              <w:ind w:left="180"/>
              <w:spacing w:after="0"/>
              <w:rPr>
                <w:sz w:val="20"/>
                <w:szCs w:val="20"/>
                <w:color w:val="auto"/>
              </w:rPr>
            </w:pPr>
            <w:r>
              <w:rPr>
                <w:rFonts w:ascii="Arial" w:cs="Arial" w:eastAsia="Arial" w:hAnsi="Arial"/>
                <w:sz w:val="18"/>
                <w:szCs w:val="18"/>
                <w:color w:val="0000FF"/>
              </w:rPr>
              <w:t xml:space="preserve">D   </w:t>
            </w:r>
            <w:r>
              <w:rPr>
                <w:rFonts w:ascii="Arial" w:cs="Arial" w:eastAsia="Arial" w:hAnsi="Arial"/>
                <w:sz w:val="18"/>
                <w:szCs w:val="18"/>
                <w:color w:val="000000"/>
              </w:rPr>
              <w:t>$</w:t>
            </w:r>
            <w:r>
              <w:rPr>
                <w:rFonts w:ascii="Arial" w:cs="Arial" w:eastAsia="Arial" w:hAnsi="Arial"/>
                <w:sz w:val="18"/>
                <w:szCs w:val="18"/>
                <w:color w:val="0000FF"/>
              </w:rPr>
              <w:t>0.3809</w:t>
            </w:r>
            <w:r>
              <w:rPr>
                <w:rFonts w:ascii="Arial" w:cs="Arial" w:eastAsia="Arial" w:hAnsi="Arial"/>
                <w:sz w:val="22"/>
                <w:szCs w:val="22"/>
                <w:color w:val="008000"/>
                <w:vertAlign w:val="superscript"/>
              </w:rPr>
              <w:t>(1)</w:t>
            </w:r>
          </w:p>
        </w:tc>
        <w:tc>
          <w:tcPr>
            <w:tcW w:w="800" w:type="dxa"/>
            <w:vAlign w:val="bottom"/>
          </w:tcPr>
          <w:p>
            <w:pPr>
              <w:jc w:val="right"/>
              <w:ind w:right="332"/>
              <w:spacing w:after="0"/>
              <w:rPr>
                <w:sz w:val="20"/>
                <w:szCs w:val="20"/>
                <w:color w:val="auto"/>
              </w:rPr>
            </w:pPr>
            <w:r>
              <w:rPr>
                <w:rFonts w:ascii="Arial" w:cs="Arial" w:eastAsia="Arial" w:hAnsi="Arial"/>
                <w:sz w:val="18"/>
                <w:szCs w:val="18"/>
                <w:color w:val="0000FF"/>
              </w:rPr>
              <w:t>0</w:t>
            </w:r>
          </w:p>
        </w:tc>
        <w:tc>
          <w:tcPr>
            <w:tcW w:w="800" w:type="dxa"/>
            <w:vAlign w:val="bottom"/>
          </w:tcPr>
          <w:p>
            <w:pPr>
              <w:ind w:left="420"/>
              <w:spacing w:after="0"/>
              <w:rPr>
                <w:sz w:val="20"/>
                <w:szCs w:val="20"/>
                <w:color w:val="auto"/>
              </w:rPr>
            </w:pPr>
            <w:r>
              <w:rPr>
                <w:rFonts w:ascii="Arial" w:cs="Arial" w:eastAsia="Arial" w:hAnsi="Arial"/>
                <w:sz w:val="35"/>
                <w:szCs w:val="35"/>
                <w:color w:val="0000FF"/>
                <w:w w:val="82"/>
                <w:vertAlign w:val="subscript"/>
              </w:rPr>
              <w:t>D</w:t>
            </w:r>
            <w:r>
              <w:rPr>
                <w:rFonts w:ascii="Arial" w:cs="Arial" w:eastAsia="Arial" w:hAnsi="Arial"/>
                <w:sz w:val="11"/>
                <w:szCs w:val="11"/>
                <w:color w:val="008000"/>
                <w:w w:val="82"/>
              </w:rPr>
              <w:t>(2)(3)</w:t>
            </w:r>
          </w:p>
        </w:tc>
      </w:tr>
    </w:tbl>
    <w:p>
      <w:pPr>
        <w:spacing w:after="0" w:line="28" w:lineRule="exact"/>
        <w:rPr>
          <w:sz w:val="20"/>
          <w:szCs w:val="20"/>
          <w:color w:val="auto"/>
        </w:rPr>
      </w:pPr>
    </w:p>
    <w:p>
      <w:pPr>
        <w:sectPr>
          <w:pgSz w:w="11900" w:h="16838" w:orient="portrait"/>
          <w:cols w:equalWidth="0" w:num="2">
            <w:col w:w="4940" w:space="720"/>
            <w:col w:w="576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ind w:left="5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gridSpan w:val="3"/>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6"/>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78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40" w:type="dxa"/>
            <w:vAlign w:val="bottom"/>
            <w:gridSpan w:val="7"/>
          </w:tcPr>
          <w:p>
            <w:pPr>
              <w:spacing w:after="0" w:line="224" w:lineRule="exact"/>
              <w:rPr>
                <w:rFonts w:ascii="Arial" w:cs="Arial" w:eastAsia="Arial" w:hAnsi="Arial"/>
                <w:sz w:val="22"/>
                <w:szCs w:val="22"/>
                <w:color w:val="0000EE"/>
                <w:w w:val="98"/>
              </w:rPr>
            </w:pPr>
            <w:hyperlink r:id="rId12">
              <w:r>
                <w:rPr>
                  <w:rFonts w:ascii="Arial" w:cs="Arial" w:eastAsia="Arial" w:hAnsi="Arial"/>
                  <w:sz w:val="22"/>
                  <w:szCs w:val="22"/>
                  <w:color w:val="0000EE"/>
                  <w:w w:val="98"/>
                </w:rPr>
                <w:t>Warburg Pincus Private Equity IX, L.P.</w:t>
              </w:r>
            </w:hyperlink>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120" w:type="dxa"/>
            <w:vAlign w:val="bottom"/>
            <w:gridSpan w:val="2"/>
          </w:tcPr>
          <w:p>
            <w:pPr>
              <w:ind w:left="300"/>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5"/>
          </w:tcPr>
          <w:p>
            <w:pPr>
              <w:spacing w:after="0"/>
              <w:rPr>
                <w:sz w:val="20"/>
                <w:szCs w:val="20"/>
                <w:color w:val="auto"/>
              </w:rPr>
            </w:pPr>
            <w:r>
              <w:rPr>
                <w:rFonts w:ascii="Arial" w:cs="Arial" w:eastAsia="Arial" w:hAnsi="Arial"/>
                <w:sz w:val="18"/>
                <w:szCs w:val="18"/>
                <w:color w:val="0000FF"/>
              </w:rPr>
              <w:t>C/O WARBURG PINCUS LLC</w:t>
            </w: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gridSpan w:val="5"/>
          </w:tcPr>
          <w:p>
            <w:pPr>
              <w:spacing w:after="0"/>
              <w:rPr>
                <w:sz w:val="20"/>
                <w:szCs w:val="20"/>
                <w:color w:val="auto"/>
              </w:rPr>
            </w:pPr>
            <w:r>
              <w:rPr>
                <w:rFonts w:ascii="Arial" w:cs="Arial" w:eastAsia="Arial" w:hAnsi="Arial"/>
                <w:sz w:val="18"/>
                <w:szCs w:val="18"/>
                <w:color w:val="0000FF"/>
              </w:rPr>
              <w:t>450 LEXINGTON AVENUE</w:t>
            </w:r>
          </w:p>
        </w:tc>
        <w:tc>
          <w:tcPr>
            <w:tcW w:w="7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180" w:type="dxa"/>
            <w:vAlign w:val="bottom"/>
            <w:gridSpan w:val="3"/>
          </w:tcPr>
          <w:p>
            <w:pPr>
              <w:ind w:left="20"/>
              <w:spacing w:after="0"/>
              <w:rPr>
                <w:sz w:val="20"/>
                <w:szCs w:val="20"/>
                <w:color w:val="auto"/>
              </w:rPr>
            </w:pPr>
            <w:r>
              <w:rPr>
                <w:rFonts w:ascii="Arial" w:cs="Arial" w:eastAsia="Arial" w:hAnsi="Arial"/>
                <w:sz w:val="18"/>
                <w:szCs w:val="18"/>
                <w:color w:val="0000FF"/>
              </w:rPr>
              <w:t>NY</w:t>
            </w:r>
          </w:p>
        </w:tc>
        <w:tc>
          <w:tcPr>
            <w:tcW w:w="780" w:type="dxa"/>
            <w:vAlign w:val="bottom"/>
          </w:tcPr>
          <w:p>
            <w:pPr>
              <w:ind w:left="300"/>
              <w:spacing w:after="0"/>
              <w:rPr>
                <w:sz w:val="20"/>
                <w:szCs w:val="20"/>
                <w:color w:val="auto"/>
              </w:rPr>
            </w:pPr>
            <w:r>
              <w:rPr>
                <w:rFonts w:ascii="Arial" w:cs="Arial" w:eastAsia="Arial" w:hAnsi="Arial"/>
                <w:sz w:val="18"/>
                <w:szCs w:val="18"/>
                <w:color w:val="0000FF"/>
                <w:w w:val="91"/>
              </w:rPr>
              <w:t>10017</w:t>
            </w: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120" w:type="dxa"/>
            <w:vAlign w:val="bottom"/>
            <w:gridSpan w:val="2"/>
          </w:tcPr>
          <w:p>
            <w:pPr>
              <w:ind w:left="300"/>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3"/>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r>
      <w:tr>
        <w:trPr>
          <w:trHeight w:val="262"/>
        </w:trPr>
        <w:tc>
          <w:tcPr>
            <w:tcW w:w="20" w:type="dxa"/>
            <w:vAlign w:val="bottom"/>
          </w:tcPr>
          <w:p>
            <w:pPr>
              <w:spacing w:after="0"/>
              <w:rPr>
                <w:sz w:val="22"/>
                <w:szCs w:val="22"/>
                <w:color w:val="auto"/>
              </w:rPr>
            </w:pPr>
          </w:p>
        </w:tc>
        <w:tc>
          <w:tcPr>
            <w:tcW w:w="2720" w:type="dxa"/>
            <w:vAlign w:val="bottom"/>
            <w:gridSpan w:val="6"/>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5"/>
          </w:tcPr>
          <w:p>
            <w:pPr>
              <w:spacing w:after="0" w:line="224" w:lineRule="exact"/>
              <w:rPr>
                <w:rFonts w:ascii="Arial" w:cs="Arial" w:eastAsia="Arial" w:hAnsi="Arial"/>
                <w:sz w:val="22"/>
                <w:szCs w:val="22"/>
                <w:color w:val="0000EE"/>
                <w:w w:val="98"/>
              </w:rPr>
            </w:pPr>
            <w:hyperlink r:id="rId16">
              <w:r>
                <w:rPr>
                  <w:rFonts w:ascii="Arial" w:cs="Arial" w:eastAsia="Arial" w:hAnsi="Arial"/>
                  <w:sz w:val="22"/>
                  <w:szCs w:val="22"/>
                  <w:color w:val="0000EE"/>
                  <w:w w:val="98"/>
                </w:rPr>
                <w:t>WARBURG PINCUS &amp; CO</w:t>
              </w:r>
            </w:hyperlink>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120" w:type="dxa"/>
            <w:vAlign w:val="bottom"/>
            <w:gridSpan w:val="2"/>
          </w:tcPr>
          <w:p>
            <w:pPr>
              <w:ind w:left="300"/>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5"/>
          </w:tcPr>
          <w:p>
            <w:pPr>
              <w:spacing w:after="0"/>
              <w:rPr>
                <w:sz w:val="20"/>
                <w:szCs w:val="20"/>
                <w:color w:val="auto"/>
              </w:rPr>
            </w:pPr>
            <w:r>
              <w:rPr>
                <w:rFonts w:ascii="Arial" w:cs="Arial" w:eastAsia="Arial" w:hAnsi="Arial"/>
                <w:sz w:val="18"/>
                <w:szCs w:val="18"/>
                <w:color w:val="0000FF"/>
              </w:rPr>
              <w:t>450 LEXINGTON AVENUE</w:t>
            </w: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180" w:type="dxa"/>
            <w:vAlign w:val="bottom"/>
            <w:gridSpan w:val="3"/>
          </w:tcPr>
          <w:p>
            <w:pPr>
              <w:ind w:left="20"/>
              <w:spacing w:after="0"/>
              <w:rPr>
                <w:sz w:val="20"/>
                <w:szCs w:val="20"/>
                <w:color w:val="auto"/>
              </w:rPr>
            </w:pPr>
            <w:r>
              <w:rPr>
                <w:rFonts w:ascii="Arial" w:cs="Arial" w:eastAsia="Arial" w:hAnsi="Arial"/>
                <w:sz w:val="18"/>
                <w:szCs w:val="18"/>
                <w:color w:val="0000FF"/>
              </w:rPr>
              <w:t>NY</w:t>
            </w:r>
          </w:p>
        </w:tc>
        <w:tc>
          <w:tcPr>
            <w:tcW w:w="780" w:type="dxa"/>
            <w:vAlign w:val="bottom"/>
          </w:tcPr>
          <w:p>
            <w:pPr>
              <w:ind w:left="300"/>
              <w:spacing w:after="0"/>
              <w:rPr>
                <w:sz w:val="20"/>
                <w:szCs w:val="20"/>
                <w:color w:val="auto"/>
              </w:rPr>
            </w:pPr>
            <w:r>
              <w:rPr>
                <w:rFonts w:ascii="Arial" w:cs="Arial" w:eastAsia="Arial" w:hAnsi="Arial"/>
                <w:sz w:val="18"/>
                <w:szCs w:val="18"/>
                <w:color w:val="0000FF"/>
                <w:w w:val="91"/>
              </w:rPr>
              <w:t>10017</w:t>
            </w: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120" w:type="dxa"/>
            <w:vAlign w:val="bottom"/>
            <w:gridSpan w:val="2"/>
          </w:tcPr>
          <w:p>
            <w:pPr>
              <w:ind w:left="300"/>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3"/>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r>
      <w:tr>
        <w:trPr>
          <w:trHeight w:val="262"/>
        </w:trPr>
        <w:tc>
          <w:tcPr>
            <w:tcW w:w="20" w:type="dxa"/>
            <w:vAlign w:val="bottom"/>
          </w:tcPr>
          <w:p>
            <w:pPr>
              <w:spacing w:after="0"/>
              <w:rPr>
                <w:sz w:val="22"/>
                <w:szCs w:val="22"/>
                <w:color w:val="auto"/>
              </w:rPr>
            </w:pPr>
          </w:p>
        </w:tc>
        <w:tc>
          <w:tcPr>
            <w:tcW w:w="2720" w:type="dxa"/>
            <w:vAlign w:val="bottom"/>
            <w:gridSpan w:val="6"/>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5"/>
          </w:tcPr>
          <w:p>
            <w:pPr>
              <w:spacing w:after="0" w:line="224" w:lineRule="exact"/>
              <w:rPr>
                <w:rFonts w:ascii="Arial" w:cs="Arial" w:eastAsia="Arial" w:hAnsi="Arial"/>
                <w:sz w:val="22"/>
                <w:szCs w:val="22"/>
                <w:color w:val="0000EE"/>
              </w:rPr>
            </w:pPr>
            <w:hyperlink r:id="rId17">
              <w:r>
                <w:rPr>
                  <w:rFonts w:ascii="Arial" w:cs="Arial" w:eastAsia="Arial" w:hAnsi="Arial"/>
                  <w:sz w:val="22"/>
                  <w:szCs w:val="22"/>
                  <w:color w:val="0000EE"/>
                </w:rPr>
                <w:t>Warburg Pincus IX LLC</w:t>
              </w:r>
            </w:hyperlink>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120" w:type="dxa"/>
            <w:vAlign w:val="bottom"/>
            <w:gridSpan w:val="2"/>
          </w:tcPr>
          <w:p>
            <w:pPr>
              <w:ind w:left="300"/>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C/O WARBURG PINCUS LLC</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450 LEXINGTON AVENUE</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560" w:type="dxa"/>
            <w:vAlign w:val="bottom"/>
            <w:gridSpan w:val="5"/>
          </w:tcPr>
          <w:p>
            <w:pPr>
              <w:ind w:left="260"/>
              <w:spacing w:after="0"/>
              <w:rPr>
                <w:sz w:val="20"/>
                <w:szCs w:val="20"/>
                <w:color w:val="auto"/>
              </w:rPr>
            </w:pPr>
            <w:r>
              <w:rPr>
                <w:rFonts w:ascii="Arial" w:cs="Arial" w:eastAsia="Arial" w:hAnsi="Arial"/>
                <w:sz w:val="18"/>
                <w:szCs w:val="18"/>
                <w:color w:val="0000FF"/>
              </w:rPr>
              <w:t>NY</w:t>
            </w:r>
          </w:p>
        </w:tc>
        <w:tc>
          <w:tcPr>
            <w:tcW w:w="1580" w:type="dxa"/>
            <w:vAlign w:val="bottom"/>
          </w:tcPr>
          <w:p>
            <w:pPr>
              <w:ind w:left="160"/>
              <w:spacing w:after="0"/>
              <w:rPr>
                <w:sz w:val="20"/>
                <w:szCs w:val="20"/>
                <w:color w:val="auto"/>
              </w:rPr>
            </w:pPr>
            <w:r>
              <w:rPr>
                <w:rFonts w:ascii="Arial" w:cs="Arial" w:eastAsia="Arial" w:hAnsi="Arial"/>
                <w:sz w:val="18"/>
                <w:szCs w:val="18"/>
                <w:color w:val="0000FF"/>
              </w:rPr>
              <w:t>10017</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60" w:type="dxa"/>
            <w:vAlign w:val="bottom"/>
            <w:gridSpan w:val="5"/>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6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60" w:type="dxa"/>
            <w:vAlign w:val="bottom"/>
            <w:gridSpan w:val="6"/>
          </w:tcPr>
          <w:p>
            <w:pPr>
              <w:spacing w:after="0" w:line="224" w:lineRule="exact"/>
              <w:rPr>
                <w:rFonts w:ascii="Arial" w:cs="Arial" w:eastAsia="Arial" w:hAnsi="Arial"/>
                <w:sz w:val="22"/>
                <w:szCs w:val="22"/>
                <w:color w:val="0000EE"/>
                <w:w w:val="93"/>
              </w:rPr>
            </w:pPr>
            <w:hyperlink r:id="rId18">
              <w:r>
                <w:rPr>
                  <w:rFonts w:ascii="Arial" w:cs="Arial" w:eastAsia="Arial" w:hAnsi="Arial"/>
                  <w:sz w:val="22"/>
                  <w:szCs w:val="22"/>
                  <w:color w:val="0000EE"/>
                  <w:w w:val="93"/>
                </w:rPr>
                <w:t>Warburg Pincus Partners LLC</w:t>
              </w:r>
            </w:hyperlink>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5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60" w:type="dxa"/>
            <w:vAlign w:val="bottom"/>
            <w:gridSpan w:val="5"/>
          </w:tcPr>
          <w:p>
            <w:pPr>
              <w:ind w:left="260"/>
              <w:spacing w:after="0"/>
              <w:rPr>
                <w:sz w:val="20"/>
                <w:szCs w:val="20"/>
                <w:color w:val="auto"/>
              </w:rPr>
            </w:pPr>
            <w:r>
              <w:rPr>
                <w:rFonts w:ascii="Arial" w:cs="Arial" w:eastAsia="Arial" w:hAnsi="Arial"/>
                <w:sz w:val="14"/>
                <w:szCs w:val="14"/>
                <w:color w:val="auto"/>
              </w:rPr>
              <w:t>(First)</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60" w:type="dxa"/>
            <w:vAlign w:val="bottom"/>
            <w:gridSpan w:val="6"/>
          </w:tcPr>
          <w:p>
            <w:pPr>
              <w:spacing w:after="0"/>
              <w:rPr>
                <w:sz w:val="20"/>
                <w:szCs w:val="20"/>
                <w:color w:val="auto"/>
              </w:rPr>
            </w:pPr>
            <w:r>
              <w:rPr>
                <w:rFonts w:ascii="Arial" w:cs="Arial" w:eastAsia="Arial" w:hAnsi="Arial"/>
                <w:sz w:val="18"/>
                <w:szCs w:val="18"/>
                <w:color w:val="0000FF"/>
              </w:rPr>
              <w:t>C/O WARBURG PINCUS LLC</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2760" w:type="dxa"/>
            <w:vAlign w:val="bottom"/>
            <w:gridSpan w:val="6"/>
          </w:tcPr>
          <w:p>
            <w:pPr>
              <w:spacing w:after="0"/>
              <w:rPr>
                <w:sz w:val="20"/>
                <w:szCs w:val="20"/>
                <w:color w:val="auto"/>
              </w:rPr>
            </w:pPr>
            <w:r>
              <w:rPr>
                <w:rFonts w:ascii="Arial" w:cs="Arial" w:eastAsia="Arial" w:hAnsi="Arial"/>
                <w:sz w:val="18"/>
                <w:szCs w:val="18"/>
                <w:color w:val="0000FF"/>
              </w:rPr>
              <w:t>450 LEXINGTON AVENUE</w:t>
            </w: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560" w:type="dxa"/>
            <w:vAlign w:val="bottom"/>
            <w:gridSpan w:val="5"/>
          </w:tcPr>
          <w:p>
            <w:pPr>
              <w:ind w:left="260"/>
              <w:spacing w:after="0"/>
              <w:rPr>
                <w:sz w:val="20"/>
                <w:szCs w:val="20"/>
                <w:color w:val="auto"/>
              </w:rPr>
            </w:pPr>
            <w:r>
              <w:rPr>
                <w:rFonts w:ascii="Arial" w:cs="Arial" w:eastAsia="Arial" w:hAnsi="Arial"/>
                <w:sz w:val="18"/>
                <w:szCs w:val="18"/>
                <w:color w:val="0000FF"/>
              </w:rPr>
              <w:t>NY</w:t>
            </w:r>
          </w:p>
        </w:tc>
        <w:tc>
          <w:tcPr>
            <w:tcW w:w="1580" w:type="dxa"/>
            <w:vAlign w:val="bottom"/>
          </w:tcPr>
          <w:p>
            <w:pPr>
              <w:ind w:left="160"/>
              <w:spacing w:after="0"/>
              <w:rPr>
                <w:sz w:val="20"/>
                <w:szCs w:val="20"/>
                <w:color w:val="auto"/>
              </w:rPr>
            </w:pPr>
            <w:r>
              <w:rPr>
                <w:rFonts w:ascii="Arial" w:cs="Arial" w:eastAsia="Arial" w:hAnsi="Arial"/>
                <w:sz w:val="18"/>
                <w:szCs w:val="18"/>
                <w:color w:val="0000FF"/>
              </w:rPr>
              <w:t>10017</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60" w:type="dxa"/>
            <w:vAlign w:val="bottom"/>
            <w:gridSpan w:val="5"/>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6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60" w:type="dxa"/>
            <w:vAlign w:val="bottom"/>
            <w:gridSpan w:val="6"/>
          </w:tcPr>
          <w:p>
            <w:pPr>
              <w:spacing w:after="0" w:line="224" w:lineRule="exact"/>
              <w:rPr>
                <w:rFonts w:ascii="Arial" w:cs="Arial" w:eastAsia="Arial" w:hAnsi="Arial"/>
                <w:sz w:val="22"/>
                <w:szCs w:val="22"/>
                <w:color w:val="0000EE"/>
              </w:rPr>
            </w:pPr>
            <w:hyperlink r:id="rId19">
              <w:r>
                <w:rPr>
                  <w:rFonts w:ascii="Arial" w:cs="Arial" w:eastAsia="Arial" w:hAnsi="Arial"/>
                  <w:sz w:val="22"/>
                  <w:szCs w:val="22"/>
                  <w:color w:val="0000EE"/>
                </w:rPr>
                <w:t>WARBURG PINCUS LLC</w:t>
              </w:r>
            </w:hyperlink>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5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60" w:type="dxa"/>
            <w:vAlign w:val="bottom"/>
            <w:gridSpan w:val="5"/>
          </w:tcPr>
          <w:p>
            <w:pPr>
              <w:ind w:left="260"/>
              <w:spacing w:after="0"/>
              <w:rPr>
                <w:sz w:val="20"/>
                <w:szCs w:val="20"/>
                <w:color w:val="auto"/>
              </w:rPr>
            </w:pPr>
            <w:r>
              <w:rPr>
                <w:rFonts w:ascii="Arial" w:cs="Arial" w:eastAsia="Arial" w:hAnsi="Arial"/>
                <w:sz w:val="14"/>
                <w:szCs w:val="14"/>
                <w:color w:val="auto"/>
              </w:rPr>
              <w:t>(First)</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60" w:type="dxa"/>
            <w:vAlign w:val="bottom"/>
            <w:gridSpan w:val="6"/>
          </w:tcPr>
          <w:p>
            <w:pPr>
              <w:spacing w:after="0"/>
              <w:rPr>
                <w:sz w:val="20"/>
                <w:szCs w:val="20"/>
                <w:color w:val="auto"/>
              </w:rPr>
            </w:pPr>
            <w:r>
              <w:rPr>
                <w:rFonts w:ascii="Arial" w:cs="Arial" w:eastAsia="Arial" w:hAnsi="Arial"/>
                <w:sz w:val="18"/>
                <w:szCs w:val="18"/>
                <w:color w:val="0000FF"/>
              </w:rPr>
              <w:t>450 LEXINGTON AVENUE</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5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560" w:type="dxa"/>
            <w:vAlign w:val="bottom"/>
            <w:gridSpan w:val="5"/>
          </w:tcPr>
          <w:p>
            <w:pPr>
              <w:ind w:left="260"/>
              <w:spacing w:after="0"/>
              <w:rPr>
                <w:sz w:val="20"/>
                <w:szCs w:val="20"/>
                <w:color w:val="auto"/>
              </w:rPr>
            </w:pPr>
            <w:r>
              <w:rPr>
                <w:rFonts w:ascii="Arial" w:cs="Arial" w:eastAsia="Arial" w:hAnsi="Arial"/>
                <w:sz w:val="18"/>
                <w:szCs w:val="18"/>
                <w:color w:val="0000FF"/>
              </w:rPr>
              <w:t>NY</w:t>
            </w:r>
          </w:p>
        </w:tc>
        <w:tc>
          <w:tcPr>
            <w:tcW w:w="1580" w:type="dxa"/>
            <w:vAlign w:val="bottom"/>
          </w:tcPr>
          <w:p>
            <w:pPr>
              <w:ind w:left="160"/>
              <w:spacing w:after="0"/>
              <w:rPr>
                <w:sz w:val="20"/>
                <w:szCs w:val="20"/>
                <w:color w:val="auto"/>
              </w:rPr>
            </w:pPr>
            <w:r>
              <w:rPr>
                <w:rFonts w:ascii="Arial" w:cs="Arial" w:eastAsia="Arial" w:hAnsi="Arial"/>
                <w:sz w:val="18"/>
                <w:szCs w:val="18"/>
                <w:color w:val="0000FF"/>
              </w:rPr>
              <w:t>10017</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60" w:type="dxa"/>
            <w:vAlign w:val="bottom"/>
            <w:gridSpan w:val="5"/>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6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60" w:type="dxa"/>
            <w:vAlign w:val="bottom"/>
            <w:gridSpan w:val="6"/>
          </w:tcPr>
          <w:p>
            <w:pPr>
              <w:spacing w:after="0" w:line="224" w:lineRule="exact"/>
              <w:rPr>
                <w:rFonts w:ascii="Arial" w:cs="Arial" w:eastAsia="Arial" w:hAnsi="Arial"/>
                <w:sz w:val="22"/>
                <w:szCs w:val="22"/>
                <w:color w:val="0000EE"/>
              </w:rPr>
            </w:pPr>
            <w:hyperlink r:id="rId20">
              <w:r>
                <w:rPr>
                  <w:rFonts w:ascii="Arial" w:cs="Arial" w:eastAsia="Arial" w:hAnsi="Arial"/>
                  <w:sz w:val="22"/>
                  <w:szCs w:val="22"/>
                  <w:color w:val="0000EE"/>
                </w:rPr>
                <w:t>KAYE CHARLES R</w:t>
              </w:r>
            </w:hyperlink>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5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60" w:type="dxa"/>
            <w:vAlign w:val="bottom"/>
            <w:gridSpan w:val="5"/>
          </w:tcPr>
          <w:p>
            <w:pPr>
              <w:ind w:left="260"/>
              <w:spacing w:after="0"/>
              <w:rPr>
                <w:sz w:val="20"/>
                <w:szCs w:val="20"/>
                <w:color w:val="auto"/>
              </w:rPr>
            </w:pPr>
            <w:r>
              <w:rPr>
                <w:rFonts w:ascii="Arial" w:cs="Arial" w:eastAsia="Arial" w:hAnsi="Arial"/>
                <w:sz w:val="14"/>
                <w:szCs w:val="14"/>
                <w:color w:val="auto"/>
              </w:rPr>
              <w:t>(First)</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60" w:type="dxa"/>
            <w:vAlign w:val="bottom"/>
            <w:gridSpan w:val="6"/>
          </w:tcPr>
          <w:p>
            <w:pPr>
              <w:spacing w:after="0"/>
              <w:rPr>
                <w:sz w:val="20"/>
                <w:szCs w:val="20"/>
                <w:color w:val="auto"/>
              </w:rPr>
            </w:pPr>
            <w:r>
              <w:rPr>
                <w:rFonts w:ascii="Arial" w:cs="Arial" w:eastAsia="Arial" w:hAnsi="Arial"/>
                <w:sz w:val="18"/>
                <w:szCs w:val="18"/>
                <w:color w:val="0000FF"/>
              </w:rPr>
              <w:t>C/O WARBURG PINCUS LLC</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2760" w:type="dxa"/>
            <w:vAlign w:val="bottom"/>
            <w:gridSpan w:val="6"/>
          </w:tcPr>
          <w:p>
            <w:pPr>
              <w:spacing w:after="0"/>
              <w:rPr>
                <w:sz w:val="20"/>
                <w:szCs w:val="20"/>
                <w:color w:val="auto"/>
              </w:rPr>
            </w:pPr>
            <w:r>
              <w:rPr>
                <w:rFonts w:ascii="Arial" w:cs="Arial" w:eastAsia="Arial" w:hAnsi="Arial"/>
                <w:sz w:val="18"/>
                <w:szCs w:val="18"/>
                <w:color w:val="0000FF"/>
              </w:rPr>
              <w:t>450 LEXINGTON AVE</w:t>
            </w: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560" w:type="dxa"/>
            <w:vAlign w:val="bottom"/>
            <w:gridSpan w:val="5"/>
          </w:tcPr>
          <w:p>
            <w:pPr>
              <w:ind w:left="260"/>
              <w:spacing w:after="0"/>
              <w:rPr>
                <w:sz w:val="20"/>
                <w:szCs w:val="20"/>
                <w:color w:val="auto"/>
              </w:rPr>
            </w:pPr>
            <w:r>
              <w:rPr>
                <w:rFonts w:ascii="Arial" w:cs="Arial" w:eastAsia="Arial" w:hAnsi="Arial"/>
                <w:sz w:val="18"/>
                <w:szCs w:val="18"/>
                <w:color w:val="0000FF"/>
              </w:rPr>
              <w:t>NY</w:t>
            </w:r>
          </w:p>
        </w:tc>
        <w:tc>
          <w:tcPr>
            <w:tcW w:w="1580" w:type="dxa"/>
            <w:vAlign w:val="bottom"/>
          </w:tcPr>
          <w:p>
            <w:pPr>
              <w:ind w:left="160"/>
              <w:spacing w:after="0"/>
              <w:rPr>
                <w:sz w:val="20"/>
                <w:szCs w:val="20"/>
                <w:color w:val="auto"/>
              </w:rPr>
            </w:pPr>
            <w:r>
              <w:rPr>
                <w:rFonts w:ascii="Arial" w:cs="Arial" w:eastAsia="Arial" w:hAnsi="Arial"/>
                <w:sz w:val="18"/>
                <w:szCs w:val="18"/>
                <w:color w:val="0000FF"/>
              </w:rPr>
              <w:t>10017</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60" w:type="dxa"/>
            <w:vAlign w:val="bottom"/>
            <w:gridSpan w:val="5"/>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6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60" w:type="dxa"/>
            <w:vAlign w:val="bottom"/>
            <w:gridSpan w:val="6"/>
          </w:tcPr>
          <w:p>
            <w:pPr>
              <w:spacing w:after="0" w:line="224" w:lineRule="exact"/>
              <w:rPr>
                <w:rFonts w:ascii="Arial" w:cs="Arial" w:eastAsia="Arial" w:hAnsi="Arial"/>
                <w:sz w:val="22"/>
                <w:szCs w:val="22"/>
                <w:color w:val="0000EE"/>
              </w:rPr>
            </w:pPr>
            <w:hyperlink r:id="rId21">
              <w:r>
                <w:rPr>
                  <w:rFonts w:ascii="Arial" w:cs="Arial" w:eastAsia="Arial" w:hAnsi="Arial"/>
                  <w:sz w:val="22"/>
                  <w:szCs w:val="22"/>
                  <w:color w:val="0000EE"/>
                </w:rPr>
                <w:t>LANDY JOSEPH</w:t>
              </w:r>
            </w:hyperlink>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5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60" w:type="dxa"/>
            <w:vAlign w:val="bottom"/>
            <w:gridSpan w:val="5"/>
          </w:tcPr>
          <w:p>
            <w:pPr>
              <w:ind w:left="260"/>
              <w:spacing w:after="0"/>
              <w:rPr>
                <w:sz w:val="20"/>
                <w:szCs w:val="20"/>
                <w:color w:val="auto"/>
              </w:rPr>
            </w:pPr>
            <w:r>
              <w:rPr>
                <w:rFonts w:ascii="Arial" w:cs="Arial" w:eastAsia="Arial" w:hAnsi="Arial"/>
                <w:sz w:val="14"/>
                <w:szCs w:val="14"/>
                <w:color w:val="auto"/>
              </w:rPr>
              <w:t>(First)</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60" w:type="dxa"/>
            <w:vAlign w:val="bottom"/>
            <w:gridSpan w:val="6"/>
          </w:tcPr>
          <w:p>
            <w:pPr>
              <w:spacing w:after="0"/>
              <w:rPr>
                <w:sz w:val="20"/>
                <w:szCs w:val="20"/>
                <w:color w:val="auto"/>
              </w:rPr>
            </w:pPr>
            <w:r>
              <w:rPr>
                <w:rFonts w:ascii="Arial" w:cs="Arial" w:eastAsia="Arial" w:hAnsi="Arial"/>
                <w:sz w:val="18"/>
                <w:szCs w:val="18"/>
                <w:color w:val="0000FF"/>
              </w:rPr>
              <w:t>C/O WARBURG PINCUS LLC</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2760" w:type="dxa"/>
            <w:vAlign w:val="bottom"/>
            <w:gridSpan w:val="6"/>
          </w:tcPr>
          <w:p>
            <w:pPr>
              <w:spacing w:after="0"/>
              <w:rPr>
                <w:sz w:val="20"/>
                <w:szCs w:val="20"/>
                <w:color w:val="auto"/>
              </w:rPr>
            </w:pPr>
            <w:r>
              <w:rPr>
                <w:rFonts w:ascii="Arial" w:cs="Arial" w:eastAsia="Arial" w:hAnsi="Arial"/>
                <w:sz w:val="18"/>
                <w:szCs w:val="18"/>
                <w:color w:val="0000FF"/>
              </w:rPr>
              <w:t>450 LEXINGTON AVE</w:t>
            </w: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560" w:type="dxa"/>
            <w:vAlign w:val="bottom"/>
            <w:gridSpan w:val="5"/>
          </w:tcPr>
          <w:p>
            <w:pPr>
              <w:ind w:left="260"/>
              <w:spacing w:after="0"/>
              <w:rPr>
                <w:sz w:val="20"/>
                <w:szCs w:val="20"/>
                <w:color w:val="auto"/>
              </w:rPr>
            </w:pPr>
            <w:r>
              <w:rPr>
                <w:rFonts w:ascii="Arial" w:cs="Arial" w:eastAsia="Arial" w:hAnsi="Arial"/>
                <w:sz w:val="18"/>
                <w:szCs w:val="18"/>
                <w:color w:val="0000FF"/>
              </w:rPr>
              <w:t>NY</w:t>
            </w:r>
          </w:p>
        </w:tc>
        <w:tc>
          <w:tcPr>
            <w:tcW w:w="1580" w:type="dxa"/>
            <w:vAlign w:val="bottom"/>
          </w:tcPr>
          <w:p>
            <w:pPr>
              <w:ind w:left="160"/>
              <w:spacing w:after="0"/>
              <w:rPr>
                <w:sz w:val="20"/>
                <w:szCs w:val="20"/>
                <w:color w:val="auto"/>
              </w:rPr>
            </w:pPr>
            <w:r>
              <w:rPr>
                <w:rFonts w:ascii="Arial" w:cs="Arial" w:eastAsia="Arial" w:hAnsi="Arial"/>
                <w:sz w:val="18"/>
                <w:szCs w:val="18"/>
                <w:color w:val="0000FF"/>
              </w:rPr>
              <w:t>10017</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60" w:type="dxa"/>
            <w:vAlign w:val="bottom"/>
            <w:gridSpan w:val="5"/>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78339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2924175" cy="783399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were disposed at a price of $0.3808997</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See Exhibit 99.1; Note 1</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See Exhibit 99.1; Note 2</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4"/>
          <w:szCs w:val="14"/>
          <w:color w:val="008000"/>
        </w:rPr>
        <w:t>Exhibit List: Exhibit 99.1 - Explanation of Responses Exhibit 99.2 - Joint Filer Information Exhibit 99.3 - Joint Filers' Signatures</w:t>
      </w:r>
    </w:p>
    <w:p>
      <w:pPr>
        <w:spacing w:after="0" w:line="71"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WARBURG PINCUS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9817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98171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PRIVATE EQUITY IX,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890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28905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By: Warburg Pincus IX,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339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133921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483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104838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Warburg Pincus Partners, LLC, 06/24/2011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9532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its Sole Member, By: Warburg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3620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136207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Pincus &amp; Co.,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388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23888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Member, By: /s/ Scott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163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11633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Arenare,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7366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736600" cy="8890"/>
                    </a:xfrm>
                    <a:prstGeom prst="rect">
                      <a:avLst/>
                    </a:prstGeom>
                    <a:noFill/>
                  </pic:spPr>
                </pic:pic>
              </a:graphicData>
            </a:graphic>
          </wp:anchor>
        </w:drawing>
      </w:r>
    </w:p>
    <w:p>
      <w:pPr>
        <w:spacing w:after="0" w:line="44" w:lineRule="exact"/>
        <w:rPr>
          <w:sz w:val="20"/>
          <w:szCs w:val="20"/>
          <w:color w:val="auto"/>
        </w:rPr>
      </w:pPr>
    </w:p>
    <w:p>
      <w:pPr>
        <w:ind w:left="6840"/>
        <w:spacing w:after="0"/>
        <w:tabs>
          <w:tab w:leader="none" w:pos="912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w:t>
      </w:r>
    </w:p>
    <w:p>
      <w:pPr>
        <w:sectPr>
          <w:pgSz w:w="11900" w:h="16838" w:orient="portrait"/>
          <w:cols w:equalWidth="0" w:num="1">
            <w:col w:w="10199"/>
          </w:cols>
          <w:pgMar w:left="260" w:top="274" w:right="1440" w:bottom="0" w:gutter="0" w:footer="0" w:header="0"/>
        </w:sectPr>
      </w:pPr>
    </w:p>
    <w:bookmarkStart w:id="2" w:name="page3"/>
    <w:bookmarkEnd w:id="2"/>
    <w:p>
      <w:pPr>
        <w:spacing w:after="0"/>
        <w:rPr>
          <w:sz w:val="20"/>
          <w:szCs w:val="20"/>
          <w:color w:val="auto"/>
        </w:rPr>
      </w:pPr>
      <w:r>
        <w:rPr>
          <w:rFonts w:ascii="Arial" w:cs="Arial" w:eastAsia="Arial" w:hAnsi="Arial"/>
          <w:sz w:val="14"/>
          <w:szCs w:val="14"/>
          <w:color w:val="auto"/>
        </w:rPr>
        <w:t xml:space="preserve">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320"/>
          </w:cols>
          <w:pgMar w:left="280" w:top="125" w:right="129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Designated Filer: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Issuer &amp; Ticker Symbol: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Date of Event Requiring Statement: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Warburg Pincus Private Equity IX, 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Vringo, Inc. (VRNG)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22, 2011</w:t>
      </w:r>
    </w:p>
    <w:p>
      <w:pPr>
        <w:spacing w:after="0" w:line="200" w:lineRule="exact"/>
        <w:rPr>
          <w:sz w:val="20"/>
          <w:szCs w:val="20"/>
          <w:color w:val="auto"/>
        </w:rPr>
      </w:pPr>
    </w:p>
    <w:p>
      <w:pPr>
        <w:sectPr>
          <w:pgSz w:w="11900" w:h="16838" w:orient="portrait"/>
          <w:cols w:equalWidth="0" w:num="2">
            <w:col w:w="3080" w:space="720"/>
            <w:col w:w="7580"/>
          </w:cols>
          <w:pgMar w:left="240" w:top="584" w:right="279" w:bottom="1440" w:gutter="0" w:footer="0" w:header="0"/>
        </w:sectPr>
      </w:pPr>
    </w:p>
    <w:p>
      <w:pPr>
        <w:spacing w:after="0" w:line="1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Explanation of Responses:</w:t>
      </w:r>
    </w:p>
    <w:p>
      <w:pPr>
        <w:sectPr>
          <w:pgSz w:w="11900" w:h="16838" w:orient="portrait"/>
          <w:cols w:equalWidth="0" w:num="1">
            <w:col w:w="11380"/>
          </w:cols>
          <w:pgMar w:left="240" w:top="584" w:right="279" w:bottom="1440" w:gutter="0" w:footer="0" w:header="0"/>
          <w:type w:val="continuous"/>
        </w:sectPr>
      </w:pPr>
    </w:p>
    <w:p>
      <w:pPr>
        <w:spacing w:after="0" w:line="248" w:lineRule="exact"/>
        <w:rPr>
          <w:sz w:val="20"/>
          <w:szCs w:val="20"/>
          <w:color w:val="auto"/>
        </w:rPr>
      </w:pPr>
    </w:p>
    <w:p>
      <w:pPr>
        <w:ind w:right="60" w:firstLine="8"/>
        <w:spacing w:after="0" w:line="259" w:lineRule="auto"/>
        <w:tabs>
          <w:tab w:leader="none" w:pos="70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Form 4 is filed on behalf of Warburg Pincus Private Equity IX, L.P., a Delaware limited partnership (“WP IX”), Warburg Pincus IX LLC, a New York limited liability company (“WP IX LLC”), Warburg Pincus Partners, LLC, a New York limited liability company (“WPP LLC”), Warburg Pincus &amp; Co., a New York general partnership (“WP”), Warburg Pincus LLC, a New York limited liability company (“WP LLC”), and Messrs. Charles R. Kaye and Joseph P. Landy (collectively, the “Warburg Pincus Reporting Persons”).</w:t>
      </w:r>
    </w:p>
    <w:p>
      <w:pPr>
        <w:spacing w:after="0" w:line="186" w:lineRule="exact"/>
        <w:rPr>
          <w:rFonts w:ascii="Arial" w:cs="Arial" w:eastAsia="Arial" w:hAnsi="Arial"/>
          <w:sz w:val="18"/>
          <w:szCs w:val="18"/>
          <w:color w:val="auto"/>
        </w:rPr>
      </w:pPr>
    </w:p>
    <w:p>
      <w:pPr>
        <w:ind w:firstLine="8"/>
        <w:spacing w:after="0" w:line="290" w:lineRule="auto"/>
        <w:tabs>
          <w:tab w:leader="none" w:pos="705" w:val="left"/>
        </w:tabs>
        <w:numPr>
          <w:ilvl w:val="0"/>
          <w:numId w:val="3"/>
        </w:numPr>
        <w:rPr>
          <w:rFonts w:ascii="Arial" w:cs="Arial" w:eastAsia="Arial" w:hAnsi="Arial"/>
          <w:sz w:val="16"/>
          <w:szCs w:val="16"/>
          <w:color w:val="auto"/>
        </w:rPr>
      </w:pPr>
      <w:r>
        <w:rPr>
          <w:rFonts w:ascii="Arial" w:cs="Arial" w:eastAsia="Arial" w:hAnsi="Arial"/>
          <w:sz w:val="16"/>
          <w:szCs w:val="16"/>
          <w:color w:val="auto"/>
        </w:rPr>
        <w:t>Prior to the transaction reported herein, WP IX was the direct record owner of 840,116 shares of Common Stock, par value $0.01 per share (the “Common Stock”), of Vringo, Inc. (the “Issuer”). Pursuant to the Stock Purchase Agreements entered into as of June 22, 2011, WP IX disposed of all of its Common Stock of the Issuer. The sole general partner of WP IX is WP IX LLC. WPP LLC is the sole member of WP IX LLC. WP is the managing member of WPP LLC. WP LLC manages WP IX. Charles R. Kaye and Joseph P. Landy are each Managing General Partners of WP and Co-Presidents and Managing Members of WP LLC and may be deemed to control the Warburg Pincus Reporting Persons. By reason of the provisions of Rule 16a-1 of the Securities Exchange Act of 1934, as amended, WP IX LLC, WPP LLC, WP, WP LLC, Mr. Kaye and Mr. Landy may be deemed to be the beneficial owners of any securities that may be deemed to be beneficially owned by WP IX. Each of WP IX LLC, WPP LLC, WP, WP LLC, Mr. Kaye and Mr. Landy disclaims beneficial ownership of all shares of Common Stock of the Issuer except to the extent of any indirect pecuniary interest therein.</w:t>
      </w:r>
    </w:p>
    <w:p>
      <w:pPr>
        <w:sectPr>
          <w:pgSz w:w="11900" w:h="16838" w:orient="portrait"/>
          <w:cols w:equalWidth="0" w:num="1">
            <w:col w:w="11380"/>
          </w:cols>
          <w:pgMar w:left="240" w:top="584" w:right="27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color w:val="auto"/>
        </w:rPr>
        <w:t>Designated Filer: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Issuer &amp; Ticker Symbol: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Date of Event Requiring Statement: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Warburg Pincus Private Equity IX, 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Vringo, Inc. (VRNG)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22, 2011</w:t>
      </w:r>
    </w:p>
    <w:p>
      <w:pPr>
        <w:spacing w:after="0" w:line="200" w:lineRule="exact"/>
        <w:rPr>
          <w:sz w:val="20"/>
          <w:szCs w:val="20"/>
          <w:color w:val="auto"/>
        </w:rPr>
      </w:pPr>
    </w:p>
    <w:p>
      <w:pPr>
        <w:sectPr>
          <w:pgSz w:w="11900" w:h="16838" w:orient="portrait"/>
          <w:cols w:equalWidth="0" w:num="2">
            <w:col w:w="3340" w:space="720"/>
            <w:col w:w="6159"/>
          </w:cols>
          <w:pgMar w:left="240" w:top="584" w:right="1440" w:bottom="1440" w:gutter="0" w:footer="0" w:header="0"/>
        </w:sectPr>
      </w:pPr>
    </w:p>
    <w:p>
      <w:pPr>
        <w:spacing w:after="0" w:line="7" w:lineRule="exact"/>
        <w:rPr>
          <w:sz w:val="20"/>
          <w:szCs w:val="20"/>
          <w:color w:val="auto"/>
        </w:rPr>
      </w:pPr>
    </w:p>
    <w:p>
      <w:pPr>
        <w:jc w:val="right"/>
        <w:ind w:right="3619"/>
        <w:spacing w:after="0"/>
        <w:rPr>
          <w:sz w:val="20"/>
          <w:szCs w:val="20"/>
          <w:color w:val="auto"/>
        </w:rPr>
      </w:pPr>
      <w:r>
        <w:rPr>
          <w:rFonts w:ascii="Arial" w:cs="Arial" w:eastAsia="Arial" w:hAnsi="Arial"/>
          <w:sz w:val="18"/>
          <w:szCs w:val="18"/>
          <w:b w:val="1"/>
          <w:bCs w:val="1"/>
          <w:color w:val="auto"/>
        </w:rPr>
        <w:t>Joint Filer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Joint Filers:</w:t>
      </w:r>
    </w:p>
    <w:p>
      <w:pPr>
        <w:sectPr>
          <w:pgSz w:w="11900" w:h="16838" w:orient="portrait"/>
          <w:cols w:equalWidth="0" w:num="1">
            <w:col w:w="10219"/>
          </w:cols>
          <w:pgMar w:left="240" w:top="584" w:right="1440" w:bottom="1440" w:gutter="0" w:footer="0" w:header="0"/>
          <w:type w:val="continuous"/>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1. Name: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Warburg Pincus IX LLC</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 Warburg Pincus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450 Lexington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pacing w:after="0" w:line="200" w:lineRule="exact"/>
        <w:rPr>
          <w:sz w:val="20"/>
          <w:szCs w:val="20"/>
          <w:color w:val="auto"/>
        </w:rPr>
      </w:pPr>
    </w:p>
    <w:p>
      <w:pPr>
        <w:sectPr>
          <w:pgSz w:w="11900" w:h="16838" w:orient="portrait"/>
          <w:cols w:equalWidth="0" w:num="2">
            <w:col w:w="1080" w:space="720"/>
            <w:col w:w="8419"/>
          </w:cols>
          <w:pgMar w:left="240" w:top="584"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2. Name: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Warburg Pincus Partners,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 Warburg Pincus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450 Lexington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pacing w:after="0" w:line="200" w:lineRule="exact"/>
        <w:rPr>
          <w:sz w:val="20"/>
          <w:szCs w:val="20"/>
          <w:color w:val="auto"/>
        </w:rPr>
      </w:pPr>
    </w:p>
    <w:p>
      <w:pPr>
        <w:sectPr>
          <w:pgSz w:w="11900" w:h="16838" w:orient="portrait"/>
          <w:cols w:equalWidth="0" w:num="2">
            <w:col w:w="1080" w:space="720"/>
            <w:col w:w="8419"/>
          </w:cols>
          <w:pgMar w:left="240" w:top="584"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3. Name: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Warburg Pincus &amp; Co.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450 Lexington Avenue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New York, NY 10017</w:t>
      </w:r>
    </w:p>
    <w:p>
      <w:pPr>
        <w:spacing w:after="0" w:line="200" w:lineRule="exact"/>
        <w:rPr>
          <w:sz w:val="20"/>
          <w:szCs w:val="20"/>
          <w:color w:val="auto"/>
        </w:rPr>
      </w:pPr>
    </w:p>
    <w:p>
      <w:pPr>
        <w:sectPr>
          <w:pgSz w:w="11900" w:h="16838" w:orient="portrait"/>
          <w:cols w:equalWidth="0" w:num="2">
            <w:col w:w="1080" w:space="720"/>
            <w:col w:w="8419"/>
          </w:cols>
          <w:pgMar w:left="240" w:top="584" w:right="1440" w:bottom="1440" w:gutter="0" w:footer="0" w:header="0"/>
          <w:type w:val="continuous"/>
        </w:sect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4. Name: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Warburg Pincus LLC</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450 Lexington Avenue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New York, NY 10017</w:t>
      </w:r>
    </w:p>
    <w:p>
      <w:pPr>
        <w:spacing w:after="0" w:line="200" w:lineRule="exact"/>
        <w:rPr>
          <w:sz w:val="20"/>
          <w:szCs w:val="20"/>
          <w:color w:val="auto"/>
        </w:rPr>
      </w:pPr>
    </w:p>
    <w:p>
      <w:pPr>
        <w:sectPr>
          <w:pgSz w:w="11900" w:h="16838" w:orient="portrait"/>
          <w:cols w:equalWidth="0" w:num="2">
            <w:col w:w="1080" w:space="720"/>
            <w:col w:w="8419"/>
          </w:cols>
          <w:pgMar w:left="240" w:top="584" w:right="1440"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5. Name: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Charles R. Kaye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 Warburg Pincus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450 Lexington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pacing w:after="0" w:line="200" w:lineRule="exact"/>
        <w:rPr>
          <w:sz w:val="20"/>
          <w:szCs w:val="20"/>
          <w:color w:val="auto"/>
        </w:rPr>
      </w:pPr>
    </w:p>
    <w:p>
      <w:pPr>
        <w:sectPr>
          <w:pgSz w:w="11900" w:h="16838" w:orient="portrait"/>
          <w:cols w:equalWidth="0" w:num="2">
            <w:col w:w="1080" w:space="720"/>
            <w:col w:w="8419"/>
          </w:cols>
          <w:pgMar w:left="240" w:top="584"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6. Name: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Joseph P. Landy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 Warburg Pincus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450 Lexington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ectPr>
          <w:pgSz w:w="11900" w:h="16838" w:orient="portrait"/>
          <w:cols w:equalWidth="0" w:num="2">
            <w:col w:w="1080" w:space="720"/>
            <w:col w:w="8419"/>
          </w:cols>
          <w:pgMar w:left="240" w:top="584" w:right="1440"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color w:val="auto"/>
        </w:rPr>
        <w:t>Designated Filer: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Issuer &amp; Ticker Symbol: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Date of Event Requiring Statement: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Warburg Pincus Private Equity IX, 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Vringo, Inc. (VRNG)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22, 2011</w:t>
      </w:r>
    </w:p>
    <w:p>
      <w:pPr>
        <w:spacing w:after="0" w:line="200" w:lineRule="exact"/>
        <w:rPr>
          <w:sz w:val="20"/>
          <w:szCs w:val="20"/>
          <w:color w:val="auto"/>
        </w:rPr>
      </w:pPr>
    </w:p>
    <w:p>
      <w:pPr>
        <w:sectPr>
          <w:pgSz w:w="11900" w:h="16838" w:orient="portrait"/>
          <w:cols w:equalWidth="0" w:num="2">
            <w:col w:w="3340" w:space="720"/>
            <w:col w:w="6159"/>
          </w:cols>
          <w:pgMar w:left="240" w:top="584" w:right="1440" w:bottom="1440" w:gutter="0" w:footer="0" w:header="0"/>
        </w:sectPr>
      </w:pPr>
    </w:p>
    <w:p>
      <w:pPr>
        <w:spacing w:after="0" w:line="7" w:lineRule="exact"/>
        <w:rPr>
          <w:sz w:val="20"/>
          <w:szCs w:val="20"/>
          <w:color w:val="auto"/>
        </w:rPr>
      </w:pPr>
    </w:p>
    <w:p>
      <w:pPr>
        <w:ind w:left="4820"/>
        <w:spacing w:after="0"/>
        <w:rPr>
          <w:sz w:val="20"/>
          <w:szCs w:val="20"/>
          <w:color w:val="auto"/>
        </w:rPr>
      </w:pPr>
      <w:r>
        <w:rPr>
          <w:rFonts w:ascii="Arial" w:cs="Arial" w:eastAsia="Arial" w:hAnsi="Arial"/>
          <w:sz w:val="16"/>
          <w:szCs w:val="16"/>
          <w:b w:val="1"/>
          <w:bCs w:val="1"/>
          <w:color w:val="auto"/>
        </w:rPr>
        <w:t>Joint Filers’ Signatures</w:t>
      </w:r>
    </w:p>
    <w:p>
      <w:pPr>
        <w:sectPr>
          <w:pgSz w:w="11900" w:h="16838" w:orient="portrait"/>
          <w:cols w:equalWidth="0" w:num="1">
            <w:col w:w="10219"/>
          </w:cols>
          <w:pgMar w:left="240" w:top="584" w:right="1440" w:bottom="1440" w:gutter="0" w:footer="0" w:header="0"/>
          <w:type w:val="continuous"/>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WARBURG PINCUS IX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Warburg Pincus Partners, LLC, its Sole Member,</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By: Warburg Pincus &amp; Co., its Managing Member</w:t>
      </w:r>
    </w:p>
    <w:p>
      <w:pPr>
        <w:spacing w:after="0" w:line="200" w:lineRule="exact"/>
        <w:rPr>
          <w:sz w:val="20"/>
          <w:szCs w:val="20"/>
          <w:color w:val="auto"/>
        </w:rPr>
      </w:pPr>
    </w:p>
    <w:p>
      <w:pPr>
        <w:spacing w:after="0" w:line="227" w:lineRule="exact"/>
        <w:rPr>
          <w:sz w:val="20"/>
          <w:szCs w:val="20"/>
          <w:color w:val="auto"/>
        </w:rPr>
      </w:pPr>
    </w:p>
    <w:p>
      <w:pPr>
        <w:spacing w:after="0"/>
        <w:tabs>
          <w:tab w:leader="none" w:pos="480" w:val="left"/>
          <w:tab w:leader="none" w:pos="5720" w:val="left"/>
        </w:tabs>
        <w:rPr>
          <w:sz w:val="20"/>
          <w:szCs w:val="20"/>
          <w:color w:val="auto"/>
        </w:rPr>
      </w:pPr>
      <w:r>
        <w:rPr>
          <w:rFonts w:ascii="Arial" w:cs="Arial" w:eastAsia="Arial" w:hAnsi="Arial"/>
          <w:sz w:val="18"/>
          <w:szCs w:val="18"/>
          <w:color w:val="auto"/>
        </w:rPr>
        <w:t>By:</w:t>
        <w:tab/>
        <w:t>/s/ Scott A. Arenare</w:t>
      </w:r>
      <w:r>
        <w:rPr>
          <w:sz w:val="20"/>
          <w:szCs w:val="20"/>
          <w:color w:val="auto"/>
        </w:rPr>
        <w:tab/>
      </w:r>
      <w:r>
        <w:rPr>
          <w:rFonts w:ascii="Arial" w:cs="Arial" w:eastAsia="Arial" w:hAnsi="Arial"/>
          <w:sz w:val="15"/>
          <w:szCs w:val="15"/>
          <w:u w:val="single" w:color="auto"/>
          <w:color w:val="auto"/>
        </w:rPr>
        <w:t>Date: June 24,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302704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3027045" cy="17145"/>
                    </a:xfrm>
                    <a:prstGeom prst="rect">
                      <a:avLst/>
                    </a:prstGeom>
                    <a:noFill/>
                  </pic:spPr>
                </pic:pic>
              </a:graphicData>
            </a:graphic>
          </wp:anchor>
        </w:drawing>
      </w:r>
    </w:p>
    <w:p>
      <w:pPr>
        <w:spacing w:after="0" w:line="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 Scott A. Arenare</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 Partner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WARBURG PINCUS PARTNERS,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Warburg Pincus &amp; Co., its Managing Member</w:t>
      </w:r>
    </w:p>
    <w:p>
      <w:pPr>
        <w:spacing w:after="0" w:line="200" w:lineRule="exact"/>
        <w:rPr>
          <w:sz w:val="20"/>
          <w:szCs w:val="20"/>
          <w:color w:val="auto"/>
        </w:rPr>
      </w:pPr>
    </w:p>
    <w:p>
      <w:pPr>
        <w:spacing w:after="0" w:line="227" w:lineRule="exact"/>
        <w:rPr>
          <w:sz w:val="20"/>
          <w:szCs w:val="20"/>
          <w:color w:val="auto"/>
        </w:rPr>
      </w:pPr>
    </w:p>
    <w:p>
      <w:pPr>
        <w:spacing w:after="0"/>
        <w:tabs>
          <w:tab w:leader="none" w:pos="480" w:val="left"/>
          <w:tab w:leader="none" w:pos="5720" w:val="left"/>
        </w:tabs>
        <w:rPr>
          <w:sz w:val="20"/>
          <w:szCs w:val="20"/>
          <w:color w:val="auto"/>
        </w:rPr>
      </w:pPr>
      <w:r>
        <w:rPr>
          <w:rFonts w:ascii="Arial" w:cs="Arial" w:eastAsia="Arial" w:hAnsi="Arial"/>
          <w:sz w:val="18"/>
          <w:szCs w:val="18"/>
          <w:color w:val="auto"/>
        </w:rPr>
        <w:t>By:</w:t>
        <w:tab/>
        <w:t>/s/ Scott A. Arenare</w:t>
      </w:r>
      <w:r>
        <w:rPr>
          <w:sz w:val="20"/>
          <w:szCs w:val="20"/>
          <w:color w:val="auto"/>
        </w:rPr>
        <w:tab/>
      </w:r>
      <w:r>
        <w:rPr>
          <w:rFonts w:ascii="Arial" w:cs="Arial" w:eastAsia="Arial" w:hAnsi="Arial"/>
          <w:sz w:val="15"/>
          <w:szCs w:val="15"/>
          <w:u w:val="single" w:color="auto"/>
          <w:color w:val="auto"/>
        </w:rPr>
        <w:t>Date: June 24,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302704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3027045" cy="17145"/>
                    </a:xfrm>
                    <a:prstGeom prst="rect">
                      <a:avLst/>
                    </a:prstGeom>
                    <a:noFill/>
                  </pic:spPr>
                </pic:pic>
              </a:graphicData>
            </a:graphic>
          </wp:anchor>
        </w:drawing>
      </w:r>
    </w:p>
    <w:p>
      <w:pPr>
        <w:spacing w:after="0" w:line="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 Scott A. Arenare</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 Partner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WARBURG PINCUS &amp; CO.</w:t>
      </w:r>
    </w:p>
    <w:p>
      <w:pPr>
        <w:spacing w:after="0" w:line="200" w:lineRule="exact"/>
        <w:rPr>
          <w:sz w:val="20"/>
          <w:szCs w:val="20"/>
          <w:color w:val="auto"/>
        </w:rPr>
      </w:pPr>
    </w:p>
    <w:p>
      <w:pPr>
        <w:spacing w:after="0" w:line="241" w:lineRule="exact"/>
        <w:rPr>
          <w:sz w:val="20"/>
          <w:szCs w:val="20"/>
          <w:color w:val="auto"/>
        </w:rPr>
      </w:pPr>
    </w:p>
    <w:p>
      <w:pPr>
        <w:spacing w:after="0"/>
        <w:tabs>
          <w:tab w:leader="none" w:pos="480" w:val="left"/>
          <w:tab w:leader="none" w:pos="5720" w:val="left"/>
        </w:tabs>
        <w:rPr>
          <w:sz w:val="20"/>
          <w:szCs w:val="20"/>
          <w:color w:val="auto"/>
        </w:rPr>
      </w:pPr>
      <w:r>
        <w:rPr>
          <w:rFonts w:ascii="Arial" w:cs="Arial" w:eastAsia="Arial" w:hAnsi="Arial"/>
          <w:sz w:val="18"/>
          <w:szCs w:val="18"/>
          <w:color w:val="auto"/>
        </w:rPr>
        <w:t>By:</w:t>
        <w:tab/>
        <w:t>/s/ Scott A. Arenare</w:t>
      </w:r>
      <w:r>
        <w:rPr>
          <w:sz w:val="20"/>
          <w:szCs w:val="20"/>
          <w:color w:val="auto"/>
        </w:rPr>
        <w:tab/>
      </w:r>
      <w:r>
        <w:rPr>
          <w:rFonts w:ascii="Arial" w:cs="Arial" w:eastAsia="Arial" w:hAnsi="Arial"/>
          <w:sz w:val="15"/>
          <w:szCs w:val="15"/>
          <w:u w:val="single" w:color="auto"/>
          <w:color w:val="auto"/>
        </w:rPr>
        <w:t>Date: June 24,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302704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3027045" cy="17145"/>
                    </a:xfrm>
                    <a:prstGeom prst="rect">
                      <a:avLst/>
                    </a:prstGeom>
                    <a:noFill/>
                  </pic:spPr>
                </pic:pic>
              </a:graphicData>
            </a:graphic>
          </wp:anchor>
        </w:drawing>
      </w:r>
    </w:p>
    <w:p>
      <w:pPr>
        <w:spacing w:after="0" w:line="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 Scott A. Arenare</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 Partner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WARBURG PINCUS LLC</w:t>
      </w:r>
    </w:p>
    <w:p>
      <w:pPr>
        <w:spacing w:after="0" w:line="200" w:lineRule="exact"/>
        <w:rPr>
          <w:sz w:val="20"/>
          <w:szCs w:val="20"/>
          <w:color w:val="auto"/>
        </w:rPr>
      </w:pPr>
    </w:p>
    <w:p>
      <w:pPr>
        <w:spacing w:after="0" w:line="241" w:lineRule="exact"/>
        <w:rPr>
          <w:sz w:val="20"/>
          <w:szCs w:val="20"/>
          <w:color w:val="auto"/>
        </w:rPr>
      </w:pPr>
    </w:p>
    <w:p>
      <w:pPr>
        <w:spacing w:after="0"/>
        <w:tabs>
          <w:tab w:leader="none" w:pos="480" w:val="left"/>
          <w:tab w:leader="none" w:pos="5720" w:val="left"/>
        </w:tabs>
        <w:rPr>
          <w:sz w:val="20"/>
          <w:szCs w:val="20"/>
          <w:color w:val="auto"/>
        </w:rPr>
      </w:pPr>
      <w:r>
        <w:rPr>
          <w:rFonts w:ascii="Arial" w:cs="Arial" w:eastAsia="Arial" w:hAnsi="Arial"/>
          <w:sz w:val="18"/>
          <w:szCs w:val="18"/>
          <w:color w:val="auto"/>
        </w:rPr>
        <w:t>By:</w:t>
        <w:tab/>
        <w:t>/s/ Scott A. Arenare</w:t>
      </w:r>
      <w:r>
        <w:rPr>
          <w:sz w:val="20"/>
          <w:szCs w:val="20"/>
          <w:color w:val="auto"/>
        </w:rPr>
        <w:tab/>
      </w:r>
      <w:r>
        <w:rPr>
          <w:rFonts w:ascii="Arial" w:cs="Arial" w:eastAsia="Arial" w:hAnsi="Arial"/>
          <w:sz w:val="15"/>
          <w:szCs w:val="15"/>
          <w:u w:val="single" w:color="auto"/>
          <w:color w:val="auto"/>
        </w:rPr>
        <w:t>Date: June 24,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302704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3027045" cy="17145"/>
                    </a:xfrm>
                    <a:prstGeom prst="rect">
                      <a:avLst/>
                    </a:prstGeom>
                    <a:noFill/>
                  </pic:spPr>
                </pic:pic>
              </a:graphicData>
            </a:graphic>
          </wp:anchor>
        </w:drawing>
      </w:r>
    </w:p>
    <w:p>
      <w:pPr>
        <w:spacing w:after="0" w:line="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 Scott A. Arenare</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type w:val="continuous"/>
        </w:sectPr>
      </w:pPr>
    </w:p>
    <w:bookmarkStart w:id="6" w:name="page7"/>
    <w:bookmarkEnd w:id="6"/>
    <w:p>
      <w:pPr>
        <w:ind w:left="500"/>
        <w:spacing w:after="0"/>
        <w:rPr>
          <w:sz w:val="20"/>
          <w:szCs w:val="20"/>
          <w:color w:val="auto"/>
        </w:rPr>
      </w:pPr>
      <w:r>
        <w:rPr>
          <w:rFonts w:ascii="Arial" w:cs="Arial" w:eastAsia="Arial" w:hAnsi="Arial"/>
          <w:sz w:val="18"/>
          <w:szCs w:val="18"/>
          <w:color w:val="auto"/>
        </w:rPr>
        <w:t>CHARLES R. KAYE</w:t>
      </w:r>
    </w:p>
    <w:p>
      <w:pPr>
        <w:spacing w:after="0" w:line="200" w:lineRule="exact"/>
        <w:rPr>
          <w:sz w:val="20"/>
          <w:szCs w:val="20"/>
          <w:color w:val="auto"/>
        </w:rPr>
      </w:pPr>
    </w:p>
    <w:p>
      <w:pPr>
        <w:spacing w:after="0" w:line="24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Scott A. Arenare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302704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3027045" cy="17145"/>
                    </a:xfrm>
                    <a:prstGeom prst="rect">
                      <a:avLst/>
                    </a:prstGeom>
                    <a:noFill/>
                  </pic:spPr>
                </pic:pic>
              </a:graphicData>
            </a:graphic>
          </wp:anchor>
        </w:drawing>
      </w:r>
    </w:p>
    <w:p>
      <w:pPr>
        <w:spacing w:after="0" w:line="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 Charles R. Kaye</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By: Scott A. Arenare, Attorney-in-Fact*</w:t>
      </w:r>
    </w:p>
    <w:p>
      <w:pPr>
        <w:spacing w:after="0" w:line="200" w:lineRule="exact"/>
        <w:rPr>
          <w:sz w:val="20"/>
          <w:szCs w:val="20"/>
          <w:color w:val="auto"/>
        </w:rPr>
      </w:pPr>
    </w:p>
    <w:p>
      <w:pPr>
        <w:spacing w:after="0" w:line="23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JOSEPH P. LANDY</w:t>
      </w:r>
    </w:p>
    <w:p>
      <w:pPr>
        <w:spacing w:after="0" w:line="200" w:lineRule="exact"/>
        <w:rPr>
          <w:sz w:val="20"/>
          <w:szCs w:val="20"/>
          <w:color w:val="auto"/>
        </w:rPr>
      </w:pPr>
    </w:p>
    <w:p>
      <w:pPr>
        <w:spacing w:after="0" w:line="24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Scott A. Arenare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302704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3027045" cy="17145"/>
                    </a:xfrm>
                    <a:prstGeom prst="rect">
                      <a:avLst/>
                    </a:prstGeom>
                    <a:noFill/>
                  </pic:spPr>
                </pic:pic>
              </a:graphicData>
            </a:graphic>
          </wp:anchor>
        </w:drawing>
      </w:r>
    </w:p>
    <w:p>
      <w:pPr>
        <w:spacing w:after="0" w:line="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 Joseph P. Landy</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By: Scott A. Arenare, Attorney-in-Fact**</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Date: June 24,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Date: June 24, 2011</w:t>
      </w:r>
    </w:p>
    <w:p>
      <w:pPr>
        <w:spacing w:after="0" w:line="1103" w:lineRule="exact"/>
        <w:rPr>
          <w:sz w:val="20"/>
          <w:szCs w:val="20"/>
          <w:color w:val="auto"/>
        </w:rPr>
      </w:pPr>
    </w:p>
    <w:p>
      <w:pPr>
        <w:sectPr>
          <w:pgSz w:w="11900" w:h="16838" w:orient="portrait"/>
          <w:cols w:equalWidth="0" w:num="2">
            <w:col w:w="5020" w:space="720"/>
            <w:col w:w="5640"/>
          </w:cols>
          <w:pgMar w:left="240" w:top="1219" w:right="279" w:bottom="1440" w:gutter="0" w:footer="0" w:header="0"/>
        </w:sectPr>
      </w:pPr>
    </w:p>
    <w:p>
      <w:pPr>
        <w:spacing w:after="0" w:line="75" w:lineRule="exact"/>
        <w:rPr>
          <w:sz w:val="20"/>
          <w:szCs w:val="20"/>
          <w:color w:val="auto"/>
        </w:rPr>
      </w:pPr>
    </w:p>
    <w:p>
      <w:pPr>
        <w:ind w:left="920" w:right="20" w:hanging="912"/>
        <w:spacing w:after="0" w:line="277"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Power of Attorney given by Mr. Kaye was previously filed with the U.S. Securities and Exchange Commission (“SEC”) on March 2, 2006, as an exhibit to the Schedule 13D filed by Building Products, LLC with respect to Builders FirstSource, Inc.</w:t>
      </w:r>
    </w:p>
    <w:p>
      <w:pPr>
        <w:spacing w:after="0" w:line="170" w:lineRule="exact"/>
        <w:rPr>
          <w:sz w:val="20"/>
          <w:szCs w:val="20"/>
          <w:color w:val="auto"/>
        </w:rPr>
      </w:pPr>
    </w:p>
    <w:p>
      <w:pPr>
        <w:ind w:left="920" w:hanging="912"/>
        <w:spacing w:after="0" w:line="277" w:lineRule="auto"/>
        <w:tabs>
          <w:tab w:leader="none" w:pos="947" w:val="left"/>
        </w:tabs>
        <w:numPr>
          <w:ilvl w:val="0"/>
          <w:numId w:val="5"/>
        </w:numPr>
        <w:rPr>
          <w:rFonts w:ascii="Arial" w:cs="Arial" w:eastAsia="Arial" w:hAnsi="Arial"/>
          <w:sz w:val="18"/>
          <w:szCs w:val="18"/>
          <w:color w:val="auto"/>
        </w:rPr>
      </w:pPr>
      <w:r>
        <w:rPr>
          <w:rFonts w:ascii="Arial" w:cs="Arial" w:eastAsia="Arial" w:hAnsi="Arial"/>
          <w:sz w:val="18"/>
          <w:szCs w:val="18"/>
          <w:color w:val="auto"/>
        </w:rPr>
        <w:t>Power of Attorney given by Mr. Landy was previously filed with the SEC on March 2, 2006, as an exhibit to the Schedule 13D filed by Building Products, LLC with respect to Builders FirstSource, Inc.</w:t>
      </w:r>
    </w:p>
    <w:sectPr>
      <w:pgSz w:w="11900" w:h="16838" w:orient="portrait"/>
      <w:cols w:equalWidth="0" w:num="1">
        <w:col w:w="11380"/>
      </w:cols>
      <w:pgMar w:left="240" w:top="1219"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X"/>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12" Type="http://schemas.openxmlformats.org/officeDocument/2006/relationships/hyperlink" Target="http://www.sec.gov/cgi-bin/browse-edgar?action=getcompany&amp;CIK=0001332737" TargetMode="External"/><Relationship Id="rId13" Type="http://schemas.openxmlformats.org/officeDocument/2006/relationships/hyperlink" Target="http://www.sec.gov/cgi-bin/browse-edgar?action=getcompany&amp;CIK=0001410428" TargetMode="External"/><Relationship Id="rId16" Type="http://schemas.openxmlformats.org/officeDocument/2006/relationships/hyperlink" Target="http://www.sec.gov/cgi-bin/browse-edgar?action=getcompany&amp;CIK=0000929408" TargetMode="External"/><Relationship Id="rId17" Type="http://schemas.openxmlformats.org/officeDocument/2006/relationships/hyperlink" Target="http://www.sec.gov/cgi-bin/browse-edgar?action=getcompany&amp;CIK=0001342445" TargetMode="External"/><Relationship Id="rId18" Type="http://schemas.openxmlformats.org/officeDocument/2006/relationships/hyperlink" Target="http://www.sec.gov/cgi-bin/browse-edgar?action=getcompany&amp;CIK=0001322709" TargetMode="External"/><Relationship Id="rId19" Type="http://schemas.openxmlformats.org/officeDocument/2006/relationships/hyperlink" Target="http://www.sec.gov/cgi-bin/browse-edgar?action=getcompany&amp;CIK=0001162870" TargetMode="External"/><Relationship Id="rId20" Type="http://schemas.openxmlformats.org/officeDocument/2006/relationships/hyperlink" Target="http://www.sec.gov/cgi-bin/browse-edgar?action=getcompany&amp;CIK=0001239318" TargetMode="External"/><Relationship Id="rId21" Type="http://schemas.openxmlformats.org/officeDocument/2006/relationships/hyperlink" Target="http://www.sec.gov/cgi-bin/browse-edgar?action=getcompany&amp;CIK=00012206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2019-12-17T04:49:27Z</dcterms:created>
  <dcterms:modified xsi:type="dcterms:W3CDTF">2019-12-17T04:49:27Z</dcterms:modified>
</cp:coreProperties>
</file>