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13D/A</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Alexander R. Berger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Vringo, Inc.</w:t>
      </w:r>
    </w:p>
    <w:p>
      <w:pPr>
        <w:jc w:val="center"/>
        <w:ind w:right="-19"/>
        <w:spacing w:after="0" w:line="186"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New York 10017</w:t>
      </w:r>
    </w:p>
    <w:p>
      <w:pPr>
        <w:jc w:val="center"/>
        <w:ind w:right="-19"/>
        <w:spacing w:after="0"/>
        <w:rPr>
          <w:sz w:val="20"/>
          <w:szCs w:val="20"/>
          <w:color w:val="auto"/>
        </w:rPr>
      </w:pPr>
      <w:r>
        <w:rPr>
          <w:rFonts w:ascii="Arial" w:cs="Arial" w:eastAsia="Arial" w:hAnsi="Arial"/>
          <w:sz w:val="18"/>
          <w:szCs w:val="18"/>
          <w:b w:val="1"/>
          <w:bCs w:val="1"/>
          <w:color w:val="auto"/>
        </w:rPr>
        <w:t>Tel: (212) 309-7549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Koch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Schultz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Persons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12,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1220" w:hanging="676"/>
        <w:spacing w:after="0"/>
        <w:tabs>
          <w:tab w:leader="none" w:pos="1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685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852285"/>
                    </a:xfrm>
                    <a:prstGeom prst="rect">
                      <a:avLst/>
                    </a:prstGeom>
                    <a:noFill/>
                  </pic:spPr>
                </pic:pic>
              </a:graphicData>
            </a:graphic>
          </wp:anchor>
        </w:drawing>
        <w:t>NAME OF REPORTING PERSON</w:t>
      </w:r>
    </w:p>
    <w:p>
      <w:pPr>
        <w:spacing w:after="0" w:line="23"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Alexander R. Berger</w:t>
      </w:r>
    </w:p>
    <w:p>
      <w:pPr>
        <w:spacing w:after="0" w:line="131" w:lineRule="exact"/>
        <w:rPr>
          <w:sz w:val="20"/>
          <w:szCs w:val="20"/>
          <w:color w:val="auto"/>
        </w:rPr>
      </w:pPr>
    </w:p>
    <w:p>
      <w:pPr>
        <w:ind w:left="1220" w:hanging="676"/>
        <w:spacing w:after="0"/>
        <w:tabs>
          <w:tab w:leader="none" w:pos="1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37" w:lineRule="exact"/>
        <w:rPr>
          <w:sz w:val="20"/>
          <w:szCs w:val="20"/>
          <w:color w:val="auto"/>
        </w:rPr>
      </w:pPr>
    </w:p>
    <w:p>
      <w:pPr>
        <w:ind w:left="1220" w:hanging="676"/>
        <w:spacing w:after="0"/>
        <w:tabs>
          <w:tab w:leader="none" w:pos="1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47" w:lineRule="exact"/>
        <w:rPr>
          <w:sz w:val="20"/>
          <w:szCs w:val="20"/>
          <w:color w:val="auto"/>
        </w:rPr>
      </w:pPr>
    </w:p>
    <w:p>
      <w:pPr>
        <w:ind w:left="1220" w:hanging="676"/>
        <w:spacing w:after="0"/>
        <w:tabs>
          <w:tab w:leader="none" w:pos="1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OO</w:t>
      </w:r>
    </w:p>
    <w:p>
      <w:pPr>
        <w:spacing w:after="0" w:line="98" w:lineRule="exact"/>
        <w:rPr>
          <w:sz w:val="20"/>
          <w:szCs w:val="20"/>
          <w:color w:val="auto"/>
        </w:rPr>
      </w:pPr>
    </w:p>
    <w:p>
      <w:pPr>
        <w:ind w:left="1220" w:hanging="676"/>
        <w:spacing w:after="0" w:line="207" w:lineRule="exact"/>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DISCLOSURE OF LEGAL PROCEEDING IS REQUIRED PURSUANT TO ITEMS 2(d) or 2(e) </w:t>
      </w:r>
      <w:r>
        <w:rPr>
          <w:rFonts w:ascii="MS PGothic" w:cs="MS PGothic" w:eastAsia="MS PGothic" w:hAnsi="MS PGothic"/>
          <w:sz w:val="18"/>
          <w:szCs w:val="18"/>
          <w:color w:val="auto"/>
        </w:rPr>
        <w:t>☐</w:t>
      </w:r>
    </w:p>
    <w:p>
      <w:pPr>
        <w:spacing w:after="0" w:line="379" w:lineRule="exact"/>
        <w:rPr>
          <w:sz w:val="20"/>
          <w:szCs w:val="20"/>
          <w:color w:val="auto"/>
        </w:rPr>
      </w:pPr>
    </w:p>
    <w:p>
      <w:pPr>
        <w:ind w:left="1220" w:hanging="676"/>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126" w:lineRule="exact"/>
        <w:rPr>
          <w:rFonts w:ascii="Arial" w:cs="Arial" w:eastAsia="Arial" w:hAnsi="Arial"/>
          <w:sz w:val="18"/>
          <w:szCs w:val="18"/>
          <w:b w:val="1"/>
          <w:bCs w:val="1"/>
          <w:color w:val="auto"/>
        </w:rPr>
      </w:pPr>
    </w:p>
    <w:p>
      <w:pPr>
        <w:ind w:left="2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w:t>
      </w:r>
      <w:r>
        <w:rPr>
          <w:rFonts w:ascii="Arial" w:cs="Arial" w:eastAsia="Arial" w:hAnsi="Arial"/>
          <w:sz w:val="17"/>
          <w:szCs w:val="17"/>
          <w:color w:val="auto"/>
        </w:rPr>
        <w:t>SOLE VOTING POWER</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1,900,369*</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vMerge w:val="restart"/>
          </w:tcPr>
          <w:p>
            <w:pPr>
              <w:jc w:val="center"/>
              <w:ind w:right="170"/>
              <w:spacing w:after="0"/>
              <w:rPr>
                <w:sz w:val="20"/>
                <w:szCs w:val="20"/>
                <w:color w:val="auto"/>
              </w:rPr>
            </w:pPr>
            <w:r>
              <w:rPr>
                <w:rFonts w:ascii="Arial" w:cs="Arial" w:eastAsia="Arial" w:hAnsi="Arial"/>
                <w:sz w:val="18"/>
                <w:szCs w:val="18"/>
                <w:color w:val="auto"/>
                <w:w w:val="95"/>
              </w:rPr>
              <w:t>NUMBER OF SHARES</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94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040" w:type="dxa"/>
            <w:vAlign w:val="bottom"/>
            <w:vMerge w:val="restart"/>
          </w:tcPr>
          <w:p>
            <w:pPr>
              <w:jc w:val="center"/>
              <w:ind w:right="170"/>
              <w:spacing w:after="0" w:line="201" w:lineRule="exact"/>
              <w:rPr>
                <w:sz w:val="20"/>
                <w:szCs w:val="20"/>
                <w:color w:val="auto"/>
              </w:rPr>
            </w:pPr>
            <w:r>
              <w:rPr>
                <w:rFonts w:ascii="Arial" w:cs="Arial" w:eastAsia="Arial" w:hAnsi="Arial"/>
                <w:sz w:val="18"/>
                <w:szCs w:val="18"/>
                <w:color w:val="auto"/>
                <w:w w:val="97"/>
              </w:rPr>
              <w:t>OWNED BY EACH</w:t>
            </w:r>
          </w:p>
        </w:tc>
        <w:tc>
          <w:tcPr>
            <w:tcW w:w="94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40" w:type="dxa"/>
            <w:vAlign w:val="bottom"/>
            <w:vMerge w:val="continue"/>
          </w:tcPr>
          <w:p>
            <w:pPr>
              <w:spacing w:after="0"/>
              <w:rPr>
                <w:sz w:val="6"/>
                <w:szCs w:val="6"/>
                <w:color w:val="auto"/>
              </w:rPr>
            </w:pPr>
          </w:p>
        </w:tc>
        <w:tc>
          <w:tcPr>
            <w:tcW w:w="94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9"/>
              </w:rPr>
              <w:t>9</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170"/>
              <w:spacing w:after="0"/>
              <w:rPr>
                <w:sz w:val="20"/>
                <w:szCs w:val="20"/>
                <w:color w:val="auto"/>
              </w:rPr>
            </w:pPr>
            <w:r>
              <w:rPr>
                <w:rFonts w:ascii="Arial" w:cs="Arial" w:eastAsia="Arial" w:hAnsi="Arial"/>
                <w:sz w:val="18"/>
                <w:szCs w:val="18"/>
                <w:color w:val="auto"/>
                <w:w w:val="92"/>
              </w:rPr>
              <w:t>REPORTING PERSON</w:t>
            </w:r>
          </w:p>
        </w:tc>
        <w:tc>
          <w:tcPr>
            <w:tcW w:w="940" w:type="dxa"/>
            <w:vAlign w:val="bottom"/>
            <w:vMerge w:val="continue"/>
          </w:tcPr>
          <w:p>
            <w:pPr>
              <w:spacing w:after="0"/>
              <w:rPr>
                <w:sz w:val="18"/>
                <w:szCs w:val="18"/>
                <w:color w:val="auto"/>
              </w:rPr>
            </w:pPr>
          </w:p>
        </w:tc>
        <w:tc>
          <w:tcPr>
            <w:tcW w:w="8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center"/>
              <w:ind w:right="150"/>
              <w:spacing w:after="0"/>
              <w:rPr>
                <w:sz w:val="20"/>
                <w:szCs w:val="20"/>
                <w:color w:val="auto"/>
              </w:rPr>
            </w:pPr>
            <w:r>
              <w:rPr>
                <w:rFonts w:ascii="Arial" w:cs="Arial" w:eastAsia="Arial" w:hAnsi="Arial"/>
                <w:sz w:val="18"/>
                <w:szCs w:val="18"/>
                <w:color w:val="auto"/>
              </w:rPr>
              <w:t>WITH</w:t>
            </w:r>
          </w:p>
        </w:tc>
        <w:tc>
          <w:tcPr>
            <w:tcW w:w="940" w:type="dxa"/>
            <w:vAlign w:val="bottom"/>
          </w:tcPr>
          <w:p>
            <w:pPr>
              <w:spacing w:after="0"/>
              <w:rPr>
                <w:sz w:val="20"/>
                <w:szCs w:val="20"/>
                <w:color w:val="auto"/>
              </w:rPr>
            </w:pP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1,900,369*</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10</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0</w:t>
      </w:r>
    </w:p>
    <w:p>
      <w:pPr>
        <w:spacing w:after="0" w:line="131" w:lineRule="exact"/>
        <w:rPr>
          <w:sz w:val="20"/>
          <w:szCs w:val="20"/>
          <w:color w:val="auto"/>
        </w:rPr>
      </w:pPr>
    </w:p>
    <w:p>
      <w:pPr>
        <w:ind w:left="1220" w:hanging="716"/>
        <w:spacing w:after="0"/>
        <w:tabs>
          <w:tab w:leader="none" w:pos="1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1,900,369*</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12</w:t>
      </w:r>
    </w:p>
    <w:p>
      <w:pPr>
        <w:spacing w:after="0" w:line="22" w:lineRule="exact"/>
        <w:rPr>
          <w:sz w:val="20"/>
          <w:szCs w:val="20"/>
          <w:color w:val="auto"/>
        </w:rPr>
      </w:pPr>
    </w:p>
    <w:p>
      <w:pPr>
        <w:ind w:left="122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337" w:lineRule="exact"/>
        <w:rPr>
          <w:sz w:val="20"/>
          <w:szCs w:val="20"/>
          <w:color w:val="auto"/>
        </w:rPr>
      </w:pPr>
    </w:p>
    <w:p>
      <w:pPr>
        <w:ind w:left="1220" w:hanging="721"/>
        <w:spacing w:after="0"/>
        <w:tabs>
          <w:tab w:leader="none" w:pos="12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(see Item 5)</w:t>
      </w:r>
    </w:p>
    <w:p>
      <w:pPr>
        <w:spacing w:after="0" w:line="225"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2.02%**</w:t>
      </w:r>
    </w:p>
    <w:p>
      <w:pPr>
        <w:spacing w:after="0" w:line="130" w:lineRule="exact"/>
        <w:rPr>
          <w:rFonts w:ascii="Arial" w:cs="Arial" w:eastAsia="Arial" w:hAnsi="Arial"/>
          <w:sz w:val="18"/>
          <w:szCs w:val="18"/>
          <w:b w:val="1"/>
          <w:bCs w:val="1"/>
          <w:color w:val="auto"/>
        </w:rPr>
      </w:pPr>
    </w:p>
    <w:p>
      <w:pPr>
        <w:ind w:left="1220" w:right="7600" w:hanging="721"/>
        <w:spacing w:after="0" w:line="528" w:lineRule="auto"/>
        <w:tabs>
          <w:tab w:leader="none" w:pos="12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4" w:lineRule="exact"/>
        <w:rPr>
          <w:rFonts w:ascii="Arial" w:cs="Arial" w:eastAsia="Arial" w:hAnsi="Arial"/>
          <w:sz w:val="18"/>
          <w:szCs w:val="18"/>
          <w:b w:val="1"/>
          <w:bCs w:val="1"/>
          <w:color w:val="auto"/>
        </w:rPr>
      </w:pPr>
    </w:p>
    <w:p>
      <w:pPr>
        <w:ind w:right="220"/>
        <w:spacing w:after="0" w:line="224" w:lineRule="auto"/>
        <w:rPr>
          <w:rFonts w:ascii="Arial" w:cs="Arial" w:eastAsia="Arial" w:hAnsi="Arial"/>
          <w:sz w:val="18"/>
          <w:szCs w:val="18"/>
          <w:b w:val="1"/>
          <w:bCs w:val="1"/>
          <w:color w:val="auto"/>
        </w:rPr>
      </w:pPr>
      <w:r>
        <w:rPr>
          <w:rFonts w:ascii="Arial" w:cs="Arial" w:eastAsia="Arial" w:hAnsi="Arial"/>
          <w:sz w:val="28"/>
          <w:szCs w:val="28"/>
          <w:color w:val="auto"/>
          <w:vertAlign w:val="superscript"/>
        </w:rPr>
        <w:t>*</w:t>
      </w:r>
      <w:r>
        <w:rPr>
          <w:rFonts w:ascii="Arial" w:cs="Arial" w:eastAsia="Arial" w:hAnsi="Arial"/>
          <w:sz w:val="17"/>
          <w:szCs w:val="17"/>
          <w:color w:val="auto"/>
        </w:rPr>
        <w:t xml:space="preserve"> Includes an aggregate of 172,805 Series 1 Warrants and 372,816 Series 2 Warrants, each exercisable into one share of Vringo, Inc. (the “Issuer”) common stock, par value $0.01 per share (the “Common Stock”), and 56,770 restricted stock units that are scheduled to vest on March 31, 2015.</w:t>
      </w:r>
    </w:p>
    <w:p>
      <w:pPr>
        <w:spacing w:after="0" w:line="26" w:lineRule="exact"/>
        <w:rPr>
          <w:rFonts w:ascii="Arial" w:cs="Arial" w:eastAsia="Arial" w:hAnsi="Arial"/>
          <w:sz w:val="18"/>
          <w:szCs w:val="18"/>
          <w:b w:val="1"/>
          <w:bCs w:val="1"/>
          <w:color w:val="auto"/>
        </w:rPr>
      </w:pPr>
    </w:p>
    <w:p>
      <w:pPr>
        <w:ind w:right="280" w:firstLine="8"/>
        <w:spacing w:after="0" w:line="194" w:lineRule="auto"/>
        <w:tabs>
          <w:tab w:leader="none" w:pos="195"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calculation is based on 93,404,895 shares of Common Stock of the Issuer issued and outstanding as of February 20, 2015 as reported in the Issuer’s Annual Report on Form 10-K, filed with the Securities and Exchange Commission (the “SEC”) on 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20" w:firstLine="495"/>
        <w:spacing w:after="0" w:line="312" w:lineRule="auto"/>
        <w:rPr>
          <w:sz w:val="20"/>
          <w:szCs w:val="20"/>
          <w:color w:val="auto"/>
        </w:rPr>
      </w:pPr>
      <w:r>
        <w:rPr>
          <w:rFonts w:ascii="Arial" w:cs="Arial" w:eastAsia="Arial" w:hAnsi="Arial"/>
          <w:sz w:val="16"/>
          <w:szCs w:val="16"/>
          <w:color w:val="auto"/>
        </w:rPr>
        <w:t>This Amendment No. 1 (this “Amendment”) to the initial Statement on Schedule 13D filed with the Securities and Exchange Commission (the “SEC”) on July 25, 2012 (the “Initial Statement”), relates to the common stock, par value $0.01 per share (the “Common Stock”), of Vringo, Inc., a Delaware corporation (the “Issuer”). The address of the principal executive office of the Issuer is 780 Third Avenue, 12th Floor, New York, New York 10017.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but not defined herein shall have the meanings ascribed to them in the Initial Statement. The Initial Statement is amended as follows: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ectPr>
          <w:pgSz w:w="11900" w:h="16838" w:orient="portrait"/>
          <w:cols w:equalWidth="0" w:num="1">
            <w:col w:w="11400"/>
          </w:cols>
          <w:pgMar w:left="240" w:top="904" w:right="259" w:bottom="1440" w:gutter="0" w:footer="0" w:header="0"/>
        </w:sectPr>
      </w:pP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 (f)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Amendment is being filed by Alexander R. Berger, a citizen of the United States of America. 405,856 shares of Common Stock, 172,805 Series 1 Warrants, and 372,816 Series 2 Warrants beneficially owned by the Reporting Person are held by Alexander Ross Berger Revocable Trust, of which the Reporting Person is trustee, and 750,000 shares of Common Stock beneficially owned by the Reporting Person are held by ARB Family Trust, of which the Reporting Person is trustee.</w:t>
      </w:r>
    </w:p>
    <w:p>
      <w:pPr>
        <w:spacing w:after="0" w:line="171" w:lineRule="exact"/>
        <w:rPr>
          <w:sz w:val="20"/>
          <w:szCs w:val="20"/>
          <w:color w:val="auto"/>
        </w:rPr>
      </w:pPr>
    </w:p>
    <w:p>
      <w:pPr>
        <w:sectPr>
          <w:pgSz w:w="11900" w:h="16838" w:orient="portrait"/>
          <w:cols w:equalWidth="0" w:num="2">
            <w:col w:w="1180" w:space="620"/>
            <w:col w:w="9600"/>
          </w:cols>
          <w:pgMar w:left="240" w:top="904" w:right="259" w:bottom="1440" w:gutter="0" w:footer="0" w:header="0"/>
          <w:type w:val="continuous"/>
        </w:sectPr>
      </w:pPr>
    </w:p>
    <w:p>
      <w:pPr>
        <w:ind w:left="1800" w:hanging="109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a consultant and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60" w:firstLine="495"/>
        <w:spacing w:after="0" w:line="255" w:lineRule="auto"/>
        <w:rPr>
          <w:sz w:val="20"/>
          <w:szCs w:val="20"/>
          <w:color w:val="auto"/>
        </w:rPr>
      </w:pPr>
      <w:r>
        <w:rPr>
          <w:rFonts w:ascii="Arial" w:cs="Arial" w:eastAsia="Arial" w:hAnsi="Arial"/>
          <w:sz w:val="18"/>
          <w:szCs w:val="18"/>
          <w:color w:val="auto"/>
        </w:rPr>
        <w:t>The purpose of the filing of this Amendment is to report the change in the beneficial ownership of the Reporting Person since the original filing of the Schedule 13D, following the consummation of the merger between the Issuer and Innovate/Protect, Inc., which is the result of dispositions of less than 1% of the securities of the Issuer over time as reported by the Reporting Person on various Forms 4 and 5 filed with the SEC as well as increases over time in the capitalization of the Issuer, which caused the Reporting Person to own less than 5% of the Issuer as of October 9, 2012. The Reporting Person has not engaged in the sale or other disposition of any securities of the Issuer since June 30, 2014 as previously reported on a Form 4 filed with the SEC on July 2,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40" w:firstLine="503"/>
        <w:spacing w:after="0" w:line="30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Reporting Person beneficially owns 2.02% of the issued and outstanding shares of Common Stock of the Issuer, based on 93,404,895 shares of Common Stock of the Issuer issued and outstanding as of February 20, 2015 as reported in the Issuer’s Annual Report on Form 10-K.</w:t>
      </w:r>
    </w:p>
    <w:p>
      <w:pPr>
        <w:spacing w:after="0" w:line="146" w:lineRule="exact"/>
        <w:rPr>
          <w:rFonts w:ascii="Arial" w:cs="Arial" w:eastAsia="Arial" w:hAnsi="Arial"/>
          <w:sz w:val="17"/>
          <w:szCs w:val="17"/>
          <w:color w:val="auto"/>
        </w:rPr>
      </w:pPr>
    </w:p>
    <w:p>
      <w:pPr>
        <w:ind w:right="140" w:firstLine="503"/>
        <w:spacing w:after="0" w:line="257" w:lineRule="auto"/>
        <w:tabs>
          <w:tab w:leader="none" w:pos="7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Reporting Person has the sole power to vote or to direct the vote and sole power to dispose or direct the disposition of 1,900,369 shares of Common Stock beneficially owned by the Reporting Person, which includes 56,770 restricted stock units that are scheduled to vest on March 31, 2015; 405,856 shares of Common Stock, 172,805 Series 1 Warrants and 372,816 Series 2 Warrants, each exercisable into one share of the Issuer's Common Stock, which are held by Alexander Ross Berger Revocable Trust, of which the Reporting Person is trustee; and 750,000 which are held by ARB Family Trust, of which the Reporting Person is trustee.</w:t>
      </w:r>
    </w:p>
    <w:p>
      <w:pPr>
        <w:spacing w:after="0" w:line="188" w:lineRule="exact"/>
        <w:rPr>
          <w:rFonts w:ascii="Arial" w:cs="Arial" w:eastAsia="Arial" w:hAnsi="Arial"/>
          <w:sz w:val="18"/>
          <w:szCs w:val="18"/>
          <w:color w:val="auto"/>
        </w:rPr>
      </w:pPr>
    </w:p>
    <w:p>
      <w:pPr>
        <w:ind w:right="40" w:firstLine="503"/>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have been no transactions effected by the Reporting Person with respect to the shares of Common Stock held by the Reporting Person within the past 60 days of the date hereof.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 As of October 9, 2012, the Reporting Person ceased to beneficially own more than 5% of the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2015</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Alexander R. Berger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60"/>
      </w:cols>
      <w:pgMar w:left="240" w:top="90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
      <w:numFmt w:val="bullet"/>
      <w:start w:val="1"/>
    </w:lvl>
    <w:lvl w:ilvl="1">
      <w:lvlJc w:val="left"/>
      <w:lvlText w:val="%2"/>
      <w:numFmt w:val="decimal"/>
      <w:start w:val="13"/>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2019-12-08T20:25:32Z</dcterms:created>
  <dcterms:modified xsi:type="dcterms:W3CDTF">2019-12-08T20:25:32Z</dcterms:modified>
</cp:coreProperties>
</file>