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15,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65"/>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 [ ]</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Attached hereto as Exhibit 99.1 is a copy of a press release of XpresSpa Group, Inc., dated March 15, 2022, announcing certain operating results for the fiscal quarter and year ended December 31, 2021. The information in the press release is incorporated by reference into this Item 2.02 of this Current Report on Form 8-K.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dated March 15,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XpresSpa Group, Inc.</w:t>
            </w:r>
          </w:p>
        </w:tc>
      </w:tr>
      <w:tr>
        <w:trPr>
          <w:trHeight w:val="453"/>
        </w:trPr>
        <w:tc>
          <w:tcPr>
            <w:tcW w:w="3620" w:type="dxa"/>
            <w:vAlign w:val="bottom"/>
          </w:tcPr>
          <w:p>
            <w:pPr>
              <w:spacing w:after="0"/>
              <w:rPr>
                <w:sz w:val="20"/>
                <w:szCs w:val="20"/>
                <w:color w:val="auto"/>
              </w:rPr>
            </w:pPr>
            <w:r>
              <w:rPr>
                <w:rFonts w:ascii="Arial" w:cs="Arial" w:eastAsia="Arial" w:hAnsi="Arial"/>
                <w:sz w:val="18"/>
                <w:szCs w:val="18"/>
                <w:color w:val="auto"/>
              </w:rPr>
              <w:t>Date: March 15, 2022</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R. Milford</w:t>
            </w:r>
          </w:p>
        </w:tc>
      </w:tr>
      <w:tr>
        <w:trPr>
          <w:trHeight w:val="202"/>
        </w:trPr>
        <w:tc>
          <w:tcPr>
            <w:tcW w:w="3620" w:type="dxa"/>
            <w:vAlign w:val="bottom"/>
          </w:tcPr>
          <w:p>
            <w:pPr>
              <w:spacing w:after="0"/>
              <w:rPr>
                <w:sz w:val="17"/>
                <w:szCs w:val="17"/>
                <w:color w:val="auto"/>
              </w:rPr>
            </w:pPr>
          </w:p>
        </w:tc>
        <w:tc>
          <w:tcPr>
            <w:tcW w:w="2580" w:type="dxa"/>
            <w:vAlign w:val="bottom"/>
          </w:tcPr>
          <w:p>
            <w:pPr>
              <w:ind w:left="20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ind w:left="40"/>
              <w:spacing w:after="0" w:line="201" w:lineRule="exact"/>
              <w:rPr>
                <w:sz w:val="20"/>
                <w:szCs w:val="20"/>
                <w:color w:val="auto"/>
              </w:rPr>
            </w:pPr>
            <w:r>
              <w:rPr>
                <w:rFonts w:ascii="Arial" w:cs="Arial" w:eastAsia="Arial" w:hAnsi="Arial"/>
                <w:sz w:val="18"/>
                <w:szCs w:val="18"/>
                <w:color w:val="auto"/>
              </w:rPr>
              <w:t>Scott R. Milford</w:t>
            </w:r>
          </w:p>
        </w:tc>
      </w:tr>
      <w:tr>
        <w:trPr>
          <w:trHeight w:val="230"/>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Reports Record Full Year 2021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Strongest Financial Results in Company History Marks End to Banner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Record Quarterly Revenue of $29.4 Million, Record Net Income of $3.3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Liquidity Position with Unrestricted Cash Balance Increases to $105.5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Actively Repurchase Shares under Current Authorization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Webcast and Conference Call Scheduled for 4:30 PM ET Today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March 15, 2022 - XpresSpa Group, Inc. (Nasdaq: XSPA), a travel health and wellness company, today reported record financial results for the fourth quarter and full year ending December 31, 2021.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Scott Milford, XpresSpa Group CEO, stated, “We ended 2021 on a high note with our strongest financial results in company history. Quarterly revenue was $29.4 million, while net income and adjusted EBITDA reached $3.3 million and $4.5 million, respectively[1], reflecting our second consecutive quarter of profitability. We also generated significant operating cash flow of $9.7 million for the quarter, of which $7.3 million was used to repurchase shares under our buyback authorization. We further believe our stock price is currently undervalued and our intention is to actively repurchase additional shares, subject to blackout restrictions.”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Milford continued, “While we believe testing at major U.S. airports for Covid-19 variants will remain an important part of travel for the foreseeable future, especially international travel, we have already begun to position our bio-surveillance efforts (such as Covid-19 testing) as a component part of our future revenue strategy. Our go-forward plan will include the expansion and integration of products and services across our three brands; the execution of an ‘off-airport’ strategy to deliver more products and services; the implementation of an international expansion plan; and ensuring we can scale our growth in a responsible way that drives shareholder value. “</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Milford concluded, “We are reiterating our expectations of over $100 million in revenue this year and $500 million in revenue by 2025. These targets are predicated upon what we believe are significant opportunities for our businesses based upon healthy unit level economics while leveraging an efficient corporate structure. In realizing these projections, we will elevate all of our brands while further expanding our services and products to meet consumer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9" w:lineRule="exact"/>
        <w:rPr>
          <w:sz w:val="20"/>
          <w:szCs w:val="20"/>
          <w:color w:val="auto"/>
        </w:rPr>
      </w:pPr>
    </w:p>
    <w:p>
      <w:pPr>
        <w:ind w:left="420" w:hanging="412"/>
        <w:spacing w:after="0"/>
        <w:tabs>
          <w:tab w:leader="none" w:pos="4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A full reconciliation of Adjusted EBITDA is shown in the tables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Business Update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XpresCheck</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Health Centers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XpresCheck’s business has management services agreements with state licensed physicians and nurse practitioners, under which we administer Covid-19 testing options, including a Polymerase Chain Reaction (PCR) test and a rapid PCR test. As of today, there are 15 operating XpresCheck locations operating in 12 airports.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Recent developments include:</w:t>
      </w:r>
    </w:p>
    <w:p>
      <w:pPr>
        <w:spacing w:after="0" w:line="225" w:lineRule="exact"/>
        <w:rPr>
          <w:sz w:val="20"/>
          <w:szCs w:val="20"/>
          <w:color w:val="auto"/>
        </w:rPr>
      </w:pPr>
    </w:p>
    <w:p>
      <w:pPr>
        <w:jc w:val="both"/>
        <w:ind w:left="6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fourth quarter, XpresCheck initiated a $2 million,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we announced the extension of the program, bringing the total contract to $5.6 million.</w:t>
      </w:r>
    </w:p>
    <w:p>
      <w:pPr>
        <w:spacing w:after="0" w:line="3"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Payments are based on certain milestones specified in the contract. $1.6 million of the original $2 million in revenue was recognized during the fourth quarter of 2021. We anticipate the remaining $4.0 million of the fully $5.6 million amount will be realized in the first and second quarters of 2022.</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October 2021, XpresCheck opened in Hartsfield-Jackson Atlanta International Airport (ATL), converting a legacy XpresSpa located in Concourse 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February 2022, a second XpresCheck opened at Denver International Airport (DEN), pre-security in the Great Hall.</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additional XpresCheck location is expected to open shortly in Orlando International Airport (MCO), pre-security, in the South Walk area of the Main Terminal.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XpresSpa</w:t>
      </w:r>
      <w:r>
        <w:rPr>
          <w:rFonts w:ascii="Arial" w:cs="Arial" w:eastAsia="Arial" w:hAnsi="Arial"/>
          <w:sz w:val="29"/>
          <w:szCs w:val="29"/>
          <w:color w:val="auto"/>
          <w:vertAlign w:val="superscript"/>
        </w:rPr>
        <w: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currently 16 operating XpresSpa domestic locations (including one franchise location in Austin-Bergstrom International Airport) and we expect to re-open four additional domestic locations in the near-term. A majority of the domestic XpresSpa locations are operating approximately eight hours per day during the busiest hours (compared to up to 16 hours per day pre-pandemic) improving labor productivity. Additionally, XpresSpa implemented a price increase in mid-October 2021 which further improved profitability. And as airport volumes improve, we will continue to review our operating hours to optimize revenue opportunity.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fourth quarter, we began testing several new services to take advantage of a growing interest in non-traditional spa services and expansion of our retail offering to align more closely with the services we provide. We are evaluating the success of these new initiatives at each airport on an on-going basis and will incorporate changes to our approach as more of the portfolio is reactivated.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There are also six international locations operating, including three XpresSpa locations in Dubai International Airport in the United Arab Emirates and three XpresSpa locations in Schiphol Amsterdam Airport in the Netherlands. We have also signed for five locations at Istanbul Airport and expect to open the first store this summer.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Treat is our new travel, health and wellness brand transforming the way we access care through a suite of health and wellness services supported by an integrated digital platform and a relevant retail offering to the traveling public.</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Treat’s on-site centers (currently located in JFK International Airport and opening soon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HyperPointe 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2022, we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 Since June 2020, HyperPointe’s management team and suite of services and technology have been used to develop and deploy the technological infrastructure needed to scale the growth of our XpresCheck® business HyperPointe’s experience in this space continues to serve the XpresCheck business and will play a critical role in the expansion of on-going bio surveillance efforts.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Terms of the transaction were $5.5 million in cash, $1 million in common stock, along with potential additional earn-out payments of up to $7.5 million over a three-year timeframe based upon future performance; these earn-out payments may be satisfied in cash or common stock or a combination thereof subject to various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HyperPointe currently operates as a stand-alone entity within XpresSpa Group. Ezra Ernst, who is the current CEO of HyperPointe, also serves as CEO of XpresCheck, reporting to Scott Milford, XpresSpa Group CEO. Mr. Ernst is spearheading efforts to further integrate XpresCheck’s bio-surveillance screening and testing business with HyperPointe’s customer experience management technology and data management know how in the healthcare and pharmaceutical verticals to further drive new revenue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fourth quarter, we continued to execute on our share repurchase program, repurchasing 4.5 million shares at average cost of $1.65 per share, for a total of $7.3 million.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However, due to blackout restrictions, buybacks to date in the first quarter have been severely limited. Based upon the current share price, which management believes is materially undervalued, our intention is to actively repurchase additional shares when possible, subject to the limitations of blackout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14, 2022, there are 10.3 million shares that may be purchased under the current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2021, we had cash and cash equivalents, excluding restricted cash, of $105.5 million, compared to $89.8 million as of December 31, 2020. As noted above, during the fourth quarter of 2021, we executed $7.3 million of stock repurchases. We had total current assets of $109.0 million and total current liabilities of $19.8 million as of December 31, 2021, compared to $91.8 million and $13.5 million, respectively, as of December 31, 2020, reflecting a continuing strong working capital position as of the end of the most recent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Fourth Quarter 2021 Financial Results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revenue during the three months ended December 31, 2021 was $29.4 million compared to $0.3 million in the corresponding period in 2020. The increase in revenue was primarily due to the recognition of revenue from 14 XpresCheck locations plus CDC funding totaling $26.9 million. We also generated $2.4 million in revenue from our reopened XpresSpa locations.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sales increased to $15.8 million from $2.4 million in the prior year fourth quarter due to the increase in XpresCheck testing volume.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were $9.8 million compared to $5.0 million for the year ago comparable period. The increase was primarily due to start-up costs associated with XpresCheck, development of Treat, and staffing for the increased revenue activities, offset by reduced variable costs related to the closed XpresSpa locations and the realized benefits of cost cutting and control initiatives instituted throughout 2020. We will continue to evaluate our G&amp;A cost structure identifying areas to optimize spend as part of our strategic imperative to organize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Income from Operations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increased to $2.3 million compared to loss from operations of $17.4 million in the prior year fourth quarter, an increase of $19.7 million. Income from operations consists of $10.8 million contributed by XpresCheck offset by losses at our XpresSpa and Treat divisions and corporate-level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Common Shareholders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income attributable to common shareholders was $3.3 million compared to a net loss attributable to common shareholders of $15.7 million in the prior year fourth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XpresCheck Operational Metrics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Patients by Quarter</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Q1</w:t>
            </w:r>
          </w:p>
        </w:tc>
        <w:tc>
          <w:tcPr>
            <w:tcW w:w="18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37,589</w:t>
            </w:r>
          </w:p>
        </w:tc>
      </w:tr>
      <w:tr>
        <w:trPr>
          <w:trHeight w:val="209"/>
        </w:trPr>
        <w:tc>
          <w:tcPr>
            <w:tcW w:w="1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Q2</w:t>
            </w:r>
          </w:p>
        </w:tc>
        <w:tc>
          <w:tcPr>
            <w:tcW w:w="1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92,415</w:t>
            </w:r>
          </w:p>
        </w:tc>
      </w:tr>
      <w:tr>
        <w:trPr>
          <w:trHeight w:val="209"/>
        </w:trPr>
        <w:tc>
          <w:tcPr>
            <w:tcW w:w="1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Q3</w:t>
            </w:r>
          </w:p>
        </w:tc>
        <w:tc>
          <w:tcPr>
            <w:tcW w:w="1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113,212</w:t>
            </w:r>
          </w:p>
        </w:tc>
      </w:tr>
      <w:tr>
        <w:trPr>
          <w:trHeight w:val="210"/>
        </w:trPr>
        <w:tc>
          <w:tcPr>
            <w:tcW w:w="1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Q4</w:t>
            </w:r>
          </w:p>
        </w:tc>
        <w:tc>
          <w:tcPr>
            <w:tcW w:w="1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104,805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Rapid Test (Antigen and PCR) / Percent of Total Patients by Quarter</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Q1</w:t>
            </w:r>
          </w:p>
        </w:tc>
        <w:tc>
          <w:tcPr>
            <w:tcW w:w="17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27,651</w:t>
            </w:r>
          </w:p>
        </w:tc>
        <w:tc>
          <w:tcPr>
            <w:tcW w:w="1180" w:type="dxa"/>
            <w:vAlign w:val="bottom"/>
            <w:tcBorders>
              <w:top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74%</w:t>
            </w:r>
          </w:p>
        </w:tc>
      </w:tr>
      <w:tr>
        <w:trPr>
          <w:trHeight w:val="209"/>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Q2</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75,788</w:t>
            </w:r>
          </w:p>
        </w:tc>
        <w:tc>
          <w:tcPr>
            <w:tcW w:w="118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82%</w:t>
            </w:r>
          </w:p>
        </w:tc>
      </w:tr>
      <w:tr>
        <w:trPr>
          <w:trHeight w:val="210"/>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Q3</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110,376</w:t>
            </w:r>
          </w:p>
        </w:tc>
        <w:tc>
          <w:tcPr>
            <w:tcW w:w="118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97%</w:t>
            </w:r>
          </w:p>
        </w:tc>
      </w:tr>
      <w:tr>
        <w:trPr>
          <w:trHeight w:val="209"/>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Q4</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103,000</w:t>
            </w:r>
          </w:p>
        </w:tc>
        <w:tc>
          <w:tcPr>
            <w:tcW w:w="118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Rapid PCR Tests / Percent of Total Rapid Tests by Quarter</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Q1</w:t>
            </w:r>
          </w:p>
        </w:tc>
        <w:tc>
          <w:tcPr>
            <w:tcW w:w="17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114</w:t>
            </w:r>
          </w:p>
        </w:tc>
        <w:tc>
          <w:tcPr>
            <w:tcW w:w="11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210"/>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Q2</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32,382</w:t>
            </w:r>
          </w:p>
        </w:tc>
        <w:tc>
          <w:tcPr>
            <w:tcW w:w="1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w:t>
            </w:r>
          </w:p>
        </w:tc>
      </w:tr>
      <w:tr>
        <w:trPr>
          <w:trHeight w:val="210"/>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Q3</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74,090</w:t>
            </w:r>
          </w:p>
        </w:tc>
        <w:tc>
          <w:tcPr>
            <w:tcW w:w="1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67%</w:t>
            </w:r>
          </w:p>
        </w:tc>
      </w:tr>
      <w:tr>
        <w:trPr>
          <w:trHeight w:val="209"/>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Q4</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101,526</w:t>
            </w:r>
          </w:p>
        </w:tc>
        <w:tc>
          <w:tcPr>
            <w:tcW w:w="1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non-GAAP basis, Adjusted EBITDA was $4.5 million during the fourth quarter 2021, compared to an Adjusted EBITDA loss of $6.7 million in the prior year fourth quarter. The improvement of $11.2 million is indicative of the profitability of XpresCheck compared to the legacy XpresSpa spa segment. The tables below on this release provide a full reconciliation of the Adjusted EBITDA.</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Adjusted EBITDA as earnings before interest, taxes, depreciation and amortization expense, non-cash charges and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We consider Adjusted EBITDA to be an important indicator for the performance of our operating business, XpresCheck. In particular, we believe that it is useful for analysts and investors to understand that Adjusted EBITDA excludes certain transactions not related to core cash operating activities, which are primarily related to XpresCheck. We believe that excluding these transactions allows investors to meaningfully analyze the performance of core cash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Today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host a webcast and conference call at 4:30 p.m. Eastern Time today.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encourage investors and interested parties to listen via webcast as there is a limited capacity to access the conference call by dialing 1-201-689-8263.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submit a question, please email ir@xpresspagroup.com.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live and later archived webcast can be accessed from the Investor Relations section of the Company’s website at http://xpresspagroup.com. Visitors to the website should select the “Investors” tab and navigate to the “Events” link to access the webcast.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r>
        <w:rPr>
          <w:rFonts w:ascii="Arial" w:cs="Arial" w:eastAsia="Arial" w:hAnsi="Arial"/>
          <w:sz w:val="18"/>
          <w:szCs w:val="18"/>
          <w:color w:val="auto"/>
        </w:rPr>
        <w:t>.</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XpresSpa Group, Inc. (Nasdaq: XSPA) is a leading global health and wellness holding company operating three distinct brands: XpresCheck</w:t>
      </w:r>
      <w:r>
        <w:rPr>
          <w:rFonts w:ascii="Arial" w:cs="Arial" w:eastAsia="Arial" w:hAnsi="Arial"/>
          <w:sz w:val="26"/>
          <w:szCs w:val="26"/>
          <w:color w:val="auto"/>
          <w:vertAlign w:val="superscript"/>
        </w:rPr>
        <w:t>®</w:t>
      </w:r>
      <w:r>
        <w:rPr>
          <w:rFonts w:ascii="Arial" w:cs="Arial" w:eastAsia="Arial" w:hAnsi="Arial"/>
          <w:sz w:val="16"/>
          <w:szCs w:val="16"/>
          <w:color w:val="auto"/>
        </w:rPr>
        <w:t>, XpresSpa</w:t>
      </w:r>
      <w:r>
        <w:rPr>
          <w:rFonts w:ascii="Arial" w:cs="Arial" w:eastAsia="Arial" w:hAnsi="Arial"/>
          <w:sz w:val="26"/>
          <w:szCs w:val="26"/>
          <w:color w:val="auto"/>
          <w:vertAlign w:val="superscript"/>
        </w:rPr>
        <w:t>®</w:t>
      </w:r>
      <w:r>
        <w:rPr>
          <w:rFonts w:ascii="Arial" w:cs="Arial" w:eastAsia="Arial" w:hAnsi="Arial"/>
          <w:sz w:val="16"/>
          <w:szCs w:val="16"/>
          <w:color w:val="auto"/>
        </w:rPr>
        <w:t>, Treat™. XpresCheck is a leading on-site airport provider of Covid-19 screening and testing with 15 locations in 12 domestic airports. XpresSpa is a leading airport retailer of spa services and related health and wellness products, with 45 locations in 21 airports globally. Treat is a travel health and wellness brand that is providing on-demand access to healthcare through technology and personalized services. The Company also recently acquired HyperPointe, a leading digital healthcare and data analytics relationship marketing agency servicing the global healthcare and pharmaceutical industry.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XpresSpa Group, visit: </w:t>
      </w:r>
      <w:r>
        <w:rPr>
          <w:rFonts w:ascii="Arial" w:cs="Arial" w:eastAsia="Arial" w:hAnsi="Arial"/>
          <w:sz w:val="18"/>
          <w:szCs w:val="18"/>
          <w:u w:val="single" w:color="auto"/>
          <w:color w:val="auto"/>
        </w:rPr>
        <w:t>www.XpresSpaGroup.com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XpresCheck, visit: </w:t>
      </w:r>
      <w:r>
        <w:rPr>
          <w:rFonts w:ascii="Arial" w:cs="Arial" w:eastAsia="Arial" w:hAnsi="Arial"/>
          <w:sz w:val="18"/>
          <w:szCs w:val="18"/>
          <w:u w:val="single" w:color="auto"/>
          <w:color w:val="auto"/>
        </w:rPr>
        <w:t>www.XpresCheck.com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XpresSpa, visit </w:t>
      </w:r>
      <w:r>
        <w:rPr>
          <w:rFonts w:ascii="Arial" w:cs="Arial" w:eastAsia="Arial" w:hAnsi="Arial"/>
          <w:sz w:val="18"/>
          <w:szCs w:val="18"/>
          <w:u w:val="single" w:color="auto"/>
          <w:color w:val="auto"/>
        </w:rPr>
        <w:t>www.XpresSpa.com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Treat, visit: </w:t>
      </w:r>
      <w:r>
        <w:rPr>
          <w:rFonts w:ascii="Arial" w:cs="Arial" w:eastAsia="Arial" w:hAnsi="Arial"/>
          <w:sz w:val="18"/>
          <w:szCs w:val="18"/>
          <w:u w:val="single" w:color="auto"/>
          <w:color w:val="auto"/>
        </w:rPr>
        <w:t>www.Treat.com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HyperPointe, visit: </w:t>
      </w:r>
      <w:r>
        <w:rPr>
          <w:rFonts w:ascii="Arial" w:cs="Arial" w:eastAsia="Arial" w:hAnsi="Arial"/>
          <w:sz w:val="18"/>
          <w:szCs w:val="18"/>
          <w:u w:val="single" w:color="auto"/>
          <w:color w:val="auto"/>
        </w:rPr>
        <w:t>www.Hyperpointe.com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Twitter: @xprescheck and Instagram: @realxprescheck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Twitter: @XpresSpa and Instagram: @XpresSpa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Twitter: @Treat_Care and Instagram: @treat_care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105,506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89,801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108,979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91,779</w:t>
            </w:r>
          </w:p>
        </w:tc>
        <w:tc>
          <w:tcPr>
            <w:tcW w:w="100" w:type="dxa"/>
            <w:vAlign w:val="bottom"/>
            <w:tcBorders>
              <w:bottom w:val="single" w:sz="8" w:color="CCEEFF"/>
            </w:tcBorders>
          </w:tcPr>
          <w:p>
            <w:pPr>
              <w:spacing w:after="0"/>
              <w:rPr>
                <w:sz w:val="18"/>
                <w:szCs w:val="18"/>
                <w:color w:val="auto"/>
              </w:rPr>
            </w:pPr>
          </w:p>
        </w:tc>
      </w:tr>
      <w:tr>
        <w:trPr>
          <w:trHeight w:val="209"/>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2,588</w:t>
            </w:r>
          </w:p>
        </w:tc>
      </w:tr>
      <w:tr>
        <w:trPr>
          <w:trHeight w:val="210"/>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103,133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12,958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7,382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promissory note, unsecured</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13,477</w:t>
            </w:r>
          </w:p>
        </w:tc>
        <w:tc>
          <w:tcPr>
            <w:tcW w:w="100" w:type="dxa"/>
            <w:vAlign w:val="bottom"/>
            <w:tcBorders>
              <w:bottom w:val="single" w:sz="8" w:color="CCEEFF"/>
            </w:tcBorders>
          </w:tcPr>
          <w:p>
            <w:pPr>
              <w:spacing w:after="0"/>
              <w:rPr>
                <w:sz w:val="18"/>
                <w:szCs w:val="18"/>
                <w:color w:val="auto"/>
              </w:rPr>
            </w:pPr>
          </w:p>
        </w:tc>
      </w:tr>
      <w:tr>
        <w:trPr>
          <w:trHeight w:val="209"/>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Promissory note, unsecured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7,504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6,930</w:t>
            </w:r>
          </w:p>
        </w:tc>
      </w:tr>
      <w:tr>
        <w:trPr>
          <w:trHeight w:val="209"/>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2"/>
        </w:trPr>
        <w:tc>
          <w:tcPr>
            <w:tcW w:w="8220" w:type="dxa"/>
            <w:vAlign w:val="bottom"/>
          </w:tcPr>
          <w:p>
            <w:pPr>
              <w:ind w:left="20"/>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105,327,379 and 94,058,853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8220" w:type="dxa"/>
            <w:vAlign w:val="bottom"/>
          </w:tcPr>
          <w:p>
            <w:pPr>
              <w:ind w:left="20"/>
              <w:spacing w:after="0"/>
              <w:rPr>
                <w:sz w:val="20"/>
                <w:szCs w:val="20"/>
                <w:color w:val="auto"/>
              </w:rPr>
            </w:pPr>
            <w:r>
              <w:rPr>
                <w:rFonts w:ascii="Arial" w:cs="Arial" w:eastAsia="Arial" w:hAnsi="Arial"/>
                <w:sz w:val="18"/>
                <w:szCs w:val="18"/>
                <w:color w:val="auto"/>
              </w:rPr>
              <w:t>issued and outstanding as of December 31, 2021 and December 31, 2020, respectively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487,306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475,709</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(395,275)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(398,624)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 attributable to XpresSpa Group, Inc.</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77,806</w:t>
            </w:r>
          </w:p>
        </w:tc>
        <w:tc>
          <w:tcPr>
            <w:tcW w:w="10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99,935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80,371</w:t>
            </w:r>
          </w:p>
        </w:tc>
      </w:tr>
      <w:tr>
        <w:trPr>
          <w:trHeight w:val="209"/>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103,133</w:t>
            </w:r>
          </w:p>
        </w:tc>
        <w:tc>
          <w:tcPr>
            <w:tcW w:w="100" w:type="dxa"/>
            <w:vAlign w:val="bottom"/>
            <w:tcBorders>
              <w:top w:val="single" w:sz="8" w:color="CCEEFF"/>
            </w:tcBorders>
            <w:shd w:val="clear" w:color="auto" w:fill="CCEEFF"/>
          </w:tcPr>
          <w:p>
            <w:pPr>
              <w:spacing w:after="0"/>
              <w:rPr>
                <w:sz w:val="18"/>
                <w:szCs w:val="18"/>
                <w:color w:val="auto"/>
              </w:rPr>
            </w:pPr>
          </w:p>
        </w:tc>
      </w:tr>
      <w:tr>
        <w:trPr>
          <w:trHeight w:val="669"/>
        </w:trPr>
        <w:tc>
          <w:tcPr>
            <w:tcW w:w="8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NET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361"/>
              <w:spacing w:after="0"/>
              <w:rPr>
                <w:sz w:val="20"/>
                <w:szCs w:val="20"/>
                <w:color w:val="auto"/>
              </w:rPr>
            </w:pPr>
            <w:r>
              <w:rPr>
                <w:rFonts w:ascii="Arial" w:cs="Arial" w:eastAsia="Arial" w:hAnsi="Arial"/>
                <w:sz w:val="18"/>
                <w:szCs w:val="18"/>
                <w:b w:val="1"/>
                <w:bCs w:val="1"/>
                <w:color w:val="auto"/>
                <w:w w:val="93"/>
              </w:rPr>
              <w:t>Quarter Ended December 31,</w:t>
            </w:r>
          </w:p>
        </w:tc>
        <w:tc>
          <w:tcPr>
            <w:tcW w:w="200" w:type="dxa"/>
            <w:vAlign w:val="bottom"/>
          </w:tcPr>
          <w:p>
            <w:pPr>
              <w:spacing w:after="0"/>
              <w:rPr>
                <w:sz w:val="20"/>
                <w:szCs w:val="20"/>
                <w:color w:val="auto"/>
              </w:rPr>
            </w:pPr>
          </w:p>
        </w:tc>
        <w:tc>
          <w:tcPr>
            <w:tcW w:w="258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5"/>
              </w:rPr>
              <w:t>Year Ended December 31,</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Managed services fees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16,861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Patient services 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 net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29,358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sales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Labor</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5,234</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810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12,653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Products and other operating costs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1,147</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26,143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Impairment/disposal of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9,037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4,968</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24,199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15,940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27,102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69,538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(17,449)</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(40,104)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Gain (loss) on revaluation of warrants and conversion options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(51,147)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non-operating expense, net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1,247</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(16,408)</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(92,225)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(16,393)</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(92,232)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noncontrolling interests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 attributable to XpresSpa Group, Inc.</w:t>
            </w: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3,275</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(90,488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5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(16,393)</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(92,232)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from operations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from continuing operations</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(16,363)</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(92,169)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net income (loss) from discontinued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w w:val="99"/>
              </w:rPr>
              <w:t>Other comprehensive income (loss) from discontinued operations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from discontinued operations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(16,363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(92,169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Earnings / (Loss) per share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 (Loss) per share from continuing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Earnings / (Loss) per share from continuing operations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earnings / loss per share</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2"/>
              </w:rPr>
              <w:t>Weighted-average number of shares outstanding during the period</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105,337,399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72,141,861</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104,306,173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44,567,542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105,742,544</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72,141,861</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105,076,758</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44,567,542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ind w:left="4120"/>
        <w:spacing w:after="0"/>
        <w:rPr>
          <w:sz w:val="20"/>
          <w:szCs w:val="20"/>
          <w:color w:val="auto"/>
        </w:rPr>
      </w:pPr>
      <w:r>
        <w:rPr>
          <w:rFonts w:ascii="Arial" w:cs="Arial" w:eastAsia="Arial" w:hAnsi="Arial"/>
          <w:sz w:val="18"/>
          <w:szCs w:val="18"/>
          <w:b w:val="1"/>
          <w:bCs w:val="1"/>
          <w:color w:val="auto"/>
        </w:rPr>
        <w:t>XpresSpa Group, Inc. and Subsidiaries</w:t>
      </w:r>
    </w:p>
    <w:p>
      <w:pPr>
        <w:spacing w:after="0" w:line="3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5"/>
          </w:tcPr>
          <w:p>
            <w:pPr>
              <w:ind w:left="504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2"/>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right"/>
              <w:ind w:right="361"/>
              <w:spacing w:after="0"/>
              <w:rPr>
                <w:sz w:val="20"/>
                <w:szCs w:val="20"/>
                <w:color w:val="auto"/>
              </w:rPr>
            </w:pPr>
            <w:r>
              <w:rPr>
                <w:rFonts w:ascii="Arial" w:cs="Arial" w:eastAsia="Arial" w:hAnsi="Arial"/>
                <w:sz w:val="18"/>
                <w:szCs w:val="18"/>
                <w:b w:val="1"/>
                <w:bCs w:val="1"/>
                <w:color w:val="auto"/>
                <w:w w:val="93"/>
              </w:rPr>
              <w:t>Quarter Ended December 31,</w:t>
            </w:r>
          </w:p>
        </w:tc>
        <w:tc>
          <w:tcPr>
            <w:tcW w:w="220" w:type="dxa"/>
            <w:vAlign w:val="bottom"/>
          </w:tcPr>
          <w:p>
            <w:pPr>
              <w:spacing w:after="0"/>
              <w:rPr>
                <w:sz w:val="24"/>
                <w:szCs w:val="24"/>
                <w:color w:val="auto"/>
              </w:rPr>
            </w:pPr>
          </w:p>
        </w:tc>
        <w:tc>
          <w:tcPr>
            <w:tcW w:w="256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1,836</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(16,393)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2,893</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(92,232)</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Items included in net loss not affecting operating cash flows: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Revaluation of warrants and conversion options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51,147</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Revaluation of contingent consideration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(315)</w:t>
            </w: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Impairment/disposal of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9,037</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15,356</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debt discount on notes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Amortization of operating lease right of use asset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1,719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shares of Common Stock for payment of interest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w w:val="93"/>
              </w:rPr>
              <w:t>Issuance of shares of Series E Preferred Stock for payment of interest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the extinguishment of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Issuance of shares of Common Stock for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(Gain)/Loss on equity 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(1,287)</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(Increase) decrease in inventory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accounts receivable,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Decrease in deferred 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 current and non-current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Other liabilities, current and non-current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(2,904)</w:t>
            </w: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accounts payable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(2,938)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5,773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(5,169)</w:t>
            </w:r>
          </w:p>
        </w:tc>
      </w:tr>
      <w:tr>
        <w:trPr>
          <w:trHeight w:val="21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15,642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(25,012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(5,362)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(3,969)</w:t>
            </w: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Cash acquired on consolidations of certain Variable Interest Entities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Acquisition of software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(3,308)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(380)</w:t>
            </w:r>
          </w:p>
        </w:tc>
      </w:tr>
      <w:tr>
        <w:trPr>
          <w:trHeight w:val="210"/>
        </w:trPr>
        <w:tc>
          <w:tcPr>
            <w:tcW w:w="5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the sale of subsidiary</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Proceeds from the sale of cost method investment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5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 –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w w:val="97"/>
              </w:rPr>
              <w:t>Net cash used in investing activities – discontinued operations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(6,236</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(4,349</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4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Proceeds from direct offerings of Common Stock and warrants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exercises, net of costs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36,494</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17,085</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110,619</w:t>
            </w:r>
          </w:p>
        </w:tc>
        <w:tc>
          <w:tcPr>
            <w:tcW w:w="80" w:type="dxa"/>
            <w:vAlign w:val="bottom"/>
            <w:shd w:val="clear" w:color="auto" w:fill="CCEEFF"/>
          </w:tcPr>
          <w:p>
            <w:pPr>
              <w:spacing w:after="0"/>
              <w:rPr>
                <w:sz w:val="20"/>
                <w:szCs w:val="20"/>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Proceeds from borrowings under Paycheck Protection Program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5,653</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additional borrowing from B3D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Proceeds from stock option exercises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funding advance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Repayment of funding advance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(819)</w:t>
            </w: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Paycheck Protection Program</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Redemption of non-controlling interests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(7,825)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Contributions from noncontrolling interests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noncontrolling interests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(1,170)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1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36,863</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117,225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2"/>
        </w:trPr>
        <w:tc>
          <w:tcPr>
            <w:tcW w:w="5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Effect of exchange rate changes on cash, cash equivalents and restricted</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Cash, cash equivalents, and restricted cash at beginning of the period</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62,595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90,502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w w:val="98"/>
              </w:rPr>
              <w:t>Cash, cash equivalents, and restricted cash at end of the period</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90,502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081"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361"/>
              <w:spacing w:after="0"/>
              <w:rPr>
                <w:sz w:val="20"/>
                <w:szCs w:val="20"/>
                <w:color w:val="auto"/>
              </w:rPr>
            </w:pPr>
            <w:r>
              <w:rPr>
                <w:rFonts w:ascii="Arial" w:cs="Arial" w:eastAsia="Arial" w:hAnsi="Arial"/>
                <w:sz w:val="18"/>
                <w:szCs w:val="18"/>
                <w:b w:val="1"/>
                <w:bCs w:val="1"/>
                <w:color w:val="auto"/>
                <w:w w:val="93"/>
              </w:rPr>
              <w:t>Quarter Ended December 31,</w:t>
            </w:r>
          </w:p>
        </w:tc>
        <w:tc>
          <w:tcPr>
            <w:tcW w:w="220" w:type="dxa"/>
            <w:vAlign w:val="bottom"/>
          </w:tcPr>
          <w:p>
            <w:pPr>
              <w:spacing w:after="0"/>
              <w:rPr>
                <w:sz w:val="20"/>
                <w:szCs w:val="20"/>
                <w:color w:val="auto"/>
              </w:rPr>
            </w:pPr>
          </w:p>
        </w:tc>
        <w:tc>
          <w:tcPr>
            <w:tcW w:w="256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Managed services fees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Patient service 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25,338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50,689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Products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8"/>
                <w:szCs w:val="18"/>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9"/>
                <w:szCs w:val="19"/>
                <w:color w:val="auto"/>
              </w:rPr>
            </w:pPr>
          </w:p>
        </w:tc>
      </w:tr>
      <w:tr>
        <w:trPr>
          <w:trHeight w:val="20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29,358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73,729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Labor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5,234</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12,653</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2,809</w:t>
            </w: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other operating costs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1,147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26,143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80" w:type="dxa"/>
            <w:vAlign w:val="bottom"/>
            <w:shd w:val="clear" w:color="auto" w:fill="CCEEFF"/>
          </w:tcPr>
          <w:p>
            <w:pPr>
              <w:spacing w:after="0"/>
              <w:rPr>
                <w:sz w:val="19"/>
                <w:szCs w:val="19"/>
                <w:color w:val="auto"/>
              </w:rPr>
            </w:pP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2,432</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41,301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Impairment/disposal of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9,037</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15,356</w:t>
            </w: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4,968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24,199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80" w:type="dxa"/>
            <w:vAlign w:val="bottom"/>
            <w:shd w:val="clear" w:color="auto" w:fill="CCEEFF"/>
          </w:tcPr>
          <w:p>
            <w:pPr>
              <w:spacing w:after="0"/>
              <w:rPr>
                <w:sz w:val="19"/>
                <w:szCs w:val="19"/>
                <w:color w:val="auto"/>
              </w:rPr>
            </w:pPr>
          </w:p>
        </w:tc>
      </w:tr>
      <w:tr>
        <w:trPr>
          <w:trHeight w:val="20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27,102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17,772</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Earnings (loss) from operations</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2,256</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(17,449)</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4,191</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(40,104)</w:t>
            </w: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(1,832)</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Gain (loss) on revaluation of warrants and conversion 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(51,147)</w:t>
            </w: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non-operating expense,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1,247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1,897</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(16,408)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3,033</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(92,225)</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(16,393)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(92,232)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Loss from discontinued operations, net of income 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(16,393)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(92,232)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1,744</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(90,488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2,256</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(17,449)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4,191</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(40,104)</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Add back: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Impairment/disposal of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9,037</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15,356</w:t>
            </w: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(6,715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(18,210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2022-03-15T15:24:37Z</dcterms:created>
  <dcterms:modified xsi:type="dcterms:W3CDTF">2022-03-15T15:24:37Z</dcterms:modified>
</cp:coreProperties>
</file>