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Lang Andrew Kennedy</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Vringo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VRNG</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10/26/2012</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23"/>
        <w:spacing w:after="0"/>
        <w:rPr>
          <w:sz w:val="20"/>
          <w:szCs w:val="20"/>
          <w:color w:val="auto"/>
        </w:rPr>
      </w:pPr>
      <w:r>
        <w:rPr>
          <w:rFonts w:ascii="Times New Roman" w:cs="Times New Roman" w:eastAsia="Times New Roman" w:hAnsi="Times New Roman"/>
          <w:sz w:val="18"/>
          <w:szCs w:val="18"/>
          <w:color w:val="0000FF"/>
        </w:rPr>
        <w:t>President &amp; CTO</w:t>
      </w:r>
    </w:p>
    <w:p>
      <w:pPr>
        <w:spacing w:after="0" w:line="411"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10017</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59"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w w:val="93"/>
              </w:rPr>
              <w:t>(A) or</w:t>
            </w: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 $0.01 par value per share</w:t>
            </w:r>
          </w:p>
        </w:tc>
        <w:tc>
          <w:tcPr>
            <w:tcW w:w="126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8"/>
                <w:szCs w:val="18"/>
                <w:color w:val="0000FF"/>
              </w:rPr>
              <w:t>10/26/2012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0000FF"/>
              </w:rPr>
              <w:t>9,058</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gridSpan w:val="3"/>
            <w:vMerge w:val="restart"/>
          </w:tcPr>
          <w:p>
            <w:pPr>
              <w:ind w:left="2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4.08</w:t>
            </w:r>
          </w:p>
        </w:tc>
        <w:tc>
          <w:tcPr>
            <w:tcW w:w="120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8"/>
                <w:szCs w:val="18"/>
                <w:color w:val="0000FF"/>
              </w:rPr>
              <w:t>2,959,368</w:t>
            </w:r>
          </w:p>
        </w:tc>
        <w:tc>
          <w:tcPr>
            <w:tcW w:w="300" w:type="dxa"/>
            <w:vAlign w:val="bottom"/>
          </w:tcPr>
          <w:p>
            <w:pPr>
              <w:spacing w:after="0"/>
              <w:rPr>
                <w:sz w:val="18"/>
                <w:szCs w:val="18"/>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I</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Innovation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180" w:type="dxa"/>
            <w:vAlign w:val="bottom"/>
            <w:gridSpan w:val="4"/>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Spring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$0.01 par value per share</w:t>
            </w:r>
          </w:p>
        </w:tc>
        <w:tc>
          <w:tcPr>
            <w:tcW w:w="6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ind w:right="119"/>
              <w:spacing w:after="0"/>
              <w:rPr>
                <w:sz w:val="20"/>
                <w:szCs w:val="20"/>
                <w:color w:val="auto"/>
              </w:rPr>
            </w:pPr>
            <w:r>
              <w:rPr>
                <w:rFonts w:ascii="Times New Roman" w:cs="Times New Roman" w:eastAsia="Times New Roman" w:hAnsi="Times New Roman"/>
                <w:sz w:val="18"/>
                <w:szCs w:val="18"/>
                <w:color w:val="0000FF"/>
              </w:rPr>
              <w:t>2,765,400</w:t>
            </w:r>
            <w:r>
              <w:rPr>
                <w:rFonts w:ascii="Times New Roman" w:cs="Times New Roman" w:eastAsia="Times New Roman" w:hAnsi="Times New Roman"/>
                <w:sz w:val="22"/>
                <w:szCs w:val="22"/>
                <w:color w:val="008000"/>
                <w:vertAlign w:val="superscript"/>
              </w:rPr>
              <w:t>(1)</w:t>
            </w:r>
          </w:p>
        </w:tc>
        <w:tc>
          <w:tcPr>
            <w:tcW w:w="3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8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125,000 shares of common stock that are represented by restricted stock units which vest over a four-year period, with 1/8 of the restricted stock units vesting on January 26, 2013 and 1/16 of the restricted stock units vesting ratably on a quarterly basis thereafter.</w:t>
      </w:r>
    </w:p>
    <w:p>
      <w:pPr>
        <w:spacing w:after="0" w:line="27" w:lineRule="exact"/>
        <w:rPr>
          <w:rFonts w:ascii="Times New Roman" w:cs="Times New Roman" w:eastAsia="Times New Roman" w:hAnsi="Times New Roman"/>
          <w:sz w:val="14"/>
          <w:szCs w:val="14"/>
          <w:color w:val="008000"/>
        </w:rPr>
      </w:pPr>
    </w:p>
    <w:p>
      <w:pPr>
        <w:ind w:left="40" w:right="8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The transactions reported in this Form 4 were effected pursuant to a Rule 10b5-1 trading plan adopted by the reporting person on August 31, 2012.</w:t>
      </w:r>
    </w:p>
    <w:p>
      <w:pPr>
        <w:spacing w:after="0" w:line="50"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Andrew Kennedy Lang</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10/29/2012</w:t>
            </w:r>
          </w:p>
        </w:tc>
      </w:tr>
      <w:tr>
        <w:trPr>
          <w:trHeight w:val="20"/>
        </w:trPr>
        <w:tc>
          <w:tcPr>
            <w:tcW w:w="68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2019-12-17T06:54:23Z</dcterms:created>
  <dcterms:modified xsi:type="dcterms:W3CDTF">2019-12-17T06:54:23Z</dcterms:modified>
</cp:coreProperties>
</file>