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19, 2012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333- 180493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center"/>
              <w:ind w:left="195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720" w:type="dxa"/>
            <w:vAlign w:val="bottom"/>
          </w:tcPr>
          <w:p>
            <w:pPr>
              <w:jc w:val="center"/>
              <w:ind w:left="195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72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 W. 28th Street</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left="536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 xml:space="preserve">Kenneth </w:t>
      </w:r>
      <w:r>
        <w:rPr>
          <w:rFonts w:ascii="Arial" w:cs="Arial" w:eastAsia="Arial" w:hAnsi="Arial"/>
          <w:sz w:val="18"/>
          <w:szCs w:val="18"/>
          <w:b w:val="1"/>
          <w:bCs w:val="1"/>
          <w:color w:val="222222"/>
        </w:rPr>
        <w:t>R.</w:t>
      </w:r>
      <w:r>
        <w:rPr>
          <w:rFonts w:ascii="Arial" w:cs="Arial" w:eastAsia="Arial" w:hAnsi="Arial"/>
          <w:sz w:val="18"/>
          <w:szCs w:val="18"/>
          <w:b w:val="1"/>
          <w:bCs w:val="1"/>
          <w:color w:val="auto"/>
        </w:rPr>
        <w:t xml:space="preserve"> Koch, Esq.</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w:t>
      </w:r>
      <w:r>
        <w:rPr>
          <w:rFonts w:ascii="Arial" w:cs="Arial" w:eastAsia="Arial" w:hAnsi="Arial"/>
          <w:sz w:val="18"/>
          <w:szCs w:val="18"/>
          <w:b w:val="1"/>
          <w:bCs w:val="1"/>
          <w:color w:val="222222"/>
        </w:rPr>
        <w:t>,</w:t>
      </w:r>
      <w:r>
        <w:rPr>
          <w:rFonts w:ascii="Arial" w:cs="Arial" w:eastAsia="Arial" w:hAnsi="Arial"/>
          <w:sz w:val="18"/>
          <w:szCs w:val="18"/>
          <w:b w:val="1"/>
          <w:bCs w:val="1"/>
          <w:color w:val="auto"/>
        </w:rPr>
        <w:t xml:space="preserve"> Levin</w:t>
      </w:r>
      <w:r>
        <w:rPr>
          <w:rFonts w:ascii="Arial" w:cs="Arial" w:eastAsia="Arial" w:hAnsi="Arial"/>
          <w:sz w:val="18"/>
          <w:szCs w:val="18"/>
          <w:b w:val="1"/>
          <w:bCs w:val="1"/>
          <w:color w:val="222222"/>
        </w:rPr>
        <w:t>, Cohn, Ferris, 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00" w:firstLine="648"/>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82" w:lineRule="exact"/>
        <w:rPr>
          <w:sz w:val="24"/>
          <w:szCs w:val="24"/>
          <w:color w:val="auto"/>
        </w:rPr>
      </w:pPr>
    </w:p>
    <w:p>
      <w:pPr>
        <w:ind w:right="5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8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160" w:firstLine="864"/>
        <w:spacing w:after="0" w:line="257" w:lineRule="exact"/>
        <w:rPr>
          <w:sz w:val="20"/>
          <w:szCs w:val="20"/>
          <w:color w:val="auto"/>
        </w:rPr>
      </w:pPr>
      <w:r>
        <w:rPr>
          <w:rFonts w:ascii="Arial" w:cs="Arial" w:eastAsia="Arial" w:hAnsi="Arial"/>
          <w:sz w:val="22"/>
          <w:szCs w:val="22"/>
          <w:color w:val="auto"/>
        </w:rPr>
        <w:t xml:space="preserve">If this Form is a post-effective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ind w:right="140"/>
        <w:spacing w:after="0" w:line="27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(Check one):</w:t>
      </w:r>
    </w:p>
    <w:tbl>
      <w:tblPr>
        <w:tblLayout w:type="fixed"/>
        <w:tblInd w:w="0" w:type="dxa"/>
        <w:tblCellMar>
          <w:top w:w="0" w:type="dxa"/>
          <w:left w:w="0" w:type="dxa"/>
          <w:bottom w:w="0" w:type="dxa"/>
          <w:right w:w="0" w:type="dxa"/>
        </w:tblCellMar>
      </w:tblPr>
      <w:tr>
        <w:trPr>
          <w:trHeight w:val="176"/>
        </w:trPr>
        <w:tc>
          <w:tcPr>
            <w:tcW w:w="2720" w:type="dxa"/>
            <w:vAlign w:val="bottom"/>
            <w:tcBorders>
              <w:top w:val="single" w:sz="8" w:color="auto"/>
            </w:tcBorders>
          </w:tcPr>
          <w:p>
            <w:pPr>
              <w:ind w:left="180"/>
              <w:spacing w:after="0" w:line="1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440" w:type="dxa"/>
            <w:vAlign w:val="bottom"/>
            <w:tcBorders>
              <w:top w:val="single" w:sz="8" w:color="auto"/>
            </w:tcBorders>
          </w:tcPr>
          <w:p>
            <w:pPr>
              <w:ind w:left="680"/>
              <w:spacing w:after="0" w:line="176"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40" w:type="dxa"/>
            <w:vAlign w:val="bottom"/>
            <w:tcBorders>
              <w:top w:val="single" w:sz="8" w:color="auto"/>
            </w:tcBorders>
          </w:tcPr>
          <w:p>
            <w:pPr>
              <w:ind w:left="760"/>
              <w:spacing w:after="0" w:line="176"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220" w:type="dxa"/>
            <w:vAlign w:val="bottom"/>
            <w:tcBorders>
              <w:top w:val="single" w:sz="8" w:color="auto"/>
            </w:tcBorders>
          </w:tcPr>
          <w:p>
            <w:pPr>
              <w:ind w:left="520"/>
              <w:spacing w:after="0" w:line="176"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(Do not check if a smaller reporting company)</w:t>
            </w:r>
          </w:p>
        </w:tc>
      </w:tr>
    </w:tbl>
    <w:p>
      <w:pPr>
        <w:spacing w:after="0" w:line="198" w:lineRule="exact"/>
        <w:rPr>
          <w:sz w:val="20"/>
          <w:szCs w:val="20"/>
          <w:color w:val="auto"/>
        </w:rPr>
      </w:pPr>
    </w:p>
    <w:p>
      <w:pPr>
        <w:ind w:right="20" w:firstLine="5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0000"/>
        </w:rPr>
        <w:t>SUBJECT TO COMPLETION, DATED JUNE 19,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2,526,289 Shares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154940</wp:posOffset>
            </wp:positionV>
            <wp:extent cx="52324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80" w:right="340" w:firstLine="486"/>
        <w:spacing w:after="0" w:line="342" w:lineRule="auto"/>
        <w:rPr>
          <w:sz w:val="20"/>
          <w:szCs w:val="20"/>
          <w:color w:val="auto"/>
        </w:rPr>
      </w:pPr>
      <w:r>
        <w:rPr>
          <w:rFonts w:ascii="Arial" w:cs="Arial" w:eastAsia="Arial" w:hAnsi="Arial"/>
          <w:sz w:val="16"/>
          <w:szCs w:val="16"/>
          <w:color w:val="auto"/>
        </w:rPr>
        <w:t>This prospectus relates to the sale of an aggregate of 2,526,289 shares of our common stock, $0.01 par value per share, issued and issuable upon exercise of certain warrants held by the selling security holders identified in this prospectus, including their transferees, pledgees, donees or successors.</w:t>
      </w:r>
    </w:p>
    <w:p>
      <w:pPr>
        <w:spacing w:after="0" w:line="124" w:lineRule="exact"/>
        <w:rPr>
          <w:sz w:val="20"/>
          <w:szCs w:val="20"/>
          <w:color w:val="auto"/>
        </w:rPr>
      </w:pPr>
    </w:p>
    <w:p>
      <w:pPr>
        <w:ind w:left="80" w:right="360" w:firstLine="486"/>
        <w:spacing w:after="0" w:line="264" w:lineRule="auto"/>
        <w:rPr>
          <w:sz w:val="20"/>
          <w:szCs w:val="20"/>
          <w:color w:val="auto"/>
        </w:rPr>
      </w:pPr>
      <w:r>
        <w:rPr>
          <w:rFonts w:ascii="Arial" w:cs="Arial" w:eastAsia="Arial" w:hAnsi="Arial"/>
          <w:sz w:val="18"/>
          <w:szCs w:val="18"/>
          <w:color w:val="auto"/>
        </w:rPr>
        <w:t>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selling security holders, other than the exercise price of the warrants.</w:t>
      </w:r>
    </w:p>
    <w:p>
      <w:pPr>
        <w:spacing w:after="0" w:line="181" w:lineRule="exact"/>
        <w:rPr>
          <w:sz w:val="20"/>
          <w:szCs w:val="20"/>
          <w:color w:val="auto"/>
        </w:rPr>
      </w:pPr>
    </w:p>
    <w:p>
      <w:pPr>
        <w:ind w:left="80" w:right="16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66" w:lineRule="exact"/>
        <w:rPr>
          <w:sz w:val="20"/>
          <w:szCs w:val="20"/>
          <w:color w:val="auto"/>
        </w:rPr>
      </w:pPr>
    </w:p>
    <w:p>
      <w:pPr>
        <w:ind w:left="80" w:right="18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June 13, 2012, the closing sale price of our common stock on the NYSE Amex was $3.40 per share.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Investment in our common stock involves risks. See “Risk Factors” on page 5 of this prospectus.</w:t>
      </w:r>
    </w:p>
    <w:p>
      <w:pPr>
        <w:spacing w:after="0" w:line="229" w:lineRule="exact"/>
        <w:rPr>
          <w:sz w:val="20"/>
          <w:szCs w:val="20"/>
          <w:color w:val="auto"/>
        </w:rPr>
      </w:pPr>
    </w:p>
    <w:p>
      <w:pPr>
        <w:ind w:left="80" w:right="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The date of this prospectus is </w:t>
      </w:r>
      <w:r>
        <w:rPr>
          <w:rFonts w:ascii="Arial" w:cs="Arial" w:eastAsia="Arial" w:hAnsi="Arial"/>
          <w:sz w:val="18"/>
          <w:szCs w:val="18"/>
          <w:color w:val="auto"/>
        </w:rPr>
        <w:t>[ l ]</w:t>
      </w: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5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0520" w:type="dxa"/>
            <w:vAlign w:val="bottom"/>
            <w:tcBorders>
              <w:bottom w:val="single" w:sz="8" w:color="CCFFCC"/>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SUMMARY</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1 2</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SELLING SECURITY HOLDERS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PLAN OF DISTRIBUTION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EXPERTS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52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ADDITIONAL INFORMATION</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1052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5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its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it believes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it can leverage our existing distribution and relationships to promote apps and services for these two operating systems.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26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ringtones for mobile phones;</w:t>
      </w:r>
    </w:p>
    <w:p>
      <w:pPr>
        <w:spacing w:after="0" w:line="161" w:lineRule="exact"/>
        <w:rPr>
          <w:rFonts w:ascii="Arial" w:cs="Arial" w:eastAsia="Arial" w:hAnsi="Arial"/>
          <w:sz w:val="18"/>
          <w:szCs w:val="18"/>
          <w:b w:val="1"/>
          <w:bCs w:val="1"/>
          <w:color w:val="auto"/>
        </w:rPr>
      </w:pPr>
    </w:p>
    <w:p>
      <w:pPr>
        <w:ind w:left="1260" w:hanging="334"/>
        <w:spacing w:after="0"/>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260" w:right="2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260" w:hanging="334"/>
        <w:spacing w:after="0" w:line="282" w:lineRule="auto"/>
        <w:tabs>
          <w:tab w:leader="none" w:pos="1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 stars</w:t>
      </w:r>
      <w:r>
        <w:rPr>
          <w:rFonts w:ascii="Arial" w:cs="Arial" w:eastAsia="Arial" w:hAnsi="Arial"/>
          <w:sz w:val="18"/>
          <w:szCs w:val="18"/>
          <w:b w:val="1"/>
          <w:bCs w:val="1"/>
          <w:color w:val="auto"/>
        </w:rPr>
        <w:t xml:space="preserve"> </w:t>
      </w:r>
      <w:r>
        <w:rPr>
          <w:rFonts w:ascii="Arial" w:cs="Arial" w:eastAsia="Arial" w:hAnsi="Arial"/>
          <w:sz w:val="18"/>
          <w:szCs w:val="18"/>
          <w:color w:val="auto"/>
        </w:rPr>
        <w:t>and vote for contestants.</w:t>
      </w:r>
    </w:p>
    <w:p>
      <w:pPr>
        <w:spacing w:after="0" w:line="166"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To develop these platforms, we have leveraged our existing technology, intellectual property and our extensive experience with mobile video, personalization and social applications. We believe that these platforms will represent a significant component of our business going forward.</w:t>
      </w:r>
    </w:p>
    <w:p>
      <w:pPr>
        <w:spacing w:after="0" w:line="14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ability to compete successfully depends on our ability to ensure a continuing and timely introduction of innovative new products and technologies to the marketplace. As a result, we must make significant investments in research and development. To date, we filed over 24 patents, 3 of the patents that have been filed have been granted by the USPTO and we have received a notice of allowance for 1 patent in Europe.</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were incorporated in January 2006 and are still a development stage company. Our principal executive offices are located in New York, NY, and in addition, we have a wholly owned subsidiary, Vringo (Israel) Ltd., located in Bet-Shemesh, Israel. From inception through March 31, 2012, we recorded revenues of $1,055,000, which includes $726,000 from revenue share subscription services, $118,000 from one-time setup fees, $91,000 from Facetones™, $80,000 from Fan Loyalty application formats, $30,000 from Video ReMix platform and $10,000 from applications sold. We believe that current cash levels will be sufficient to support our activity into the first quarter of 2013. The continuation of our business is dependent upon the successful consummation of the merger with Innovate/Protect and/or similar merger or acquisition, financing and/or further development of our products. There can be no assurance that the merger will be consummated, or that business development opportunities will materialize. Should we need to raise funds, the issuance of additional equity securities by us could result in a substantial dilution to our current stockholders. Obtaining commercial loans, assuming those loans would be available, will increase our liabilities and future cash commitments. All of our audited consolidated financial statements since inception have contained a statement by our management that raises substantial doubt about us being able to continue as a going concern unless we are able to raise additional capital.</w:t>
      </w:r>
    </w:p>
    <w:p>
      <w:pPr>
        <w:spacing w:after="0" w:line="16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video ringtone platform was our primary product focus since inception through the launch of our Facetones™ product in the third Quarter of 2011. We continue to develop business for this product.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line="5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At that point, we moved to a paid service model together with mobile carriers and other partners around the world. The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three of which have been issued to date, and we continue to create new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88"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Under the terms of the Merger Agreement, upon completion of the Merger, (i) each share of then-outstanding common stock of Innovate/Protect, par value $0.0001 per share (“Innovate/Protect Common Stock”) (other than shares held by us, Innovate/Protect or any of our and their subsidiaries, which will be cancelled at the completion of the Merger) will be automatically converted into the right to receive the number of shares of our common stock, par value $0.01 per share (“Vringo Common Stock”) multiplied by the Common Stock Exchange Ratio (as defined below) and (ii) each share of then-outstanding Series A Convertible Preferred Stock of Innovate/Protect, par value $0.0001 per share (total 6,673 shares outstanding) (“Innovate/Protect Series A Stock” and together with the Innovate/Protect Common Stock, “Innovate/Protect Capital Stock”) (other than shares held by us, Innovate/Protect or any of our and their subsidiaries, which will be cancelled at the completion of the Merger) will be automatically converted into the right to receive the same number of shares of Vringo Series A Convertible Preferred Stock (“Vringo Preferred Stock”), which 6,673 shares, as of June 13,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to be filed by us prior to closing. The Common Stock Exchange Ratio initially is 3.0176, which is subject to adjustment as set forth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(on a pro rata as-converted basis) an aggregate of 15,959,838 warrants to purchase an aggregate of 15,959,838 shares of Vringo Common Stock with an exercise price of $1.76 per share. The issued and outstanding warrants to purchase Innovate/Protect Common Stock shall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1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at the effective time of the Merger, each outstanding and unexercised option to purchase Innovate/Protect Common Stock (each a “Innovate/Protect Stock Option”), whether vested or unvested will be converted into and become an option to purchase Vringo Common Stock and we will assume such Innovate/Protect Stock Option in accordance with the terms of the Innovate/Protect 2011 Equity Incentive Plan. After the effective time of the Merger, (a) each Innovate/Protect Stock Option assumed by us may be exercised solely for shares of Vringo Common Stock and (b) the number of shares of Vringo Common Stock and the exercise price subject to each Innovate/Protect Stock Option assumed by us shall be determined by the Common Stock Exchange Ratio.</w:t>
      </w:r>
    </w:p>
    <w:p>
      <w:pPr>
        <w:spacing w:after="0" w:line="1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56.30% of the outstanding common stock of the combined company, and our current stockholders are expected to own approximately 43.70% of the outstanding common stock of the combined company. On a fully diluted basis, the former stockholders of Innovate/Protect are expected to own approximately 67.82% of the outstanding common stock of the combined company, and our current stockholders are expected to own approximately 32.18% of the outstanding common stock of the combined company.</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Innovate/Protect is the owner of patent assets acquired from Lycos,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Innovate/Protect is obligated under a senior secured note payable to its principal stockholder Hudson Bay Master Fund Ltd.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we and our subsidiaries have more than $15,000,000 in the aggregate of cash and cash equivalents, Hudson Bay may require us to redeem up to 50% of the outstanding principal amount of the note, (ii) we and our subsidiaries have more than $20,000,000 in the aggregate of cash and cash equivalents, Hudson Bay may require us to redeem up to 100% of the outstanding principal of the Note, (iii) we and our subsidiaries receive proceeds in excess of $500,000 in the aggregate from the issuance of any equity or indebtedness, Hudson Bay may require us to redeem the outstanding principal under the note in an amount equal to up to 20% of the proceeds of the issuance of any such equity or indebtedness. In</w:t>
      </w:r>
    </w:p>
    <w:p>
      <w:pPr>
        <w:sectPr>
          <w:pgSz w:w="11900" w:h="16897" w:orient="portrait"/>
          <w:cols w:equalWidth="0" w:num="1">
            <w:col w:w="11420"/>
          </w:cols>
          <w:pgMar w:left="240" w:top="881" w:right="239" w:bottom="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addition, the amended and restated note shall provide that in the event of a change of control, Hudson Bay may require us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we will guaranty the obligations under the senior secured note.</w:t>
      </w:r>
    </w:p>
    <w:p>
      <w:pPr>
        <w:spacing w:after="0" w:line="171"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us,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firstLine="486"/>
        <w:spacing w:after="0" w:line="286" w:lineRule="auto"/>
        <w:rPr>
          <w:sz w:val="20"/>
          <w:szCs w:val="20"/>
          <w:color w:val="auto"/>
        </w:rPr>
      </w:pPr>
      <w:r>
        <w:rPr>
          <w:rFonts w:ascii="Arial" w:cs="Arial" w:eastAsia="Arial" w:hAnsi="Arial"/>
          <w:sz w:val="17"/>
          <w:szCs w:val="17"/>
          <w:color w:val="auto"/>
        </w:rPr>
        <w:t>As of June 13,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6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expended significant effort and management attention on the proposed transaction. There is no assurance that the transaction contemplated by the Merger Agreement will be consummated. If the transaction is not consummated for any reason, our business and operations, as well as the market price of our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our assets and liabilities will be recognized and measured in accordance with the guidance for business combinations in ASC 805. We are currently evaluating the effect of this on our financial statements. We believe such effect will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Innovate/Protect’s Initial Litigation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w:t>
      </w:r>
    </w:p>
    <w:p>
      <w:pPr>
        <w:spacing w:after="0" w:line="1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w:t>
      </w:r>
    </w:p>
    <w:p>
      <w:pPr>
        <w:sectPr>
          <w:pgSz w:w="11900" w:h="16838" w:orient="portrait"/>
          <w:cols w:equalWidth="0" w:num="1">
            <w:col w:w="11420"/>
          </w:cols>
          <w:pgMar w:left="240" w:top="881" w:right="239" w:bottom="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available on the Public Access to Court Electronic Records (PACER) electronic public access service at http://www.pacer.uscourts.gov/, and was also filed by Vringo with the Securities and Exchange Commission.</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NYSE Amex</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26, 2012, the NYSE Amex notified us that it had resolved the continued listing deficiency referenced in the NYSE Amex’s letter dated May 24, 2011, which stated that we were not in compliance with Section 1003(a) (iv) of the NYSE Amex’s continued listing standards. The NYSE Amex’s conclusion was based on a review of available information, including our filings with the Securities and Exchange Commission. Our continued listing eligibility will be assessed on an ongoing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firstLine="648"/>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prospectus relates to the resale of 2,526,289 shares of common stock issued and issuable upon exercise of certain warrants held by the selling security holders identified in this prospectus, including their transferees, pledgees, donees or successors. A description of the transactions in which the selling security holders were issued the warrants is set forth in the Current Reports on Form 8-K which we filed with the SEC on February 7, 2012 and February 14, 2012, respectively.</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agreed to register the offer and sale of these shares to satisfy registration rights we have granted to various investors. We will not receive any proceeds from the sale of common stock by the selling security holders, other than as a result of the exercise of warrants held by the selling security holders for cash.</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0" w:name="page11"/>
    <w:bookmarkEnd w:id="10"/>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consummate our Merger with Innovate/Protect.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12, 2012, we entered into a Merger Agreement, pursuant to which Innovate/Protect will merge with and into our wholly owned subsidiary, Merger Sub, with Merger Sub being the surviving corporation through an exchange of capital stock of Innovate/Protect for our capital stock of Vringo. The consummation of the transaction with Innovate/Protect is subject to stockholders approval and other closing conditions. We have expended significant effort and management attention on the proposed transaction. There is no assurance that the transaction will be approved. For example, our stockholders may not approve the transaction. If the transaction is not consummated for any reason, our business and operations, as well as the market price of our stock and warrants may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 of our shares of common stock to Innovate/Protect stockholders in connection with the Merger will substantially dilute the voting power of our current stockholders.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terms of the Merger Agreement, it is anticipated that we will issue equity instruments to Innovate/Protect stockholders representing approximately 67.82% of the outstanding equity instruments of the combined company calculated on a fully diluted basis as of immediately following the completion of the Merger. After such issuance, our equity instruments outstanding immediately prior to the completion of the Merger will represent approximately 32.18% of the outstanding equity instruments of the combined company, calculated on a fully diluted basis as of immediately following the completion of the Merger. Accordingly, the issuance of our equity instruments Innovate/Protect stockholders in connection with the Merger will significantly reduce the relative voting power of each share of our common stock held by our current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2012, we had a cash balance of $3.6 million and $2.7 million of net working capital. For the three months ended March 31, 2012 and 2011 and for the cumulative period from inception until March 31, 2012, we incurred net losses of $5.6 million, $1.1 million and $43.2 million, respectively. As of March 31, 2012, our deficit in stockholders' equity was $1.0 million.</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expect our net losses to continue in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development stage company with no significant source of income and our there is a significant doubt about our ability to continue our activities as a going concern.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management that raises significant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current cash levels will be sufficient to support our activity into the first quarter of 2013. The continuation of our business is dependent upon the successful consummation of our Merger with Innovate/Protect, or similar merger or acquisition, financing and upon the further development of our products.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we undertake will likely be dilutive to our current stockholders.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our currently outstanding warrants be exercised, there will be an additional 7,385,364 shares of common stock eligible for trading in the public market. In addition, we currently have options outstanding to purchase 4,634,821 shares of common stock, granted as of the reporting date, to our management, employees, directors and consultants. In March 2012, our Board approved participation of all outstanding options in future dividends, as well as, acceleration of vesting of all outstanding options will accelerate if our common stock reaches certain price or market capitalization targets for 20 of 30 consecutive trading dates, as follows: (i) 50% acceleration if either the price of our common stock is at least $5 or our market capitalization is at least $250,000,000; (ii) 75% acceleration if either the price of our common stock is at least $10 or our market capitalization is $500,000,000 or more; and (iii) 100% acceleration if either the price of our common stock is at least $20 or our market capitalization is at least $1,000,000,000. Furthermore, all outstanding options granted to members of the Board shall fully vest if a Board member ceases to be a director at any time during the six-month period immediately following a change of control.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June 13, 2012, is $3.19 per share.</w:t>
      </w:r>
    </w:p>
    <w:p>
      <w:pPr>
        <w:sectPr>
          <w:pgSz w:w="11900" w:h="16903" w:orient="portrait"/>
          <w:cols w:equalWidth="0" w:num="1">
            <w:col w:w="11420"/>
          </w:cols>
          <w:pgMar w:left="240" w:top="877"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2" w:name="page13"/>
    <w:bookmarkEnd w:id="12"/>
    <w:p>
      <w:pPr>
        <w:jc w:val="both"/>
        <w:ind w:firstLine="486"/>
        <w:spacing w:after="0" w:line="286" w:lineRule="auto"/>
        <w:rPr>
          <w:sz w:val="20"/>
          <w:szCs w:val="20"/>
          <w:color w:val="auto"/>
        </w:rPr>
      </w:pPr>
      <w:r>
        <w:rPr>
          <w:rFonts w:ascii="Arial" w:cs="Arial" w:eastAsia="Arial" w:hAnsi="Arial"/>
          <w:sz w:val="16"/>
          <w:szCs w:val="16"/>
          <w:color w:val="auto"/>
        </w:rPr>
        <w:t>Under the terms of the Merger Agreement, we will issue Innovate/Protect stockholders warrants to purchase 15,959,838 shares of our common stock at an exercise price of $1.76 per share, each subject to equitable adjustment in the event of a reverse split. In addition, the issued and outstanding warrant to purchase 250,000 shares of Innovate/Protect’s common stock that are outstanding and unexercised immediately prior to the Merger will be exchanged for 250,000 shares of our common stock and 850,000 warrants to purchase 850,000 shares of our common stock with an exercise price of $1.76 per share, each subject to equitable adjustment in the event of a reverse stock split. In addition, the aggregate number of shares of our common stock and the aggregate number of warrants (and the aggregate number of shares of our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our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our security holders will be increased by 16,851,016 and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67.82% of the outstanding common stock of the combined company calculated on a fully diluted basis) and the current stockholders of Vringo are expected to own approximately 43.70% of the outstanding common stock of the combined company (or 32.18% of the outstanding common stock of the combined company calculated on a fully diluted basis).</w:t>
      </w:r>
    </w:p>
    <w:p>
      <w:pPr>
        <w:spacing w:after="0" w:line="16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13, 2012, we have 14,239,226 shares of common stock issued and outstanding, excluding shares of common stock issuable upon exercise of warrants or options. As shares saleable under Rule 144 are sold or as restrictions on resale need, the market price of our stock could drop significantly, if the holders of restricted shares sell them, or are perceived by the market as intending to sell them. This decline in our stock price could occur even if our business is otherwise performing well. We filed Registration Statements for the common stock shares underlying (a) the 2,526,289 of the new warrants issued in June 2012 (including 11,834 warrants issued to our placement agent) and (b) 4,634,821 options currently outstanding under our 2006 Stock Option Plan.</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terms of the Merger Agreement, we will issue Innovate/Protect shareholders 17,863,169 of our common stock shares and Series A Convertible Preferred stock, initially convertible into 20,136,445 shares of our common stock. In addition, the outstanding warrant to purchase 250,000 shares of Innovate/Protect’s common stock will be exchanged for 250,000 shares of our common stock and 850,000 warrants to purchase 850,000 shares of our common stock with an exercise price of $1.76 per share, each subject to equitable adjustment in the event of a reverse stock split. In addition, the aggregate number of shares of our common stock and the aggregate number of warrants (and the aggregate number of shares of our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if consummated, the number of outstanding shares of common stock (calculated on a fully diluted basis) held by our security holders will significantly increase.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adequately protect our intellectual property, we may not be able to compete effectively.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031"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If we are unable to enter into or maintain distribution arrangements with major mobile carriers and/or other partners and develop and maintain our existing strategic relationships with mobile carriers, we will be unable to distribute our products effectively or generate significant revenue.</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strategy for distributing our applications and services is dependent upon establishing distribution arrangements with major mobile carriers and other partners. We currently have distribution arrangements with Etisalat (Emirates Telecom), Orange (Everything Everywhere), Vodafone, Verizon, Maxis, Celcom (Axiata Berhard), Hungama Mobile and Du. We need to develop and maintain strategic relationships with these entities in order for them to market our service to their end users. While we have entered into agreements with the aforementioned mobile carriers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Some of our applications are compatible with various mobile operating systems including the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represents less than 5% of our revenue for the three months ended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March 31, 2012, is heavily reliant upon our Android devices users. Currently, over 96% of our Facetones™ users utilize the Android operating system. In addition, our commercial agreement with ZTE is solely reliant on our ability to maintain its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Facetones™ application creates automated video slideshow using friends' photos from social media web sites, primarily from Facebook®, the world's leading social media site. Facetones™ represented less than 5% of our revenue for the three months ended March 31, 2012, however, we believe that the rapid growth of its user base is critical to the value of its mobile application business. In the event Facebook® prohibits or restricts the ability of our application to access photos on its site, our business, financial condition, operating results and projected growth could be harmed. In February 2012, we entered into an agreement with Facebook®, which clarifies our permitted use of the Facetones™ mark and domain name.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87" w:orient="portrait"/>
          <w:cols w:equalWidth="0" w:num="1">
            <w:col w:w="11420"/>
          </w:cols>
          <w:pgMar w:left="240" w:top="877" w:right="239" w:bottom="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If our Facetones™ trademark is challenged by another party, our revenue from this application may be adversely affected.</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9, 2012, Vringo entered into an agreement with Facebook, Inc. an online social network, relating to the use of our Facetones™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our Facetones Mark, we will need to re-brand our application, which may have a negative impact on our revenue from this application.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order for us to raise capital through equity or equity-linked transactions, stockholder approval is required to enable us to issue more than 19.99% of our outstanding shares of common stock pursuant to the rules and regulations of the NYSE Amex. Should stockholders not approve such issuances, our sole means to raise capital would be through debt, which could have a material adverse effect on our balance sheet and overall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166" w:lineRule="exact"/>
        <w:rPr>
          <w:sz w:val="20"/>
          <w:szCs w:val="20"/>
          <w:color w:val="auto"/>
        </w:rPr>
      </w:pPr>
    </w:p>
    <w:p>
      <w:pPr>
        <w:jc w:val="both"/>
        <w:ind w:right="20" w:firstLine="45"/>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facility and finance department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covenants not-to-compete under current Israeli law, which may result in added competition.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a substantial portion of our revenues is generated in dollars and euros, while a significant portion of our expenses is incurred in Israeli currency, our revenue may be reduced due to inflation in Israel and currency exchange rate fluctuations.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revenues is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ind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We will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$ 4,138,690, unless such warrants are exercise on a cashless basis.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An aggregate of up to 2,526,289 shares being offered by the selling security holders are issued and issuable upon exercise of certain warrants issued to holders of our previously outstanding warrants.</w:t>
      </w:r>
    </w:p>
    <w:p>
      <w:pPr>
        <w:spacing w:after="0" w:line="170"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Between February 6 and February 14, 2012, we entered into agreements with holders of certain of our outstanding warrants, pursuant to which the selling security holders exercised warrants to purchase an aggregate of 3,828,993 shares of our common stock. We issued new warrants to purchase an aggregate of 2,660,922 shares of common stock at an exercise price of $1.76 per share in consideration for the immediate exercise of the warrants. These transactions included (i) the agreement we entered into on February 6, 2012 with holders of certain of our outstanding warrants, pursuant to which such selling security holders agreed to immediately exercise warrants to purchase 2,444,866 shares of our common stock in consideration for the issuance to such selling security holders of new five-year warrants to purchase an aggregate of 1,784,709 shares of common stock that have an exercise price of $1.76 per share and are redeemable by us in the event that our common stock exceeds $5.00 for twenty of thirty trading days, and (ii) additional warrant exercises to purchase an aggregate of 1,384,127 shares of our common stock between February 8, 2012 and February 14, 2012 by holders of certain of our outstanding warrants in consideration for the issuance to such selling security holders of new five-year warrants to purchase an aggregate of 876,213 shares of common stock that have an exercise price of $1.76 per share and are redeemable by us in the event that our common stock exceeds $5.00 for twenty of thirty trading days. In addition, Maxim Partners LLC received warrants to purchase 11,834 shares of common stock at an exercise price of $1.76 per share. On June 7, 2012, 321,228 of the newly issued warrants were exercised, using the cashless exercise feature, into 174,760 shares of our common stock.</w:t>
      </w:r>
    </w:p>
    <w:p>
      <w:pPr>
        <w:spacing w:after="0" w:line="16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June 13, 2012.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18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 material relationships exist between any of the selling security holders and us nor have any such material relationships existed within the past three years, except that (i) Maxim Parnters LLC is an affiliate of Maxim Group LLC, which served as our placement agent for a financing in December 2009 and as the representative of the underwriters in our initial public offering in June 2010 and (ii) Iroquois Capital Management LLC, together with its affiliates, is a 8.3% beneficial stockholder.</w:t>
      </w:r>
    </w:p>
    <w:p>
      <w:pPr>
        <w:spacing w:after="0" w:line="18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Common Stock Beneficially Owned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of Common</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 Being</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Selling Securityholder</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3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Outstanding</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Iroquois Master Fund Ltd.+ (2)</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1,242,828</w:t>
            </w:r>
          </w:p>
        </w:tc>
        <w:tc>
          <w:tcPr>
            <w:tcW w:w="34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358,705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884,123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 Equities, LLC (3)</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64,915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11,380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South Ferry #2, L.P. (4)</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441,542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133,842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307,700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color w:val="auto"/>
              </w:rPr>
              <w:t>Aaron Wolfson</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26,767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Daniel S. Senor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David Dossetter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49,966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49,966</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Isaac Applbaum</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37,474</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37,474</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Dan Laor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34,797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34,797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Nathan Ron Lawyers Company (5)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64,245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64,245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Jeffrey Belk</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299,181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160,614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138,567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Charles A. Steiger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Derek G. Fogt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80,000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Todd Kronshage</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Mike Heller</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75,000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George F. Gilder</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31,692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31,692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Silver Mountain Partners LP (6)</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210,000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210,000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Mitchell Kopin</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233,535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Joseph L. Obrant</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Kingsbrook Opportunities Master Fund LP (7)</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123,132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123,132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KLW Investments LLC (8)</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182,029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74,953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107,076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Brio Capital L.P. (9)</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256,286</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175,979</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Ellis International Ltd. (10)</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58,252</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58,252</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Rockmore Investment Master Fund Ltd. (11)</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133,010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52,703</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Lilac Ventures Master Fund Ltd. (12)</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117,264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80,307</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36,957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60"/>
              <w:spacing w:after="0"/>
              <w:rPr>
                <w:sz w:val="20"/>
                <w:szCs w:val="20"/>
                <w:color w:val="auto"/>
              </w:rPr>
            </w:pPr>
            <w:r>
              <w:rPr>
                <w:rFonts w:ascii="Arial" w:cs="Arial" w:eastAsia="Arial" w:hAnsi="Arial"/>
                <w:sz w:val="18"/>
                <w:szCs w:val="18"/>
                <w:color w:val="auto"/>
              </w:rPr>
              <w:t>Cranshire Capital LP (13)</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264,015</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53,535</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210,480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Arial" w:cs="Arial" w:eastAsia="Arial" w:hAnsi="Arial"/>
                <w:sz w:val="18"/>
                <w:szCs w:val="18"/>
                <w:color w:val="auto"/>
              </w:rPr>
              <w:t>Post Family Trust (14)</w:t>
            </w: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42,828</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42,828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Alpha Capital Anstalt (15)</w:t>
            </w:r>
          </w:p>
        </w:tc>
        <w:tc>
          <w:tcPr>
            <w:tcW w:w="18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373,472</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330,662</w:t>
            </w:r>
          </w:p>
        </w:tc>
        <w:tc>
          <w:tcPr>
            <w:tcW w:w="15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42,810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60"/>
              <w:spacing w:after="0"/>
              <w:rPr>
                <w:sz w:val="20"/>
                <w:szCs w:val="20"/>
                <w:color w:val="auto"/>
              </w:rPr>
            </w:pPr>
            <w:r>
              <w:rPr>
                <w:rFonts w:ascii="Arial" w:cs="Arial" w:eastAsia="Arial" w:hAnsi="Arial"/>
                <w:sz w:val="18"/>
                <w:szCs w:val="18"/>
                <w:color w:val="auto"/>
              </w:rPr>
              <w:t>Maxim Partners LLC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11,834</w:t>
            </w:r>
          </w:p>
        </w:tc>
        <w:tc>
          <w:tcPr>
            <w:tcW w:w="34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11,834</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3720" w:firstLine="8"/>
        <w:spacing w:after="0" w:line="581" w:lineRule="auto"/>
        <w:tabs>
          <w:tab w:leader="none" w:pos="192"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indicated by +, no selling security holder is an officer, director, affiliate or 5% security holder. ^ Except indicated by a ^, no selling securityholder is a broker dealer or an affiliate of a broker-dealer.</w:t>
      </w:r>
    </w:p>
    <w:p>
      <w:pPr>
        <w:spacing w:after="0" w:line="1" w:lineRule="exact"/>
        <w:rPr>
          <w:sz w:val="20"/>
          <w:szCs w:val="20"/>
          <w:color w:val="auto"/>
        </w:rPr>
      </w:pPr>
    </w:p>
    <w:p>
      <w:pPr>
        <w:ind w:left="5620" w:right="5540" w:hanging="5612"/>
        <w:spacing w:after="0" w:line="941" w:lineRule="auto"/>
        <w:tabs>
          <w:tab w:leader="none" w:pos="3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14,239,226 shares of common stock outstanding on June 13, 2012.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ind w:left="360" w:right="260" w:hanging="352"/>
        <w:spacing w:after="0" w:line="297"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158" w:lineRule="exact"/>
        <w:rPr>
          <w:rFonts w:ascii="Arial" w:cs="Arial" w:eastAsia="Arial" w:hAnsi="Arial"/>
          <w:sz w:val="16"/>
          <w:szCs w:val="16"/>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225" w:lineRule="exact"/>
        <w:rPr>
          <w:rFonts w:ascii="Arial" w:cs="Arial" w:eastAsia="Arial" w:hAnsi="Arial"/>
          <w:sz w:val="18"/>
          <w:szCs w:val="18"/>
          <w:color w:val="auto"/>
        </w:rPr>
      </w:pPr>
    </w:p>
    <w:p>
      <w:pPr>
        <w:jc w:val="both"/>
        <w:ind w:left="360" w:right="380" w:hanging="352"/>
        <w:spacing w:after="0" w:line="264"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Aaron and Abraham Wolfson, the General Partners of South Ferry #2, L.P., have delegated all dispositive and voting rights to Morris Wolfson in his capacity as portfolio manager for South Ferry #2, L.P. Each of Aaron, Abraham and Morris Wolfson disclaim beneficial ownership over the shares except to the extent of their pecuniary interest therein.</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225" w:lineRule="exact"/>
        <w:rPr>
          <w:rFonts w:ascii="Arial" w:cs="Arial" w:eastAsia="Arial" w:hAnsi="Arial"/>
          <w:sz w:val="18"/>
          <w:szCs w:val="18"/>
          <w:color w:val="auto"/>
        </w:rPr>
      </w:pPr>
    </w:p>
    <w:p>
      <w:pPr>
        <w:ind w:left="360" w:right="20" w:hanging="352"/>
        <w:spacing w:after="0" w:line="271"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Kingsbrook Partners LP (“Kingsbrook Partners”) is the investment manager of Kingsbrook Opportunities Master Fund LP (“Kingsbrook Opportunities”) and consequently has voting control and investment discretion over securities held by Kingsbrook Opportunities. Kingsbrook Opportunities GP LLC (“Opportunities GP”) is the general partner of Kingsbrook Opportunities and may be considered the beneficial owner of any securities deemed to be beneficially owned by Kingsbrook Opportunities. KBGP LLC (“GP LLC”) is the general partner of Kingsbrook Partners and may be considered the beneficial owner of any securities deemed to be beneficially owned by Kingsbrook Partners. Ari J. Storch, Adam J. Chill and Scott M. Wallace are the sole managing members of Opportunities GP and GP LLC and as a result may be considered beneficial owners of any securities deemed beneficially owned by Opportunities GP and GP LLC. Each of the Kingsbrook Partners, Opportunities GP, GP LLC and Messrs. Storch, Chill and Wallace disclaim beneficial ownership of these securities.</w:t>
      </w:r>
    </w:p>
    <w:p>
      <w:pPr>
        <w:spacing w:after="0" w:line="178" w:lineRule="exact"/>
        <w:rPr>
          <w:rFonts w:ascii="Arial" w:cs="Arial" w:eastAsia="Arial" w:hAnsi="Arial"/>
          <w:sz w:val="17"/>
          <w:szCs w:val="17"/>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Lee Lasher, Mitchell Weitzner and Robert Koppel share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225" w:lineRule="exact"/>
        <w:rPr>
          <w:rFonts w:ascii="Arial" w:cs="Arial" w:eastAsia="Arial" w:hAnsi="Arial"/>
          <w:sz w:val="18"/>
          <w:szCs w:val="18"/>
          <w:color w:val="auto"/>
        </w:rPr>
      </w:pPr>
    </w:p>
    <w:p>
      <w:pPr>
        <w:jc w:val="both"/>
        <w:ind w:left="360" w:right="80" w:hanging="352"/>
        <w:spacing w:after="0" w:line="279"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Rockmore Capital, LLC (“Rockmore Capital”) serves as the investment manager to Rockmore Investment Master Fund Ltd (“Rockmore Master Fund”) and in such capacity has investment discretion to vote and dispose of these shares. Mr. Bruce T. Bernstein and Mr. Brian Daly, as officers of Rockmore Capital, are responsible for the portfolio management decisions of Rockmore Master Fund and may be deemed to have investment discretion over these shares. Each of Rockmore Capital, Messrs. Bernstein and Daly, disclaims beneficial ownership of these shares.</w:t>
      </w:r>
    </w:p>
    <w:p>
      <w:pPr>
        <w:spacing w:after="0" w:line="171" w:lineRule="exact"/>
        <w:rPr>
          <w:rFonts w:ascii="Arial" w:cs="Arial" w:eastAsia="Arial" w:hAnsi="Arial"/>
          <w:sz w:val="17"/>
          <w:szCs w:val="17"/>
          <w:color w:val="auto"/>
        </w:rPr>
      </w:pPr>
    </w:p>
    <w:p>
      <w:pPr>
        <w:ind w:left="360" w:hanging="352"/>
        <w:spacing w:after="0" w:line="259"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Lilac Advisors, LLC (“Lilac Advisors”) serves as the investment manager to Lilac Ventures Master Fund Ltd (“Lilac Master Fund”) and in such capacity has investment discretion to vote and dispose of these shares. Mr. Bruce T. Bernstein and Mr. Brian Daly, as officers of Lilac Advisors, are responsible for the portfolio management decisions of Lilac Master Fund and may be deemed to have investment discretion over these shares. Each of Lilac Advisors, Messrs. Bernstein and Daly, disclaims beneficial ownership of these shares.</w:t>
      </w:r>
    </w:p>
    <w:p>
      <w:pPr>
        <w:spacing w:after="0" w:line="186" w:lineRule="exact"/>
        <w:rPr>
          <w:rFonts w:ascii="Arial" w:cs="Arial" w:eastAsia="Arial" w:hAnsi="Arial"/>
          <w:sz w:val="18"/>
          <w:szCs w:val="18"/>
          <w:color w:val="auto"/>
        </w:rPr>
      </w:pPr>
    </w:p>
    <w:p>
      <w:pPr>
        <w:ind w:left="360" w:right="40" w:hanging="352"/>
        <w:spacing w:after="0" w:line="293"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Cranshire Capital Advisors, LLC (“CCA”) is the investment manager of Cranshire Capital LP (“Cranshire Capital”) and has voting control and investment discretion over securities held by Cranshire Capital. Mitchell P. Kopin (“Mr. Kopin”), the president, the sole member and the sole member of the Board of Managers of CCA, has voting control over CCA. As a result, each of Mr. Kopin and CCA may be deemed to have beneficial ownership (as determined under Section 13(d) of the Securities Exchange Act of 1934, as amended) of the securities held by Cranshire Master Fund. Mr. Kopin also may be deemed to have beneficial ownership (as determined under Section 13(d) of the Securities Exchange Act of 1934, as amended) of an additional 233,535 shares of common stock of the issuer that are issuable upon exercise of the warrants held by Mr. Kopin.</w:t>
      </w:r>
    </w:p>
    <w:p>
      <w:pPr>
        <w:spacing w:after="0" w:line="164"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Konrad Ackerman has voting and investment control over such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are registering the shares of our common stock previously issued to the selling security holders and shares of common issuable upon exercise of warrants previously issued to the selling security holders to permit the resale of these shares of common stock by their respective holders from time to time after the date of this prospectus. We will not receive any of the proceeds from the sale by the selling security holders of the shares of our common stock. We will bear all fees and expenses incident to our obligation to register the shares of our common stock.</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437"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right="20" w:firstLine="648"/>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To our knowledge, no selling security holder is a broker-dealer or an affiliate of a broker-dealer, except for Maxim Partners LLC, which is an affiliate of Maxim Group LLC, a broker-dealer. Maxim Partners LLC may be deemed an underwriter.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Mintz</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w:t>
      </w:r>
      <w:r>
        <w:rPr>
          <w:rFonts w:ascii="Arial" w:cs="Arial" w:eastAsia="Arial" w:hAnsi="Arial"/>
          <w:sz w:val="18"/>
          <w:szCs w:val="18"/>
          <w:color w:val="auto"/>
        </w:rPr>
        <w:t xml:space="preserve"> </w:t>
      </w:r>
      <w:r>
        <w:rPr>
          <w:rFonts w:ascii="Arial" w:cs="Arial" w:eastAsia="Arial" w:hAnsi="Arial"/>
          <w:sz w:val="18"/>
          <w:szCs w:val="18"/>
          <w:color w:val="222222"/>
        </w:rPr>
        <w:t>and Popeo, P.C.</w:t>
      </w:r>
      <w:r>
        <w:rPr>
          <w:rFonts w:ascii="Arial" w:cs="Arial" w:eastAsia="Arial" w:hAnsi="Arial"/>
          <w:sz w:val="18"/>
          <w:szCs w:val="18"/>
          <w:color w:val="000000"/>
        </w:rPr>
        <w:t>,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7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19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2011, filed on March 30, 2012;</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and June 19, 2012;</w:t>
      </w:r>
    </w:p>
    <w:p>
      <w:pPr>
        <w:ind w:left="980" w:right="6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22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w:t>
      </w:r>
    </w:p>
    <w:p>
      <w:pPr>
        <w:spacing w:after="0"/>
        <w:rPr>
          <w:sz w:val="20"/>
          <w:szCs w:val="20"/>
          <w:color w:val="auto"/>
        </w:rPr>
      </w:pPr>
      <w:r>
        <w:rPr>
          <w:rFonts w:ascii="Arial" w:cs="Arial" w:eastAsia="Arial" w:hAnsi="Arial"/>
          <w:sz w:val="18"/>
          <w:szCs w:val="18"/>
          <w:color w:val="auto"/>
        </w:rPr>
        <w:t>525-4319.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707" w:gutter="0" w:footer="0" w:header="0"/>
        </w:sectPr>
      </w:pPr>
    </w:p>
    <w:bookmarkStart w:id="24" w:name="page25"/>
    <w:bookmarkEnd w:id="24"/>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989330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80"/>
        <w:spacing w:after="0"/>
        <w:rPr>
          <w:sz w:val="20"/>
          <w:szCs w:val="20"/>
          <w:color w:val="auto"/>
        </w:rPr>
      </w:pPr>
      <w:r>
        <w:rPr>
          <w:rFonts w:ascii="Arial" w:cs="Arial" w:eastAsia="Arial" w:hAnsi="Arial"/>
          <w:sz w:val="16"/>
          <w:szCs w:val="16"/>
          <w:b w:val="1"/>
          <w:bCs w:val="1"/>
          <w:color w:val="auto"/>
        </w:rPr>
        <w:t>2,526,289 Shares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795020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2604770</wp:posOffset>
            </wp:positionH>
            <wp:positionV relativeFrom="paragraph">
              <wp:posOffset>169545</wp:posOffset>
            </wp:positionV>
            <wp:extent cx="5232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32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755015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1355090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rPr>
              <w:t>PART II</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b w:val="1"/>
                <w:bCs w:val="1"/>
                <w:color w:val="auto"/>
              </w:rPr>
              <w:t>INFORMATION NOT REQUIRED IN PROSPECTUS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tcPr>
          <w:p>
            <w:pPr>
              <w:ind w:left="480"/>
              <w:spacing w:after="0"/>
              <w:rPr>
                <w:sz w:val="20"/>
                <w:szCs w:val="20"/>
                <w:color w:val="auto"/>
              </w:rPr>
            </w:pPr>
            <w:r>
              <w:rPr>
                <w:rFonts w:ascii="Arial" w:cs="Arial" w:eastAsia="Arial" w:hAnsi="Arial"/>
                <w:sz w:val="18"/>
                <w:szCs w:val="18"/>
                <w:color w:val="auto"/>
              </w:rPr>
              <w:t>The expenses payable by us in connection with this offering are as follows: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SEC registration fee</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Printing fees</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Miscellaneous</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CCFFC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ITEM 15. INDEMNIFICATION OF DIRECTORS AND OFFICERS.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7"/>
                <w:szCs w:val="17"/>
                <w:color w:val="auto"/>
              </w:rPr>
            </w:pPr>
          </w:p>
        </w:tc>
      </w:tr>
      <w:tr>
        <w:trPr>
          <w:trHeight w:val="241"/>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our Registration Statement on Form S-1 filed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 xml:space="preserve">Opinion of Mintz </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 xml:space="preserve">Consent of Mintz </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r>
              <w:rPr>
                <w:rFonts w:ascii="Arial" w:cs="Arial" w:eastAsia="Arial" w:hAnsi="Arial"/>
                <w:sz w:val="18"/>
                <w:szCs w:val="18"/>
                <w:color w:val="auto"/>
              </w:rPr>
              <w:t xml:space="preserve">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246"/>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60" w:firstLine="980"/>
        <w:spacing w:after="0" w:line="293" w:lineRule="auto"/>
        <w:tabs>
          <w:tab w:leader="none" w:pos="1234"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400" w:firstLine="980"/>
        <w:spacing w:after="0" w:line="277" w:lineRule="auto"/>
        <w:tabs>
          <w:tab w:leader="none" w:pos="1284"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Provided however, that:</w:t>
      </w:r>
    </w:p>
    <w:p>
      <w:pPr>
        <w:spacing w:after="0" w:line="225" w:lineRule="exact"/>
        <w:rPr>
          <w:sz w:val="20"/>
          <w:szCs w:val="20"/>
          <w:color w:val="auto"/>
        </w:rPr>
      </w:pPr>
    </w:p>
    <w:p>
      <w:pPr>
        <w:jc w:val="both"/>
        <w:ind w:right="120" w:firstLine="980"/>
        <w:spacing w:after="0" w:line="286" w:lineRule="auto"/>
        <w:tabs>
          <w:tab w:leader="none" w:pos="1267" w:val="left"/>
        </w:tabs>
        <w:numPr>
          <w:ilvl w:val="1"/>
          <w:numId w:val="9"/>
        </w:numPr>
        <w:rPr>
          <w:rFonts w:ascii="Arial" w:cs="Arial" w:eastAsia="Arial" w:hAnsi="Arial"/>
          <w:sz w:val="17"/>
          <w:szCs w:val="17"/>
          <w:color w:val="auto"/>
        </w:rPr>
      </w:pPr>
      <w:r>
        <w:rPr>
          <w:rFonts w:ascii="Arial" w:cs="Arial" w:eastAsia="Arial" w:hAnsi="Arial"/>
          <w:sz w:val="17"/>
          <w:szCs w:val="17"/>
          <w:color w:val="auto"/>
        </w:rPr>
        <w:t>Paragraphs (1)(i) and (1)(ii)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5" w:lineRule="exact"/>
        <w:rPr>
          <w:rFonts w:ascii="Arial" w:cs="Arial" w:eastAsia="Arial" w:hAnsi="Arial"/>
          <w:sz w:val="17"/>
          <w:szCs w:val="17"/>
          <w:color w:val="auto"/>
        </w:rPr>
      </w:pPr>
    </w:p>
    <w:p>
      <w:pPr>
        <w:ind w:right="20" w:firstLine="1025"/>
        <w:spacing w:after="0" w:line="259" w:lineRule="auto"/>
        <w:tabs>
          <w:tab w:leader="none" w:pos="1302" w:val="left"/>
        </w:tabs>
        <w:numPr>
          <w:ilvl w:val="2"/>
          <w:numId w:val="9"/>
        </w:numPr>
        <w:rPr>
          <w:rFonts w:ascii="Arial" w:cs="Arial" w:eastAsia="Arial" w:hAnsi="Arial"/>
          <w:sz w:val="18"/>
          <w:szCs w:val="18"/>
          <w:color w:val="auto"/>
        </w:rPr>
      </w:pPr>
      <w:r>
        <w:rPr>
          <w:rFonts w:ascii="Arial" w:cs="Arial" w:eastAsia="Arial" w:hAnsi="Arial"/>
          <w:sz w:val="18"/>
          <w:szCs w:val="18"/>
          <w:color w:val="auto"/>
        </w:rPr>
        <w:t>Paragraphs (1)(i), (1)(ii) and (1)(iii) do not apply if the registration statement is on Form S-3 or Form F-3 and the information required to be included in a post-effective amendment by those paragraphs is contained in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6" w:lineRule="exact"/>
        <w:rPr>
          <w:rFonts w:ascii="Arial" w:cs="Arial" w:eastAsia="Arial" w:hAnsi="Arial"/>
          <w:sz w:val="18"/>
          <w:szCs w:val="18"/>
          <w:color w:val="auto"/>
        </w:rPr>
      </w:pPr>
    </w:p>
    <w:p>
      <w:pPr>
        <w:jc w:val="both"/>
        <w:ind w:right="540" w:firstLine="494"/>
        <w:spacing w:after="0" w:line="264"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120" w:firstLine="494"/>
        <w:spacing w:after="0" w:line="277" w:lineRule="auto"/>
        <w:tabs>
          <w:tab w:leader="none" w:pos="7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right="200" w:firstLine="980"/>
        <w:spacing w:after="0" w:line="277" w:lineRule="auto"/>
        <w:tabs>
          <w:tab w:leader="none" w:pos="12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40" w:firstLine="980"/>
        <w:spacing w:after="0" w:line="288" w:lineRule="auto"/>
        <w:tabs>
          <w:tab w:leader="none" w:pos="1302"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a prospectus that is part of this registration statement or made in a document incorporated or deemed incorporated by reference into the registration statement or prospectus that is part of this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27" w:name="page28"/>
    <w:bookmarkEnd w:id="27"/>
    <w:p>
      <w:pPr>
        <w:ind w:firstLine="494"/>
        <w:spacing w:after="0" w:line="302" w:lineRule="auto"/>
        <w:tabs>
          <w:tab w:leader="none" w:pos="7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Section 15(d) of the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No. 1 to Registration Statement on Form S-3 to be signed on its behalf by the undersigned, thereunto duly authorized in the City of New York, State of New York, on June 19, 2012.</w:t>
      </w: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54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5"/>
          <w:szCs w:val="15"/>
          <w:b w:val="1"/>
          <w:bCs w:val="1"/>
          <w:i w:val="1"/>
          <w:iCs w:val="1"/>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Andrew Perlman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Registration Statement on Form S-3 has been signed below by the following persons on behalf of the registrant and in the capacities and on the dates indicated.</w:t>
      </w:r>
    </w:p>
    <w:p>
      <w:pPr>
        <w:sectPr>
          <w:pgSz w:w="11900" w:h="16838" w:orient="portrait"/>
          <w:cols w:equalWidth="0" w:num="1">
            <w:col w:w="11420"/>
          </w:cols>
          <w:pgMar w:left="240" w:top="877" w:right="239" w:bottom="1440" w:gutter="0" w:footer="0" w:header="0"/>
        </w:sectPr>
      </w:pP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180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Seth M.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Edo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Philp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Engelman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Geoffrey M. Skolnik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By:/s/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0154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16" w:lineRule="exact"/>
        <w:rPr>
          <w:sz w:val="20"/>
          <w:szCs w:val="20"/>
          <w:color w:val="auto"/>
        </w:rPr>
      </w:pPr>
    </w:p>
    <w:p>
      <w:pPr>
        <w:jc w:val="right"/>
        <w:ind w:right="460"/>
        <w:spacing w:after="0"/>
        <w:rPr>
          <w:sz w:val="20"/>
          <w:szCs w:val="20"/>
          <w:color w:val="auto"/>
        </w:rPr>
      </w:pPr>
      <w:r>
        <w:rPr>
          <w:rFonts w:ascii="Arial" w:cs="Arial" w:eastAsia="Arial" w:hAnsi="Arial"/>
          <w:sz w:val="18"/>
          <w:szCs w:val="18"/>
          <w:color w:val="auto"/>
        </w:rPr>
        <w:t>Andrew Perlman, Attorney-in-Fact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6"/>
        </w:trPr>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243"/>
        </w:trPr>
        <w:tc>
          <w:tcPr>
            <w:tcW w:w="5140" w:type="dxa"/>
            <w:vAlign w:val="bottom"/>
            <w:gridSpan w:val="2"/>
          </w:tcPr>
          <w:p>
            <w:pPr>
              <w:jc w:val="center"/>
              <w:ind w:right="1200"/>
              <w:spacing w:after="0"/>
              <w:rPr>
                <w:sz w:val="20"/>
                <w:szCs w:val="20"/>
                <w:color w:val="auto"/>
              </w:rPr>
            </w:pPr>
            <w:r>
              <w:rPr>
                <w:rFonts w:ascii="Arial" w:cs="Arial" w:eastAsia="Arial" w:hAnsi="Arial"/>
                <w:sz w:val="18"/>
                <w:szCs w:val="18"/>
                <w:color w:val="auto"/>
                <w:w w:val="94"/>
              </w:rPr>
              <w:t>(principal executive officer)</w:t>
            </w:r>
          </w:p>
        </w:tc>
        <w:tc>
          <w:tcPr>
            <w:tcW w:w="2160" w:type="dxa"/>
            <w:vAlign w:val="bottom"/>
          </w:tcPr>
          <w:p>
            <w:pPr>
              <w:spacing w:after="0"/>
              <w:rPr>
                <w:sz w:val="21"/>
                <w:szCs w:val="21"/>
                <w:color w:val="auto"/>
              </w:rPr>
            </w:pPr>
          </w:p>
        </w:tc>
      </w:tr>
      <w:tr>
        <w:trPr>
          <w:trHeight w:val="459"/>
        </w:trPr>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4"/>
              </w:rPr>
              <w:t>Chief Financial Officer (principal</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243"/>
        </w:trPr>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financial and accounting officer)</w:t>
            </w:r>
          </w:p>
        </w:tc>
        <w:tc>
          <w:tcPr>
            <w:tcW w:w="2160" w:type="dxa"/>
            <w:vAlign w:val="bottom"/>
          </w:tcPr>
          <w:p>
            <w:pPr>
              <w:spacing w:after="0"/>
              <w:rPr>
                <w:sz w:val="21"/>
                <w:szCs w:val="21"/>
                <w:color w:val="auto"/>
              </w:rPr>
            </w:pPr>
          </w:p>
        </w:tc>
      </w:tr>
      <w:tr>
        <w:trPr>
          <w:trHeight w:val="459"/>
        </w:trPr>
        <w:tc>
          <w:tcPr>
            <w:tcW w:w="5140" w:type="dxa"/>
            <w:vAlign w:val="bottom"/>
            <w:gridSpan w:val="2"/>
          </w:tcPr>
          <w:p>
            <w:pPr>
              <w:jc w:val="center"/>
              <w:ind w:right="1240"/>
              <w:spacing w:after="0"/>
              <w:rPr>
                <w:sz w:val="20"/>
                <w:szCs w:val="20"/>
                <w:color w:val="auto"/>
              </w:rPr>
            </w:pPr>
            <w:r>
              <w:rPr>
                <w:rFonts w:ascii="Arial" w:cs="Arial" w:eastAsia="Arial" w:hAnsi="Arial"/>
                <w:sz w:val="18"/>
                <w:szCs w:val="18"/>
                <w:color w:val="auto"/>
                <w:w w:val="91"/>
              </w:rPr>
              <w:t>Chairman of the Board</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702"/>
        </w:trPr>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702"/>
        </w:trPr>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702"/>
        </w:trPr>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r>
        <w:trPr>
          <w:trHeight w:val="702"/>
        </w:trPr>
        <w:tc>
          <w:tcPr>
            <w:tcW w:w="5140" w:type="dxa"/>
            <w:vAlign w:val="bottom"/>
            <w:gridSpan w:val="2"/>
          </w:tcPr>
          <w:p>
            <w:pPr>
              <w:jc w:val="center"/>
              <w:ind w:right="1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19, 2012</w:t>
            </w:r>
          </w:p>
        </w:tc>
      </w:tr>
    </w:tbl>
    <w:p>
      <w:pPr>
        <w:spacing w:after="0" w:line="1108" w:lineRule="exact"/>
        <w:rPr>
          <w:sz w:val="20"/>
          <w:szCs w:val="20"/>
          <w:color w:val="auto"/>
        </w:rPr>
      </w:pPr>
    </w:p>
    <w:p>
      <w:pPr>
        <w:sectPr>
          <w:pgSz w:w="11900" w:h="16838" w:orient="portrait"/>
          <w:cols w:equalWidth="0" w:num="2">
            <w:col w:w="3400" w:space="720"/>
            <w:col w:w="7300"/>
          </w:cols>
          <w:pgMar w:left="240" w:top="877"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24"/>
                <w:szCs w:val="24"/>
                <w:color w:val="auto"/>
              </w:rPr>
            </w:pPr>
          </w:p>
        </w:tc>
      </w:tr>
      <w:tr>
        <w:trPr>
          <w:trHeight w:val="241"/>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Amended and Restated Certificate of Incorporation (incorporated by reference our Registration Statement on Form S-1 filed on May 18,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Amended and Restated Bylaws (incorporated by reference from our Registration Statement on Form S-1 filed on January 29, 2010)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 xml:space="preserve">Opinion of Mintz </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 xml:space="preserve">Consent of Mintz </w:t>
            </w:r>
            <w:r>
              <w:rPr>
                <w:rFonts w:ascii="Arial" w:cs="Arial" w:eastAsia="Arial" w:hAnsi="Arial"/>
                <w:sz w:val="18"/>
                <w:szCs w:val="18"/>
                <w:color w:val="222222"/>
              </w:rPr>
              <w:t>,</w:t>
            </w:r>
            <w:r>
              <w:rPr>
                <w:rFonts w:ascii="Arial" w:cs="Arial" w:eastAsia="Arial" w:hAnsi="Arial"/>
                <w:sz w:val="18"/>
                <w:szCs w:val="18"/>
                <w:color w:val="auto"/>
              </w:rPr>
              <w:t xml:space="preserve"> Levin</w:t>
            </w:r>
            <w:r>
              <w:rPr>
                <w:rFonts w:ascii="Arial" w:cs="Arial" w:eastAsia="Arial" w:hAnsi="Arial"/>
                <w:sz w:val="18"/>
                <w:szCs w:val="18"/>
                <w:color w:val="222222"/>
              </w:rPr>
              <w:t>, Cohn, Ferris, Glovsky and Popeo, P.C.</w:t>
            </w:r>
            <w:r>
              <w:rPr>
                <w:rFonts w:ascii="Arial" w:cs="Arial" w:eastAsia="Arial" w:hAnsi="Arial"/>
                <w:sz w:val="18"/>
                <w:szCs w:val="18"/>
                <w:color w:val="auto"/>
              </w:rPr>
              <w:t xml:space="preserve">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-121920</wp:posOffset>
            </wp:positionV>
            <wp:extent cx="2470150" cy="69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6946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New York, New York 10017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212-935-3000</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7"/>
          <w:szCs w:val="17"/>
          <w:i w:val="1"/>
          <w:iCs w:val="1"/>
          <w:color w:val="auto"/>
        </w:rPr>
        <w:t>212-983-3115 fax</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7"/>
          <w:szCs w:val="17"/>
          <w:i w:val="1"/>
          <w:iCs w:val="1"/>
          <w:color w:val="auto"/>
        </w:rPr>
        <w:t>www.mintz.com</w:t>
      </w: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Mintz, Levin, Cohn, Ferris, Glovsky and Popeo, P.C.</w:t>
      </w:r>
    </w:p>
    <w:p>
      <w:pPr>
        <w:spacing w:after="0" w:line="200" w:lineRule="exact"/>
        <w:rPr>
          <w:sz w:val="20"/>
          <w:szCs w:val="20"/>
          <w:color w:val="auto"/>
        </w:rPr>
      </w:pPr>
    </w:p>
    <w:p>
      <w:pPr>
        <w:spacing w:after="0" w:line="24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June 19,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W.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11"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are familiar with the Registration Statement on Form S-3 (as amended, the “Registration Statement”) to which this opinion is an exhibit, which Registration Statement is being filed by Vringo, Inc., a Delaware corporation (the “Company”), with the Securities and Exchange Commission (the “Commission”) under the Securities Act of 1933, as amended (the “Securities Act”). The Registration Statement relates to the offering by certain selling stockholders of the Company named in the Registration Statement (the “Selling Stockholders”) of a total of 2,526,289 shares of common stock of the Company, par value $0.01 per share, consisting of (i) 174,760 shares of common stock of the Company (the “Shares”) and (ii) 2,351,529 shares of common stock of the Company issuable upon exercise of warrants (the “Warrant Shares”), for their respective accounts.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photocopied), the authenticity of all documents submitted to us as originals and the conformity to authentic original documents of all documents submitted to us as certified copies or photocopied.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foregoing and in reliance thereon, we are of the opinion that the Shares to be sold by the Selling Stockholders are duly authorized validly issued, fully paid and non-assessable and that the Warrant Shares, when paid for by the applicable Selling Stockholders and issued by the Company in accordance with the terms of the warrants, will be duly authorized, validly issued, fully paid and non-assessable.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P</w:t>
      </w:r>
      <w:r>
        <w:rPr>
          <w:rFonts w:ascii="Arial" w:cs="Arial" w:eastAsia="Arial" w:hAnsi="Arial"/>
          <w:sz w:val="12"/>
          <w:szCs w:val="12"/>
          <w:color w:val="auto"/>
        </w:rPr>
        <w:t>ALO</w:t>
      </w:r>
      <w:r>
        <w:rPr>
          <w:rFonts w:ascii="Arial" w:cs="Arial" w:eastAsia="Arial" w:hAnsi="Arial"/>
          <w:sz w:val="18"/>
          <w:szCs w:val="18"/>
          <w:color w:val="auto"/>
        </w:rPr>
        <w:t xml:space="preserve"> A</w:t>
      </w:r>
      <w:r>
        <w:rPr>
          <w:rFonts w:ascii="Arial" w:cs="Arial" w:eastAsia="Arial" w:hAnsi="Arial"/>
          <w:sz w:val="12"/>
          <w:szCs w:val="12"/>
          <w:color w:val="auto"/>
        </w:rPr>
        <w:t>LTO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INTZ</w:t>
      </w:r>
      <w:r>
        <w:rPr>
          <w:rFonts w:ascii="Arial" w:cs="Arial" w:eastAsia="Arial" w:hAnsi="Arial"/>
          <w:sz w:val="18"/>
          <w:szCs w:val="18"/>
          <w:b w:val="1"/>
          <w:bCs w:val="1"/>
          <w:color w:val="auto"/>
        </w:rPr>
        <w:t>, L</w:t>
      </w:r>
      <w:r>
        <w:rPr>
          <w:rFonts w:ascii="Arial" w:cs="Arial" w:eastAsia="Arial" w:hAnsi="Arial"/>
          <w:sz w:val="12"/>
          <w:szCs w:val="12"/>
          <w:b w:val="1"/>
          <w:bCs w:val="1"/>
          <w:color w:val="auto"/>
        </w:rPr>
        <w:t>EVIN</w:t>
      </w:r>
      <w:r>
        <w:rPr>
          <w:rFonts w:ascii="Arial" w:cs="Arial" w:eastAsia="Arial" w:hAnsi="Arial"/>
          <w:sz w:val="18"/>
          <w:szCs w:val="18"/>
          <w:b w:val="1"/>
          <w:bCs w:val="1"/>
          <w:color w:val="auto"/>
        </w:rPr>
        <w:t>, C</w:t>
      </w:r>
      <w:r>
        <w:rPr>
          <w:rFonts w:ascii="Arial" w:cs="Arial" w:eastAsia="Arial" w:hAnsi="Arial"/>
          <w:sz w:val="12"/>
          <w:szCs w:val="12"/>
          <w:b w:val="1"/>
          <w:bCs w:val="1"/>
          <w:color w:val="auto"/>
        </w:rPr>
        <w:t>OHN</w:t>
      </w:r>
      <w:r>
        <w:rPr>
          <w:rFonts w:ascii="Arial" w:cs="Arial" w:eastAsia="Arial" w:hAnsi="Arial"/>
          <w:sz w:val="18"/>
          <w:szCs w:val="18"/>
          <w:b w:val="1"/>
          <w:bCs w:val="1"/>
          <w:color w:val="auto"/>
        </w:rPr>
        <w:t>, F</w:t>
      </w:r>
      <w:r>
        <w:rPr>
          <w:rFonts w:ascii="Arial" w:cs="Arial" w:eastAsia="Arial" w:hAnsi="Arial"/>
          <w:sz w:val="12"/>
          <w:szCs w:val="12"/>
          <w:b w:val="1"/>
          <w:bCs w:val="1"/>
          <w:color w:val="auto"/>
        </w:rPr>
        <w:t>ERRIS</w:t>
      </w:r>
      <w:r>
        <w:rPr>
          <w:rFonts w:ascii="Arial" w:cs="Arial" w:eastAsia="Arial" w:hAnsi="Arial"/>
          <w:sz w:val="18"/>
          <w:szCs w:val="18"/>
          <w:b w:val="1"/>
          <w:bCs w:val="1"/>
          <w:color w:val="auto"/>
        </w:rPr>
        <w:t>, G</w:t>
      </w:r>
      <w:r>
        <w:rPr>
          <w:rFonts w:ascii="Arial" w:cs="Arial" w:eastAsia="Arial" w:hAnsi="Arial"/>
          <w:sz w:val="12"/>
          <w:szCs w:val="12"/>
          <w:b w:val="1"/>
          <w:bCs w:val="1"/>
          <w:color w:val="auto"/>
        </w:rPr>
        <w:t>LOVSKY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OPEO</w:t>
      </w:r>
      <w:r>
        <w:rPr>
          <w:rFonts w:ascii="Arial" w:cs="Arial" w:eastAsia="Arial" w:hAnsi="Arial"/>
          <w:sz w:val="18"/>
          <w:szCs w:val="18"/>
          <w:b w:val="1"/>
          <w:bCs w:val="1"/>
          <w:color w:val="auto"/>
        </w:rPr>
        <w:t>,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opinions are limited to the General Corporation Laws of the State of Delaware (including the applicable provisions of the Delaware Constitution and the reported judicial decisions interpreting such laws) and the United States federal laws, and we express no opinion with respect to the laws of any other jurisdiction. No opinion is expressed herein with respect to the qualification of the Warrant Shares under the securities or blue sky laws of any state or any foreign jurisdiction. To the extent that any applicable document is stated to be governed by the laws of another jurisdiction, we have assumed, for purposes of this opinion letter, that the laws of such jurisdiction are identical to the state laws of the State of Delaware.</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letter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references to this firm under the caption “Legal Matters” in the prospectus which will form a part of the Registration Statement. In giving such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Mintz, Levin, Cohn, Ferris, Glovsky and Popeo, P.C.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consent to the use of our report dated March 30, 2012, with respect to the consolidated balance sheets of Vringo, Inc. and Subsidiary (a Development Stage Company) (“the Company”)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by reference and to the reference to our firm under the heading "Experts" in the prospectus.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Roman"/>
      <w:start w:val="1"/>
    </w:lvl>
  </w:abstractNum>
  <w:abstractNum w:abstractNumId="8">
    <w:nsid w:val="4DB127F8"/>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9">
    <w:nsid w:val="216231B"/>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2019-12-09T18:57:23Z</dcterms:created>
  <dcterms:modified xsi:type="dcterms:W3CDTF">2019-12-09T18:57:23Z</dcterms:modified>
</cp:coreProperties>
</file>