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38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381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Perlman Andrew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VRINGO,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Vringo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01/29/2014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1"/>
        <w:spacing w:after="0"/>
        <w:rPr>
          <w:sz w:val="20"/>
          <w:szCs w:val="20"/>
          <w:color w:val="auto"/>
        </w:rPr>
      </w:pPr>
      <w:r>
        <w:rPr>
          <w:rFonts w:ascii="Arial" w:cs="Arial" w:eastAsia="Arial" w:hAnsi="Arial"/>
          <w:sz w:val="17"/>
          <w:szCs w:val="17"/>
          <w:color w:val="0000FF"/>
        </w:rPr>
        <w:t>Chief Executive Officer</w:t>
      </w:r>
    </w:p>
    <w:p>
      <w:pPr>
        <w:spacing w:after="0" w:line="41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1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01/29/2014</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2,167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1.5</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39"/>
              <w:spacing w:after="0"/>
              <w:rPr>
                <w:sz w:val="20"/>
                <w:szCs w:val="20"/>
                <w:color w:val="auto"/>
              </w:rPr>
            </w:pPr>
            <w:r>
              <w:rPr>
                <w:rFonts w:ascii="Arial" w:cs="Arial" w:eastAsia="Arial" w:hAnsi="Arial"/>
                <w:sz w:val="17"/>
                <w:szCs w:val="17"/>
                <w:color w:val="0000FF"/>
              </w:rPr>
              <w:t>788,864</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1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01/29/2014</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2"/>
              </w:rPr>
              <w:t>76,000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0.96</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39"/>
              <w:spacing w:after="0"/>
              <w:rPr>
                <w:sz w:val="20"/>
                <w:szCs w:val="20"/>
                <w:color w:val="auto"/>
              </w:rPr>
            </w:pPr>
            <w:r>
              <w:rPr>
                <w:rFonts w:ascii="Arial" w:cs="Arial" w:eastAsia="Arial" w:hAnsi="Arial"/>
                <w:sz w:val="17"/>
                <w:szCs w:val="17"/>
                <w:color w:val="0000FF"/>
              </w:rPr>
              <w:t>864,864</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1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01/29/2014</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1"/>
              </w:rPr>
              <w:t>121,833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1.65</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39"/>
              <w:spacing w:after="0"/>
              <w:rPr>
                <w:sz w:val="20"/>
                <w:szCs w:val="20"/>
                <w:color w:val="auto"/>
              </w:rPr>
            </w:pPr>
            <w:r>
              <w:rPr>
                <w:rFonts w:ascii="Arial" w:cs="Arial" w:eastAsia="Arial" w:hAnsi="Arial"/>
                <w:sz w:val="17"/>
                <w:szCs w:val="17"/>
                <w:color w:val="0000FF"/>
              </w:rPr>
              <w:t>986,697</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31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01/29/2014</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1"/>
              </w:rPr>
              <w:t>200,000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5.1465</w:t>
            </w:r>
            <w:r>
              <w:rPr>
                <w:rFonts w:ascii="Arial" w:cs="Arial" w:eastAsia="Arial" w:hAnsi="Arial"/>
                <w:sz w:val="22"/>
                <w:szCs w:val="22"/>
                <w:color w:val="008000"/>
                <w:w w:val="88"/>
                <w:vertAlign w:val="superscript"/>
              </w:rPr>
              <w:t>(2)</w:t>
            </w:r>
          </w:p>
        </w:tc>
        <w:tc>
          <w:tcPr>
            <w:tcW w:w="1300" w:type="dxa"/>
            <w:vAlign w:val="bottom"/>
            <w:tcBorders>
              <w:bottom w:val="single" w:sz="8" w:color="2C2C2C"/>
            </w:tcBorders>
            <w:gridSpan w:val="3"/>
          </w:tcPr>
          <w:p>
            <w:pPr>
              <w:jc w:val="right"/>
              <w:ind w:right="239"/>
              <w:spacing w:after="0"/>
              <w:rPr>
                <w:sz w:val="20"/>
                <w:szCs w:val="20"/>
                <w:color w:val="auto"/>
              </w:rPr>
            </w:pPr>
            <w:r>
              <w:rPr>
                <w:rFonts w:ascii="Arial" w:cs="Arial" w:eastAsia="Arial" w:hAnsi="Arial"/>
                <w:sz w:val="17"/>
                <w:szCs w:val="17"/>
                <w:color w:val="0000FF"/>
              </w:rPr>
              <w:t>786,697</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20" w:type="dxa"/>
            <w:vAlign w:val="bottom"/>
            <w:gridSpan w:val="9"/>
          </w:tcPr>
          <w:p>
            <w:pPr>
              <w:jc w:val="center"/>
              <w:ind w:righ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1.5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01/29/2014</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920" w:type="dxa"/>
            <w:vAlign w:val="bottom"/>
            <w:vMerge w:val="restart"/>
          </w:tcPr>
          <w:p>
            <w:pPr>
              <w:jc w:val="center"/>
              <w:ind w:left="239"/>
              <w:spacing w:after="0"/>
              <w:rPr>
                <w:sz w:val="20"/>
                <w:szCs w:val="20"/>
                <w:color w:val="auto"/>
              </w:rPr>
            </w:pPr>
            <w:r>
              <w:rPr>
                <w:rFonts w:ascii="Arial" w:cs="Arial" w:eastAsia="Arial" w:hAnsi="Arial"/>
                <w:sz w:val="13"/>
                <w:szCs w:val="13"/>
                <w:color w:val="0000FF"/>
                <w:w w:val="92"/>
              </w:rPr>
              <w:t>2,167</w:t>
            </w:r>
          </w:p>
        </w:tc>
        <w:tc>
          <w:tcPr>
            <w:tcW w:w="800" w:type="dxa"/>
            <w:vAlign w:val="bottom"/>
            <w:vMerge w:val="restart"/>
          </w:tcPr>
          <w:p>
            <w:pPr>
              <w:ind w:left="80"/>
              <w:spacing w:after="0"/>
              <w:rPr>
                <w:sz w:val="20"/>
                <w:szCs w:val="20"/>
                <w:color w:val="auto"/>
              </w:rPr>
            </w:pPr>
            <w:r>
              <w:rPr>
                <w:rFonts w:ascii="Arial" w:cs="Arial" w:eastAsia="Arial" w:hAnsi="Arial"/>
                <w:sz w:val="13"/>
                <w:szCs w:val="13"/>
                <w:color w:val="0000FF"/>
              </w:rPr>
              <w:t>07/19/2012</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01/01/2015</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2,167</w:t>
            </w:r>
          </w:p>
        </w:tc>
        <w:tc>
          <w:tcPr>
            <w:tcW w:w="60" w:type="dxa"/>
            <w:vAlign w:val="bottom"/>
          </w:tcPr>
          <w:p>
            <w:pPr>
              <w:spacing w:after="0"/>
              <w:rPr>
                <w:sz w:val="16"/>
                <w:szCs w:val="16"/>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vMerge w:val="restart"/>
          </w:tcPr>
          <w:p>
            <w:pPr>
              <w:jc w:val="center"/>
              <w:ind w:left="17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0.96</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01/29/2014</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920" w:type="dxa"/>
            <w:vAlign w:val="bottom"/>
            <w:vMerge w:val="restart"/>
          </w:tcPr>
          <w:p>
            <w:pPr>
              <w:jc w:val="center"/>
              <w:ind w:left="239"/>
              <w:spacing w:after="0"/>
              <w:rPr>
                <w:sz w:val="20"/>
                <w:szCs w:val="20"/>
                <w:color w:val="auto"/>
              </w:rPr>
            </w:pPr>
            <w:r>
              <w:rPr>
                <w:rFonts w:ascii="Arial" w:cs="Arial" w:eastAsia="Arial" w:hAnsi="Arial"/>
                <w:sz w:val="13"/>
                <w:szCs w:val="13"/>
                <w:color w:val="0000FF"/>
                <w:w w:val="95"/>
              </w:rPr>
              <w:t>76,000</w:t>
            </w:r>
          </w:p>
        </w:tc>
        <w:tc>
          <w:tcPr>
            <w:tcW w:w="800" w:type="dxa"/>
            <w:vAlign w:val="bottom"/>
            <w:vMerge w:val="restart"/>
          </w:tcPr>
          <w:p>
            <w:pPr>
              <w:ind w:left="80"/>
              <w:spacing w:after="0"/>
              <w:rPr>
                <w:sz w:val="20"/>
                <w:szCs w:val="20"/>
                <w:color w:val="auto"/>
              </w:rPr>
            </w:pPr>
            <w:r>
              <w:rPr>
                <w:rFonts w:ascii="Arial" w:cs="Arial" w:eastAsia="Arial" w:hAnsi="Arial"/>
                <w:sz w:val="13"/>
                <w:szCs w:val="13"/>
                <w:color w:val="0000FF"/>
              </w:rPr>
              <w:t>07/19/2012</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01/09/2018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76,000</w:t>
            </w:r>
          </w:p>
        </w:tc>
        <w:tc>
          <w:tcPr>
            <w:tcW w:w="60" w:type="dxa"/>
            <w:vAlign w:val="bottom"/>
          </w:tcPr>
          <w:p>
            <w:pPr>
              <w:spacing w:after="0"/>
              <w:rPr>
                <w:sz w:val="16"/>
                <w:szCs w:val="16"/>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vMerge w:val="restart"/>
          </w:tcPr>
          <w:p>
            <w:pPr>
              <w:jc w:val="center"/>
              <w:ind w:left="17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1.65</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01/29/2014</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1"/>
                <w:szCs w:val="21"/>
                <w:color w:val="auto"/>
              </w:rPr>
            </w:pPr>
          </w:p>
        </w:tc>
        <w:tc>
          <w:tcPr>
            <w:tcW w:w="920" w:type="dxa"/>
            <w:vAlign w:val="bottom"/>
          </w:tcPr>
          <w:p>
            <w:pPr>
              <w:jc w:val="center"/>
              <w:ind w:left="239"/>
              <w:spacing w:after="0"/>
              <w:rPr>
                <w:sz w:val="20"/>
                <w:szCs w:val="20"/>
                <w:color w:val="auto"/>
              </w:rPr>
            </w:pPr>
            <w:r>
              <w:rPr>
                <w:rFonts w:ascii="Arial" w:cs="Arial" w:eastAsia="Arial" w:hAnsi="Arial"/>
                <w:sz w:val="13"/>
                <w:szCs w:val="13"/>
                <w:color w:val="0000FF"/>
                <w:w w:val="89"/>
              </w:rPr>
              <w:t>121,833</w:t>
            </w:r>
          </w:p>
        </w:tc>
        <w:tc>
          <w:tcPr>
            <w:tcW w:w="800" w:type="dxa"/>
            <w:vAlign w:val="bottom"/>
          </w:tcPr>
          <w:p>
            <w:pPr>
              <w:ind w:left="80"/>
              <w:spacing w:after="0"/>
              <w:rPr>
                <w:sz w:val="20"/>
                <w:szCs w:val="20"/>
                <w:color w:val="auto"/>
              </w:rPr>
            </w:pPr>
            <w:r>
              <w:rPr>
                <w:rFonts w:ascii="Arial" w:cs="Arial" w:eastAsia="Arial" w:hAnsi="Arial"/>
                <w:sz w:val="13"/>
                <w:szCs w:val="13"/>
                <w:color w:val="0000FF"/>
              </w:rPr>
              <w:t>03/13/2013</w:t>
            </w:r>
          </w:p>
        </w:tc>
        <w:tc>
          <w:tcPr>
            <w:tcW w:w="740" w:type="dxa"/>
            <w:vAlign w:val="bottom"/>
          </w:tcPr>
          <w:p>
            <w:pPr>
              <w:ind w:left="60"/>
              <w:spacing w:after="0"/>
              <w:rPr>
                <w:sz w:val="20"/>
                <w:szCs w:val="20"/>
                <w:color w:val="auto"/>
              </w:rPr>
            </w:pPr>
            <w:r>
              <w:rPr>
                <w:rFonts w:ascii="Arial" w:cs="Arial" w:eastAsia="Arial" w:hAnsi="Arial"/>
                <w:sz w:val="13"/>
                <w:szCs w:val="13"/>
                <w:color w:val="0000FF"/>
              </w:rPr>
              <w:t>03/13/2018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ind w:right="5"/>
              <w:spacing w:after="0"/>
              <w:rPr>
                <w:sz w:val="20"/>
                <w:szCs w:val="20"/>
                <w:color w:val="auto"/>
              </w:rPr>
            </w:pPr>
            <w:r>
              <w:rPr>
                <w:rFonts w:ascii="Arial" w:cs="Arial" w:eastAsia="Arial" w:hAnsi="Arial"/>
                <w:sz w:val="17"/>
                <w:szCs w:val="17"/>
                <w:color w:val="0000FF"/>
                <w:w w:val="91"/>
              </w:rPr>
              <w:t>121,833</w:t>
            </w:r>
          </w:p>
        </w:tc>
        <w:tc>
          <w:tcPr>
            <w:tcW w:w="60" w:type="dxa"/>
            <w:vAlign w:val="bottom"/>
          </w:tcPr>
          <w:p>
            <w:pPr>
              <w:spacing w:after="0"/>
              <w:rPr>
                <w:sz w:val="21"/>
                <w:szCs w:val="21"/>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328,167</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Of which, 580,730 shares of common stock are represented by unvested restricted stock units.</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line item were effected pursuant to a Rule 10b5-1 trading plan adopted by the reporting person on November 22, 2013.</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right="220"/>
        <w:spacing w:after="0" w:line="259" w:lineRule="auto"/>
        <w:rPr>
          <w:sz w:val="20"/>
          <w:szCs w:val="20"/>
          <w:color w:val="auto"/>
        </w:rPr>
      </w:pPr>
      <w:r>
        <w:rPr>
          <w:rFonts w:ascii="Arial" w:cs="Arial" w:eastAsia="Arial" w:hAnsi="Arial"/>
          <w:sz w:val="13"/>
          <w:szCs w:val="13"/>
          <w:color w:val="008000"/>
        </w:rPr>
        <w:t>As of the reporting date, the reporting person holds 2,410,667 vested and unvested options and 580,730 vested and unvested restricted stock units. In addition, the reporting person owns 205,967 shares of common stock and 40,000 warrants. The total number of securities listed is 3,237,364.</w:t>
      </w:r>
    </w:p>
    <w:p>
      <w:pPr>
        <w:spacing w:after="0" w:line="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Andrew D. Perlman</w:t>
            </w: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01/31/2014</w:t>
            </w:r>
          </w:p>
        </w:tc>
      </w:tr>
      <w:tr>
        <w:trPr>
          <w:trHeight w:val="20"/>
        </w:trPr>
        <w:tc>
          <w:tcPr>
            <w:tcW w:w="1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066"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2019-12-17T07:13:56Z</dcterms:created>
  <dcterms:modified xsi:type="dcterms:W3CDTF">2019-12-17T07:13:56Z</dcterms:modified>
</cp:coreProperties>
</file>