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17, 2012</w:t>
      </w:r>
    </w:p>
    <w:p>
      <w:pPr>
        <w:spacing w:after="0" w:line="225"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2020" w:type="dxa"/>
        <w:tblCellMar>
          <w:top w:w="0" w:type="dxa"/>
          <w:left w:w="0" w:type="dxa"/>
          <w:bottom w:w="0" w:type="dxa"/>
          <w:right w:w="0" w:type="dxa"/>
        </w:tblCellMar>
      </w:tblPr>
      <w:tr>
        <w:trPr>
          <w:trHeight w:val="216"/>
        </w:trPr>
        <w:tc>
          <w:tcPr>
            <w:tcW w:w="42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42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0"/>
              </w:rPr>
              <w:t>(State or other jurisdiction of</w:t>
            </w:r>
          </w:p>
        </w:tc>
        <w:tc>
          <w:tcPr>
            <w:tcW w:w="364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incorporation or organization)</w:t>
            </w:r>
          </w:p>
        </w:tc>
        <w:tc>
          <w:tcPr>
            <w:tcW w:w="3640" w:type="dxa"/>
            <w:vAlign w:val="bottom"/>
          </w:tcPr>
          <w:p>
            <w:pPr>
              <w:jc w:val="center"/>
              <w:ind w:left="17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2006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Andrew Perlman</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Barry I. Grossman,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Selengut,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jc w:val="center"/>
        <w:spacing w:after="0" w:line="186" w:lineRule="auto"/>
        <w:rPr>
          <w:sz w:val="20"/>
          <w:szCs w:val="20"/>
          <w:color w:val="auto"/>
        </w:rPr>
      </w:pPr>
      <w:r>
        <w:rPr>
          <w:rFonts w:ascii="Arial" w:cs="Arial" w:eastAsia="Arial" w:hAnsi="Arial"/>
          <w:sz w:val="18"/>
          <w:szCs w:val="18"/>
          <w:b w:val="1"/>
          <w:bCs w:val="1"/>
          <w:color w:val="auto"/>
        </w:rPr>
        <w:t>150 East 42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Street</w:t>
      </w: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370-7889</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0" w:lineRule="exact"/>
        <w:rPr>
          <w:sz w:val="24"/>
          <w:szCs w:val="24"/>
          <w:color w:val="auto"/>
        </w:rPr>
      </w:pPr>
    </w:p>
    <w:p>
      <w:pPr>
        <w:spacing w:after="0" w:line="207" w:lineRule="exact"/>
        <w:tabs>
          <w:tab w:leader="none" w:pos="8220" w:val="left"/>
          <w:tab w:leader="none" w:pos="10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1700" w:val="left"/>
          <w:tab w:leader="none" w:pos="82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  x</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ectPr>
          <w:pgSz w:w="11900" w:h="16857" w:orient="portrait"/>
          <w:cols w:equalWidth="0" w:num="1">
            <w:col w:w="11420"/>
          </w:cols>
          <w:pgMar w:left="240" w:top="472"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Title of Securities</w:t>
      </w:r>
    </w:p>
    <w:p>
      <w:pPr>
        <w:spacing w:after="0" w:line="27"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To Be Registered</w:t>
      </w:r>
    </w:p>
    <w:p>
      <w:pPr>
        <w:spacing w:after="0" w:line="9" w:lineRule="exact"/>
        <w:rPr>
          <w:sz w:val="24"/>
          <w:szCs w:val="24"/>
          <w:color w:val="auto"/>
        </w:rPr>
      </w:pPr>
    </w:p>
    <w:p>
      <w:pPr>
        <w:ind w:left="220" w:hanging="215"/>
        <w:spacing w:after="0" w:line="258" w:lineRule="auto"/>
        <w:rPr>
          <w:sz w:val="20"/>
          <w:szCs w:val="20"/>
          <w:color w:val="auto"/>
        </w:rPr>
      </w:pPr>
      <w:r>
        <w:rPr>
          <w:rFonts w:ascii="Arial" w:cs="Arial" w:eastAsia="Arial" w:hAnsi="Arial"/>
          <w:sz w:val="18"/>
          <w:szCs w:val="18"/>
          <w:color w:val="auto"/>
        </w:rPr>
        <w:t>Common Stock, $0.01 par value: Reserved for issuance under the Amended and Restated 2006 Stock Option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220" w:right="60" w:hanging="215"/>
        <w:spacing w:after="0" w:line="323" w:lineRule="auto"/>
        <w:rPr>
          <w:sz w:val="20"/>
          <w:szCs w:val="20"/>
          <w:color w:val="auto"/>
        </w:rPr>
      </w:pPr>
      <w:r>
        <w:rPr>
          <w:rFonts w:ascii="Arial" w:cs="Arial" w:eastAsia="Arial" w:hAnsi="Arial"/>
          <w:sz w:val="16"/>
          <w:szCs w:val="16"/>
          <w:color w:val="auto"/>
        </w:rPr>
        <w:t>Common Stock, $0.01 par value: Issuable upon exercise of outstanding options granted under the Amended and Restated 2006 Stock Option Plan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6"/>
              </w:rPr>
              <w:t>Maximum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To Be</w:t>
            </w: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Offering Price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 of</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1"/>
              </w:rPr>
              <w:t>Registered</w:t>
            </w:r>
            <w:r>
              <w:rPr>
                <w:rFonts w:ascii="Arial" w:cs="Arial" w:eastAsia="Arial" w:hAnsi="Arial"/>
                <w:sz w:val="30"/>
                <w:szCs w:val="30"/>
                <w:b w:val="1"/>
                <w:bCs w:val="1"/>
                <w:color w:val="auto"/>
                <w:w w:val="81"/>
                <w:vertAlign w:val="superscript"/>
              </w:rPr>
              <w:t>(1) (2)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Per Share</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20" w:type="dxa"/>
            <w:vAlign w:val="bottom"/>
          </w:tcPr>
          <w:p>
            <w:pPr>
              <w:spacing w:after="0"/>
              <w:rPr>
                <w:sz w:val="23"/>
                <w:szCs w:val="23"/>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Registration Fee</w:t>
            </w:r>
          </w:p>
        </w:tc>
        <w:tc>
          <w:tcPr>
            <w:tcW w:w="0" w:type="dxa"/>
            <w:vAlign w:val="bottom"/>
          </w:tcPr>
          <w:p>
            <w:pPr>
              <w:spacing w:after="0"/>
              <w:rPr>
                <w:sz w:val="1"/>
                <w:szCs w:val="1"/>
                <w:color w:val="auto"/>
              </w:rPr>
            </w:pPr>
          </w:p>
        </w:tc>
      </w:tr>
      <w:tr>
        <w:trPr>
          <w:trHeight w:val="195"/>
        </w:trPr>
        <w:tc>
          <w:tcPr>
            <w:tcW w:w="1240" w:type="dxa"/>
            <w:vAlign w:val="bottom"/>
          </w:tcPr>
          <w:p>
            <w:pPr>
              <w:jc w:val="center"/>
              <w:ind w:left="81"/>
              <w:spacing w:after="0" w:line="195" w:lineRule="exact"/>
              <w:rPr>
                <w:sz w:val="20"/>
                <w:szCs w:val="20"/>
                <w:color w:val="auto"/>
              </w:rPr>
            </w:pPr>
            <w:r>
              <w:rPr>
                <w:rFonts w:ascii="Arial" w:cs="Arial" w:eastAsia="Arial" w:hAnsi="Arial"/>
                <w:sz w:val="18"/>
                <w:szCs w:val="18"/>
                <w:color w:val="auto"/>
                <w:w w:val="89"/>
              </w:rPr>
              <w:t>9,101,481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ind w:left="680"/>
              <w:spacing w:after="0"/>
              <w:rPr>
                <w:sz w:val="20"/>
                <w:szCs w:val="20"/>
                <w:color w:val="auto"/>
              </w:rPr>
            </w:pPr>
            <w:r>
              <w:rPr>
                <w:rFonts w:ascii="Arial" w:cs="Arial" w:eastAsia="Arial" w:hAnsi="Arial"/>
                <w:sz w:val="18"/>
                <w:szCs w:val="18"/>
                <w:color w:val="auto"/>
              </w:rPr>
              <w:t>3.31</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30,125,902</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3,452.43</w:t>
            </w:r>
          </w:p>
        </w:tc>
        <w:tc>
          <w:tcPr>
            <w:tcW w:w="0" w:type="dxa"/>
            <w:vAlign w:val="bottom"/>
          </w:tcPr>
          <w:p>
            <w:pPr>
              <w:spacing w:after="0"/>
              <w:rPr>
                <w:sz w:val="1"/>
                <w:szCs w:val="1"/>
                <w:color w:val="auto"/>
              </w:rPr>
            </w:pPr>
          </w:p>
        </w:tc>
      </w:tr>
      <w:tr>
        <w:trPr>
          <w:trHeight w:val="29"/>
        </w:trPr>
        <w:tc>
          <w:tcPr>
            <w:tcW w:w="1240" w:type="dxa"/>
            <w:vAlign w:val="bottom"/>
          </w:tcPr>
          <w:p>
            <w:pPr>
              <w:jc w:val="center"/>
              <w:ind w:left="101"/>
              <w:spacing w:after="0" w:line="30" w:lineRule="exact"/>
              <w:rPr>
                <w:sz w:val="20"/>
                <w:szCs w:val="20"/>
                <w:color w:val="auto"/>
              </w:rPr>
            </w:pPr>
            <w:r>
              <w:rPr>
                <w:rFonts w:ascii="Arial" w:cs="Arial" w:eastAsia="Arial" w:hAnsi="Arial"/>
                <w:sz w:val="3"/>
                <w:szCs w:val="3"/>
                <w:color w:val="auto"/>
              </w:rPr>
              <w:t>shares</w:t>
            </w:r>
          </w:p>
        </w:tc>
        <w:tc>
          <w:tcPr>
            <w:tcW w:w="24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left="81"/>
              <w:spacing w:after="0"/>
              <w:rPr>
                <w:sz w:val="20"/>
                <w:szCs w:val="20"/>
                <w:color w:val="auto"/>
              </w:rPr>
            </w:pPr>
            <w:r>
              <w:rPr>
                <w:rFonts w:ascii="Arial" w:cs="Arial" w:eastAsia="Arial" w:hAnsi="Arial"/>
                <w:sz w:val="18"/>
                <w:szCs w:val="18"/>
                <w:color w:val="auto"/>
                <w:w w:val="89"/>
              </w:rPr>
              <w:t>5,037,861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center"/>
              <w:ind w:left="101"/>
              <w:spacing w:after="0"/>
              <w:rPr>
                <w:sz w:val="20"/>
                <w:szCs w:val="20"/>
                <w:color w:val="auto"/>
              </w:rPr>
            </w:pPr>
            <w:r>
              <w:rPr>
                <w:rFonts w:ascii="Arial" w:cs="Arial" w:eastAsia="Arial" w:hAnsi="Arial"/>
                <w:sz w:val="18"/>
                <w:szCs w:val="18"/>
                <w:color w:val="auto"/>
                <w:w w:val="85"/>
              </w:rPr>
              <w:t>shares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w w:val="95"/>
              </w:rPr>
              <w:t xml:space="preserve">2.14 </w:t>
            </w:r>
            <w:r>
              <w:rPr>
                <w:rFonts w:ascii="Arial" w:cs="Arial" w:eastAsia="Arial" w:hAnsi="Arial"/>
                <w:sz w:val="15"/>
                <w:szCs w:val="15"/>
                <w:color w:val="auto"/>
                <w:w w:val="95"/>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10,781,023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1,235.51</w:t>
            </w:r>
          </w:p>
        </w:tc>
        <w:tc>
          <w:tcPr>
            <w:tcW w:w="0" w:type="dxa"/>
            <w:vAlign w:val="bottom"/>
          </w:tcPr>
          <w:p>
            <w:pPr>
              <w:spacing w:after="0"/>
              <w:rPr>
                <w:sz w:val="1"/>
                <w:szCs w:val="1"/>
                <w:color w:val="auto"/>
              </w:rPr>
            </w:pPr>
          </w:p>
        </w:tc>
      </w:tr>
    </w:tbl>
    <w:p>
      <w:pPr>
        <w:spacing w:after="0" w:line="133" w:lineRule="exact"/>
        <w:rPr>
          <w:sz w:val="24"/>
          <w:szCs w:val="24"/>
          <w:color w:val="auto"/>
        </w:rPr>
      </w:pPr>
    </w:p>
    <w:p>
      <w:pPr>
        <w:sectPr>
          <w:pgSz w:w="11900" w:h="16857" w:orient="portrait"/>
          <w:cols w:equalWidth="0" w:num="2">
            <w:col w:w="5780" w:space="120"/>
            <w:col w:w="5520"/>
          </w:cols>
          <w:pgMar w:left="240" w:top="472" w:right="239" w:bottom="0" w:gutter="0" w:footer="0" w:header="0"/>
          <w:type w:val="continuous"/>
        </w:sectPr>
      </w:pPr>
    </w:p>
    <w:p>
      <w:pPr>
        <w:ind w:left="340" w:hanging="332"/>
        <w:spacing w:after="0"/>
        <w:tabs>
          <w:tab w:leader="none" w:pos="34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This registration statement on Form S−8 (this “Registration Statement”) covers 14,139,342 shares of common stock, par value $0.01 per share, of Vringo,</w:t>
      </w:r>
    </w:p>
    <w:p>
      <w:pPr>
        <w:sectPr>
          <w:pgSz w:w="11900" w:h="16857" w:orient="portrait"/>
          <w:cols w:equalWidth="0" w:num="1">
            <w:col w:w="11420"/>
          </w:cols>
          <w:pgMar w:left="240" w:top="472" w:right="239" w:bottom="0" w:gutter="0" w:footer="0" w:header="0"/>
          <w:type w:val="continuous"/>
        </w:sectPr>
      </w:pPr>
    </w:p>
    <w:bookmarkStart w:id="1" w:name="page2"/>
    <w:bookmarkEnd w:id="1"/>
    <w:p>
      <w:pPr>
        <w:ind w:left="332" w:right="20"/>
        <w:spacing w:after="0" w:line="255" w:lineRule="auto"/>
        <w:rPr>
          <w:sz w:val="20"/>
          <w:szCs w:val="20"/>
          <w:color w:val="auto"/>
        </w:rPr>
      </w:pPr>
      <w:r>
        <w:rPr>
          <w:rFonts w:ascii="Arial" w:cs="Arial" w:eastAsia="Arial" w:hAnsi="Arial"/>
          <w:sz w:val="18"/>
          <w:szCs w:val="18"/>
          <w:color w:val="auto"/>
        </w:rPr>
        <w:t>Inc. (the “Registrant”), available for issuance under the Registrant’s Amended and Restated 2006 Stock Option Plan (the “Plan”). In addition, this Registration Statement covers the resale by selling stockholders named in the prospectus included and filed with this Registration Statement of 2,517,167 shares of common stock issuable upon the exercise of options granted under the Plan. In accordance with Rule 416 under the Securities Act of 1933, as amended (the “Securities Act”), this Registration Statement shall be deemed to cover any additional shares of common stock, which may be issued upon recapitalizations, stock dividends, stock splits or similar transactions. No additional registration fee is included for these shares. As of the date of this Prospectus, 1,145,480 shares are “out of the money,” or the exercise price exceeds the recent trading price of common stock, and 3,720,758 shares are unvested.</w:t>
      </w:r>
    </w:p>
    <w:p>
      <w:pPr>
        <w:spacing w:after="0" w:line="176" w:lineRule="exact"/>
        <w:rPr>
          <w:sz w:val="20"/>
          <w:szCs w:val="20"/>
          <w:color w:val="auto"/>
        </w:rPr>
      </w:pPr>
    </w:p>
    <w:p>
      <w:pPr>
        <w:ind w:left="332" w:hanging="332"/>
        <w:spacing w:after="0" w:line="194" w:lineRule="auto"/>
        <w:tabs>
          <w:tab w:leader="none" w:pos="33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For the sole purpose of calculating the registration fee, the number of shares to be registered under this Registration Statement has been broken down into two subtotals.</w:t>
      </w:r>
    </w:p>
    <w:p>
      <w:pPr>
        <w:spacing w:after="0" w:line="202" w:lineRule="exact"/>
        <w:rPr>
          <w:rFonts w:ascii="Arial" w:cs="Arial" w:eastAsia="Arial" w:hAnsi="Arial"/>
          <w:sz w:val="30"/>
          <w:szCs w:val="30"/>
          <w:color w:val="auto"/>
          <w:vertAlign w:val="superscript"/>
        </w:rPr>
      </w:pPr>
    </w:p>
    <w:p>
      <w:pPr>
        <w:ind w:left="332" w:right="40" w:hanging="332"/>
        <w:spacing w:after="0" w:line="209" w:lineRule="auto"/>
        <w:tabs>
          <w:tab w:leader="none" w:pos="33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Estimated in accordance with Rule 457(c) and (h)(1) under the Securities Act of 1933, as amended, solely for purposes of calculating the registration fee. The price per share and aggregate offering price are based on the average of the high and low prices of Registrant’s common stock as reported on the NYSE Amex on May 14, 2012.</w:t>
      </w:r>
    </w:p>
    <w:p>
      <w:pPr>
        <w:spacing w:after="0" w:line="203" w:lineRule="exact"/>
        <w:rPr>
          <w:rFonts w:ascii="Arial" w:cs="Arial" w:eastAsia="Arial" w:hAnsi="Arial"/>
          <w:sz w:val="30"/>
          <w:szCs w:val="30"/>
          <w:color w:val="auto"/>
          <w:vertAlign w:val="superscript"/>
        </w:rPr>
      </w:pPr>
    </w:p>
    <w:p>
      <w:pPr>
        <w:ind w:left="332" w:right="180" w:hanging="332"/>
        <w:spacing w:after="0" w:line="194" w:lineRule="auto"/>
        <w:tabs>
          <w:tab w:leader="none" w:pos="33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Estimated in accordance with Rule 457(h) of the Securities Act solely for the purpose of calculating the registr ation fee based on the weighted average exercise price of the 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Registration Statement registers 14,139,342 shares of our common stock that may be issued and sold under our Amended and Restated 2006 Stock Option Plan, as amended (the “Plan”). This Registration Statement also registers the reoffer and sale, in accordance with Section C of the General Instructions to the Form S−8, of 2,517,167 shares of common stock acquired prior to the date hereof pursuant to the Plan by the Selling Stockholders set forth in this prospectus.</w:t>
      </w:r>
    </w:p>
    <w:p>
      <w:pPr>
        <w:spacing w:after="0" w:line="187"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This Registration Statement contains two parts. The first part contains a “reoffer” prospectus prepared in accordance with the requirements of Part I of Form S−3 pursuant to Section C of the General Instructions to the Form S−8 ) (as the same may be supplemented from time to time, the “Reoffer Prospectus”). The Reoffer Prospectus will be used for reoffers and resales by control persons or affiliates of the Company of shares of common stock of the Company to be issued pursuant to the Plan or upon exercise of options granted or to be granted thereunder from time to time. The second part of this Registration Statement contains information required to be set forth in this Registration Statement pursuant to Part II of Form S−8</w:t>
      </w:r>
    </w:p>
    <w:p>
      <w:pPr>
        <w:spacing w:after="0" w:line="158"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The document(s) containing the information specified in Part I of Form S−8 (plan information and registrant information) will be sent or given to plan participants as specified by Rule 428(b)(1) under the Securities Act. In accordance with Rule 428 under the Securities Act, these documents are not being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PLAN INFORMATION</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Vringo, Inc. will send or give document(s) containing the information specified in Part I to participants as specified by Rule 428(b)(1). These documents are not required to be filed as part of this Registration Statement and are omitted from this Registration Statement in accordance with the note to Part I of Form S-8.</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REGISTRANT INFORMATION AND EMPLOYEE PLAN ANNUAL INFORMATION</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Upon written or oral request by a participant in the Plan, as amended from time to time, the Company will provide any of the documents incorporated by reference into the Section 10(a) prospectus, without charge. Any document required to be delivered to the participants pursuant to Rule 428(b) will also be delivered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154940</wp:posOffset>
            </wp:positionV>
            <wp:extent cx="103759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32"/>
          <w:szCs w:val="32"/>
          <w:b w:val="1"/>
          <w:bCs w:val="1"/>
          <w:color w:val="auto"/>
        </w:rPr>
        <w:t>2,517,167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This prospectus is being used in connection with the offering from time to time by certain selling stockholders of Vringo, Inc. (the “Company” or “Vringo”) or their successors in interest of shares of the common stock which may be acquired pursuant to the Company’s Amended and Restated 2006 Stock Option Plan, as amended (the “Plan”).</w:t>
      </w:r>
    </w:p>
    <w:p>
      <w:pPr>
        <w:spacing w:after="0" w:line="181"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The common stock may be sold from time to time by the selling stockholders or by their pledgees, donees, transferees or other successors in interest. Such sales may be made on a stock exchange, in the over-the-counter market or otherwise at prices and at terms then prevailing or at prices related to the then current market price, or in negotiated transactions. The common stock may be sold from time to time, among other ways, by one or more brokers or dealers engaged by the selling stockholders. Brokers or dealers may receive commissions or discounts from selling stockholders in amounts to be negotiated immediately prior to the sale. Such brokers or dealers and any other participating brokers or dealers may be deemed to be “underwriters” within the meaning of the Securities Act of 1933, as amended (the “Securities Act”) in connection with such sales. See “Plan of Distribution.” In addition, any securities covered by this prospectus which qualify for sale pursuant to Rule 144 may be sold under Rule 144 rather than pursuant to this prospectus.</w:t>
      </w:r>
    </w:p>
    <w:p>
      <w:pPr>
        <w:spacing w:after="0" w:line="16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will not receive any of the proceeds from the sale of these shares, but we will receive proceeds to the extent that options to purchase common stock are issued and exercised. We have paid the expenses of preparing this prospectus and the related registration statement on Form S-8 (the “Registration Statement”).</w:t>
      </w:r>
    </w:p>
    <w:p>
      <w:pPr>
        <w:spacing w:after="0" w:line="18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closing sales price of our common stock, trading under the symbol “VRNG”, on May 14, 2012 as reported by the NYSE Amex (“Amex”) was $3.28.</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Investing in any of our securities involves risks. Please read carefully the section entitled “</w:t>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 beginning on page 4 of this prospectus.</w:t>
      </w:r>
    </w:p>
    <w:p>
      <w:pPr>
        <w:spacing w:after="0" w:line="260"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(the “SEC”) or any state securities commission nor has the SEC or any state securities commission passed upon the accuracy or adequacy of this prospectus. Any representation to the contrary is a criminal offense.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600" w:type="dxa"/>
            <w:vAlign w:val="bottom"/>
            <w:gridSpan w:val="2"/>
          </w:tcPr>
          <w:p>
            <w:pPr>
              <w:ind w:left="9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Forward-Looking Statements</w:t>
            </w:r>
          </w:p>
        </w:tc>
        <w:tc>
          <w:tcPr>
            <w:tcW w:w="7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Prospectus Summary</w:t>
            </w:r>
          </w:p>
        </w:tc>
        <w:tc>
          <w:tcPr>
            <w:tcW w:w="75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Risk Factors</w:t>
            </w:r>
          </w:p>
        </w:tc>
        <w:tc>
          <w:tcPr>
            <w:tcW w:w="7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Use of Proceeds</w:t>
            </w:r>
          </w:p>
        </w:tc>
        <w:tc>
          <w:tcPr>
            <w:tcW w:w="75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Selling Stockholders</w:t>
            </w:r>
          </w:p>
        </w:tc>
        <w:tc>
          <w:tcPr>
            <w:tcW w:w="7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Plan of Distribution</w:t>
            </w:r>
          </w:p>
        </w:tc>
        <w:tc>
          <w:tcPr>
            <w:tcW w:w="75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7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Experts</w:t>
            </w:r>
          </w:p>
        </w:tc>
        <w:tc>
          <w:tcPr>
            <w:tcW w:w="75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Where You Can Find More Information</w:t>
            </w:r>
          </w:p>
        </w:tc>
        <w:tc>
          <w:tcPr>
            <w:tcW w:w="7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Documents Incorporated By Reference</w:t>
            </w:r>
          </w:p>
        </w:tc>
        <w:tc>
          <w:tcPr>
            <w:tcW w:w="75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(the “SEC” or the “Commission”). You should rely only on the information contained in this prospectus. We have not authorized any other person to provide you with different information. If anyone provides you with different or inconsistent information, you should not rely on it. Information contained on our website does not constitute a part of this prospectus. Selling Stockholders are not making an offer to sell these securities in any jurisdiction where the offer or sale is not permitted. You should assume that the information appearing in this prospectus is accurate only as of the date on the front cover of this prospectus, regardless of the time this prospectus is delivered or the shares offered by this prospectus are sold. Our business, financial condition, results of operations and prospects may have changed since that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Some of the statements set forth in this prospectus are forward-looking statements within the meaning of Section 27A of the Securities Act, and Section 21E of the Securities Exchange Act of 1934, as amended (the “Exchange Act”). The words “believe,” “expect,” “anticipate,” “project,” “target,” “optimistic,” “intend,” “aim,” “will” or similar expressions are intended to identify forward-looking statements. Such statements include, among others, those concerning our expected financial performance and strategic and operational plans, as well as all assumptions, expectations, predictions, intentions or beliefs about future events. These statements are based on the beliefs of our management as well as assumptions made by and information currently available to us and reflect our current view concerning future events. As such, they are subject to risks and uncertainties that could cause our results to differ materially from those expressed or implied by such forward-looking statements. Such risks and uncertainties include, among many others: our ability to produce, market and generate sales of our products; our ability to develop and introduce new products; projected future sales, profitability and other financial metrics; our ability to attract and retain key members of our management team; future financing plans; anticipated needs for working capital; anticipated trends in our industry; our ability to expand our marketing and other operational capabilities; competition existing today or that will likely arise in the future; our ability to complete the proposed merger with Innovate/Protect, Inc.; our ability to maintain our common stock listing on a major stock exchange; any of the factors in the “Risk Factors” section of our annual or quarterly reports; other risks identified in this prospectus; and any statements of assumptions underlying any of the foregoing. You should also carefully review the reports that we file with the SEC. We assume no obligation and do not intend to update these forward-looking statements, except as required by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i w:val="1"/>
          <w:iCs w:val="1"/>
          <w:color w:val="auto"/>
        </w:rPr>
        <w:t>The following summary contains basic information about Vringo, Inc. and this prospectus. It may not contain all of the information that is important to you. For a more complete understanding, we encourage you to read the entire prospectus and the documents incorporated by reference into this prospectus. In this prospectus, the words “Company,” “we,” “our” and “us” refer to Vringo, Inc. and our wholly-owned subsidiary.</w:t>
      </w:r>
    </w:p>
    <w:p>
      <w:pPr>
        <w:spacing w:after="0" w:line="166"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i w:val="1"/>
          <w:iCs w:val="1"/>
          <w:color w:val="auto"/>
        </w:rPr>
        <w:t>The SEC allows us to “incorporate by reference” certain information that we file with it,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this information. Any statement contained in a document incorporated or deemed to be incorporated by reference in this prospectus shall be deemed to be modified or superseded for purposes of this prospectus to the extent that a statement contained in this prospectus or in any other document which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common stock and our financial statements and the notes to those statements appearing elsewhere in this prospectus or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goal is to become a leading global provider and licensor of mobile video and mobile social applications, services and software, including mobile personalization, and interactive services via our different software platforms and maximize the benefits of our intellectual property.</w:t>
      </w:r>
    </w:p>
    <w:p>
      <w:pPr>
        <w:spacing w:after="0" w:line="14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March 12, 2012, we entered into an Agreement and Plan of Merger with VIP Merger Sub, Inc., which will be a Delaware corporation and our wholly-owned subsidiary, and Innovate/Protect, Inc., a Delaware corporation and an intellectual property firm founded in 2011 whose wholly-owned subsidiary, I/P Engine, holds eight patents that were acquired from Lycos Inc., pursuant to which Innovate/Protect will merge with and into Merger Sub, with Merger Sub being the surviving corporation through an exchange of capital stock of Innovate/Protect for our capital stock.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compete successfully depends on our ability to ensure a continuing and timely introduction of innovative new products and technologies to the marketplace. As a result, we must make significant investments in research and development. To date, we have filed 24 patent applications for our platform, three of which have been issued in the United States and we have received one notice of allowance in Europe to date, and we continue to create new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ind w:firstLine="486"/>
        <w:spacing w:after="0" w:line="277" w:lineRule="auto"/>
        <w:rPr>
          <w:sz w:val="20"/>
          <w:szCs w:val="20"/>
          <w:color w:val="auto"/>
        </w:rPr>
      </w:pPr>
      <w:r>
        <w:rPr>
          <w:rFonts w:ascii="Arial" w:cs="Arial" w:eastAsia="Arial" w:hAnsi="Arial"/>
          <w:sz w:val="18"/>
          <w:szCs w:val="18"/>
          <w:color w:val="auto"/>
        </w:rPr>
        <w:t>We were incorporated in January 2006 and are still a development stage company. Our principal executive offices are located in New York, NY, and in addition, we have a wholly owned subsidiary, Vringo (Israel) Ltd., located in Bet-Shemesh,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420"/>
          </w:cols>
          <w:pgMar w:left="240" w:top="881" w:right="2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outstanding before the offering</w:t>
      </w:r>
    </w:p>
    <w:p>
      <w:pPr>
        <w:spacing w:after="0" w:line="22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Common stock issuable as restricted stock or upon exercise of options granted or to be granted which may be offered by the selling stockholders pursuant to this prospectus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NYSE Amex symbol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14,060,424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2,517,167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ind w:right="820"/>
        <w:spacing w:after="0" w:line="259" w:lineRule="auto"/>
        <w:rPr>
          <w:sz w:val="20"/>
          <w:szCs w:val="20"/>
          <w:color w:val="auto"/>
        </w:rPr>
      </w:pPr>
      <w:r>
        <w:rPr>
          <w:rFonts w:ascii="Arial" w:cs="Arial" w:eastAsia="Arial" w:hAnsi="Arial"/>
          <w:sz w:val="18"/>
          <w:szCs w:val="18"/>
          <w:color w:val="auto"/>
        </w:rPr>
        <w:t>We will not receive any proceeds from the sales of these shares. We will receive proceeds to the extent that options to purchase common stock may be issued and thereafter exercised. We will use the exercise proceeds, if any, for working capital and general corporate purposes.</w:t>
      </w:r>
    </w:p>
    <w:p>
      <w:pPr>
        <w:spacing w:after="0" w:line="187" w:lineRule="exact"/>
        <w:rPr>
          <w:sz w:val="20"/>
          <w:szCs w:val="20"/>
          <w:color w:val="auto"/>
        </w:rPr>
      </w:pPr>
    </w:p>
    <w:p>
      <w:pPr>
        <w:sectPr>
          <w:pgSz w:w="11900" w:h="16838" w:orient="portrait"/>
          <w:cols w:equalWidth="0" w:num="2">
            <w:col w:w="4300" w:space="100"/>
            <w:col w:w="702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Risk factors</w:t>
            </w:r>
          </w:p>
        </w:tc>
        <w:tc>
          <w:tcPr>
            <w:tcW w:w="8420" w:type="dxa"/>
            <w:vAlign w:val="bottom"/>
          </w:tcPr>
          <w:p>
            <w:pPr>
              <w:ind w:left="1400"/>
              <w:spacing w:after="0"/>
              <w:rPr>
                <w:sz w:val="20"/>
                <w:szCs w:val="20"/>
                <w:color w:val="auto"/>
              </w:rPr>
            </w:pPr>
            <w:r>
              <w:rPr>
                <w:rFonts w:ascii="Arial" w:cs="Arial" w:eastAsia="Arial" w:hAnsi="Arial"/>
                <w:sz w:val="18"/>
                <w:szCs w:val="18"/>
                <w:color w:val="auto"/>
              </w:rPr>
              <w:t>There are risks associated with an investment in the common stock offered by this</w:t>
            </w:r>
          </w:p>
        </w:tc>
      </w:tr>
      <w:tr>
        <w:trPr>
          <w:trHeight w:val="216"/>
        </w:trPr>
        <w:tc>
          <w:tcPr>
            <w:tcW w:w="3000" w:type="dxa"/>
            <w:vAlign w:val="bottom"/>
          </w:tcPr>
          <w:p>
            <w:pPr>
              <w:spacing w:after="0"/>
              <w:rPr>
                <w:sz w:val="18"/>
                <w:szCs w:val="18"/>
                <w:color w:val="auto"/>
              </w:rPr>
            </w:pPr>
          </w:p>
        </w:tc>
        <w:tc>
          <w:tcPr>
            <w:tcW w:w="8420" w:type="dxa"/>
            <w:vAlign w:val="bottom"/>
          </w:tcPr>
          <w:p>
            <w:pPr>
              <w:ind w:left="1400"/>
              <w:spacing w:after="0"/>
              <w:rPr>
                <w:sz w:val="20"/>
                <w:szCs w:val="20"/>
                <w:color w:val="auto"/>
              </w:rPr>
            </w:pPr>
            <w:r>
              <w:rPr>
                <w:rFonts w:ascii="Arial" w:cs="Arial" w:eastAsia="Arial" w:hAnsi="Arial"/>
                <w:sz w:val="18"/>
                <w:szCs w:val="18"/>
                <w:color w:val="auto"/>
                <w:w w:val="99"/>
              </w:rPr>
              <w:t>prospectus. You should carefully consider the risk factors described in this prospectus in</w:t>
            </w:r>
          </w:p>
        </w:tc>
      </w:tr>
      <w:tr>
        <w:trPr>
          <w:trHeight w:val="230"/>
        </w:trPr>
        <w:tc>
          <w:tcPr>
            <w:tcW w:w="3000" w:type="dxa"/>
            <w:vAlign w:val="bottom"/>
          </w:tcPr>
          <w:p>
            <w:pPr>
              <w:spacing w:after="0"/>
              <w:rPr>
                <w:sz w:val="20"/>
                <w:szCs w:val="20"/>
                <w:color w:val="auto"/>
              </w:rPr>
            </w:pPr>
          </w:p>
        </w:tc>
        <w:tc>
          <w:tcPr>
            <w:tcW w:w="8420" w:type="dxa"/>
            <w:vAlign w:val="bottom"/>
          </w:tcPr>
          <w:p>
            <w:pPr>
              <w:ind w:left="1400"/>
              <w:spacing w:after="0"/>
              <w:rPr>
                <w:sz w:val="20"/>
                <w:szCs w:val="20"/>
                <w:color w:val="auto"/>
              </w:rPr>
            </w:pPr>
            <w:r>
              <w:rPr>
                <w:rFonts w:ascii="Arial" w:cs="Arial" w:eastAsia="Arial" w:hAnsi="Arial"/>
                <w:sz w:val="18"/>
                <w:szCs w:val="18"/>
                <w:color w:val="auto"/>
              </w:rPr>
              <w:t>the “Risk Factors” section before making a decision to invest.</w:t>
            </w:r>
          </w:p>
        </w:tc>
      </w:tr>
      <w:tr>
        <w:trPr>
          <w:trHeight w:val="418"/>
        </w:trPr>
        <w:tc>
          <w:tcPr>
            <w:tcW w:w="3000" w:type="dxa"/>
            <w:vAlign w:val="bottom"/>
          </w:tcPr>
          <w:p>
            <w:pPr>
              <w:ind w:left="340"/>
              <w:spacing w:after="0"/>
              <w:rPr>
                <w:sz w:val="20"/>
                <w:szCs w:val="20"/>
                <w:color w:val="auto"/>
              </w:rPr>
            </w:pPr>
            <w:r>
              <w:rPr>
                <w:rFonts w:ascii="Arial" w:cs="Arial" w:eastAsia="Arial" w:hAnsi="Arial"/>
                <w:sz w:val="18"/>
                <w:szCs w:val="18"/>
                <w:color w:val="auto"/>
              </w:rPr>
              <w:t>Executive offices</w:t>
            </w:r>
          </w:p>
        </w:tc>
        <w:tc>
          <w:tcPr>
            <w:tcW w:w="8420" w:type="dxa"/>
            <w:vAlign w:val="bottom"/>
          </w:tcPr>
          <w:p>
            <w:pPr>
              <w:ind w:left="1400"/>
              <w:spacing w:after="0"/>
              <w:rPr>
                <w:sz w:val="20"/>
                <w:szCs w:val="20"/>
                <w:color w:val="auto"/>
              </w:rPr>
            </w:pPr>
            <w:r>
              <w:rPr>
                <w:rFonts w:ascii="Arial" w:cs="Arial" w:eastAsia="Arial" w:hAnsi="Arial"/>
                <w:sz w:val="18"/>
                <w:szCs w:val="18"/>
                <w:color w:val="auto"/>
              </w:rPr>
              <w:t>Our New York office, which serves as our corporate U.S. executive offices is located at</w:t>
            </w:r>
          </w:p>
        </w:tc>
      </w:tr>
      <w:tr>
        <w:trPr>
          <w:trHeight w:val="230"/>
        </w:trPr>
        <w:tc>
          <w:tcPr>
            <w:tcW w:w="3000" w:type="dxa"/>
            <w:vAlign w:val="bottom"/>
          </w:tcPr>
          <w:p>
            <w:pPr>
              <w:spacing w:after="0"/>
              <w:rPr>
                <w:sz w:val="20"/>
                <w:szCs w:val="20"/>
                <w:color w:val="auto"/>
              </w:rPr>
            </w:pPr>
          </w:p>
        </w:tc>
        <w:tc>
          <w:tcPr>
            <w:tcW w:w="8420" w:type="dxa"/>
            <w:vAlign w:val="bottom"/>
          </w:tcPr>
          <w:p>
            <w:pPr>
              <w:ind w:left="1400"/>
              <w:spacing w:after="0"/>
              <w:rPr>
                <w:sz w:val="20"/>
                <w:szCs w:val="20"/>
                <w:color w:val="auto"/>
              </w:rPr>
            </w:pPr>
            <w:r>
              <w:rPr>
                <w:rFonts w:ascii="Arial" w:cs="Arial" w:eastAsia="Arial" w:hAnsi="Arial"/>
                <w:sz w:val="18"/>
                <w:szCs w:val="18"/>
                <w:color w:val="auto"/>
              </w:rPr>
              <w:t>44 W. 28th Street, New York, New York 10001.</w:t>
            </w:r>
          </w:p>
        </w:tc>
      </w:tr>
      <w:tr>
        <w:trPr>
          <w:trHeight w:val="648"/>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88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consummate our Merger with Innovate/Protect.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12, 2012, we entered into a Merger Agreement, pursuant to which Innovate/Protect will merge with and into our wholly owned subsidiary, Merger Sub, with Merger Sub being the surviving corporation through an exchange of capital stock of Innovate/Protect for our capital stock. The consummation of the transaction with Innovate/Protect is subject to stockholders approval and other closing conditions. We have expended significant effort and management attention on the proposed transaction. There is no assurance that the transaction will be approved. For example, our stockholders may not approve the transaction. If the transaction is not consummated for any reason, our business and operations, as well as the market price of our stock and warrants may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 of our shares of common stock to Innovate/Protect stockholders in connection with the Merger will substantially dilute the voting power of our current stockholders.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terms of the Merger Agreement, it is anticipated that we will issue equity instruments to Innovate/Protect stockholders representing approximately 67.55% of the outstanding equity instruments of the combined company calculated on a fully diluted basis as of immediately following the completion of the Merger. After such issuance, our equity instruments outstanding immediately prior to the completion of the Merger will represent approximately 32.45% of the outstanding equity instruments of the combined company, calculated on a fully diluted basis as of immediately following the completion of the Merger. Accordingly, the issuance of our equity instruments Innovate/Protect stockholders in connection with the Merger will significantly reduce the relative voting power of each share of our common stock held by our current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2012, we had a cash balance of $3.6 million and $2.7 million of net working capital. For the three month period ended March 31, 2012 and 2011 and for the cumulative period from inception until March 31, 2012, we incurred net losses of $5.6 million, $1.1 million and $43.2 million, respectively. As of March 31, 2012, our stockholders' equity was $1.0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losses to continue in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development stage company with no significant source of income and our there is a significant doubt about our ability to continue our activities as a going concern.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management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both"/>
        <w:ind w:firstLine="648"/>
        <w:spacing w:after="0" w:line="255" w:lineRule="auto"/>
        <w:rPr>
          <w:sz w:val="20"/>
          <w:szCs w:val="20"/>
          <w:color w:val="auto"/>
        </w:rPr>
      </w:pPr>
      <w:r>
        <w:rPr>
          <w:rFonts w:ascii="Arial" w:cs="Arial" w:eastAsia="Arial" w:hAnsi="Arial"/>
          <w:sz w:val="18"/>
          <w:szCs w:val="18"/>
          <w:color w:val="auto"/>
        </w:rPr>
        <w:t>We believe that its current cash levels will be sufficient to support our activity into the first quarter of 2013. The continuation of our business is dependent upon the successful consummation of our Merger with Innovate/Protect, or similar merger or acquisition, financing and upon the further development of our products.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our combined operations approximates $4.3 million and $11.8 million, for the twelve month periods ending March 31, 2013 and March 31, 2014, respectively. Any such financing that we undertake will likely be dilutive to our current stockholders.</w:t>
      </w:r>
    </w:p>
    <w:p>
      <w:pPr>
        <w:spacing w:after="0" w:line="185" w:lineRule="exact"/>
        <w:rPr>
          <w:sz w:val="20"/>
          <w:szCs w:val="20"/>
          <w:color w:val="auto"/>
        </w:rPr>
      </w:pPr>
    </w:p>
    <w:p>
      <w:pPr>
        <w:jc w:val="both"/>
        <w:ind w:firstLine="45"/>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Should our currently outstanding warrants be exercised, there will be an additional 7,706,591 shares of common stock eligible for trading in the public market. In addition, we currently have options outstanding to purchase 4,623,863 shares of common stock, granted as of the reporting date, to our management, employees, directors and consultants. In March 2012, our board of directors approved participation of outstanding options in future dividends. In addition, the vesting of all outstanding options will accelerate if our common stock reaches certain price or market capitalization targets for 20 of 30 consecutive trading dates, as follows: (i) 50% acceleration if either the price of our common stock is at least $5 or our market capitalization is at least $250,000,000; (ii) 75% acceleration if either the price of our common stock is at least $10 or our market capitalization is $500,000,000 or more; and (iii) 100% acceleration if either the price of our common stock is at least $20 or our market capitalization is at least $1,000,000,000. Furthermore, all outstanding options granted to members of the board of directors shall fully vest if a member of the board of directors ceases to be a director at any time during the six-month period immediately following a change of control.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May 15, 2012, is $3.17 per share.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Merger Agreement, we will issue Innovate/Protect shareholders warrants to purchase 15,959,838 shares of our common stock at an exercise price of $1.76 per share. In addition, all outstanding warrants to purchase Innovate/Protect’s common stock that are outstanding and unexercised immediately prior to the Merger agreement, shall be exchanged for 250,000 shares of our common stock and 850,000 warrants to purchase 850,000 shares of our common stock with an exercise price of $1.76 per share. Finally, an additional 41,178 options at an exercise price of $0.994 will be issued. As a result of an approval of our proposed Merger with Innovate/Protect, the total number of warrants and options held by our security holders will be increased by 16,851,016.</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currently have 14,060,424 shares of common stock issued and outstanding, excluding shares of common stock issuable upon exercise of warrants or options. As shares saleable under Rule 144 are sold or as restrictions on resale need,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ind w:firstLine="648"/>
        <w:spacing w:after="0" w:line="297" w:lineRule="auto"/>
        <w:rPr>
          <w:sz w:val="20"/>
          <w:szCs w:val="20"/>
          <w:color w:val="auto"/>
        </w:rPr>
      </w:pPr>
      <w:r>
        <w:rPr>
          <w:rFonts w:ascii="Arial" w:cs="Arial" w:eastAsia="Arial" w:hAnsi="Arial"/>
          <w:sz w:val="16"/>
          <w:szCs w:val="16"/>
          <w:color w:val="auto"/>
        </w:rPr>
        <w:t>Under the terms of the Merger Agreement, we will issue Innovate/Protect shareholders 17,863,169 of our common stock shares and Series A Convertible Preferred stock, convertible into 20,136,445 of our common stock shares. In addition, all outstanding warrants to purchase Innovate/Protect’s common stock that are outstanding and unexercised immediately prior to the Merger agreement, shall be exchanged for 250,000 shares of our common stock and 850,000 warrants to purchase 850,000 shares of common stock with an exercise price of $1.76 per share. Upon the consummation of the Merger, if consummated, the number of outstanding shares of common stock (calculated on a fully diluted basis) held by our security holders will significantly increase.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adequately protect our intellectual property, we may not be able to compete effectively.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firstLine="648"/>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strategy for distributing our applications and services is dependent upon establishing distribution arrangements with major mobile carriers and other partners. We currently have distribution arrangements with Etisalat (Emirates Telecom), Orange (Everything Everywhere), Vodafone, Verizon, Maxis, Celcom (Axiata Berhard), Hungama Mobile and Du. We need to develop and maintain strategic relationships with these entities in order for them to market its service to their end users. While we have entered into agreements with the aforementioned mobile carriers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While the user base for the video ringtone service is spread out amongst a number of smartphone and feature phone operating systems, with applications on each of the aforementioned operating systems representing less than 5% of the total subscribers to our video ringtone platform. Our Facetones ™ platform is heavily reliant upon our user base on Android devices. Currently, over 96% of our Facetones ™ users utilize the Android operating system. In addition, our commercial agreement with ZTE is solely reliant on our ability to maintain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Regulation may impair our ability to generate revenue via our video ringtone product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video ringtone product operates under a paid-for premium subscription business model. Mobile subscription services have been the subject of regulatory changes in recent years in Europe and Asia. In the fourth quarter of 2012, we were informed by Maxis, our operator partner in Malaysia that we would have to change the manner by which we allowed users to opt-out and the period of time that we could continue to bill users who did not interact with our service. This adversely affected our subscriber numbers. While we are not currently aware of other pending regulatory actions in other markets in which we operate, there cannot be any assurance that such regulatory changes, if occur, will not adversely affect our business.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FacetonesTM application creates automated video slideshows using friends’ photos from social media web sites, primarily from Facebook®, the world’s leading social media site. While FacetonesTM represented less than 5% of our revenue for the three months ended March 31, 2012, we believe that the rapid growth of its user base is critical to the value of our mobile application business. In the event Facebook® prohibits or restricts our application’s ability to access photos on its site, our business, financial condition, operating results and projected growth could be harmed. In February 2012, we entered into an agreement with Facebook®, which clarifies Vringo’s permitted use of the FacetonesTM mark and domain name.</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majority of Facetones users experience the product through a free-to-user ad-supported model. The mobile advertising market is nascent and there can be no assurance that it will be able to generate substantial revenue.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mobile advertising market is still small. Mobile advertising generates a small portion of the marketing dollars that advertiser spend on digital marketing. The ability to generate significant revenue from our Facetones product is largely dependent on the mobile advertising market maturing, as well as on our ability to increase our user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Facetones™ trademark is challenged by another party, our revenue from this application may be adversely affected.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9, 2012, we entered into an agreement with Facebook, Inc. an online social network, relating to the use of our Facetones™ mark and domain name (collectively, the "Facetones Mark"). The Agreement resolved a potential dispute between the parties regarding the Facetones Mark. Nonetheless, Facebook reserves the right to challenge the Facetones Mark in the future if we violate certain limitations on our use of the Facetones Mark and/or certain conditions are not met. If Facebook or any other party successfully challenges our Facetones Mark, we will need to rebrand our application, which may have a negative impact on our revenue from this application.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order for us to raise capital through equity or equity-linked transactions, stockholder approval is required to enable us to issue more than 19.99% of our outstanding shares of common stock pursuant to the rules and regulations of the NYSE Amex. Should stockholders not approve such issuances, our sole means to raise capital would be through debt, which could have a material adverse effect on our balance sheet and overall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 is largely dependent on our common stock being traded on a major exchange.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On April 26, 2012, the NYSE Amex notified us that it had resolved the continued listing deficiency referenced in the NYSE Amex's letter dated May 24, 2011, which stated that we were not in compliance with Section 1003(a) (iv) of the NYSE Amex's continued listing standards. The NYSE Amex's conclusion was based on a review of available information, including our filings with the Securities and Exchange Commission. Our continued listing eligibility will be assessed on an ongoing basis. While the NYSE Amex has not initiated delisting proceedings in the past, there is no assurance that it will not do so in the future.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a substantial portion of our revenues is generated in dollars and euros, while a significant portion of our expenses is incurred in Israeli currency, our revenue may be reduced due to inflation in Israel and currency exchange rate fluctuations.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revenues is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95"/>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shares which may be sold pursuant to this prospectus will be sold for the respective accounts of each of the selling stockholders. Accordingly, the Company will not realize any proceeds from the sale of the shares, except that it will derive proceeds if options currently outstanding or hereafter granted are exercised. If exercised, such funds will be available to the Company for working capital and general corporate purposes. No assurance can be given, however, as to when or if any or all of the options will be exercised. All expenses of the registration of the shares have been paid for by the Company. See “Selling Stockholders” and “Plan of Distribution.”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2,517,167 shares of our common stock to which this reoffer prospectus relates is comprised entirely of shares issuable upon the exercise of options granted under the Plan and are being registered for reoffers and resales by our directors and officers named below, who acquired the shares pursuant to one of our “employee benefit plans” as that term is defined in Rule 405 of Regulation C under the Securities Act. The Selling Stockholders may resell all, a portion, or none of the shares of common stock from time to time. Any changed information will be set forth in an amendment to the registration statement or supplement to this reoffer prospectus, to the extent required by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inclusion in the table of the individuals named therein shall not be deemed to be an admission that any such individual is one of our affiliates.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Number of</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Percentage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of Common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Common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Beneficially</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Beneficially</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Shares Eligible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after</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After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 be Offered by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Completion</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Completion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Beneficially Owned</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Before the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Selling</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the</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of the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Name</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Position</w:t>
            </w: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Prior to the Offering(1)</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Offering</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Stockholders(2)</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Offering</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Offering(3)</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Seth M. Siegel</w:t>
            </w:r>
          </w:p>
        </w:tc>
        <w:tc>
          <w:tcPr>
            <w:tcW w:w="100" w:type="dxa"/>
            <w:vAlign w:val="bottom"/>
            <w:vMerge w:val="continue"/>
            <w:shd w:val="clear" w:color="auto" w:fill="CCFFCC"/>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color w:val="auto"/>
                <w:w w:val="93"/>
              </w:rPr>
              <w:t>Chairman of the Board</w:t>
            </w:r>
          </w:p>
        </w:tc>
        <w:tc>
          <w:tcPr>
            <w:tcW w:w="100" w:type="dxa"/>
            <w:vAlign w:val="bottom"/>
            <w:vMerge w:val="continue"/>
            <w:shd w:val="clear" w:color="auto" w:fill="CCFFCC"/>
          </w:tcPr>
          <w:p>
            <w:pPr>
              <w:spacing w:after="0"/>
              <w:rPr>
                <w:sz w:val="18"/>
                <w:szCs w:val="18"/>
                <w:color w:val="auto"/>
              </w:rPr>
            </w:pP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440,122</w:t>
            </w:r>
          </w:p>
        </w:tc>
        <w:tc>
          <w:tcPr>
            <w:tcW w:w="200" w:type="dxa"/>
            <w:vAlign w:val="bottom"/>
            <w:vMerge w:val="continue"/>
            <w:shd w:val="clear" w:color="auto" w:fill="CCFFCC"/>
          </w:tcPr>
          <w:p>
            <w:pPr>
              <w:spacing w:after="0"/>
              <w:rPr>
                <w:sz w:val="18"/>
                <w:szCs w:val="18"/>
                <w:color w:val="auto"/>
              </w:rPr>
            </w:pP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588,333</w:t>
            </w:r>
          </w:p>
        </w:tc>
        <w:tc>
          <w:tcPr>
            <w:tcW w:w="220" w:type="dxa"/>
            <w:vAlign w:val="bottom"/>
            <w:vMerge w:val="continue"/>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245,539</w:t>
            </w:r>
          </w:p>
        </w:tc>
        <w:tc>
          <w:tcPr>
            <w:tcW w:w="200" w:type="dxa"/>
            <w:vAlign w:val="bottom"/>
            <w:vMerge w:val="continue"/>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Andrew Perlman</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w w:val="92"/>
              </w:rPr>
              <w:t>Chief Executive Officer</w:t>
            </w:r>
          </w:p>
        </w:tc>
        <w:tc>
          <w:tcPr>
            <w:tcW w:w="1980" w:type="dxa"/>
            <w:vAlign w:val="bottom"/>
            <w:gridSpan w:val="3"/>
          </w:tcPr>
          <w:p>
            <w:pPr>
              <w:jc w:val="right"/>
              <w:ind w:right="200"/>
              <w:spacing w:after="0"/>
              <w:rPr>
                <w:sz w:val="20"/>
                <w:szCs w:val="20"/>
                <w:color w:val="auto"/>
              </w:rPr>
            </w:pPr>
            <w:r>
              <w:rPr>
                <w:rFonts w:ascii="Arial" w:cs="Arial" w:eastAsia="Arial" w:hAnsi="Arial"/>
                <w:sz w:val="18"/>
                <w:szCs w:val="18"/>
                <w:color w:val="auto"/>
              </w:rPr>
              <w:t>275,928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40" w:type="dxa"/>
            <w:vAlign w:val="bottom"/>
          </w:tcPr>
          <w:p>
            <w:pPr>
              <w:jc w:val="right"/>
              <w:spacing w:after="0"/>
              <w:rPr>
                <w:sz w:val="20"/>
                <w:szCs w:val="20"/>
                <w:color w:val="auto"/>
              </w:rPr>
            </w:pPr>
            <w:r>
              <w:rPr>
                <w:rFonts w:ascii="Arial" w:cs="Arial" w:eastAsia="Arial" w:hAnsi="Arial"/>
                <w:sz w:val="18"/>
                <w:szCs w:val="18"/>
                <w:color w:val="auto"/>
              </w:rPr>
              <w:t>878,834</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John Engelman</w:t>
            </w:r>
          </w:p>
        </w:tc>
        <w:tc>
          <w:tcPr>
            <w:tcW w:w="18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127,575</w:t>
            </w:r>
          </w:p>
        </w:tc>
        <w:tc>
          <w:tcPr>
            <w:tcW w:w="1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237,500</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93,304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Geoffrey Skolnik</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right"/>
              <w:ind w:right="200"/>
              <w:spacing w:after="0"/>
              <w:rPr>
                <w:sz w:val="20"/>
                <w:szCs w:val="20"/>
                <w:color w:val="auto"/>
              </w:rPr>
            </w:pPr>
            <w:r>
              <w:rPr>
                <w:rFonts w:ascii="Arial" w:cs="Arial" w:eastAsia="Arial" w:hAnsi="Arial"/>
                <w:sz w:val="18"/>
                <w:szCs w:val="18"/>
                <w:color w:val="auto"/>
              </w:rPr>
              <w:t>5,625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72,500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Edo Segal</w:t>
            </w:r>
          </w:p>
        </w:tc>
        <w:tc>
          <w:tcPr>
            <w:tcW w:w="18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90,298</w:t>
            </w:r>
          </w:p>
        </w:tc>
        <w:tc>
          <w:tcPr>
            <w:tcW w:w="1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145,000</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Philip Serlin</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right"/>
              <w:ind w:right="200"/>
              <w:spacing w:after="0"/>
              <w:rPr>
                <w:sz w:val="20"/>
                <w:szCs w:val="20"/>
                <w:color w:val="auto"/>
              </w:rPr>
            </w:pPr>
            <w:r>
              <w:rPr>
                <w:rFonts w:ascii="Arial" w:cs="Arial" w:eastAsia="Arial" w:hAnsi="Arial"/>
                <w:sz w:val="18"/>
                <w:szCs w:val="18"/>
                <w:color w:val="auto"/>
              </w:rPr>
              <w:t>38,333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195,000</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Ellen Cohl</w:t>
            </w:r>
          </w:p>
        </w:tc>
        <w:tc>
          <w:tcPr>
            <w:tcW w:w="18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5"/>
              </w:rPr>
              <w:t>Chief Financial Officer</w:t>
            </w:r>
          </w:p>
        </w:tc>
        <w:tc>
          <w:tcPr>
            <w:tcW w:w="19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105,417</w:t>
            </w:r>
          </w:p>
        </w:tc>
        <w:tc>
          <w:tcPr>
            <w:tcW w:w="1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60" w:right="160" w:hanging="452"/>
        <w:spacing w:after="0" w:line="273"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securities “beneficially owned” by a person are determined in accordance with the definition of "beneficial ownership" set forth in the rules and regulations promulgated under the Securities Exchange Act of 1934, and accordingly, may include securities owned by and for, among others, the spouse and/or minor children of an individual and any other relative who has the same home as such individual, as well as other securities as to which the individual has or shares voting or investment power or which such person has the right to acquire within 60 days of May 15, 2012 pursuant to the exercise of options, or otherwise. Beneficial ownership may be disclaimed as to certain of the securities. This table has been prepared based on 14,060,424 shares of common stock outstanding as of May 15, 2012.</w:t>
      </w:r>
    </w:p>
    <w:p>
      <w:pPr>
        <w:spacing w:after="0" w:line="178"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for each Selling Stockholder assume full vesting and exercise of all outstanding options to purchase common stock held by such Selling Stockholder.</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that all shares offered hereby are sold but no other securities held by Selling Stockholders are sold.</w:t>
      </w:r>
    </w:p>
    <w:p>
      <w:pPr>
        <w:spacing w:after="0" w:line="225" w:lineRule="exact"/>
        <w:rPr>
          <w:sz w:val="20"/>
          <w:szCs w:val="20"/>
          <w:color w:val="auto"/>
        </w:rPr>
      </w:pPr>
    </w:p>
    <w:p>
      <w:pPr>
        <w:ind w:right="60" w:firstLine="454"/>
        <w:spacing w:after="0" w:line="259" w:lineRule="auto"/>
        <w:rPr>
          <w:sz w:val="20"/>
          <w:szCs w:val="20"/>
          <w:color w:val="auto"/>
        </w:rPr>
      </w:pPr>
      <w:r>
        <w:rPr>
          <w:rFonts w:ascii="Arial" w:cs="Arial" w:eastAsia="Arial" w:hAnsi="Arial"/>
          <w:sz w:val="18"/>
          <w:szCs w:val="18"/>
          <w:color w:val="auto"/>
        </w:rPr>
        <w:t>The selling stockholders are our prior, current and future officers and directors (or any of their respective assigns) who have acquired or may acquire in the future shares of our common stock under the Amended and Restated 2006 Stock Option Plan, as amended. The selling stockholders may, from time to time, resell all, a portion or none of the shares of our common stock covered by this reoffer prospectus. There is no assurance that any of the selling stockholders will sell any or all of the shares offered by them under this reoffer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In this section of the prospectus, the term “selling stockholder” means and includes: (1) the persons identified above as the selling stockholders or other “eligible persons” as defined in the Plan; and (2) any of their donees, pledgees, distributees, transferees or other successors in interest who may (a) receive any of the shares of our common stock offered hereby after the date of this prospectus and (b) the offer or sale of those shares hereunder.</w:t>
      </w:r>
    </w:p>
    <w:p>
      <w:pPr>
        <w:spacing w:after="0" w:line="14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shares of our common stock offered by this prospectus may be sold from time to time directly by the selling stockholders. Alternatively, the selling stockholders may from time to time offer such shares through underwriters, brokers, dealers, agents or other intermediaries. The distribution of the common stock by the selling stockholders may be effected in one or more transactions that may take place on NYSE Amex (or another exchange or quotation system where the common stock may trade, such as the OTC Bulletin Board) (including one or more block transaction) through customary brokerage channels, either through brokers acting as agents for the selling stockholders, or through market makers, dealers or underwriters acting as principals who may resell these shares on Amex (or another exchange or quotation system where the common stock may trade, such as the OTC Bulletin Board); in privately-negotiated sales; by a combination of such methods; or by other means. These transactions may be effected at market prices prevailing at the time of sale, at prices related to such prevailing market prices or at other negotiated prices. Usual and customary or specifically negotiated brokerage fees or commissions may be paid by the selling stockholders in connection with sales of our common stock.</w:t>
      </w:r>
    </w:p>
    <w:p>
      <w:pPr>
        <w:spacing w:after="0" w:line="18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The selling stockholders may enter into hedging transactions with broker-dealers in connection with distributions of the shares or otherwise. In such transactions, broker-dealers may engage in short sales of the shares of our common stock in the course of hedging the positions they assume with the selling stockholders. The selling stockholders also may sell shares short and redeliver the shares to close out such short positions. The selling stockholders may enter into option or other transactions with broker-dealers which require the delivery to the broker-dealer of shares of our common stock. The broker-dealer may then resell or otherwise transfer such shares of common stock pursuant to this prospectus.</w:t>
      </w:r>
    </w:p>
    <w:p>
      <w:pPr>
        <w:spacing w:after="0" w:line="173"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The selling stockholders also may lend or pledge shares of our common stock to a broker-dealer. The broker-dealer may sell the shares of common stock so lent, or upon a default the broker-dealer may sell the pledged shares of common stock pursuant to this prospectus. Any securities covered by this prospectus which qualify for sale pursuant to Rule 144 may be sold under Rule 144 rather than pursuant to this prospectus. The selling stockholders have advised us that they have not entered into any agreements, understandings or arrangements with any underwriters or broker-dealers regarding the sale of their securities. There is no underwriter or coordinating brokeracting in connection with the proposed sale of shares of common stock of the selling stockholders.</w:t>
      </w:r>
    </w:p>
    <w:p>
      <w:pPr>
        <w:spacing w:after="0" w:line="15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Although the shares of common stock covered by this prospectus are not currently being underwritten, the selling stockholders or their underwriters, brokers, dealers or other agents or other intermediaries, if any, that may participate with the selling security holders in any offering or distribution of common stock may be deemed “underwriters” within the meaning of the Securities Act and any profits realized or commissions received by them may be deemed underwriting compensation thereunder.</w:t>
      </w:r>
    </w:p>
    <w:p>
      <w:pPr>
        <w:spacing w:after="0" w:line="18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Under applicable rules and regulations under the Exchange Act, any person engaged in a distribution of shares of the common stock offered hereby may not simultaneously engage in market making activities with respect to the common stock for a period of up to five days preceding such distribution. The selling stockholders will be subject to the applicable provisions of the Exchange Act and the rules and regulations promulgated thereunder, including without limitation Regulation M, which provisions may limit the timing of purchases and sales by the selling stockholders.</w:t>
      </w:r>
    </w:p>
    <w:p>
      <w:pPr>
        <w:spacing w:after="0" w:line="17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order to comply with certain state securities or blue sky laws and regulations, if applicable, the common stock offered hereby will be sold in such jurisdictions only through registered or licensed brokers or dealers. In certain states, the common stock may not be sold unless they are registered or qualified for sale in such state, or unless an exemption from registration or qualification is available and is obtained.</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Company will bear all costs, expenses and fees in connection with the registration of the common stock offered hereby. However, the selling stockholders will bear any brokerage or underwriting commissions and similar selling expenses, if any, attributable to the sale of the shares of common stock offered pursuant to this prospectus.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There can be no assurance that the selling stockholders will sell any or all of the securities offered by them hereby.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3" w:lineRule="exact"/>
        <w:rPr>
          <w:sz w:val="20"/>
          <w:szCs w:val="20"/>
          <w:color w:val="auto"/>
        </w:rPr>
      </w:pPr>
    </w:p>
    <w:p>
      <w:pPr>
        <w:ind w:right="300" w:firstLine="441"/>
        <w:spacing w:after="0" w:line="210" w:lineRule="auto"/>
        <w:rPr>
          <w:sz w:val="20"/>
          <w:szCs w:val="20"/>
          <w:color w:val="auto"/>
        </w:rPr>
      </w:pPr>
      <w:r>
        <w:rPr>
          <w:rFonts w:ascii="Arial" w:cs="Arial" w:eastAsia="Arial" w:hAnsi="Arial"/>
          <w:sz w:val="18"/>
          <w:szCs w:val="18"/>
          <w:color w:val="auto"/>
        </w:rPr>
        <w:t>The legality of the common stock to be offered hereby has been passed upon for us by Ellenoff Grossman &amp; Schole LLP, 150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New York, New York 10017.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 w:lineRule="exact"/>
        <w:rPr>
          <w:sz w:val="20"/>
          <w:szCs w:val="20"/>
          <w:color w:val="auto"/>
        </w:rPr>
      </w:pPr>
    </w:p>
    <w:p>
      <w:pPr>
        <w:ind w:right="120" w:firstLine="270"/>
        <w:spacing w:after="0" w:line="295" w:lineRule="auto"/>
        <w:rPr>
          <w:sz w:val="20"/>
          <w:szCs w:val="20"/>
          <w:color w:val="auto"/>
        </w:rPr>
      </w:pPr>
      <w:r>
        <w:rPr>
          <w:rFonts w:ascii="Arial" w:cs="Arial" w:eastAsia="Arial" w:hAnsi="Arial"/>
          <w:sz w:val="16"/>
          <w:szCs w:val="16"/>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an independent registered public accounting firm, incorporated by reference herein, and are included in reliance upon the authority of such firm as experts in accounting and auditing.</w:t>
      </w:r>
    </w:p>
    <w:p>
      <w:pPr>
        <w:spacing w:after="0" w:line="162"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read and copy, upon payment of a fee set by the SEC, any documents that we file with the SEC at its public reference room at 100 F Street, N.E., Washington, D.C. 20549. You may also call the SEC at 1-800-432-0330 for more information on the public reference rooms. Our filings are also available to the public on the Internet through the SEC’s EDGAR database and under the Investor Relations section of our website at www.vringo.com. You may access the EDGAR database at the SEC’s website at www.sec.gov.</w:t>
      </w:r>
    </w:p>
    <w:p>
      <w:pPr>
        <w:spacing w:after="0" w:line="188"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This prospectus is part of the Registration Statement that we have filed with the SEC to register the common stock offered hereby under the Securities Act. As permitted by SEC rules, this prospectus does not contain all of the information contained in the Registration Statement and accompanying exhibits and schedules that we file with the SEC. You may refer to the Registration Statement, the exhibits and schedules for more information about us and our common stock. The Registration Statement, exhibits and schedules are available at the SEC’s public reference rooms or through its EDGAR database on the Internet.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documents, together with any amendments thereof, filed with the SEC pursuant to the Securities Exchange Act of 1934, as amended, (the “Exchange Act”) are incorporated herein by reference:</w:t>
      </w:r>
    </w:p>
    <w:p>
      <w:pPr>
        <w:spacing w:after="0" w:line="170"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March 30, 2012;</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15, 2012;</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dated February 7, 2012, February 14, 2012, February 15, 2012 and March 14, 2012 and April 25, 2012;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920" w:right="120" w:hanging="453"/>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16, 2010, including any amendment or reports filed for the purpose of updating such description.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right="140" w:firstLine="441"/>
        <w:spacing w:after="0" w:line="312" w:lineRule="auto"/>
        <w:rPr>
          <w:sz w:val="20"/>
          <w:szCs w:val="20"/>
          <w:color w:val="auto"/>
        </w:rPr>
      </w:pPr>
      <w:r>
        <w:rPr>
          <w:rFonts w:ascii="Arial" w:cs="Arial" w:eastAsia="Arial" w:hAnsi="Arial"/>
          <w:sz w:val="16"/>
          <w:szCs w:val="16"/>
          <w:color w:val="auto"/>
        </w:rPr>
        <w:t>All reports and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w:t>
      </w:r>
    </w:p>
    <w:p>
      <w:pPr>
        <w:spacing w:after="0" w:line="14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part of this prospectus.</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Notwithstanding the foregoing provisions, no document, or portion of or exhibit to a document, that is “furnished” to (rather than “filed” with) the SEC shall be incorporated or deemed to be incorporated by reference in this Registration Statement.</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will provide without charge to each person to whom this prospectus is delivered, upon written or oral request of that person, a copy of all documents incorporated by reference into the Registration Statement of which this prospectus is a part, other than exhibits to those documents (unless such exhibits are specifically incorporated by reference into such documents). Requests for such documents should be directed to the Secretary, Vringo, Inc., 44 W. 28th Street, New York, New York 10003; Telephone (646) 525-4319.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following documents, together with any amendments thereof, filed with the Securities and Exchange Commission (the “SEC”) pursuant to the Securities Exchange Act of 1934, as amended, (the “Exchange Act”) are incorporated herein by reference:</w:t>
      </w:r>
    </w:p>
    <w:p>
      <w:pPr>
        <w:spacing w:after="0" w:line="170"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March 30, 2012;</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15, 2012;</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Current Reports on Form 8-K dated February 7, 2012, February 14, 2012, February 15, 2012 and March 14, 2012 and April 25, 2012; and</w:t>
      </w:r>
    </w:p>
    <w:p>
      <w:pPr>
        <w:spacing w:after="0" w:line="248" w:lineRule="exact"/>
        <w:rPr>
          <w:rFonts w:ascii="Arial" w:cs="Arial" w:eastAsia="Arial" w:hAnsi="Arial"/>
          <w:sz w:val="16"/>
          <w:szCs w:val="16"/>
          <w:color w:val="auto"/>
        </w:rPr>
      </w:pPr>
    </w:p>
    <w:p>
      <w:pPr>
        <w:ind w:left="920" w:right="80" w:hanging="453"/>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16, 2010, including any amendment or reports filed for the purpose of updating such description.</w:t>
      </w:r>
    </w:p>
    <w:p>
      <w:pPr>
        <w:spacing w:after="0" w:line="170"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All reports and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w:t>
      </w:r>
    </w:p>
    <w:p>
      <w:pPr>
        <w:spacing w:after="0" w:line="187" w:lineRule="exact"/>
        <w:rPr>
          <w:sz w:val="20"/>
          <w:szCs w:val="20"/>
          <w:color w:val="auto"/>
        </w:rPr>
      </w:pPr>
    </w:p>
    <w:p>
      <w:pPr>
        <w:ind w:right="460" w:firstLine="881"/>
        <w:spacing w:after="0" w:line="259" w:lineRule="auto"/>
        <w:rPr>
          <w:sz w:val="20"/>
          <w:szCs w:val="20"/>
          <w:color w:val="auto"/>
        </w:rPr>
      </w:pPr>
      <w:r>
        <w:rPr>
          <w:rFonts w:ascii="Arial" w:cs="Arial" w:eastAsia="Arial" w:hAnsi="Arial"/>
          <w:sz w:val="18"/>
          <w:szCs w:val="18"/>
          <w:color w:val="auto"/>
        </w:rPr>
        <w:t>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part of this prospectus.</w:t>
      </w:r>
    </w:p>
    <w:p>
      <w:pPr>
        <w:spacing w:after="0" w:line="187"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Notwithstanding the foregoing provisions, no document, or portion of or exhibit to a document, that is “furnished” to (rather than “filed” with) the SEC shall be incorporated or deemed to be incorporated by reference in this Registration Statement.</w:t>
      </w:r>
    </w:p>
    <w:p>
      <w:pPr>
        <w:spacing w:after="0" w:line="170"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We will provide without charge to each person to whom this prospectus is delivered, upon written or oral request of that person, a copy of all documents incorporated by reference into the Registration Statement of which this prospectus is a part, other than exhibits to those documents (unless such exhibits are specifically incorporated by reference into such documents). Requests for such documents should be directed to the Secretary, Vringo, Inc., 44 W. 28th Street, New York, New York 10003; Telephone (646) 525-4319.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Indemnification of Officers and Directors</w:t>
      </w:r>
    </w:p>
    <w:p>
      <w:pPr>
        <w:spacing w:after="0" w:line="22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w:t>
      </w:r>
    </w:p>
    <w:p>
      <w:pPr>
        <w:spacing w:after="0" w:line="5" w:lineRule="exact"/>
        <w:rPr>
          <w:sz w:val="20"/>
          <w:szCs w:val="20"/>
          <w:color w:val="auto"/>
        </w:rPr>
      </w:pPr>
    </w:p>
    <w:p>
      <w:pPr>
        <w:ind w:right="40" w:firstLine="8"/>
        <w:spacing w:after="0" w:line="254"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9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34"/>
        </w:trPr>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our Registration Statement on Form S-1 filed on May 18,</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filed on January 29, 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2006 Stock Option Plan, as amended (incorporated by reference from our Registration Statement on Form S-1 filing</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Ellenoff Grossman &amp; Schole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820" w:hanging="340"/>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820" w:right="100" w:hanging="340"/>
        <w:spacing w:after="0" w:line="291" w:lineRule="auto"/>
        <w:tabs>
          <w:tab w:leader="none" w:pos="1820" w:val="left"/>
        </w:tabs>
        <w:numPr>
          <w:ilvl w:val="2"/>
          <w:numId w:val="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twenty percent (20%) change in the maximum aggregate offering price set forth in the “Calculation of Registration Fee” table in the effective registration statement; and</w:t>
      </w:r>
    </w:p>
    <w:p>
      <w:pPr>
        <w:spacing w:after="0" w:line="167" w:lineRule="exact"/>
        <w:rPr>
          <w:rFonts w:ascii="Arial" w:cs="Arial" w:eastAsia="Arial" w:hAnsi="Arial"/>
          <w:sz w:val="16"/>
          <w:szCs w:val="16"/>
          <w:color w:val="auto"/>
        </w:rPr>
      </w:pPr>
    </w:p>
    <w:p>
      <w:pPr>
        <w:ind w:left="1820" w:right="180" w:hanging="340"/>
        <w:spacing w:after="0" w:line="277" w:lineRule="auto"/>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440" w:right="50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1(a)(i) and 1(a)(ii) do not apply if the registration statement is on Form S-3 or Form S-8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periodic reports filed with or furnished to the SEC by the Registrant pursuant to Section 13 or Section 15(d) of the Securities Exchange Act of 1934 that are incorporated by reference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jc w:val="both"/>
        <w:ind w:left="905" w:right="100" w:hanging="567"/>
        <w:spacing w:after="0" w:line="264" w:lineRule="auto"/>
        <w:tabs>
          <w:tab w:leader="none" w:pos="9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905" w:right="260" w:hanging="567"/>
        <w:spacing w:after="0" w:line="277" w:lineRule="auto"/>
        <w:tabs>
          <w:tab w:leader="none" w:pos="9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5" w:right="20" w:hanging="345"/>
        <w:spacing w:after="0" w:line="276" w:lineRule="auto"/>
        <w:tabs>
          <w:tab w:leader="none" w:pos="3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345" w:hanging="345"/>
        <w:spacing w:after="0" w:line="271" w:lineRule="auto"/>
        <w:tabs>
          <w:tab w:leader="none" w:pos="3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5"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5"/>
          </w:cols>
          <w:pgMar w:left="815" w:top="109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the May 16, 2012.</w:t>
      </w:r>
    </w:p>
    <w:p>
      <w:pPr>
        <w:spacing w:after="0" w:line="17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664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Andrew Perlman</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the undersigned officers and directors of Vringo, Inc., hereby severally constitute and appoint Andrew Perlman and Ellen Cohl and each or 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7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1"/>
        </w:trPr>
        <w:tc>
          <w:tcPr>
            <w:tcW w:w="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w:t>
            </w:r>
          </w:p>
        </w:tc>
        <w:tc>
          <w:tcPr>
            <w:tcW w:w="2280" w:type="dxa"/>
            <w:vAlign w:val="bottom"/>
          </w:tcPr>
          <w:p>
            <w:pPr>
              <w:spacing w:after="0"/>
              <w:rPr>
                <w:sz w:val="24"/>
                <w:szCs w:val="24"/>
                <w:color w:val="auto"/>
              </w:rPr>
            </w:pPr>
          </w:p>
        </w:tc>
      </w:tr>
      <w:tr>
        <w:trPr>
          <w:trHeight w:val="230"/>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Andrew Perlman</w:t>
            </w:r>
          </w:p>
        </w:tc>
        <w:tc>
          <w:tcPr>
            <w:tcW w:w="220" w:type="dxa"/>
            <w:vAlign w:val="bottom"/>
          </w:tcPr>
          <w:p>
            <w:pPr>
              <w:spacing w:after="0"/>
              <w:rPr>
                <w:sz w:val="20"/>
                <w:szCs w:val="20"/>
                <w:color w:val="auto"/>
              </w:rPr>
            </w:pPr>
          </w:p>
        </w:tc>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Andrew Perlman</w:t>
            </w:r>
          </w:p>
        </w:tc>
        <w:tc>
          <w:tcPr>
            <w:tcW w:w="220" w:type="dxa"/>
            <w:vAlign w:val="bottom"/>
          </w:tcPr>
          <w:p>
            <w:pPr>
              <w:spacing w:after="0"/>
              <w:rPr>
                <w:sz w:val="19"/>
                <w:szCs w:val="19"/>
                <w:color w:val="auto"/>
              </w:rPr>
            </w:pPr>
          </w:p>
        </w:tc>
        <w:tc>
          <w:tcPr>
            <w:tcW w:w="37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Ellen Cohl</w:t>
            </w:r>
          </w:p>
        </w:tc>
        <w:tc>
          <w:tcPr>
            <w:tcW w:w="220" w:type="dxa"/>
            <w:vAlign w:val="bottom"/>
          </w:tcPr>
          <w:p>
            <w:pPr>
              <w:spacing w:after="0"/>
              <w:rPr>
                <w:sz w:val="24"/>
                <w:szCs w:val="24"/>
                <w:color w:val="auto"/>
              </w:rPr>
            </w:pPr>
          </w:p>
        </w:tc>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 (principal</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Ellen Cohl</w:t>
            </w:r>
          </w:p>
        </w:tc>
        <w:tc>
          <w:tcPr>
            <w:tcW w:w="220" w:type="dxa"/>
            <w:vAlign w:val="bottom"/>
          </w:tcPr>
          <w:p>
            <w:pPr>
              <w:spacing w:after="0"/>
              <w:rPr>
                <w:sz w:val="19"/>
                <w:szCs w:val="19"/>
                <w:color w:val="auto"/>
              </w:rPr>
            </w:pPr>
          </w:p>
        </w:tc>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financial and accounting officer)</w:t>
            </w:r>
          </w:p>
        </w:tc>
        <w:tc>
          <w:tcPr>
            <w:tcW w:w="22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Seth M. Siegel</w:t>
            </w:r>
          </w:p>
        </w:tc>
        <w:tc>
          <w:tcPr>
            <w:tcW w:w="220" w:type="dxa"/>
            <w:vAlign w:val="bottom"/>
          </w:tcPr>
          <w:p>
            <w:pPr>
              <w:spacing w:after="0"/>
              <w:rPr>
                <w:sz w:val="24"/>
                <w:szCs w:val="24"/>
                <w:color w:val="auto"/>
              </w:rPr>
            </w:pPr>
          </w:p>
        </w:tc>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Seth M. Siegel</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Edo Segal</w:t>
            </w:r>
          </w:p>
        </w:tc>
        <w:tc>
          <w:tcPr>
            <w:tcW w:w="220" w:type="dxa"/>
            <w:vAlign w:val="bottom"/>
          </w:tcPr>
          <w:p>
            <w:pPr>
              <w:spacing w:after="0"/>
              <w:rPr>
                <w:sz w:val="24"/>
                <w:szCs w:val="24"/>
                <w:color w:val="auto"/>
              </w:rPr>
            </w:pPr>
          </w:p>
        </w:tc>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Philip Serlin</w:t>
            </w:r>
          </w:p>
        </w:tc>
        <w:tc>
          <w:tcPr>
            <w:tcW w:w="220" w:type="dxa"/>
            <w:vAlign w:val="bottom"/>
          </w:tcPr>
          <w:p>
            <w:pPr>
              <w:spacing w:after="0"/>
              <w:rPr>
                <w:sz w:val="24"/>
                <w:szCs w:val="24"/>
                <w:color w:val="auto"/>
              </w:rPr>
            </w:pPr>
          </w:p>
        </w:tc>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Philp Serlin</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220" w:type="dxa"/>
            <w:vAlign w:val="bottom"/>
          </w:tcPr>
          <w:p>
            <w:pPr>
              <w:spacing w:after="0"/>
              <w:rPr>
                <w:sz w:val="24"/>
                <w:szCs w:val="24"/>
                <w:color w:val="auto"/>
              </w:rPr>
            </w:pPr>
          </w:p>
        </w:tc>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Geoffrey M. Skolnik</w:t>
            </w:r>
          </w:p>
        </w:tc>
        <w:tc>
          <w:tcPr>
            <w:tcW w:w="220" w:type="dxa"/>
            <w:vAlign w:val="bottom"/>
          </w:tcPr>
          <w:p>
            <w:pPr>
              <w:spacing w:after="0"/>
              <w:rPr>
                <w:sz w:val="24"/>
                <w:szCs w:val="24"/>
                <w:color w:val="auto"/>
              </w:rPr>
            </w:pPr>
          </w:p>
        </w:tc>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May 16, 2012</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Geoffrey M. Skolnik</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jc w:val="right"/>
              <w:ind w:right="303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our Registration Statement on Form S-1 filed on May 18,</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filed on January 29, 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2006 Stock Option Plan, as amended (incorporated by reference from our Registration Statement on Form S-1 filing</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Ellenoff Grossman &amp; Schole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ELLENOFF GROSSMAN &amp; SCHOLE LLP</w:t>
      </w:r>
    </w:p>
    <w:p>
      <w:pPr>
        <w:ind w:left="4580"/>
        <w:spacing w:after="0" w:line="198" w:lineRule="auto"/>
        <w:rPr>
          <w:sz w:val="20"/>
          <w:szCs w:val="20"/>
          <w:color w:val="auto"/>
        </w:rPr>
      </w:pPr>
      <w:r>
        <w:rPr>
          <w:rFonts w:ascii="Arial" w:cs="Arial" w:eastAsia="Arial" w:hAnsi="Arial"/>
          <w:sz w:val="18"/>
          <w:szCs w:val="18"/>
          <w:color w:val="auto"/>
        </w:rPr>
        <w:t>150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Telephone: (212) 370-1300</w:t>
      </w:r>
      <w:r>
        <w:rPr>
          <w:sz w:val="20"/>
          <w:szCs w:val="20"/>
          <w:color w:val="auto"/>
        </w:rPr>
        <w:tab/>
      </w:r>
      <w:r>
        <w:rPr>
          <w:rFonts w:ascii="Arial" w:cs="Arial" w:eastAsia="Arial" w:hAnsi="Arial"/>
          <w:sz w:val="16"/>
          <w:szCs w:val="16"/>
          <w:color w:val="auto"/>
        </w:rPr>
        <w:t>Facsimile: (212) 370-7889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W. 28th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20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color w:val="auto"/>
        </w:rPr>
        <w:t>We are familiar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opinion is an exhibit, which Registration Statement is being filed by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with the Securities and Exchange Commission under the Securities Act of 1933, as amended. The Registration Statement relates to the registration of 14,139,342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Company issuable in accordance with Awards issued from time to time as the term Award is defined in and in accordance with the Company’s Amended and Restated 2006 Stock Option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arriving at the opinion expressed below, we have examined and relied on the following documents:</w:t>
      </w:r>
    </w:p>
    <w:p>
      <w:pPr>
        <w:spacing w:after="0" w:line="22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Certificate of Incorporation and Bylaws of the Company, each as amended as of the date hereof;</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Plan; and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minutes of meetings and consents of the Board of Directors of the Company provided to us by the Company.</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authenticity of all documents submitted to us as originals and the conformity to authentic original documents of all documents submitted to us as certified or photostatic copies.</w:t>
      </w:r>
    </w:p>
    <w:p>
      <w:pPr>
        <w:spacing w:after="0" w:line="15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Based upon and subject to the foregoing, it is our opinion that: (i) the Company has taken all necessary corporate action required to authorize the issuance of the Shares; and (ii) that upon receipt of the exercise price and compliance with the terms and conditions of any Awards issued in accordance with the terms of the Plan, and when certificates for the Shares have been duly executed and countersigned and delivered, the Shares will be legally issued, fully paid and non-assessable.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hereby consent to the filing of this opinion as an exhibit to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1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use of our report dated March 30, 2012, with respect to the consolidated balance sheets of Vringo, Inc. as of December 31, 2011 and 2011, and the related consolidated statements of operations, stockholders' equity (deficit) and cash flows for each of the years in the two-year period ended December 31, 2011, and for the cumulative period from January 9, 2006 (inception of operations) through December 31, 2011, incorporated herein by reference and to the reference to our firm under the heading "Experts" in the prospectus.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1190CDE7"/>
    <w:multiLevelType w:val="hybridMultilevel"/>
    <w:lvl w:ilvl="0">
      <w:lvlJc w:val="left"/>
      <w:lvlText w:val="%1"/>
      <w:numFmt w:val="decimal"/>
      <w:start w:val="1"/>
    </w:lvl>
    <w:lvl w:ilvl="1">
      <w:lvlJc w:val="left"/>
      <w:lvlText w:val="(%2)"/>
      <w:numFmt w:val="lowerLetter"/>
      <w:start w:val="2"/>
    </w:lvl>
  </w:abstractNum>
  <w:abstractNum w:abstractNumId="10">
    <w:nsid w:val="66EF438D"/>
    <w:multiLevelType w:val="hybridMultilevel"/>
    <w:lvl w:ilvl="0">
      <w:lvlJc w:val="left"/>
      <w:lvlText w:val="(%1)"/>
      <w:numFmt w:val="decimal"/>
      <w:start w:val="2"/>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2019-12-09T18:00:38Z</dcterms:created>
  <dcterms:modified xsi:type="dcterms:W3CDTF">2019-12-09T18:00:38Z</dcterms:modified>
</cp:coreProperties>
</file>