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62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Date of Report (Date of earliest event reported): November 23, 2016</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As previously disclosed in FORM Holding Corp.’s (“FORM”) final proxy statement/prospectus filed on October 28, 2016 (the “S-4 Filing”), Amiral Holdings SAS (“Amiral”), the operator of BeRelax spas, filed a complaint for breach of contract against XpresSpa Holdings, LLC (“XpresSpa”) and Mistral Capital Management LLC (“Mistral”) related to a potential strategic transaction between Amiral and XpresSpa. </w:t>
      </w:r>
      <w:r>
        <w:rPr>
          <w:rFonts w:ascii="Arial" w:cs="Arial" w:eastAsia="Arial" w:hAnsi="Arial"/>
          <w:sz w:val="16"/>
          <w:szCs w:val="16"/>
          <w:i w:val="1"/>
          <w:iCs w:val="1"/>
          <w:color w:val="auto"/>
        </w:rPr>
        <w:t>Amiral Holdings SAS v. XpresSpa Holdings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LLC et al., Supreme Court of the State of New York, County of New York </w:t>
      </w:r>
      <w:r>
        <w:rPr>
          <w:rFonts w:ascii="Arial" w:cs="Arial" w:eastAsia="Arial" w:hAnsi="Arial"/>
          <w:sz w:val="16"/>
          <w:szCs w:val="16"/>
          <w:color w:val="auto"/>
        </w:rPr>
        <w:t>(Index No. 654051/2016). Additional details related to the case can be found in</w:t>
      </w:r>
      <w:r>
        <w:rPr>
          <w:rFonts w:ascii="Arial" w:cs="Arial" w:eastAsia="Arial" w:hAnsi="Arial"/>
          <w:sz w:val="16"/>
          <w:szCs w:val="16"/>
          <w:i w:val="1"/>
          <w:iCs w:val="1"/>
          <w:color w:val="auto"/>
        </w:rPr>
        <w:t xml:space="preserve"> </w:t>
      </w:r>
      <w:r>
        <w:rPr>
          <w:rFonts w:ascii="Arial" w:cs="Arial" w:eastAsia="Arial" w:hAnsi="Arial"/>
          <w:sz w:val="16"/>
          <w:szCs w:val="16"/>
          <w:color w:val="auto"/>
        </w:rPr>
        <w:t>FORM’s S-4 Filing under the heading “Risk Factors— Litigation has been instituted challenging the Merger and adverse judgments in this lawsuit (and any other lawsuits that may be instituted challenging the Merger) may prevent the Merger from becoming effective within the expected timeframe or at all.”</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October 4, 2016, Amiral filed a motion for a preliminary injunction. A hearing on the preliminary injunction motion was held on November 18, 2016 and the court denied Amiral’s motion.</w:t>
      </w:r>
    </w:p>
    <w:p>
      <w:pPr>
        <w:spacing w:after="0" w:line="174" w:lineRule="exact"/>
        <w:rPr>
          <w:sz w:val="20"/>
          <w:szCs w:val="20"/>
          <w:color w:val="auto"/>
        </w:rPr>
      </w:pPr>
    </w:p>
    <w:p>
      <w:pPr>
        <w:ind w:right="100" w:firstLine="648"/>
        <w:spacing w:after="0" w:line="227" w:lineRule="auto"/>
        <w:rPr>
          <w:sz w:val="20"/>
          <w:szCs w:val="20"/>
          <w:color w:val="auto"/>
        </w:rPr>
      </w:pPr>
      <w:r>
        <w:rPr>
          <w:rFonts w:ascii="Arial" w:cs="Arial" w:eastAsia="Arial" w:hAnsi="Arial"/>
          <w:sz w:val="18"/>
          <w:szCs w:val="18"/>
          <w:color w:val="auto"/>
        </w:rPr>
        <w:t>Amiral appealed the court’s decision and on November 23, 2016, the Supreme Court of the State of New York, Appellate Division,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Department (the “Appellate Division”) issued a Temporary Restraining Order enjoining XpresSpa and Mistral from closing the proposed merger with FORM (the “Merger”) until an appeal of the Supreme Court’s decision is heard. The appeal will be briefed and a five judge appellate panel is expected to decide whether to uphold or overturn the Supreme Court’s decision no later than December 13, 2016.</w:t>
      </w:r>
    </w:p>
    <w:p>
      <w:pPr>
        <w:spacing w:after="0" w:line="20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FORM will be holding its annual meeting of stockholders to, among other things, approve the Merger on November 28, 2016. Assuming that the stockholders approve the Merger and assuming that the Appellate Division decides to uphold the Supreme Court’s decision, FORM currently plans to close the Merger as soon as practicable after a favorable decision by the Appellate Division.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Merger,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165" w:lineRule="exact"/>
        <w:rPr>
          <w:sz w:val="20"/>
          <w:szCs w:val="20"/>
          <w:color w:val="auto"/>
        </w:rPr>
      </w:pPr>
    </w:p>
    <w:p>
      <w:pPr>
        <w:jc w:val="both"/>
        <w:ind w:right="740" w:firstLine="648"/>
        <w:spacing w:after="0" w:line="342" w:lineRule="auto"/>
        <w:rPr>
          <w:sz w:val="20"/>
          <w:szCs w:val="20"/>
          <w:color w:val="auto"/>
        </w:rPr>
      </w:pPr>
      <w:r>
        <w:rPr>
          <w:rFonts w:ascii="Arial" w:cs="Arial" w:eastAsia="Arial" w:hAnsi="Arial"/>
          <w:sz w:val="16"/>
          <w:szCs w:val="16"/>
          <w:color w:val="auto"/>
        </w:rPr>
        <w:t>Investors and security holders of FORM are able to obtain free copies of the proxy statement/prospectus for the proposed Merger and other documents filed with the Securities and Exchange Commission (the “SEC”) by FORM through the website maintained by the SEC at www.sec.gov.</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the potential impact on FORM’s common stock if FORM determines to repay the preferred stock to be issued in connection with the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17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November 25, 2016</w:t>
            </w:r>
          </w:p>
        </w:tc>
        <w:tc>
          <w:tcPr>
            <w:tcW w:w="7740" w:type="dxa"/>
            <w:vAlign w:val="bottom"/>
            <w:gridSpan w:val="3"/>
          </w:tcPr>
          <w:p>
            <w:pPr>
              <w:ind w:left="1700"/>
              <w:spacing w:after="0"/>
              <w:rPr>
                <w:sz w:val="20"/>
                <w:szCs w:val="20"/>
                <w:color w:val="auto"/>
              </w:rPr>
            </w:pPr>
            <w:r>
              <w:rPr>
                <w:rFonts w:ascii="Arial" w:cs="Arial" w:eastAsia="Arial" w:hAnsi="Arial"/>
                <w:sz w:val="18"/>
                <w:szCs w:val="18"/>
                <w:color w:val="auto"/>
              </w:rPr>
              <w:t>By: /s/ Andrew D. Perlman</w:t>
            </w:r>
          </w:p>
        </w:tc>
      </w:tr>
      <w:tr>
        <w:trPr>
          <w:trHeight w:val="195"/>
        </w:trPr>
        <w:tc>
          <w:tcPr>
            <w:tcW w:w="3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2019-12-08T15:06:37Z</dcterms:created>
  <dcterms:modified xsi:type="dcterms:W3CDTF">2019-12-08T15:06:37Z</dcterms:modified>
</cp:coreProperties>
</file>