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xwel-20260630x10q.htm"/>
        <w:bookmarkStart w:id="1" w:name="ksxwel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7bcb78b_4b98_4b1a_a635_247d0b373659"/>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XWELL,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SAKliihxGEKpaY9eG04h5g_5_2"/>
      <w:bookmarkStart w:id="4" w:name="Tc_8Pm6voJW50ynoewdv-DP_A_5_0"/>
      <w:bookmarkStart w:id="5" w:name="Tc_uJvFDGjOT0KAJIseN9uTPA_4_0"/>
      <w:bookmarkStart w:id="6" w:name="Tc_hFLAp7_QzEOYLE7MmR-kMQ_2_2"/>
      <w:bookmarkStart w:id="7" w:name="Tc__zkRlg6HEkC82cFKhv4mbg_2_0"/>
      <w:bookmarkStart w:id="8" w:name="_1670dc7f_3967_438e_b623_59a3f2a41dfd"/>
      <w:bookmarkStart w:id="9" w:name="Tc_SAKliihxGEKpaY9eG04h5g_5_2"/>
      <w:bookmarkStart w:id="10" w:name="Tc_8Pm6voJW50ynoewdv-DP_A_5_0"/>
      <w:bookmarkStart w:id="11" w:name="Tc_uJvFDGjOT0KAJIseN9uTPA_4_0"/>
      <w:bookmarkStart w:id="12" w:name="Tc_hFLAp7_QzEOYLE7MmR-kMQ_2_2"/>
      <w:bookmarkStart w:id="13" w:name="Tc__zkRlg6HEkC82cFKhv4mbg_2_0"/>
      <w:bookmarkStart w:id="14" w:name="_1670dc7f_3967_438e_b623_59a3f2a41dfd"/>
      <w:bookmarkEnd w:id="9"/>
      <w:bookmarkEnd w:id="10"/>
      <w:bookmarkEnd w:id="11"/>
      <w:bookmarkEnd w:id="12"/>
      <w:bookmarkEnd w:id="13"/>
      <w:bookmarkEnd w:id="14"/>
    </w:p>
    <w:tbl>
      <w:tblPr>
        <w:tblW w:w="5878" w:type="dxa"/>
        <w:jc w:val="left"/>
        <w:tblInd w:w="0" w:type="dxa"/>
        <w:tblLayout w:type="fixed"/>
        <w:tblCellMar>
          <w:top w:w="0" w:type="dxa"/>
          <w:left w:w="0" w:type="dxa"/>
          <w:bottom w:w="0" w:type="dxa"/>
          <w:right w:w="0" w:type="dxa"/>
        </w:tblCellMar>
      </w:tblPr>
      <w:tblGrid>
        <w:gridCol w:w="4081"/>
        <w:gridCol w:w="146"/>
        <w:gridCol w:w="165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20-4988129</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254 West 31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11th Floor, New York, NY</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10001</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bHMVY07jHE-04Jl0gqFJKw_2_4"/>
      <w:bookmarkStart w:id="16" w:name="Tc_We9Nvu2EBk6Vj6YG7dZRHw_1_4"/>
      <w:bookmarkStart w:id="17" w:name="Tc_xtJhHdWTyEev4QXqL_6Hmw_1_2"/>
      <w:bookmarkStart w:id="18" w:name="Tc_ZF_IAvWHEU6vTRsH9_Ni0w_1_0"/>
      <w:bookmarkStart w:id="19" w:name="_2b7c7af7_3bda_434d_a88c_b37f3b56b004"/>
      <w:bookmarkStart w:id="20" w:name="Tc_bHMVY07jHE-04Jl0gqFJKw_2_4"/>
      <w:bookmarkStart w:id="21" w:name="Tc_We9Nvu2EBk6Vj6YG7dZRHw_1_4"/>
      <w:bookmarkStart w:id="22" w:name="Tc_xtJhHdWTyEev4QXqL_6Hmw_1_2"/>
      <w:bookmarkStart w:id="23" w:name="Tc_ZF_IAvWHEU6vTRsH9_Ni0w_1_0"/>
      <w:bookmarkStart w:id="24" w:name="_2b7c7af7_3bda_434d_a88c_b37f3b56b004"/>
      <w:bookmarkEnd w:id="20"/>
      <w:bookmarkEnd w:id="21"/>
      <w:bookmarkEnd w:id="22"/>
      <w:bookmarkEnd w:id="23"/>
      <w:bookmarkEnd w:id="24"/>
    </w:p>
    <w:tbl>
      <w:tblPr>
        <w:tblW w:w="9710" w:type="dxa"/>
        <w:jc w:val="left"/>
        <w:tblInd w:w="0" w:type="dxa"/>
        <w:tblLayout w:type="fixed"/>
        <w:tblCellMar>
          <w:top w:w="0" w:type="dxa"/>
          <w:left w:w="0" w:type="dxa"/>
          <w:bottom w:w="0" w:type="dxa"/>
          <w:right w:w="0" w:type="dxa"/>
        </w:tblCellMar>
      </w:tblPr>
      <w:tblGrid>
        <w:gridCol w:w="3496"/>
        <w:gridCol w:w="346"/>
        <w:gridCol w:w="1696"/>
        <w:gridCol w:w="34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vAlign w:val="center"/>
          </w:tcPr>
          <w:p>
            <w:pPr>
              <w:pStyle w:val="TableContents"/>
              <w:bidi w:val="0"/>
              <w:spacing w:before="0" w:after="0"/>
              <w:ind w:left="0" w:right="0" w:hanging="0"/>
              <w:jc w:val="center"/>
              <w:rPr/>
            </w:pPr>
            <w:r>
              <w:rPr/>
              <w:t>  ​ ​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4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XWEL</w:t>
            </w:r>
          </w:p>
        </w:tc>
        <w:tc>
          <w:tcPr>
            <w:tcW w:w="34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6nOPjJSPP0e7UGYI2AK4uQ_2_2"/>
      <w:bookmarkStart w:id="26" w:name="Tc_k5QKtOgpdE-lE5hUZ8ZAng_1_2"/>
      <w:bookmarkStart w:id="27" w:name="Tc_vbSNgn_fkkuo4e78vTaoIw_1_1"/>
      <w:bookmarkStart w:id="28" w:name="Tc_A92Ec8Cqp0iIiNEAmn4-hA_0_3"/>
      <w:bookmarkStart w:id="29" w:name="Tc_uEKxL09-RUai1LVWBY8qGA_0_2"/>
      <w:bookmarkStart w:id="30" w:name="Tc_u1yEjI5ZJUelwlHrCH3pOA_0_1"/>
      <w:bookmarkStart w:id="31" w:name="Tc_39J0DL4whk-owVvZP2HbUQ_0_0"/>
      <w:bookmarkStart w:id="32" w:name="_856ccd18_83af_422a_8199_4e911668d10e"/>
      <w:bookmarkStart w:id="33" w:name="Tc_6nOPjJSPP0e7UGYI2AK4uQ_2_2"/>
      <w:bookmarkStart w:id="34" w:name="Tc_k5QKtOgpdE-lE5hUZ8ZAng_1_2"/>
      <w:bookmarkStart w:id="35" w:name="Tc_vbSNgn_fkkuo4e78vTaoIw_1_1"/>
      <w:bookmarkStart w:id="36" w:name="Tc_A92Ec8Cqp0iIiNEAmn4-hA_0_3"/>
      <w:bookmarkStart w:id="37" w:name="Tc_uEKxL09-RUai1LVWBY8qGA_0_2"/>
      <w:bookmarkStart w:id="38" w:name="Tc_u1yEjI5ZJUelwlHrCH3pOA_0_1"/>
      <w:bookmarkStart w:id="39" w:name="Tc_39J0DL4whk-owVvZP2HbUQ_0_0"/>
      <w:bookmarkStart w:id="40" w:name="_856ccd18_83af_422a_8199_4e911668d10e"/>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18"/>
        </w:rPr>
      </w:pPr>
      <w:r>
        <w:rPr>
          <w:rFonts w:ascii="Times New Roman;Times;serif" w:hAnsi="Times New Roman;Times;serif"/>
          <w:sz w:val="20"/>
        </w:rPr>
        <w:t>As of August 10, 2026, 8,589,266</w:t>
      </w:r>
      <w:r>
        <w:rPr>
          <w:rFonts w:ascii="Times New Roman;Times;serif" w:hAnsi="Times New Roman;Times;serif"/>
          <w:sz w:val="18"/>
        </w:rPr>
        <w:t xml:space="preserve"> </w:t>
      </w:r>
      <w:r>
        <w:rPr>
          <w:rFonts w:ascii="Times New Roman;Times;serif" w:hAnsi="Times New Roman;Times;serif"/>
          <w:sz w:val="20"/>
        </w:rPr>
        <w:t>shares of the registrant’s common stock were outstanding.</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29c82db2_691d_4386_bf75_b297f6468d20"/>
      <w:bookmarkEnd w:id="41"/>
      <w:r>
        <w:rPr>
          <w:rFonts w:ascii="Times New Roman;Times;serif" w:hAnsi="Times New Roman;Times;serif"/>
          <w:b/>
          <w:sz w:val="20"/>
        </w:rPr>
        <w:t>XWELL, Inc. and Subsidiaries</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9034" w:type="dxa"/>
        <w:jc w:val="left"/>
        <w:tblInd w:w="0" w:type="dxa"/>
        <w:tblLayout w:type="fixed"/>
        <w:tblCellMar>
          <w:top w:w="0" w:type="dxa"/>
          <w:left w:w="0" w:type="dxa"/>
          <w:bottom w:w="0" w:type="dxa"/>
          <w:right w:w="0" w:type="dxa"/>
        </w:tblCellMar>
      </w:tblPr>
      <w:tblGrid>
        <w:gridCol w:w="811"/>
        <w:gridCol w:w="7366"/>
        <w:gridCol w:w="34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36580">
              <w:r>
                <w:rPr>
                  <w:rStyle w:val="InternetLink"/>
                  <w:rFonts w:ascii="Times New Roman;Times;serif" w:hAnsi="Times New Roman;Times;serif"/>
                  <w:b w:val="false"/>
                  <w:i w:val="false"/>
                  <w:caps w:val="false"/>
                  <w:smallCaps w:val="false"/>
                  <w:sz w:val="20"/>
                </w:rPr>
                <w:t>PART I. FINANCIAL INFORMATION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90261">
              <w:r>
                <w:rPr>
                  <w:rStyle w:val="InternetLink"/>
                  <w:rFonts w:ascii="Times New Roman;Times;serif" w:hAnsi="Times New Roman;Times;serif"/>
                  <w:b w:val="false"/>
                  <w:i w:val="false"/>
                  <w:caps w:val="false"/>
                  <w:smallCaps w:val="false"/>
                  <w:sz w:val="20"/>
                </w:rPr>
                <w:t>PART II. OTHER INFORMATION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 w:name="PARTIFINANCIALINFORMATION_936580"/>
      <w:bookmarkStart w:id="44" w:name="_8054580e_48a7_4aa3_8c9d_6a32939641bc"/>
      <w:bookmarkEnd w:id="43"/>
      <w:bookmarkEnd w:id="4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5" w:name="Item1ConsolidatedCondensedFinancialState"/>
      <w:bookmarkEnd w:id="45"/>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Normal"/>
        <w:bidi w:val="0"/>
        <w:spacing w:before="0" w:after="0"/>
        <w:jc w:val="left"/>
        <w:rPr>
          <w:sz w:val="4"/>
          <w:szCs w:val="4"/>
        </w:rPr>
      </w:pPr>
      <w:r>
        <w:rPr>
          <w:sz w:val="4"/>
          <w:szCs w:val="4"/>
        </w:rPr>
      </w:r>
      <w:bookmarkStart w:id="46" w:name="Tc_oPvZI6k38kO1VwbVf5KzBw_44_5"/>
      <w:bookmarkStart w:id="47" w:name="Tc_BFedipJvpEqtIGmBa96O-w_44_2"/>
      <w:bookmarkStart w:id="48" w:name="Tc_MLeNI3_dSkK7kHr2FU1rnw_44_0"/>
      <w:bookmarkStart w:id="49" w:name="Tc_itxx87vKhUCRHAM7_ojzgg_43_0"/>
      <w:bookmarkStart w:id="50" w:name="Tc_d8fMDN3M2USPQYjGS07Klg_42_0"/>
      <w:bookmarkStart w:id="51" w:name="Tc_Els7dynDcEKU0cVW4r5xQg_41_0"/>
      <w:bookmarkStart w:id="52" w:name="Tc_mvJwj2sz-0mGtnBYs2BxkQ_40_0"/>
      <w:bookmarkStart w:id="53" w:name="Tc_bl0-zNxgIk2TP-_a4yTdgA_39_0"/>
      <w:bookmarkStart w:id="54" w:name="Tc_GX0-4nKCeUWkQJZbqK4e5A_38_0"/>
      <w:bookmarkStart w:id="55" w:name="Tc_HMb_gZ_CG0eaSRmDMO1pmQ_37_0"/>
      <w:bookmarkStart w:id="56" w:name="Tc_MjhNu3i320yoHIzrZ9t-Xg_36_6"/>
      <w:bookmarkStart w:id="57" w:name="Tc_sXHQxG7FxUeHJbA4CnMIoQ_36_3"/>
      <w:bookmarkStart w:id="58" w:name="Tc_R35v6MmYckKRYUS9jOQaEA_36_0"/>
      <w:bookmarkStart w:id="59" w:name="Tc_CV0b1XzTsEWtSyzO4yXX7g_35_0"/>
      <w:bookmarkStart w:id="60" w:name="Tc_qlCTt1CNdE2IElrwOf26fw_34_0"/>
      <w:bookmarkStart w:id="61" w:name="Tc_lQTusfTCX0qMXsMngTLQqQ_33_0"/>
      <w:bookmarkStart w:id="62" w:name="Tc_yIB_HD72RE6b9-oWzovHOA_32_0"/>
      <w:bookmarkStart w:id="63" w:name="Tc_kOK8tNqUH0uB_BKLnEhc3g_31_0"/>
      <w:bookmarkStart w:id="64" w:name="Tc_E-swSci5FU6SaYnKSXL3oA_30_0"/>
      <w:bookmarkStart w:id="65" w:name="Tc_qkVkOkpo1UCJYW_R-L0MDA_29_3"/>
      <w:bookmarkStart w:id="66" w:name="Tc_VZJsSiNkkkGJqAxDUpC7lg_29_0"/>
      <w:bookmarkStart w:id="67" w:name="Tc_YUT-tLQHLkCvV1ToVZspOg_28_0"/>
      <w:bookmarkStart w:id="68" w:name="Tc_qjgJ11azaEudMYYM8W_d8A_26_0"/>
      <w:bookmarkStart w:id="69" w:name="Tc_SbeJuCMTokufZ-jMFUIFKQ_25_3"/>
      <w:bookmarkStart w:id="70" w:name="Tc_jTMFJft2jEiyRxbsSsq8bw_25_0"/>
      <w:bookmarkStart w:id="71" w:name="Tc_7h7XQUGApkau0jJP3QEJTA_24_0"/>
      <w:bookmarkStart w:id="72" w:name="Tc_ZOq-kqyEMUuVY4r9F_RSgg_23_0"/>
      <w:bookmarkStart w:id="73" w:name="Tc_r_kTuC4lKU6Gvz5SHokAQQ_22_3"/>
      <w:bookmarkStart w:id="74" w:name="Tc_g8fgxraE6kygqk01K5muvg_22_0"/>
      <w:bookmarkStart w:id="75" w:name="Tc_CbKaYc7mJU2wEQs9MOMrlA_21_0"/>
      <w:bookmarkStart w:id="76" w:name="Tc_3OMIQbQFVEe_CFnAOGMbtg_20_5"/>
      <w:bookmarkStart w:id="77" w:name="Tc_ZocwGxqj00-Me95VOOL-MQ_20_2"/>
      <w:bookmarkStart w:id="78" w:name="Tc_el7h59rVKE-OQUOF-3iceQ_20_0"/>
      <w:bookmarkStart w:id="79" w:name="Tc_NJ6YoxX8n0ahbSbfT9OD7w_19_0"/>
      <w:bookmarkStart w:id="80" w:name="Tc_SGVaX7c8YUmpNo9LsXMPWQ_17_5"/>
      <w:bookmarkStart w:id="81" w:name="Tc_eFqnDzUJFEKDLZ8rqdIUsg_17_2"/>
      <w:bookmarkStart w:id="82" w:name="Tc_OBGlXnjMjUG80uuPXppqtQ_17_0"/>
      <w:bookmarkStart w:id="83" w:name="Tc_AD5RgB-b4E2pcjCQ-rymBw_16_0"/>
      <w:bookmarkStart w:id="84" w:name="Tc_TAG-zznakEmPON4EpwHbVA_15_0"/>
      <w:bookmarkStart w:id="85" w:name="Tc_NetoUJDcx0i6Fl7JBK4XcA_14_0"/>
      <w:bookmarkStart w:id="86" w:name="Tc_GJ8tS0YcwUKVRmpdAM0y7w_13_0"/>
      <w:bookmarkStart w:id="87" w:name="Tc_Cv2_gJZ0TUqf0uJW4LpVFA_12_0"/>
      <w:bookmarkStart w:id="88" w:name="Tc_uL_Cdb2xFkW20Sd0AfLi5A_11_0"/>
      <w:bookmarkStart w:id="89" w:name="Tc_ukRTfcPW00GKYvtf6L6JiQ_9_0"/>
      <w:bookmarkStart w:id="90" w:name="Tc_q48CbGvGukSY8EfGOQepMQ_8_0"/>
      <w:bookmarkStart w:id="91" w:name="Tc_yJcfZNUX7U-cWW0T-yKIaw_7_0"/>
      <w:bookmarkStart w:id="92" w:name="Tc_kix6ZVZWPka2ibZfADU_dQ_6_0"/>
      <w:bookmarkStart w:id="93" w:name="Tc_ls0A62YU0ESNy7soUWmZHQ_5_3"/>
      <w:bookmarkStart w:id="94" w:name="Tc_2iYMpU_KwEm92el6ncCt5g_5_0"/>
      <w:bookmarkStart w:id="95" w:name="Tc_u5IuGZ6AxE-cFAhihTUCNQ_4_5"/>
      <w:bookmarkStart w:id="96" w:name="Tc_3f3wR9oqXUO0AYQQqZ5ZQg_4_2"/>
      <w:bookmarkStart w:id="97" w:name="Tc_4odD206XlEORCv8hXASuDg_4_0"/>
      <w:bookmarkStart w:id="98" w:name="Tc_RCWyWsXcnEWVTKktHCGniw_3_0"/>
      <w:bookmarkStart w:id="99" w:name="Tc_Kf-TD5TXAkiiQG_NEVlOUw_2_5"/>
      <w:bookmarkStart w:id="100" w:name="Tc_O5ziBYngDk-1CYVnxwy25w_2_2"/>
      <w:bookmarkStart w:id="101" w:name="Tc_SLJ0z-14Z0-tetdsD3MT2Q_1_5"/>
      <w:bookmarkStart w:id="102" w:name="Tc_IiCs0W0fK0qiAHz8gSGWpA_1_2"/>
      <w:bookmarkStart w:id="103" w:name="_1b64d133_a76f_429e_bc3a_50d5ab4644a0"/>
      <w:bookmarkStart w:id="104" w:name="Tc_oPvZI6k38kO1VwbVf5KzBw_44_5"/>
      <w:bookmarkStart w:id="105" w:name="Tc_BFedipJvpEqtIGmBa96O-w_44_2"/>
      <w:bookmarkStart w:id="106" w:name="Tc_MLeNI3_dSkK7kHr2FU1rnw_44_0"/>
      <w:bookmarkStart w:id="107" w:name="Tc_itxx87vKhUCRHAM7_ojzgg_43_0"/>
      <w:bookmarkStart w:id="108" w:name="Tc_d8fMDN3M2USPQYjGS07Klg_42_0"/>
      <w:bookmarkStart w:id="109" w:name="Tc_Els7dynDcEKU0cVW4r5xQg_41_0"/>
      <w:bookmarkStart w:id="110" w:name="Tc_mvJwj2sz-0mGtnBYs2BxkQ_40_0"/>
      <w:bookmarkStart w:id="111" w:name="Tc_bl0-zNxgIk2TP-_a4yTdgA_39_0"/>
      <w:bookmarkStart w:id="112" w:name="Tc_GX0-4nKCeUWkQJZbqK4e5A_38_0"/>
      <w:bookmarkStart w:id="113" w:name="Tc_HMb_gZ_CG0eaSRmDMO1pmQ_37_0"/>
      <w:bookmarkStart w:id="114" w:name="Tc_MjhNu3i320yoHIzrZ9t-Xg_36_6"/>
      <w:bookmarkStart w:id="115" w:name="Tc_sXHQxG7FxUeHJbA4CnMIoQ_36_3"/>
      <w:bookmarkStart w:id="116" w:name="Tc_R35v6MmYckKRYUS9jOQaEA_36_0"/>
      <w:bookmarkStart w:id="117" w:name="Tc_CV0b1XzTsEWtSyzO4yXX7g_35_0"/>
      <w:bookmarkStart w:id="118" w:name="Tc_qlCTt1CNdE2IElrwOf26fw_34_0"/>
      <w:bookmarkStart w:id="119" w:name="Tc_lQTusfTCX0qMXsMngTLQqQ_33_0"/>
      <w:bookmarkStart w:id="120" w:name="Tc_yIB_HD72RE6b9-oWzovHOA_32_0"/>
      <w:bookmarkStart w:id="121" w:name="Tc_kOK8tNqUH0uB_BKLnEhc3g_31_0"/>
      <w:bookmarkStart w:id="122" w:name="Tc_E-swSci5FU6SaYnKSXL3oA_30_0"/>
      <w:bookmarkStart w:id="123" w:name="Tc_qkVkOkpo1UCJYW_R-L0MDA_29_3"/>
      <w:bookmarkStart w:id="124" w:name="Tc_VZJsSiNkkkGJqAxDUpC7lg_29_0"/>
      <w:bookmarkStart w:id="125" w:name="Tc_YUT-tLQHLkCvV1ToVZspOg_28_0"/>
      <w:bookmarkStart w:id="126" w:name="Tc_qjgJ11azaEudMYYM8W_d8A_26_0"/>
      <w:bookmarkStart w:id="127" w:name="Tc_SbeJuCMTokufZ-jMFUIFKQ_25_3"/>
      <w:bookmarkStart w:id="128" w:name="Tc_jTMFJft2jEiyRxbsSsq8bw_25_0"/>
      <w:bookmarkStart w:id="129" w:name="Tc_7h7XQUGApkau0jJP3QEJTA_24_0"/>
      <w:bookmarkStart w:id="130" w:name="Tc_ZOq-kqyEMUuVY4r9F_RSgg_23_0"/>
      <w:bookmarkStart w:id="131" w:name="Tc_r_kTuC4lKU6Gvz5SHokAQQ_22_3"/>
      <w:bookmarkStart w:id="132" w:name="Tc_g8fgxraE6kygqk01K5muvg_22_0"/>
      <w:bookmarkStart w:id="133" w:name="Tc_CbKaYc7mJU2wEQs9MOMrlA_21_0"/>
      <w:bookmarkStart w:id="134" w:name="Tc_3OMIQbQFVEe_CFnAOGMbtg_20_5"/>
      <w:bookmarkStart w:id="135" w:name="Tc_ZocwGxqj00-Me95VOOL-MQ_20_2"/>
      <w:bookmarkStart w:id="136" w:name="Tc_el7h59rVKE-OQUOF-3iceQ_20_0"/>
      <w:bookmarkStart w:id="137" w:name="Tc_NJ6YoxX8n0ahbSbfT9OD7w_19_0"/>
      <w:bookmarkStart w:id="138" w:name="Tc_SGVaX7c8YUmpNo9LsXMPWQ_17_5"/>
      <w:bookmarkStart w:id="139" w:name="Tc_eFqnDzUJFEKDLZ8rqdIUsg_17_2"/>
      <w:bookmarkStart w:id="140" w:name="Tc_OBGlXnjMjUG80uuPXppqtQ_17_0"/>
      <w:bookmarkStart w:id="141" w:name="Tc_AD5RgB-b4E2pcjCQ-rymBw_16_0"/>
      <w:bookmarkStart w:id="142" w:name="Tc_TAG-zznakEmPON4EpwHbVA_15_0"/>
      <w:bookmarkStart w:id="143" w:name="Tc_NetoUJDcx0i6Fl7JBK4XcA_14_0"/>
      <w:bookmarkStart w:id="144" w:name="Tc_GJ8tS0YcwUKVRmpdAM0y7w_13_0"/>
      <w:bookmarkStart w:id="145" w:name="Tc_Cv2_gJZ0TUqf0uJW4LpVFA_12_0"/>
      <w:bookmarkStart w:id="146" w:name="Tc_uL_Cdb2xFkW20Sd0AfLi5A_11_0"/>
      <w:bookmarkStart w:id="147" w:name="Tc_ukRTfcPW00GKYvtf6L6JiQ_9_0"/>
      <w:bookmarkStart w:id="148" w:name="Tc_q48CbGvGukSY8EfGOQepMQ_8_0"/>
      <w:bookmarkStart w:id="149" w:name="Tc_yJcfZNUX7U-cWW0T-yKIaw_7_0"/>
      <w:bookmarkStart w:id="150" w:name="Tc_kix6ZVZWPka2ibZfADU_dQ_6_0"/>
      <w:bookmarkStart w:id="151" w:name="Tc_ls0A62YU0ESNy7soUWmZHQ_5_3"/>
      <w:bookmarkStart w:id="152" w:name="Tc_2iYMpU_KwEm92el6ncCt5g_5_0"/>
      <w:bookmarkStart w:id="153" w:name="Tc_u5IuGZ6AxE-cFAhihTUCNQ_4_5"/>
      <w:bookmarkStart w:id="154" w:name="Tc_3f3wR9oqXUO0AYQQqZ5ZQg_4_2"/>
      <w:bookmarkStart w:id="155" w:name="Tc_4odD206XlEORCv8hXASuDg_4_0"/>
      <w:bookmarkStart w:id="156" w:name="Tc_RCWyWsXcnEWVTKktHCGniw_3_0"/>
      <w:bookmarkStart w:id="157" w:name="Tc_Kf-TD5TXAkiiQG_NEVlOUw_2_5"/>
      <w:bookmarkStart w:id="158" w:name="Tc_O5ziBYngDk-1CYVnxwy25w_2_2"/>
      <w:bookmarkStart w:id="159" w:name="Tc_SLJ0z-14Z0-tetdsD3MT2Q_1_5"/>
      <w:bookmarkStart w:id="160" w:name="Tc_IiCs0W0fK0qiAHz8gSGWpA_1_2"/>
      <w:bookmarkStart w:id="161" w:name="_1b64d133_a76f_429e_bc3a_50d5ab4644a0"/>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tbl>
      <w:tblPr>
        <w:tblW w:w="10205" w:type="dxa"/>
        <w:jc w:val="left"/>
        <w:tblInd w:w="0" w:type="dxa"/>
        <w:tblLayout w:type="fixed"/>
        <w:tblCellMar>
          <w:top w:w="0" w:type="dxa"/>
          <w:left w:w="0" w:type="dxa"/>
          <w:bottom w:w="0" w:type="dxa"/>
          <w:right w:w="0" w:type="dxa"/>
        </w:tblCellMar>
      </w:tblPr>
      <w:tblGrid>
        <w:gridCol w:w="7669"/>
        <w:gridCol w:w="346"/>
        <w:gridCol w:w="181"/>
        <w:gridCol w:w="664"/>
        <w:gridCol w:w="346"/>
        <w:gridCol w:w="206"/>
        <w:gridCol w:w="793"/>
      </w:tblGrid>
      <w:tr>
        <w:trPr/>
        <w:tc>
          <w:tcPr>
            <w:tcW w:w="7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69815" cy="175260"/>
                      <wp:effectExtent l="0" t="0" r="0" b="0"/>
                      <wp:wrapNone/>
                      <wp:docPr id="1" name="Frame1"/>
                      <a:graphic xmlns:a="http://schemas.openxmlformats.org/drawingml/2006/main">
                        <a:graphicData uri="http://schemas.microsoft.com/office/word/2010/wordprocessingShape">
                          <wps:wsp>
                            <wps:cNvSpPr txBox="1"/>
                            <wps:spPr>
                              <a:xfrm>
                                <a:off x="0" y="0"/>
                                <a:ext cx="4869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4935" cy="175260"/>
                      <wp:effectExtent l="0" t="0" r="0" b="0"/>
                      <wp:wrapNone/>
                      <wp:docPr id="3" name="Frame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1640" cy="175260"/>
                      <wp:effectExtent l="0" t="0" r="0" b="0"/>
                      <wp:wrapNone/>
                      <wp:docPr id="4" name="Frame4"/>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0810" cy="175260"/>
                      <wp:effectExtent l="0" t="0" r="0" b="0"/>
                      <wp:wrapNone/>
                      <wp:docPr id="6" name="Frame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03555" cy="175260"/>
                      <wp:effectExtent l="0" t="0" r="0" b="0"/>
                      <wp:wrapNone/>
                      <wp:docPr id="7" name="Frame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4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June 30, </w:t>
            </w:r>
          </w:p>
        </w:tc>
        <w:tc>
          <w:tcPr>
            <w:tcW w:w="346" w:type="dxa"/>
            <w:tcBorders/>
            <w:vAlign w:val="center"/>
          </w:tcPr>
          <w:p>
            <w:pPr>
              <w:pStyle w:val="TableContents"/>
              <w:bidi w:val="0"/>
              <w:spacing w:before="0" w:after="1"/>
              <w:ind w:left="0" w:right="0" w:hanging="0"/>
              <w:jc w:val="center"/>
              <w:rPr/>
            </w:pPr>
            <w:r>
              <w:rPr/>
              <w:t>  ​ ​ ​</w:t>
            </w:r>
          </w:p>
        </w:tc>
        <w:tc>
          <w:tcPr>
            <w:tcW w:w="99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w:t>
            </w:r>
          </w:p>
        </w:tc>
      </w:tr>
      <w:tr>
        <w:trPr/>
        <w:tc>
          <w:tcPr>
            <w:tcW w:w="7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1"/>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  ​</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11,778</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2,617</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receivable,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1,824</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1,560</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391</w:t>
            </w:r>
          </w:p>
        </w:tc>
        <w:tc>
          <w:tcPr>
            <w:tcW w:w="34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509</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Other current assets </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1,146</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1,217</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15,139</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5,910</w:t>
            </w:r>
          </w:p>
        </w:tc>
      </w:tr>
      <w:tr>
        <w:trPr/>
        <w:tc>
          <w:tcPr>
            <w:tcW w:w="7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251</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Property and equipment, net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1,606</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1,665</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836</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1,039</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Security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2,067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2,127</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290</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20,526</w:t>
            </w:r>
          </w:p>
        </w:tc>
        <w:tc>
          <w:tcPr>
            <w:tcW w:w="346" w:type="dxa"/>
            <w:tcBorders/>
            <w:shd w:fill="CCEEFF" w:val="clear"/>
            <w:vAlign w:val="center"/>
          </w:tcPr>
          <w:p>
            <w:pPr>
              <w:pStyle w:val="TableContents"/>
              <w:bidi w:val="0"/>
              <w:spacing w:before="0" w:after="1"/>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11,217</w:t>
            </w:r>
          </w:p>
        </w:tc>
      </w:tr>
      <w:tr>
        <w:trPr/>
        <w:tc>
          <w:tcPr>
            <w:tcW w:w="7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1,618</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2,836</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2,657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2,940</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Series G convertible preferred stock redemption payable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538</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Current portion of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1,685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1,862</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Deferred revenue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708</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1,126</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Convertible senior secured note,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3,590</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current liabilities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6,668</w:t>
            </w:r>
          </w:p>
        </w:tc>
        <w:tc>
          <w:tcPr>
            <w:tcW w:w="34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12,892</w:t>
            </w:r>
          </w:p>
        </w:tc>
      </w:tr>
      <w:tr>
        <w:trPr/>
        <w:tc>
          <w:tcPr>
            <w:tcW w:w="76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Long-term liabilities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3,870</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5,606</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7,035</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12,274</w:t>
            </w:r>
          </w:p>
        </w:tc>
        <w:tc>
          <w:tcPr>
            <w:tcW w:w="346" w:type="dxa"/>
            <w:tcBorders/>
            <w:shd w:fill="CCEEFF" w:val="clear"/>
            <w:vAlign w:val="center"/>
          </w:tcPr>
          <w:p>
            <w:pPr>
              <w:pStyle w:val="TableContents"/>
              <w:bidi w:val="0"/>
              <w:spacing w:before="0" w:after="1"/>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23,797</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Commitments and contingencies (see Note 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Temporary equity</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Series G Convertible Preferred Stock, $0.01</w:t>
            </w:r>
            <w:r>
              <w:rPr>
                <w:rFonts w:ascii="Times New Roman;Times;serif" w:hAnsi="Times New Roman;Times;serif"/>
                <w:sz w:val="14"/>
              </w:rPr>
              <w:t xml:space="preserve"> </w:t>
            </w:r>
            <w:r>
              <w:rPr>
                <w:rFonts w:ascii="Times New Roman;Times;serif" w:hAnsi="Times New Roman;Times;serif"/>
                <w:sz w:val="15"/>
              </w:rPr>
              <w:t>par value per share and $1,000</w:t>
            </w:r>
            <w:r>
              <w:rPr>
                <w:rFonts w:ascii="Times New Roman;Times;serif" w:hAnsi="Times New Roman;Times;serif"/>
                <w:sz w:val="14"/>
              </w:rPr>
              <w:t xml:space="preserve"> </w:t>
            </w:r>
            <w:r>
              <w:rPr>
                <w:rFonts w:ascii="Times New Roman;Times;serif" w:hAnsi="Times New Roman;Times;serif"/>
                <w:sz w:val="15"/>
              </w:rPr>
              <w:t>stated value per share, 4,000</w:t>
            </w:r>
            <w:r>
              <w:rPr>
                <w:rFonts w:ascii="Times New Roman;Times;serif" w:hAnsi="Times New Roman;Times;serif"/>
                <w:sz w:val="14"/>
              </w:rPr>
              <w:t xml:space="preserve"> </w:t>
            </w:r>
            <w:r>
              <w:rPr>
                <w:rFonts w:ascii="Times New Roman;Times;serif" w:hAnsi="Times New Roman;Times;serif"/>
                <w:sz w:val="15"/>
              </w:rPr>
              <w:t>shares authorized; 0</w:t>
            </w:r>
            <w:r>
              <w:rPr>
                <w:rFonts w:ascii="Times New Roman;Times;serif" w:hAnsi="Times New Roman;Times;serif"/>
                <w:sz w:val="14"/>
              </w:rPr>
              <w:t xml:space="preserve"> </w:t>
            </w:r>
            <w:r>
              <w:rPr>
                <w:rFonts w:ascii="Times New Roman;Times;serif" w:hAnsi="Times New Roman;Times;serif"/>
                <w:sz w:val="15"/>
              </w:rPr>
              <w:t>and 196</w:t>
            </w:r>
            <w:r>
              <w:rPr>
                <w:rFonts w:ascii="Times New Roman;Times;serif" w:hAnsi="Times New Roman;Times;serif"/>
                <w:sz w:val="14"/>
              </w:rPr>
              <w:t xml:space="preserve"> </w:t>
            </w:r>
            <w:r>
              <w:rPr>
                <w:rFonts w:ascii="Times New Roman;Times;serif" w:hAnsi="Times New Roman;Times;serif"/>
                <w:sz w:val="15"/>
              </w:rPr>
              <w:t>shares issued and outstanding as of June 30, 2026 and December 31, 2025, respectively; Liquidation preference of $0</w:t>
            </w:r>
            <w:r>
              <w:rPr>
                <w:rFonts w:ascii="Times New Roman;Times;serif" w:hAnsi="Times New Roman;Times;serif"/>
                <w:sz w:val="14"/>
              </w:rPr>
              <w:t xml:space="preserve"> </w:t>
            </w:r>
            <w:r>
              <w:rPr>
                <w:rFonts w:ascii="Times New Roman;Times;serif" w:hAnsi="Times New Roman;Times;serif"/>
                <w:sz w:val="15"/>
              </w:rPr>
              <w:t>as of June 30, 2026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224</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Series H Convertible Preferred Stock, $0.01</w:t>
            </w:r>
            <w:r>
              <w:rPr>
                <w:rFonts w:ascii="Times New Roman;Times;serif" w:hAnsi="Times New Roman;Times;serif"/>
                <w:sz w:val="14"/>
              </w:rPr>
              <w:t xml:space="preserve"> </w:t>
            </w:r>
            <w:r>
              <w:rPr>
                <w:rFonts w:ascii="Times New Roman;Times;serif" w:hAnsi="Times New Roman;Times;serif"/>
                <w:sz w:val="15"/>
              </w:rPr>
              <w:t>par value per share and $1,000</w:t>
            </w:r>
            <w:r>
              <w:rPr>
                <w:rFonts w:ascii="Times New Roman;Times;serif" w:hAnsi="Times New Roman;Times;serif"/>
                <w:sz w:val="14"/>
              </w:rPr>
              <w:t xml:space="preserve"> </w:t>
            </w:r>
            <w:r>
              <w:rPr>
                <w:rFonts w:ascii="Times New Roman;Times;serif" w:hAnsi="Times New Roman;Times;serif"/>
                <w:sz w:val="15"/>
              </w:rPr>
              <w:t>stated value per share, 35,000</w:t>
            </w:r>
            <w:r>
              <w:rPr>
                <w:rFonts w:ascii="Times New Roman;Times;serif" w:hAnsi="Times New Roman;Times;serif"/>
                <w:sz w:val="14"/>
              </w:rPr>
              <w:t xml:space="preserve"> </w:t>
            </w:r>
            <w:r>
              <w:rPr>
                <w:rFonts w:ascii="Times New Roman;Times;serif" w:hAnsi="Times New Roman;Times;serif"/>
                <w:sz w:val="15"/>
              </w:rPr>
              <w:t>shares authorized; 31,333</w:t>
            </w:r>
            <w:r>
              <w:rPr>
                <w:rFonts w:ascii="Times New Roman;Times;serif" w:hAnsi="Times New Roman;Times;serif"/>
                <w:sz w:val="14"/>
              </w:rPr>
              <w:t xml:space="preserve"> </w:t>
            </w:r>
            <w:r>
              <w:rPr>
                <w:rFonts w:ascii="Times New Roman;Times;serif" w:hAnsi="Times New Roman;Times;serif"/>
                <w:sz w:val="15"/>
              </w:rPr>
              <w:t>and 0</w:t>
            </w:r>
            <w:r>
              <w:rPr>
                <w:rFonts w:ascii="Times New Roman;Times;serif" w:hAnsi="Times New Roman;Times;serif"/>
                <w:sz w:val="14"/>
              </w:rPr>
              <w:t xml:space="preserve"> </w:t>
            </w:r>
            <w:r>
              <w:rPr>
                <w:rFonts w:ascii="Times New Roman;Times;serif" w:hAnsi="Times New Roman;Times;serif"/>
                <w:sz w:val="15"/>
              </w:rPr>
              <w:t>shares issued and outstanding as of June 30, 2026 and December 31, 2025, respectively; Liquidation preference of $31,333</w:t>
            </w:r>
            <w:r>
              <w:rPr>
                <w:rFonts w:ascii="Times New Roman;Times;serif" w:hAnsi="Times New Roman;Times;serif"/>
                <w:sz w:val="14"/>
              </w:rPr>
              <w:t xml:space="preserve"> </w:t>
            </w:r>
            <w:r>
              <w:rPr>
                <w:rFonts w:ascii="Times New Roman;Times;serif" w:hAnsi="Times New Roman;Times;serif"/>
                <w:sz w:val="15"/>
              </w:rPr>
              <w:t>as of June 30, 2026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Common stock, $0.01</w:t>
            </w:r>
            <w:r>
              <w:rPr>
                <w:rFonts w:ascii="Times New Roman;Times;serif" w:hAnsi="Times New Roman;Times;serif"/>
                <w:sz w:val="14"/>
              </w:rPr>
              <w:t xml:space="preserve"> </w:t>
            </w:r>
            <w:r>
              <w:rPr>
                <w:rFonts w:ascii="Times New Roman;Times;serif" w:hAnsi="Times New Roman;Times;serif"/>
                <w:sz w:val="15"/>
              </w:rPr>
              <w:t>par value per share, 150,000,000</w:t>
            </w:r>
            <w:r>
              <w:rPr>
                <w:rFonts w:ascii="Times New Roman;Times;serif" w:hAnsi="Times New Roman;Times;serif"/>
                <w:sz w:val="14"/>
              </w:rPr>
              <w:t xml:space="preserve"> </w:t>
            </w:r>
            <w:r>
              <w:rPr>
                <w:rFonts w:ascii="Times New Roman;Times;serif" w:hAnsi="Times New Roman;Times;serif"/>
                <w:sz w:val="15"/>
              </w:rPr>
              <w:t>shares authorized; 8,471,766</w:t>
            </w:r>
            <w:r>
              <w:rPr>
                <w:rFonts w:ascii="Times New Roman;Times;serif" w:hAnsi="Times New Roman;Times;serif"/>
                <w:sz w:val="14"/>
              </w:rPr>
              <w:t xml:space="preserve"> </w:t>
            </w:r>
            <w:r>
              <w:rPr>
                <w:rFonts w:ascii="Times New Roman;Times;serif" w:hAnsi="Times New Roman;Times;serif"/>
                <w:sz w:val="15"/>
              </w:rPr>
              <w:t>and 6,071,324</w:t>
            </w:r>
            <w:r>
              <w:rPr>
                <w:rFonts w:ascii="Times New Roman;Times;serif" w:hAnsi="Times New Roman;Times;serif"/>
                <w:sz w:val="14"/>
              </w:rPr>
              <w:t xml:space="preserve"> </w:t>
            </w:r>
            <w:r>
              <w:rPr>
                <w:rFonts w:ascii="Times New Roman;Times;serif" w:hAnsi="Times New Roman;Times;serif"/>
                <w:sz w:val="15"/>
              </w:rPr>
              <w:t>shares issued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Additional paid-in capital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502,962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468,915</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(503,139)</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(489,697)</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(1,761)</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(1,541)</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equity (deficit) attributable to XWELL, Inc.</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(1,854)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(22,262)</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Noncontrolling interests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10,106</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9,458</w:t>
            </w:r>
          </w:p>
        </w:tc>
      </w:tr>
      <w:tr>
        <w:trPr/>
        <w:tc>
          <w:tcPr>
            <w:tcW w:w="766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8,252</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(12,804)</w:t>
            </w:r>
          </w:p>
        </w:tc>
      </w:tr>
      <w:tr>
        <w:trPr/>
        <w:tc>
          <w:tcPr>
            <w:tcW w:w="766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temporary equity and equity</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20,526</w:t>
            </w:r>
          </w:p>
        </w:tc>
        <w:tc>
          <w:tcPr>
            <w:tcW w:w="346" w:type="dxa"/>
            <w:tcBorders/>
            <w:vAlign w:val="center"/>
          </w:tcPr>
          <w:p>
            <w:pPr>
              <w:pStyle w:val="TableContents"/>
              <w:bidi w:val="0"/>
              <w:spacing w:before="0" w:after="1"/>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3"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5"/>
              </w:rPr>
            </w:pPr>
            <w:r>
              <w:rPr>
                <w:rFonts w:ascii="Times New Roman;Times;serif" w:hAnsi="Times New Roman;Times;serif"/>
                <w:sz w:val="15"/>
              </w:rPr>
              <w:t>11,217</w:t>
            </w:r>
          </w:p>
        </w:tc>
      </w:tr>
    </w:tbl>
    <w:p>
      <w:pPr>
        <w:pStyle w:val="TextBody"/>
        <w:bidi w:val="0"/>
        <w:spacing w:before="0" w:after="240"/>
        <w:ind w:left="0" w:right="0" w:hanging="0"/>
        <w:jc w:val="left"/>
        <w:rPr/>
      </w:pPr>
      <w:r>
        <w:rPr/>
        <w:t>​</w:t>
      </w:r>
    </w:p>
    <w:p>
      <w:pPr>
        <w:pStyle w:val="TextBody"/>
        <w:bidi w:val="0"/>
        <w:spacing w:lineRule="atLeast" w:line="180"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2" w:name="_2281d572_f14e_4c88_8303_0ffd820e7561"/>
      <w:bookmarkEnd w:id="162"/>
      <w:r>
        <w:rPr>
          <w:rFonts w:ascii="Times New Roman;Times;serif" w:hAnsi="Times New Roman;Times;serif"/>
          <w:b/>
          <w:sz w:val="20"/>
        </w:rPr>
        <w:t>XWELL, Inc. and Subsidiaries</w:t>
      </w:r>
    </w:p>
    <w:p>
      <w:pPr>
        <w:pStyle w:val="TextBody"/>
        <w:bidi w:val="0"/>
        <w:spacing w:before="0" w:after="0"/>
        <w:ind w:left="72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3" w:name="Tc_j_7c1l0Y2E-e1Fi5ijVc2A_44_0"/>
      <w:bookmarkStart w:id="164" w:name="Tc_U2c6JDfsXUOdC61aPPmJNA_43_0"/>
      <w:bookmarkStart w:id="165" w:name="Tc_bNK554h8bUC3lyd8pSNv_w_42_0"/>
      <w:bookmarkStart w:id="166" w:name="Tc_T8vjTSenR0GpX-qeVthDWQ_41_12"/>
      <w:bookmarkStart w:id="167" w:name="Tc_6dil4Ag_FUyzAcRrjXuNkA_41_9"/>
      <w:bookmarkStart w:id="168" w:name="Tc_n2mtJf2UKUW1mEgsaku4CQ_41_5"/>
      <w:bookmarkStart w:id="169" w:name="Tc_2gq9K3eoUU-BExrKt9KWhg_41_2"/>
      <w:bookmarkStart w:id="170" w:name="Tc_0W62sH69-E2K73s8rd-dwQ_41_0"/>
      <w:bookmarkStart w:id="171" w:name="Tc_ZVSouPTznU6D7hNjW2XTdA_40_12"/>
      <w:bookmarkStart w:id="172" w:name="Tc_3oAu4650_UWtrXx1WWomgg_40_9"/>
      <w:bookmarkStart w:id="173" w:name="Tc_d8fsBPfhvECZSXVXfSVtJQ_40_5"/>
      <w:bookmarkStart w:id="174" w:name="Tc_gAn_RtnZa06sFuTaCJ5pKQ_40_2"/>
      <w:bookmarkStart w:id="175" w:name="Tc_1wAxWJD1gk60whKWxHbnhw_40_0"/>
      <w:bookmarkStart w:id="176" w:name="Tc_d6oY6ByIC0qj9LxEGsaG7A_39_13"/>
      <w:bookmarkStart w:id="177" w:name="Tc_nK07cXKpWkCHIcHg-sO5Dw_39_6"/>
      <w:bookmarkStart w:id="178" w:name="Tc_cIYxp8mP_k2qBdhwSt3dQw_39_3"/>
      <w:bookmarkStart w:id="179" w:name="Tc__DZo18mDtUekp9Gu7lL2rA_39_0"/>
      <w:bookmarkStart w:id="180" w:name="Tc_AQGaCcjQm0qRCainIKI6fg_38_10"/>
      <w:bookmarkStart w:id="181" w:name="Tc_L6ZKiflSU0albvnqD6IwBw_38_3"/>
      <w:bookmarkStart w:id="182" w:name="Tc_tdJx99JMJEO3TAa24XE7QA_38_0"/>
      <w:bookmarkStart w:id="183" w:name="Tc_81eLAnnlMUiptYWVDpVe3w_37_3"/>
      <w:bookmarkStart w:id="184" w:name="Tc_H4XyvYs2AUeol3pEwzfRhQ_37_0"/>
      <w:bookmarkStart w:id="185" w:name="Tc_pyeNuN6KcUuRCSG7Qz58hQ_36_0"/>
      <w:bookmarkStart w:id="186" w:name="Tc_PhSfIdxqmECPTxdv4ABWEg_35_12"/>
      <w:bookmarkStart w:id="187" w:name="Tc_ZUyOWnzkVECtV6wCGa4cgg_35_9"/>
      <w:bookmarkStart w:id="188" w:name="Tc_FstnPAKGI0eCMku59xhOSw_35_5"/>
      <w:bookmarkStart w:id="189" w:name="Tc_1iTkcjCNakeAunSrXJUESQ_35_2"/>
      <w:bookmarkStart w:id="190" w:name="Tc_C0AID064KEuThVCIhtZ3Dg_35_0"/>
      <w:bookmarkStart w:id="191" w:name="Tc_O7_ljqyNdkubKrUQCccS6w_34_0"/>
      <w:bookmarkStart w:id="192" w:name="Tc_Qj6g358V-Uqcks3BMbXkEg_33_5"/>
      <w:bookmarkStart w:id="193" w:name="Tc_GOW7cbLuG0GNfaCe2_2YzQ_33_2"/>
      <w:bookmarkStart w:id="194" w:name="Tc_9q3KyX3Al0m5h9Ykv84uhQ_33_0"/>
      <w:bookmarkStart w:id="195" w:name="Tc_RWoj4RsNDkaAL5cVMUa8SA_31_12"/>
      <w:bookmarkStart w:id="196" w:name="Tc_MFtOraBZOUC-YkgNvLvDAg_31_9"/>
      <w:bookmarkStart w:id="197" w:name="Tc_lG_nwW5UYUehuSfGCBUyoQ_31_5"/>
      <w:bookmarkStart w:id="198" w:name="Tc_zcHiYjd960OQbkZ07knXnQ_31_2"/>
      <w:bookmarkStart w:id="199" w:name="Tc_LYyuBU2NDEu4Ua2sxU1jzQ_31_0"/>
      <w:bookmarkStart w:id="200" w:name="Tc_XUX4v5dgKkewwclyrT1iCA_30_0"/>
      <w:bookmarkStart w:id="201" w:name="Tc_9NHFsZh9nUC_VBJ_4lkz_Q_29_0"/>
      <w:bookmarkStart w:id="202" w:name="Tc_OVnSVPkEmUa8tpqkk-F3Uw_28_0"/>
      <w:bookmarkStart w:id="203" w:name="Tc_g2cnxC9t7UGTr2S87AZxRQ_27_0"/>
      <w:bookmarkStart w:id="204" w:name="Tc_muOqHcrOGEmjSu8rVG2FDg_26_0"/>
      <w:bookmarkStart w:id="205" w:name="Tc_UL4vVHzH106GAlp2cr5Dtw_25_0"/>
      <w:bookmarkStart w:id="206" w:name="Tc_1AtE1zT4-0CCWkr_LV-fdA_24_0"/>
      <w:bookmarkStart w:id="207" w:name="Tc_QgPxLu11a0OSDQOgQzKOyA_23_0"/>
      <w:bookmarkStart w:id="208" w:name="Tc_uS0DYpCJIEGFpZ5PxzlOHA_22_10"/>
      <w:bookmarkStart w:id="209" w:name="Tc_Ne78MqiApUu2bpKDiJMrDw_22_6"/>
      <w:bookmarkStart w:id="210" w:name="Tc_WDEdWGh7h0WU2mNHIf5r_g_22_3"/>
      <w:bookmarkStart w:id="211" w:name="Tc_cxe8yfh6yE-NQ8EhXyjtAw_22_0"/>
      <w:bookmarkStart w:id="212" w:name="Tc_dzMoXaEtGkWSzuYv4uYlvg_21_10"/>
      <w:bookmarkStart w:id="213" w:name="Tc_GQ78uSQyTkaTd9AinTSVzw_21_3"/>
      <w:bookmarkStart w:id="214" w:name="Tc_fO5w7gn8OE-ARj8UiUtw8g_21_0"/>
      <w:bookmarkStart w:id="215" w:name="Tc_Dj6dRYxe70qwSm844sxHCg_20_3"/>
      <w:bookmarkStart w:id="216" w:name="Tc_xoUdu9fvsUu0ngsSa7HFwA_20_0"/>
      <w:bookmarkStart w:id="217" w:name="Tc_dCxnBAQx206XdEJVdARn3Q_19_0"/>
      <w:bookmarkStart w:id="218" w:name="Tc_EYXYSQ-kGECq1fjye5jHKA_18_0"/>
      <w:bookmarkStart w:id="219" w:name="Tc_yigOWfQKx0iYG0BWFyfCkw_17_0"/>
      <w:bookmarkStart w:id="220" w:name="Tc_TVUR987JT0CylhQsibqKaA_16_13"/>
      <w:bookmarkStart w:id="221" w:name="Tc_E22Zf_ITfE6WB02FU_LbFA_16_6"/>
      <w:bookmarkStart w:id="222" w:name="Tc_Y9lVUrj0OUSbqkliSc9lYw_16_0"/>
      <w:bookmarkStart w:id="223" w:name="Tc_u_-XRv_eS0a-7KUKHhWOzg_15_0"/>
      <w:bookmarkStart w:id="224" w:name="Tc_fcyHqCep_kiXwrVuQ6Mgvw_14_0"/>
      <w:bookmarkStart w:id="225" w:name="Tc_0M8_jOQh_k6Et64cjJk33g_13_0"/>
      <w:bookmarkStart w:id="226" w:name="Tc_2UBHdPmSN0S4xf0pGiKSrA_12_0"/>
      <w:bookmarkStart w:id="227" w:name="Tc_52Gzcz6-skS5ma2D4REeeg_11_0"/>
      <w:bookmarkStart w:id="228" w:name="Tc_15I9QXyaik2_Zfiveq52Ig_10_0"/>
      <w:bookmarkStart w:id="229" w:name="Tc_HsGOQTS7DEeGKs57H4j_Mg_9_0"/>
      <w:bookmarkStart w:id="230" w:name="Tc_yN8meigBgUOd1WWB22CB7Q_7_0"/>
      <w:bookmarkStart w:id="231" w:name="Tc_BOKH9DM0HEWvgOrNdbJzPQ_6_0"/>
      <w:bookmarkStart w:id="232" w:name="Tc_KQBgvr2l5UGxFUE4JoNsew_5_12"/>
      <w:bookmarkStart w:id="233" w:name="Tc_MmA1bOKRf0qJC_TvS9QaXw_5_9"/>
      <w:bookmarkStart w:id="234" w:name="Tc_u5hfCl3WNEKsVQRsQa7_Kg_5_5"/>
      <w:bookmarkStart w:id="235" w:name="Tc_XV5JVmZPzEiRVFq5kRNhCg_5_2"/>
      <w:bookmarkStart w:id="236" w:name="Tc_uFkFbsm0QU6TyCGPFqIVJg_5_0"/>
      <w:bookmarkStart w:id="237" w:name="Tc_RvZUSaRdy0e3etNf7VPrxg_4_0"/>
      <w:bookmarkStart w:id="238" w:name="Tc_lGP72jU-mkKVAiaRxayUJA_2_12"/>
      <w:bookmarkStart w:id="239" w:name="Tc_BMY2GAzHrkOivPlVwaWmrw_2_9"/>
      <w:bookmarkStart w:id="240" w:name="Tc_w0bfBJLUj0eew48CUu6Ybw_2_5"/>
      <w:bookmarkStart w:id="241" w:name="Tc_CG4CH-4rdk-iz6E6nepQOA_2_2"/>
      <w:bookmarkStart w:id="242" w:name="Tc_Uys8S_UcmEeZcaf2KK06XQ_1_9"/>
      <w:bookmarkStart w:id="243" w:name="Tc_If6WtEFAkkuXZpWyOq9Nig_1_2"/>
      <w:bookmarkStart w:id="244" w:name="_d5f39e76_ffda_42ea_b98d_935cecdc7e45"/>
      <w:bookmarkStart w:id="245" w:name="_69cb15e0_d624_4eb0_82ff_d270bfdfbb5a"/>
      <w:bookmarkStart w:id="246" w:name="Tc_j_7c1l0Y2E-e1Fi5ijVc2A_44_0"/>
      <w:bookmarkStart w:id="247" w:name="Tc_U2c6JDfsXUOdC61aPPmJNA_43_0"/>
      <w:bookmarkStart w:id="248" w:name="Tc_bNK554h8bUC3lyd8pSNv_w_42_0"/>
      <w:bookmarkStart w:id="249" w:name="Tc_T8vjTSenR0GpX-qeVthDWQ_41_12"/>
      <w:bookmarkStart w:id="250" w:name="Tc_6dil4Ag_FUyzAcRrjXuNkA_41_9"/>
      <w:bookmarkStart w:id="251" w:name="Tc_n2mtJf2UKUW1mEgsaku4CQ_41_5"/>
      <w:bookmarkStart w:id="252" w:name="Tc_2gq9K3eoUU-BExrKt9KWhg_41_2"/>
      <w:bookmarkStart w:id="253" w:name="Tc_0W62sH69-E2K73s8rd-dwQ_41_0"/>
      <w:bookmarkStart w:id="254" w:name="Tc_ZVSouPTznU6D7hNjW2XTdA_40_12"/>
      <w:bookmarkStart w:id="255" w:name="Tc_3oAu4650_UWtrXx1WWomgg_40_9"/>
      <w:bookmarkStart w:id="256" w:name="Tc_d8fsBPfhvECZSXVXfSVtJQ_40_5"/>
      <w:bookmarkStart w:id="257" w:name="Tc_gAn_RtnZa06sFuTaCJ5pKQ_40_2"/>
      <w:bookmarkStart w:id="258" w:name="Tc_1wAxWJD1gk60whKWxHbnhw_40_0"/>
      <w:bookmarkStart w:id="259" w:name="Tc_d6oY6ByIC0qj9LxEGsaG7A_39_13"/>
      <w:bookmarkStart w:id="260" w:name="Tc_nK07cXKpWkCHIcHg-sO5Dw_39_6"/>
      <w:bookmarkStart w:id="261" w:name="Tc_cIYxp8mP_k2qBdhwSt3dQw_39_3"/>
      <w:bookmarkStart w:id="262" w:name="Tc__DZo18mDtUekp9Gu7lL2rA_39_0"/>
      <w:bookmarkStart w:id="263" w:name="Tc_AQGaCcjQm0qRCainIKI6fg_38_10"/>
      <w:bookmarkStart w:id="264" w:name="Tc_L6ZKiflSU0albvnqD6IwBw_38_3"/>
      <w:bookmarkStart w:id="265" w:name="Tc_tdJx99JMJEO3TAa24XE7QA_38_0"/>
      <w:bookmarkStart w:id="266" w:name="Tc_81eLAnnlMUiptYWVDpVe3w_37_3"/>
      <w:bookmarkStart w:id="267" w:name="Tc_H4XyvYs2AUeol3pEwzfRhQ_37_0"/>
      <w:bookmarkStart w:id="268" w:name="Tc_pyeNuN6KcUuRCSG7Qz58hQ_36_0"/>
      <w:bookmarkStart w:id="269" w:name="Tc_PhSfIdxqmECPTxdv4ABWEg_35_12"/>
      <w:bookmarkStart w:id="270" w:name="Tc_ZUyOWnzkVECtV6wCGa4cgg_35_9"/>
      <w:bookmarkStart w:id="271" w:name="Tc_FstnPAKGI0eCMku59xhOSw_35_5"/>
      <w:bookmarkStart w:id="272" w:name="Tc_1iTkcjCNakeAunSrXJUESQ_35_2"/>
      <w:bookmarkStart w:id="273" w:name="Tc_C0AID064KEuThVCIhtZ3Dg_35_0"/>
      <w:bookmarkStart w:id="274" w:name="Tc_O7_ljqyNdkubKrUQCccS6w_34_0"/>
      <w:bookmarkStart w:id="275" w:name="Tc_Qj6g358V-Uqcks3BMbXkEg_33_5"/>
      <w:bookmarkStart w:id="276" w:name="Tc_GOW7cbLuG0GNfaCe2_2YzQ_33_2"/>
      <w:bookmarkStart w:id="277" w:name="Tc_9q3KyX3Al0m5h9Ykv84uhQ_33_0"/>
      <w:bookmarkStart w:id="278" w:name="Tc_RWoj4RsNDkaAL5cVMUa8SA_31_12"/>
      <w:bookmarkStart w:id="279" w:name="Tc_MFtOraBZOUC-YkgNvLvDAg_31_9"/>
      <w:bookmarkStart w:id="280" w:name="Tc_lG_nwW5UYUehuSfGCBUyoQ_31_5"/>
      <w:bookmarkStart w:id="281" w:name="Tc_zcHiYjd960OQbkZ07knXnQ_31_2"/>
      <w:bookmarkStart w:id="282" w:name="Tc_LYyuBU2NDEu4Ua2sxU1jzQ_31_0"/>
      <w:bookmarkStart w:id="283" w:name="Tc_XUX4v5dgKkewwclyrT1iCA_30_0"/>
      <w:bookmarkStart w:id="284" w:name="Tc_9NHFsZh9nUC_VBJ_4lkz_Q_29_0"/>
      <w:bookmarkStart w:id="285" w:name="Tc_OVnSVPkEmUa8tpqkk-F3Uw_28_0"/>
      <w:bookmarkStart w:id="286" w:name="Tc_g2cnxC9t7UGTr2S87AZxRQ_27_0"/>
      <w:bookmarkStart w:id="287" w:name="Tc_muOqHcrOGEmjSu8rVG2FDg_26_0"/>
      <w:bookmarkStart w:id="288" w:name="Tc_UL4vVHzH106GAlp2cr5Dtw_25_0"/>
      <w:bookmarkStart w:id="289" w:name="Tc_1AtE1zT4-0CCWkr_LV-fdA_24_0"/>
      <w:bookmarkStart w:id="290" w:name="Tc_QgPxLu11a0OSDQOgQzKOyA_23_0"/>
      <w:bookmarkStart w:id="291" w:name="Tc_uS0DYpCJIEGFpZ5PxzlOHA_22_10"/>
      <w:bookmarkStart w:id="292" w:name="Tc_Ne78MqiApUu2bpKDiJMrDw_22_6"/>
      <w:bookmarkStart w:id="293" w:name="Tc_WDEdWGh7h0WU2mNHIf5r_g_22_3"/>
      <w:bookmarkStart w:id="294" w:name="Tc_cxe8yfh6yE-NQ8EhXyjtAw_22_0"/>
      <w:bookmarkStart w:id="295" w:name="Tc_dzMoXaEtGkWSzuYv4uYlvg_21_10"/>
      <w:bookmarkStart w:id="296" w:name="Tc_GQ78uSQyTkaTd9AinTSVzw_21_3"/>
      <w:bookmarkStart w:id="297" w:name="Tc_fO5w7gn8OE-ARj8UiUtw8g_21_0"/>
      <w:bookmarkStart w:id="298" w:name="Tc_Dj6dRYxe70qwSm844sxHCg_20_3"/>
      <w:bookmarkStart w:id="299" w:name="Tc_xoUdu9fvsUu0ngsSa7HFwA_20_0"/>
      <w:bookmarkStart w:id="300" w:name="Tc_dCxnBAQx206XdEJVdARn3Q_19_0"/>
      <w:bookmarkStart w:id="301" w:name="Tc_EYXYSQ-kGECq1fjye5jHKA_18_0"/>
      <w:bookmarkStart w:id="302" w:name="Tc_yigOWfQKx0iYG0BWFyfCkw_17_0"/>
      <w:bookmarkStart w:id="303" w:name="Tc_TVUR987JT0CylhQsibqKaA_16_13"/>
      <w:bookmarkStart w:id="304" w:name="Tc_E22Zf_ITfE6WB02FU_LbFA_16_6"/>
      <w:bookmarkStart w:id="305" w:name="Tc_Y9lVUrj0OUSbqkliSc9lYw_16_0"/>
      <w:bookmarkStart w:id="306" w:name="Tc_u_-XRv_eS0a-7KUKHhWOzg_15_0"/>
      <w:bookmarkStart w:id="307" w:name="Tc_fcyHqCep_kiXwrVuQ6Mgvw_14_0"/>
      <w:bookmarkStart w:id="308" w:name="Tc_0M8_jOQh_k6Et64cjJk33g_13_0"/>
      <w:bookmarkStart w:id="309" w:name="Tc_2UBHdPmSN0S4xf0pGiKSrA_12_0"/>
      <w:bookmarkStart w:id="310" w:name="Tc_52Gzcz6-skS5ma2D4REeeg_11_0"/>
      <w:bookmarkStart w:id="311" w:name="Tc_15I9QXyaik2_Zfiveq52Ig_10_0"/>
      <w:bookmarkStart w:id="312" w:name="Tc_HsGOQTS7DEeGKs57H4j_Mg_9_0"/>
      <w:bookmarkStart w:id="313" w:name="Tc_yN8meigBgUOd1WWB22CB7Q_7_0"/>
      <w:bookmarkStart w:id="314" w:name="Tc_BOKH9DM0HEWvgOrNdbJzPQ_6_0"/>
      <w:bookmarkStart w:id="315" w:name="Tc_KQBgvr2l5UGxFUE4JoNsew_5_12"/>
      <w:bookmarkStart w:id="316" w:name="Tc_MmA1bOKRf0qJC_TvS9QaXw_5_9"/>
      <w:bookmarkStart w:id="317" w:name="Tc_u5hfCl3WNEKsVQRsQa7_Kg_5_5"/>
      <w:bookmarkStart w:id="318" w:name="Tc_XV5JVmZPzEiRVFq5kRNhCg_5_2"/>
      <w:bookmarkStart w:id="319" w:name="Tc_uFkFbsm0QU6TyCGPFqIVJg_5_0"/>
      <w:bookmarkStart w:id="320" w:name="Tc_RvZUSaRdy0e3etNf7VPrxg_4_0"/>
      <w:bookmarkStart w:id="321" w:name="Tc_lGP72jU-mkKVAiaRxayUJA_2_12"/>
      <w:bookmarkStart w:id="322" w:name="Tc_BMY2GAzHrkOivPlVwaWmrw_2_9"/>
      <w:bookmarkStart w:id="323" w:name="Tc_w0bfBJLUj0eew48CUu6Ybw_2_5"/>
      <w:bookmarkStart w:id="324" w:name="Tc_CG4CH-4rdk-iz6E6nepQOA_2_2"/>
      <w:bookmarkStart w:id="325" w:name="Tc_Uys8S_UcmEeZcaf2KK06XQ_1_9"/>
      <w:bookmarkStart w:id="326" w:name="Tc_If6WtEFAkkuXZpWyOq9Nig_1_2"/>
      <w:bookmarkStart w:id="327" w:name="_d5f39e76_ffda_42ea_b98d_935cecdc7e45"/>
      <w:bookmarkStart w:id="328" w:name="_69cb15e0_d624_4eb0_82ff_d270bfdfbb5a"/>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Layout w:type="fixed"/>
        <w:tblCellMar>
          <w:top w:w="0" w:type="dxa"/>
          <w:left w:w="0" w:type="dxa"/>
          <w:bottom w:w="0" w:type="dxa"/>
          <w:right w:w="0" w:type="dxa"/>
        </w:tblCellMar>
      </w:tblPr>
      <w:tblGrid>
        <w:gridCol w:w="4482"/>
        <w:gridCol w:w="346"/>
        <w:gridCol w:w="198"/>
        <w:gridCol w:w="839"/>
        <w:gridCol w:w="350"/>
        <w:gridCol w:w="198"/>
        <w:gridCol w:w="839"/>
        <w:gridCol w:w="109"/>
        <w:gridCol w:w="346"/>
        <w:gridCol w:w="196"/>
        <w:gridCol w:w="826"/>
        <w:gridCol w:w="346"/>
        <w:gridCol w:w="196"/>
        <w:gridCol w:w="934"/>
      </w:tblGrid>
      <w:tr>
        <w:trPr/>
        <w:tc>
          <w:tcPr>
            <w:tcW w:w="4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46070" cy="175260"/>
                      <wp:effectExtent l="0" t="0" r="0" b="0"/>
                      <wp:wrapNone/>
                      <wp:docPr id="8" name="Frame8"/>
                      <a:graphic xmlns:a="http://schemas.openxmlformats.org/drawingml/2006/main">
                        <a:graphicData uri="http://schemas.microsoft.com/office/word/2010/wordprocessingShape">
                          <wps:wsp>
                            <wps:cNvSpPr txBox="1"/>
                            <wps:spPr>
                              <a:xfrm>
                                <a:off x="0" y="0"/>
                                <a:ext cx="284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5730" cy="175260"/>
                      <wp:effectExtent l="0" t="0" r="0" b="0"/>
                      <wp:wrapNone/>
                      <wp:docPr id="10" name="Frame10"/>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32765" cy="175260"/>
                      <wp:effectExtent l="0" t="0" r="0" b="0"/>
                      <wp:wrapNone/>
                      <wp:docPr id="11" name="Frame1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2250" cy="175260"/>
                      <wp:effectExtent l="0" t="0" r="0" b="0"/>
                      <wp:wrapNone/>
                      <wp:docPr id="12" name="Frame1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5730" cy="175260"/>
                      <wp:effectExtent l="0" t="0" r="0" b="0"/>
                      <wp:wrapNone/>
                      <wp:docPr id="13" name="Frame1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32765" cy="175260"/>
                      <wp:effectExtent l="0" t="0" r="0" b="0"/>
                      <wp:wrapNone/>
                      <wp:docPr id="14" name="Frame1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3090" cy="175260"/>
                      <wp:effectExtent l="0" t="0" r="0" b="0"/>
                      <wp:wrapNone/>
                      <wp:docPr id="21" name="Frame21"/>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0"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center"/>
              <w:rPr/>
            </w:pPr>
            <w:r>
              <w:rPr/>
              <w:t>  ​ ​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left"/>
              <w:rPr/>
            </w:pPr>
            <w:r>
              <w:rPr/>
              <w:t>​</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 net</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c>
          <w:tcPr>
            <w:tcW w:w="350"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  ​</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6,531</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6,905</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13,325</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1,387</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 net</w:t>
            </w:r>
          </w:p>
        </w:tc>
        <w:tc>
          <w:tcPr>
            <w:tcW w:w="346" w:type="dxa"/>
            <w:tcBorders/>
            <w:vAlign w:val="center"/>
          </w:tcPr>
          <w:p>
            <w:pPr>
              <w:pStyle w:val="TableContents"/>
              <w:bidi w:val="0"/>
              <w:spacing w:before="0" w:after="0"/>
              <w:ind w:left="0" w:right="0" w:hanging="0"/>
              <w:jc w:val="left"/>
              <w:rPr/>
            </w:pPr>
            <w:r>
              <w:rPr/>
              <w:t>​</w:t>
            </w:r>
          </w:p>
        </w:tc>
        <w:tc>
          <w:tcPr>
            <w:tcW w:w="19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8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7,145</w:t>
            </w:r>
          </w:p>
        </w:tc>
        <w:tc>
          <w:tcPr>
            <w:tcW w:w="350" w:type="dxa"/>
            <w:tcBorders/>
            <w:vAlign w:val="center"/>
          </w:tcPr>
          <w:p>
            <w:pPr>
              <w:pStyle w:val="TableContents"/>
              <w:bidi w:val="0"/>
              <w:spacing w:before="0" w:after="0"/>
              <w:ind w:left="0" w:right="0" w:hanging="0"/>
              <w:jc w:val="left"/>
              <w:rPr/>
            </w:pPr>
            <w:r>
              <w:rPr/>
              <w:t>​</w:t>
            </w:r>
          </w:p>
        </w:tc>
        <w:tc>
          <w:tcPr>
            <w:tcW w:w="19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8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14,712</w:t>
            </w:r>
          </w:p>
        </w:tc>
      </w:tr>
      <w:tr>
        <w:trPr/>
        <w:tc>
          <w:tcPr>
            <w:tcW w:w="44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left"/>
              <w:rPr/>
            </w:pPr>
            <w:r>
              <w:rPr/>
              <w:t>​</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Labor</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3,037</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3,912</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7,879</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1,238</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Products and other operating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1,367</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4,197</w:t>
            </w:r>
          </w:p>
        </w:tc>
        <w:tc>
          <w:tcPr>
            <w:tcW w:w="350"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5,914</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11,618</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2,948</w:t>
            </w:r>
          </w:p>
        </w:tc>
        <w:tc>
          <w:tcPr>
            <w:tcW w:w="350"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1,775</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3,094</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4,650</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8,591</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5,052</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12,820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8,944</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(2,104)</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(5,850)</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3,215</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issuance of Series G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(3,443)</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(expense), net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investments, realized and unrealized</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non-operating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(1,832)</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(2,018)</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(12,844)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(6,606)</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(1,883)</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(6,640)</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(2,240)</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(2,269)</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(6,988)</w:t>
            </w:r>
          </w:p>
        </w:tc>
      </w:tr>
      <w:tr>
        <w:trPr/>
        <w:tc>
          <w:tcPr>
            <w:tcW w:w="44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left"/>
              <w:rPr/>
            </w:pPr>
            <w:r>
              <w:rPr/>
              <w:t>​</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(1,883)</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(6,640)</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(6,034)</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left"/>
              <w:rPr/>
            </w:pPr>
            <w:r>
              <w:rPr/>
              <w:t>​</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accretion</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Deemed contribution on Repurchase of Series G Preferred Stock</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(2,240)</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(8,327)</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and diluted loss per share</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(0.56)</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  ​</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4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8,487,425</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5,417,271</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7,944,801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5,340,442</w:t>
            </w:r>
          </w:p>
        </w:tc>
      </w:tr>
      <w:tr>
        <w:trPr/>
        <w:tc>
          <w:tcPr>
            <w:tcW w:w="4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8,487,425</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5,417,271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7,944,801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5,340,442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9" w:name="_48b6be88_0cc6_4bfc_9fff_f50b5c086a0e"/>
      <w:bookmarkEnd w:id="329"/>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0" w:name="Tc_428YBFtlDU6EPpKPHQn0-Q_20_33"/>
      <w:bookmarkStart w:id="331" w:name="Tc_0YlC7W-XsUKCTedrf8lReQ_20_30"/>
      <w:bookmarkStart w:id="332" w:name="Tc_7DgOxbI600i2ceaumYH19Q_20_27"/>
      <w:bookmarkStart w:id="333" w:name="Tc_Ra0ynmRzDkaDhS7mmRkQ5g_20_24"/>
      <w:bookmarkStart w:id="334" w:name="Tc_iCUirJZTyki_2Aupc8urqg_20_21"/>
      <w:bookmarkStart w:id="335" w:name="Tc_X6Hto3QuZUurAkJ0BlKBkg_20_18"/>
      <w:bookmarkStart w:id="336" w:name="Tc_br97N7TMLEOB81t7KcLj2A_20_15"/>
      <w:bookmarkStart w:id="337" w:name="Tc_Tt7U4iw0Akud9nVj4dsZfA_20_11"/>
      <w:bookmarkStart w:id="338" w:name="Tc_TLDgR67C6kyi4Vo-R1MUhQ_20_10"/>
      <w:bookmarkStart w:id="339" w:name="Tc_5iTp6xd0BUqB3MQpjSYwvA_20_5"/>
      <w:bookmarkStart w:id="340" w:name="Tc_Wvf9nurW802uURuAIpAi-g_20_4"/>
      <w:bookmarkStart w:id="341" w:name="Tc_GEaXDTVRIEe6cTNvAaZJJw_20_2"/>
      <w:bookmarkStart w:id="342" w:name="Tc_GKFU5SXGm0SQ7lMZq-GxIw_20_0"/>
      <w:bookmarkStart w:id="343" w:name="Tc_m0Wkb4RJ-0W46FxuQFf1VA_19_25"/>
      <w:bookmarkStart w:id="344" w:name="Tc_1IBfQuAdGEqyIwKp6iT02w_19_19"/>
      <w:bookmarkStart w:id="345" w:name="Tc_YaLOzqfos0O8v5h_PYcO-g_19_16"/>
      <w:bookmarkStart w:id="346" w:name="Tc_ZnixOHerwUuzq1wQ0ewIIA_19_13"/>
      <w:bookmarkStart w:id="347" w:name="Tc_jsygKIxlTkyKb8uY8Ja-Ww_19_11"/>
      <w:bookmarkStart w:id="348" w:name="Tc_PXF95gdvjkKZnakGjSibqg_19_8"/>
      <w:bookmarkStart w:id="349" w:name="Tc_vEmDXlCU50mOlP2tRGN7mw_19_5"/>
      <w:bookmarkStart w:id="350" w:name="Tc_9lnQskuyhEG_XWhDnzQQZA_19_2"/>
      <w:bookmarkStart w:id="351" w:name="Tc_PzlCSNknWUuflV7BJy4sfQ_19_0"/>
      <w:bookmarkStart w:id="352" w:name="Tc_ZKe0iLNVEEKKYvwNQ8QkQw_18_31"/>
      <w:bookmarkStart w:id="353" w:name="Tc_CPyeT7OXYEaYZF62tI7Y9A_18_22"/>
      <w:bookmarkStart w:id="354" w:name="Tc_AVxuDsvULUevATgg7gDh5A_18_19"/>
      <w:bookmarkStart w:id="355" w:name="Tc_NtfMDbJRcUKEjyLu2ckAmA_18_16"/>
      <w:bookmarkStart w:id="356" w:name="Tc_X9uix-ledUSlhlV8C-XCAg_18_13"/>
      <w:bookmarkStart w:id="357" w:name="Tc_uLsAUuCSYkiyRFDyLtAzHg_18_11"/>
      <w:bookmarkStart w:id="358" w:name="Tc_s6ne70xQNEmiMqXhMIT4Ug_18_8"/>
      <w:bookmarkStart w:id="359" w:name="Tc_KkPVMj6aq0KflMxlUCO5sw_18_5"/>
      <w:bookmarkStart w:id="360" w:name="Tc_5TTheuMFoE6aL4j1iszrdw_18_2"/>
      <w:bookmarkStart w:id="361" w:name="Tc_chdZKS66eUmK3dloQmxe7A_18_0"/>
      <w:bookmarkStart w:id="362" w:name="Tc_bkhs2C8I4UaJcWnq8vXdrA_17_22"/>
      <w:bookmarkStart w:id="363" w:name="Tc_Wo58szO090Km5BZHid6WlQ_17_19"/>
      <w:bookmarkStart w:id="364" w:name="Tc_XMRkt4EUX06qaMqWfZAh6A_17_16"/>
      <w:bookmarkStart w:id="365" w:name="Tc_fJexKmUjj0ekhFj5HPnWoQ_17_13"/>
      <w:bookmarkStart w:id="366" w:name="Tc_qJOK0wWlQEuklLskYW43Dw_17_11"/>
      <w:bookmarkStart w:id="367" w:name="Tc_pTdHuXLViEGSPLPnndwJKw_17_8"/>
      <w:bookmarkStart w:id="368" w:name="Tc_DH4Eku8I90SPwe6CD_gXjw_17_5"/>
      <w:bookmarkStart w:id="369" w:name="Tc_qa0Kus9vbkK0N8PJQFQY2A_17_2"/>
      <w:bookmarkStart w:id="370" w:name="Tc_SiSifR7YjECY7EiSdYYcbA_17_0"/>
      <w:bookmarkStart w:id="371" w:name="Tc_BUXV6Y5ft0SuTcMSf2VyXA_16_31"/>
      <w:bookmarkStart w:id="372" w:name="Tc_IZMTwhfnN06Rsv_xYCNJ-Q_16_25"/>
      <w:bookmarkStart w:id="373" w:name="Tc_UZ9L9Kpjk0-UIKQjWnIw1A_16_22"/>
      <w:bookmarkStart w:id="374" w:name="Tc_oIGzCqelVUK7KbZiP8Qdgg_16_16"/>
      <w:bookmarkStart w:id="375" w:name="Tc_QPU_EvVLYEmkCc9ysHnFXw_16_13"/>
      <w:bookmarkStart w:id="376" w:name="Tc_tUW1dpTkZkWEBzT7RoUcBA_16_11"/>
      <w:bookmarkStart w:id="377" w:name="Tc_DkRoyffhJECz7XjFw1zb1Q_16_8"/>
      <w:bookmarkStart w:id="378" w:name="Tc_J9sUywMT6UqdxBC9pxyh0Q_16_5"/>
      <w:bookmarkStart w:id="379" w:name="Tc_5-2cBMtGyE2M4wMyCSpcqA_16_2"/>
      <w:bookmarkStart w:id="380" w:name="Tc_rdlZIKA2h0OvsTEo-be77A_16_0"/>
      <w:bookmarkStart w:id="381" w:name="Tc_kDBkioiA4kaXxF0RGNx_1g_15_34"/>
      <w:bookmarkStart w:id="382" w:name="Tc_DqVwNkf6j0WPRO7BRMA9dw_15_31"/>
      <w:bookmarkStart w:id="383" w:name="Tc_KrRUGSZRvkuVRaZLzlWeHQ_15_28"/>
      <w:bookmarkStart w:id="384" w:name="Tc_phndeGeE4Eeml03HA6l2RQ_15_25"/>
      <w:bookmarkStart w:id="385" w:name="Tc_hDGyUd6H50CuYrDbUF9sWw_15_22"/>
      <w:bookmarkStart w:id="386" w:name="Tc_wDkKGFYToUeVy9S3j3_ptA_15_11"/>
      <w:bookmarkStart w:id="387" w:name="Tc_LqeRnGm-80St1aaS-JwIsQ_15_8"/>
      <w:bookmarkStart w:id="388" w:name="Tc_N2FhfGqXEU-v5gdDDEZnBg_15_5"/>
      <w:bookmarkStart w:id="389" w:name="Tc_XGn1zcuso0aRl2eklPykeQ_15_2"/>
      <w:bookmarkStart w:id="390" w:name="Tc_q5_DddhKJE2io80RWtU_pA_15_0"/>
      <w:bookmarkStart w:id="391" w:name="Tc_RFpoTVlH8EaR5lyRk1XsbQ_14_33"/>
      <w:bookmarkStart w:id="392" w:name="Tc_6uWwwSF65UqQOgADoWw6RQ_14_30"/>
      <w:bookmarkStart w:id="393" w:name="Tc_Py2BMBhCi0aSdgz_XOAJCg_14_27"/>
      <w:bookmarkStart w:id="394" w:name="Tc_nREOxfb54U6cFpQ32OuskA_14_24"/>
      <w:bookmarkStart w:id="395" w:name="Tc_NO2Kcx6qrU2gEAdYtQZmcg_14_21"/>
      <w:bookmarkStart w:id="396" w:name="Tc_HccWkF-7AEW9Ia5gVijckA_14_18"/>
      <w:bookmarkStart w:id="397" w:name="Tc_vBt58wDiI0ChUsuG9GbLcg_14_15"/>
      <w:bookmarkStart w:id="398" w:name="Tc_y1ZLBPw0Gkei2fSUwFC0zQ_14_11"/>
      <w:bookmarkStart w:id="399" w:name="Tc_fmwUgZj-DEeqLOFfOABnYw_14_10"/>
      <w:bookmarkStart w:id="400" w:name="Tc_iH2fOfTpBk2ciCA0NecW_A_14_5"/>
      <w:bookmarkStart w:id="401" w:name="Tc_dgRcKbScDU6KcsN7zTK2YA_14_4"/>
      <w:bookmarkStart w:id="402" w:name="Tc_MqajGdU8DkSgL4S_PODU1A_14_2"/>
      <w:bookmarkStart w:id="403" w:name="Tc_TtNSq7tiM0CHnQo0o0S1Xg_14_0"/>
      <w:bookmarkStart w:id="404" w:name="Tc_Jt4POyTZvE2DpV152sbUjA_13_25"/>
      <w:bookmarkStart w:id="405" w:name="Tc_ES_LiqFsTkGRKik1KCWH-Q_13_19"/>
      <w:bookmarkStart w:id="406" w:name="Tc_55wkEC_bl0yJrZHmD08QCg_13_16"/>
      <w:bookmarkStart w:id="407" w:name="Tc_UWQmIeJkjkioaYajjHkUww_13_13"/>
      <w:bookmarkStart w:id="408" w:name="Tc_vfc3yPJA_U6W9RFgGfa49A_13_11"/>
      <w:bookmarkStart w:id="409" w:name="Tc_HVrHlzYpakGXVhsQazW1Vg_13_8"/>
      <w:bookmarkStart w:id="410" w:name="Tc_xpQLpNBEmUqKBRAre8AGlg_13_5"/>
      <w:bookmarkStart w:id="411" w:name="Tc_SUqQJAe6BUC7_GhiK-TpCw_13_2"/>
      <w:bookmarkStart w:id="412" w:name="Tc_5t1VMcsHDkGabYPcXo2hSw_13_0"/>
      <w:bookmarkStart w:id="413" w:name="Tc_K8ipIpBUV0CgkV6lW1yhaQ_12_31"/>
      <w:bookmarkStart w:id="414" w:name="Tc_rwG6npaUUU6p6tL_kUFM8Q_12_22"/>
      <w:bookmarkStart w:id="415" w:name="Tc_8PxzGyBJPkGWN3zwxKpteQ_12_19"/>
      <w:bookmarkStart w:id="416" w:name="Tc_zWMwpMkP30KuYNvxoe-LFQ_12_16"/>
      <w:bookmarkStart w:id="417" w:name="Tc_oM-TJbRy_E2FdalGBVnaqQ_12_13"/>
      <w:bookmarkStart w:id="418" w:name="Tc_IA89T8SwckOW2yDaDnBDEQ_12_11"/>
      <w:bookmarkStart w:id="419" w:name="Tc_AYhotY39cUKTkbgXixWNfA_12_8"/>
      <w:bookmarkStart w:id="420" w:name="Tc_6lFdAiIaTU-kUqiedgxMsg_12_5"/>
      <w:bookmarkStart w:id="421" w:name="Tc_VGwKlsiCr0uxvmjbOYgU2w_12_2"/>
      <w:bookmarkStart w:id="422" w:name="Tc_hNr1XOhE3EO8bPvBK5hdFw_12_0"/>
      <w:bookmarkStart w:id="423" w:name="Tc_WUo02fZep0WEPS3r4ejhyA_11_22"/>
      <w:bookmarkStart w:id="424" w:name="Tc_CizUq5xcgUOqE-v5lE2SSw_11_19"/>
      <w:bookmarkStart w:id="425" w:name="Tc_9KllzQQ6b0ulY-Dx1CGfLg_11_16"/>
      <w:bookmarkStart w:id="426" w:name="Tc_Li0tzKjDAUmJ1FQE98pD-Q_11_13"/>
      <w:bookmarkStart w:id="427" w:name="Tc_iD2LvscWnE23ODieDoMH4Q_11_11"/>
      <w:bookmarkStart w:id="428" w:name="Tc_0ChdrU_J8Uy2hX8hz_hq-w_11_8"/>
      <w:bookmarkStart w:id="429" w:name="Tc_BZkqwi1tqkq7YijPB2yDgA_11_5"/>
      <w:bookmarkStart w:id="430" w:name="Tc_ALONBzVyBEun1142SMP0Uw_11_2"/>
      <w:bookmarkStart w:id="431" w:name="Tc_hOXdxUm1REKcS4Q10ucqjQ_11_0"/>
      <w:bookmarkStart w:id="432" w:name="Tc_-CS05gdu80-7M7z2fme2Cw_10_31"/>
      <w:bookmarkStart w:id="433" w:name="Tc_2hjMDa3PRkKQ6iPaAfdmsw_10_25"/>
      <w:bookmarkStart w:id="434" w:name="Tc_mmafIwAG10G5o6vGXCUKgw_10_22"/>
      <w:bookmarkStart w:id="435" w:name="Tc_g3qViK9GnUiHic3wtlaW9Q_10_16"/>
      <w:bookmarkStart w:id="436" w:name="Tc_sD_U24asl02RHnQQIDKQlg_10_13"/>
      <w:bookmarkStart w:id="437" w:name="Tc_b6WBUPXXWkGnRbJNWHBVqw_10_11"/>
      <w:bookmarkStart w:id="438" w:name="Tc_up1wRDqzUkGIQplQ5glA5A_10_8"/>
      <w:bookmarkStart w:id="439" w:name="Tc_Jgvsi4F8TEq9zbTulEY1cA_10_0"/>
      <w:bookmarkStart w:id="440" w:name="Tc_tSdY4TN5p0CdqoV93_sJSg_9_31"/>
      <w:bookmarkStart w:id="441" w:name="Tc_TgHbgJomGUSzbwgSuAgT_Q_9_25"/>
      <w:bookmarkStart w:id="442" w:name="Tc_ERVmEi0xS0uRDgjFVdBIJQ_9_22"/>
      <w:bookmarkStart w:id="443" w:name="Tc_9pyvXNIzZ0WFyniKEv7E6A_9_16"/>
      <w:bookmarkStart w:id="444" w:name="Tc_6TtRE08Kzka99Exjhnpjlw_9_13"/>
      <w:bookmarkStart w:id="445" w:name="Tc_k4nQ6gR6NkOwhUUdcMHnrg_9_11"/>
      <w:bookmarkStart w:id="446" w:name="Tc_HykW1xebkkinebBTT6iaEQ_9_8"/>
      <w:bookmarkStart w:id="447" w:name="Tc_RMBqSV4_5U-9MwzH98ve2Q_9_5"/>
      <w:bookmarkStart w:id="448" w:name="Tc_LnQMGeHCckuI3cNEAVYIvg_9_2"/>
      <w:bookmarkStart w:id="449" w:name="Tc_5U3PalUwHECxPoFXmpT5Rw_9_0"/>
      <w:bookmarkStart w:id="450" w:name="Tc_TSl4Hcw1aEmHSA675gyiwQ_8_31"/>
      <w:bookmarkStart w:id="451" w:name="Tc_S3aAPF2XIESLeLAB7d5zpw_8_25"/>
      <w:bookmarkStart w:id="452" w:name="Tc_gmRyWDM58USS29CXPk97QQ_8_22"/>
      <w:bookmarkStart w:id="453" w:name="Tc_fWFV3abe_EeBevFjvIweyQ_8_16"/>
      <w:bookmarkStart w:id="454" w:name="Tc_2mwsUm0OtkCGFe_hX6e7dg_8_13"/>
      <w:bookmarkStart w:id="455" w:name="Tc_UkoRzWWbsEudA92n09NbVA_8_11"/>
      <w:bookmarkStart w:id="456" w:name="Tc_mxsveY7VwUqPVu9RfKR4FA_8_5"/>
      <w:bookmarkStart w:id="457" w:name="Tc_tdN6BN2Z1kWrD6WdTOi5WQ_8_2"/>
      <w:bookmarkStart w:id="458" w:name="Tc_ZAmnhyJRlUiAk8VTwAezuQ_8_0"/>
      <w:bookmarkStart w:id="459" w:name="Tc_u1ksXBBB202cW9Wg0V0EwQ_7_31"/>
      <w:bookmarkStart w:id="460" w:name="Tc_DEFcg3tkYE29hqL9s6HuLg_7_25"/>
      <w:bookmarkStart w:id="461" w:name="Tc_r04qvsg4zkO-U-RCusB4ew_7_22"/>
      <w:bookmarkStart w:id="462" w:name="Tc_7SRqHREATkW3r4VtAG0Kig_7_16"/>
      <w:bookmarkStart w:id="463" w:name="Tc_76pLQcRbnUyUcJgkDjoCHg_7_13"/>
      <w:bookmarkStart w:id="464" w:name="Tc_ggRUnvPvOUC0FvxlCg3mfw_7_11"/>
      <w:bookmarkStart w:id="465" w:name="Tc_m0sZU4aum02MepGjYHcJgA_7_8"/>
      <w:bookmarkStart w:id="466" w:name="Tc_bgvyNr6keU-2ZDj_NWSF4A_7_5"/>
      <w:bookmarkStart w:id="467" w:name="Tc_e3RF8zyJh0qBxdlNU4drjg_7_2"/>
      <w:bookmarkStart w:id="468" w:name="Tc_BtmiOYvvCEKJ9xy9HUE8Ag_7_0"/>
      <w:bookmarkStart w:id="469" w:name="Tc_FZBm9T_2t0SFw3WHTn_zyw_6_31"/>
      <w:bookmarkStart w:id="470" w:name="Tc_BSfr7XBsyk-C6EwpsaPq5Q_6_25"/>
      <w:bookmarkStart w:id="471" w:name="Tc_o9fhjzQZC0KMaphcIICofw_6_22"/>
      <w:bookmarkStart w:id="472" w:name="Tc_3cec8PnHh0erE9tZ30r52g_6_11"/>
      <w:bookmarkStart w:id="473" w:name="Tc_jjlciVVvG026CT2ODnsK5Q_6_8"/>
      <w:bookmarkStart w:id="474" w:name="Tc_ZB2za3zqQkeY8awp2Pf9AA_6_5"/>
      <w:bookmarkStart w:id="475" w:name="Tc_EYkP_doNDkq6pICqWjOr-A_6_2"/>
      <w:bookmarkStart w:id="476" w:name="Tc_TX3gakd_ZE6ZzVmEyTq8UQ_6_0"/>
      <w:bookmarkStart w:id="477" w:name="Tc_pj2mlqwQmEuJTX-gM-jamQ_5_33"/>
      <w:bookmarkStart w:id="478" w:name="Tc_eoAwcXtZwEWqHtiOHm_lJQ_5_30"/>
      <w:bookmarkStart w:id="479" w:name="Tc_1p5L-H23LkGAGEaM08nZiQ_5_27"/>
      <w:bookmarkStart w:id="480" w:name="Tc_DQ9McHMZpkyNq3axZ_rUYg_5_24"/>
      <w:bookmarkStart w:id="481" w:name="Tc_i8QpCKM5b0WXjkZBUdpYWQ_5_21"/>
      <w:bookmarkStart w:id="482" w:name="Tc_SWcxPttzmki5OwjVNLEVrw_5_18"/>
      <w:bookmarkStart w:id="483" w:name="Tc_VeZzO4riwkGPg9eEG-zzNQ_5_15"/>
      <w:bookmarkStart w:id="484" w:name="Tc_bUYD4j8fuUCd91RbM0wUVg_5_11"/>
      <w:bookmarkStart w:id="485" w:name="Tc__rG_Kemc_kOPeWigAn7i6g_5_10"/>
      <w:bookmarkStart w:id="486" w:name="Tc_BmU62ijmYUq2p2I3CjwYDw_5_8"/>
      <w:bookmarkStart w:id="487" w:name="Tc_vNHL0r6s_UGL6RzVC4f7DA_5_4"/>
      <w:bookmarkStart w:id="488" w:name="Tc_f1Ai3qrCWkmxD8anv8ZrkA_5_0"/>
      <w:bookmarkStart w:id="489" w:name="Tc_K4pKgawxuk-1bIpa0VwIaA_4_33"/>
      <w:bookmarkStart w:id="490" w:name="Tc_7bMSlicDuk6a8pCwsLV9-A_4_30"/>
      <w:bookmarkStart w:id="491" w:name="Tc_l9rPY9fKjESI_gHqfimaBQ_4_27"/>
      <w:bookmarkStart w:id="492" w:name="Tc_PeLi8zFe5UeS_-Uzu3Rlrg_4_24"/>
      <w:bookmarkStart w:id="493" w:name="Tc_qyfLiRFhTES0GUBAPCNatQ_4_21"/>
      <w:bookmarkStart w:id="494" w:name="Tc_E-a7mfc3Ek627Wp4ZnASpA_4_18"/>
      <w:bookmarkStart w:id="495" w:name="Tc_UBO5w2yEnEKFdVF2xqgMWQ_4_15"/>
      <w:bookmarkStart w:id="496" w:name="Tc_Bv6ySoRZWUCYPpAC04TyJg_4_13"/>
      <w:bookmarkStart w:id="497" w:name="Tc_QHc7JOUUVEe-lOBaxc7f0g_4_10"/>
      <w:bookmarkStart w:id="498" w:name="Tc_6HDXfiCN8kGzLg2PEP0KHA_4_8"/>
      <w:bookmarkStart w:id="499" w:name="Tc_01vu3gv8jEGP27epaFubcQ_4_4"/>
      <w:bookmarkStart w:id="500" w:name="Tc_FAinu6SELUyd7AIiH3Llwg_4_2"/>
      <w:bookmarkStart w:id="501" w:name="Tc_LkRQ8xCll0-rkCZ8063naA_3_33"/>
      <w:bookmarkStart w:id="502" w:name="Tc_nmOIs3u77U29ChI5AnU1Vg_3_30"/>
      <w:bookmarkStart w:id="503" w:name="Tc_R5ubmsg190SMRJSDWP_oQA_3_27"/>
      <w:bookmarkStart w:id="504" w:name="Tc_N4ogzy9nwEmm3QENn0OjPw_3_24"/>
      <w:bookmarkStart w:id="505" w:name="Tc_oIlEwGPs_kygCBYwqNI6lg_3_21"/>
      <w:bookmarkStart w:id="506" w:name="Tc_uJcb-XjRYUeF8vRCu-de0A_3_18"/>
      <w:bookmarkStart w:id="507" w:name="Tc_LAe7KU2eJk2Ff3iv7hAtBA_3_13"/>
      <w:bookmarkStart w:id="508" w:name="Tc_4041rFwIM0uMODwqKiadaA_3_8"/>
      <w:bookmarkStart w:id="509" w:name="Tc_mKiljDx41UOFdmOSUbxf2g_3_2"/>
      <w:bookmarkStart w:id="510" w:name="Tc_qd2NzeHDDUOqsvAG4A59xw_2_30"/>
      <w:bookmarkStart w:id="511" w:name="Tc_IkhoxKSI_UWMDvttyrZ6MA_2_27"/>
      <w:bookmarkStart w:id="512" w:name="Tc_gsq-ifA5Q02lJ13yWWPoaQ_2_24"/>
      <w:bookmarkStart w:id="513" w:name="Tc_5AtUyFHIREW49XtjQwjV2A_2_18"/>
      <w:bookmarkStart w:id="514" w:name="Tc_5Khnt36IIkyZn46g4sZqZA_2_8"/>
      <w:bookmarkStart w:id="515" w:name="Tc_1VBezRj2d0yjzbQCyGBUnA_2_2"/>
      <w:bookmarkStart w:id="516" w:name="Tc_32XVOUfm8EGlGRUX4BHT2Q_1_24"/>
      <w:bookmarkStart w:id="517" w:name="_f926ee1d_6f17_4e3c_b3b1_cd58758c1286"/>
      <w:bookmarkStart w:id="518" w:name="Tc_428YBFtlDU6EPpKPHQn0-Q_20_33"/>
      <w:bookmarkStart w:id="519" w:name="Tc_0YlC7W-XsUKCTedrf8lReQ_20_30"/>
      <w:bookmarkStart w:id="520" w:name="Tc_7DgOxbI600i2ceaumYH19Q_20_27"/>
      <w:bookmarkStart w:id="521" w:name="Tc_Ra0ynmRzDkaDhS7mmRkQ5g_20_24"/>
      <w:bookmarkStart w:id="522" w:name="Tc_iCUirJZTyki_2Aupc8urqg_20_21"/>
      <w:bookmarkStart w:id="523" w:name="Tc_X6Hto3QuZUurAkJ0BlKBkg_20_18"/>
      <w:bookmarkStart w:id="524" w:name="Tc_br97N7TMLEOB81t7KcLj2A_20_15"/>
      <w:bookmarkStart w:id="525" w:name="Tc_Tt7U4iw0Akud9nVj4dsZfA_20_11"/>
      <w:bookmarkStart w:id="526" w:name="Tc_TLDgR67C6kyi4Vo-R1MUhQ_20_10"/>
      <w:bookmarkStart w:id="527" w:name="Tc_5iTp6xd0BUqB3MQpjSYwvA_20_5"/>
      <w:bookmarkStart w:id="528" w:name="Tc_Wvf9nurW802uURuAIpAi-g_20_4"/>
      <w:bookmarkStart w:id="529" w:name="Tc_GEaXDTVRIEe6cTNvAaZJJw_20_2"/>
      <w:bookmarkStart w:id="530" w:name="Tc_GKFU5SXGm0SQ7lMZq-GxIw_20_0"/>
      <w:bookmarkStart w:id="531" w:name="Tc_m0Wkb4RJ-0W46FxuQFf1VA_19_25"/>
      <w:bookmarkStart w:id="532" w:name="Tc_1IBfQuAdGEqyIwKp6iT02w_19_19"/>
      <w:bookmarkStart w:id="533" w:name="Tc_YaLOzqfos0O8v5h_PYcO-g_19_16"/>
      <w:bookmarkStart w:id="534" w:name="Tc_ZnixOHerwUuzq1wQ0ewIIA_19_13"/>
      <w:bookmarkStart w:id="535" w:name="Tc_jsygKIxlTkyKb8uY8Ja-Ww_19_11"/>
      <w:bookmarkStart w:id="536" w:name="Tc_PXF95gdvjkKZnakGjSibqg_19_8"/>
      <w:bookmarkStart w:id="537" w:name="Tc_vEmDXlCU50mOlP2tRGN7mw_19_5"/>
      <w:bookmarkStart w:id="538" w:name="Tc_9lnQskuyhEG_XWhDnzQQZA_19_2"/>
      <w:bookmarkStart w:id="539" w:name="Tc_PzlCSNknWUuflV7BJy4sfQ_19_0"/>
      <w:bookmarkStart w:id="540" w:name="Tc_ZKe0iLNVEEKKYvwNQ8QkQw_18_31"/>
      <w:bookmarkStart w:id="541" w:name="Tc_CPyeT7OXYEaYZF62tI7Y9A_18_22"/>
      <w:bookmarkStart w:id="542" w:name="Tc_AVxuDsvULUevATgg7gDh5A_18_19"/>
      <w:bookmarkStart w:id="543" w:name="Tc_NtfMDbJRcUKEjyLu2ckAmA_18_16"/>
      <w:bookmarkStart w:id="544" w:name="Tc_X9uix-ledUSlhlV8C-XCAg_18_13"/>
      <w:bookmarkStart w:id="545" w:name="Tc_uLsAUuCSYkiyRFDyLtAzHg_18_11"/>
      <w:bookmarkStart w:id="546" w:name="Tc_s6ne70xQNEmiMqXhMIT4Ug_18_8"/>
      <w:bookmarkStart w:id="547" w:name="Tc_KkPVMj6aq0KflMxlUCO5sw_18_5"/>
      <w:bookmarkStart w:id="548" w:name="Tc_5TTheuMFoE6aL4j1iszrdw_18_2"/>
      <w:bookmarkStart w:id="549" w:name="Tc_chdZKS66eUmK3dloQmxe7A_18_0"/>
      <w:bookmarkStart w:id="550" w:name="Tc_bkhs2C8I4UaJcWnq8vXdrA_17_22"/>
      <w:bookmarkStart w:id="551" w:name="Tc_Wo58szO090Km5BZHid6WlQ_17_19"/>
      <w:bookmarkStart w:id="552" w:name="Tc_XMRkt4EUX06qaMqWfZAh6A_17_16"/>
      <w:bookmarkStart w:id="553" w:name="Tc_fJexKmUjj0ekhFj5HPnWoQ_17_13"/>
      <w:bookmarkStart w:id="554" w:name="Tc_qJOK0wWlQEuklLskYW43Dw_17_11"/>
      <w:bookmarkStart w:id="555" w:name="Tc_pTdHuXLViEGSPLPnndwJKw_17_8"/>
      <w:bookmarkStart w:id="556" w:name="Tc_DH4Eku8I90SPwe6CD_gXjw_17_5"/>
      <w:bookmarkStart w:id="557" w:name="Tc_qa0Kus9vbkK0N8PJQFQY2A_17_2"/>
      <w:bookmarkStart w:id="558" w:name="Tc_SiSifR7YjECY7EiSdYYcbA_17_0"/>
      <w:bookmarkStart w:id="559" w:name="Tc_BUXV6Y5ft0SuTcMSf2VyXA_16_31"/>
      <w:bookmarkStart w:id="560" w:name="Tc_IZMTwhfnN06Rsv_xYCNJ-Q_16_25"/>
      <w:bookmarkStart w:id="561" w:name="Tc_UZ9L9Kpjk0-UIKQjWnIw1A_16_22"/>
      <w:bookmarkStart w:id="562" w:name="Tc_oIGzCqelVUK7KbZiP8Qdgg_16_16"/>
      <w:bookmarkStart w:id="563" w:name="Tc_QPU_EvVLYEmkCc9ysHnFXw_16_13"/>
      <w:bookmarkStart w:id="564" w:name="Tc_tUW1dpTkZkWEBzT7RoUcBA_16_11"/>
      <w:bookmarkStart w:id="565" w:name="Tc_DkRoyffhJECz7XjFw1zb1Q_16_8"/>
      <w:bookmarkStart w:id="566" w:name="Tc_J9sUywMT6UqdxBC9pxyh0Q_16_5"/>
      <w:bookmarkStart w:id="567" w:name="Tc_5-2cBMtGyE2M4wMyCSpcqA_16_2"/>
      <w:bookmarkStart w:id="568" w:name="Tc_rdlZIKA2h0OvsTEo-be77A_16_0"/>
      <w:bookmarkStart w:id="569" w:name="Tc_kDBkioiA4kaXxF0RGNx_1g_15_34"/>
      <w:bookmarkStart w:id="570" w:name="Tc_DqVwNkf6j0WPRO7BRMA9dw_15_31"/>
      <w:bookmarkStart w:id="571" w:name="Tc_KrRUGSZRvkuVRaZLzlWeHQ_15_28"/>
      <w:bookmarkStart w:id="572" w:name="Tc_phndeGeE4Eeml03HA6l2RQ_15_25"/>
      <w:bookmarkStart w:id="573" w:name="Tc_hDGyUd6H50CuYrDbUF9sWw_15_22"/>
      <w:bookmarkStart w:id="574" w:name="Tc_wDkKGFYToUeVy9S3j3_ptA_15_11"/>
      <w:bookmarkStart w:id="575" w:name="Tc_LqeRnGm-80St1aaS-JwIsQ_15_8"/>
      <w:bookmarkStart w:id="576" w:name="Tc_N2FhfGqXEU-v5gdDDEZnBg_15_5"/>
      <w:bookmarkStart w:id="577" w:name="Tc_XGn1zcuso0aRl2eklPykeQ_15_2"/>
      <w:bookmarkStart w:id="578" w:name="Tc_q5_DddhKJE2io80RWtU_pA_15_0"/>
      <w:bookmarkStart w:id="579" w:name="Tc_RFpoTVlH8EaR5lyRk1XsbQ_14_33"/>
      <w:bookmarkStart w:id="580" w:name="Tc_6uWwwSF65UqQOgADoWw6RQ_14_30"/>
      <w:bookmarkStart w:id="581" w:name="Tc_Py2BMBhCi0aSdgz_XOAJCg_14_27"/>
      <w:bookmarkStart w:id="582" w:name="Tc_nREOxfb54U6cFpQ32OuskA_14_24"/>
      <w:bookmarkStart w:id="583" w:name="Tc_NO2Kcx6qrU2gEAdYtQZmcg_14_21"/>
      <w:bookmarkStart w:id="584" w:name="Tc_HccWkF-7AEW9Ia5gVijckA_14_18"/>
      <w:bookmarkStart w:id="585" w:name="Tc_vBt58wDiI0ChUsuG9GbLcg_14_15"/>
      <w:bookmarkStart w:id="586" w:name="Tc_y1ZLBPw0Gkei2fSUwFC0zQ_14_11"/>
      <w:bookmarkStart w:id="587" w:name="Tc_fmwUgZj-DEeqLOFfOABnYw_14_10"/>
      <w:bookmarkStart w:id="588" w:name="Tc_iH2fOfTpBk2ciCA0NecW_A_14_5"/>
      <w:bookmarkStart w:id="589" w:name="Tc_dgRcKbScDU6KcsN7zTK2YA_14_4"/>
      <w:bookmarkStart w:id="590" w:name="Tc_MqajGdU8DkSgL4S_PODU1A_14_2"/>
      <w:bookmarkStart w:id="591" w:name="Tc_TtNSq7tiM0CHnQo0o0S1Xg_14_0"/>
      <w:bookmarkStart w:id="592" w:name="Tc_Jt4POyTZvE2DpV152sbUjA_13_25"/>
      <w:bookmarkStart w:id="593" w:name="Tc_ES_LiqFsTkGRKik1KCWH-Q_13_19"/>
      <w:bookmarkStart w:id="594" w:name="Tc_55wkEC_bl0yJrZHmD08QCg_13_16"/>
      <w:bookmarkStart w:id="595" w:name="Tc_UWQmIeJkjkioaYajjHkUww_13_13"/>
      <w:bookmarkStart w:id="596" w:name="Tc_vfc3yPJA_U6W9RFgGfa49A_13_11"/>
      <w:bookmarkStart w:id="597" w:name="Tc_HVrHlzYpakGXVhsQazW1Vg_13_8"/>
      <w:bookmarkStart w:id="598" w:name="Tc_xpQLpNBEmUqKBRAre8AGlg_13_5"/>
      <w:bookmarkStart w:id="599" w:name="Tc_SUqQJAe6BUC7_GhiK-TpCw_13_2"/>
      <w:bookmarkStart w:id="600" w:name="Tc_5t1VMcsHDkGabYPcXo2hSw_13_0"/>
      <w:bookmarkStart w:id="601" w:name="Tc_K8ipIpBUV0CgkV6lW1yhaQ_12_31"/>
      <w:bookmarkStart w:id="602" w:name="Tc_rwG6npaUUU6p6tL_kUFM8Q_12_22"/>
      <w:bookmarkStart w:id="603" w:name="Tc_8PxzGyBJPkGWN3zwxKpteQ_12_19"/>
      <w:bookmarkStart w:id="604" w:name="Tc_zWMwpMkP30KuYNvxoe-LFQ_12_16"/>
      <w:bookmarkStart w:id="605" w:name="Tc_oM-TJbRy_E2FdalGBVnaqQ_12_13"/>
      <w:bookmarkStart w:id="606" w:name="Tc_IA89T8SwckOW2yDaDnBDEQ_12_11"/>
      <w:bookmarkStart w:id="607" w:name="Tc_AYhotY39cUKTkbgXixWNfA_12_8"/>
      <w:bookmarkStart w:id="608" w:name="Tc_6lFdAiIaTU-kUqiedgxMsg_12_5"/>
      <w:bookmarkStart w:id="609" w:name="Tc_VGwKlsiCr0uxvmjbOYgU2w_12_2"/>
      <w:bookmarkStart w:id="610" w:name="Tc_hNr1XOhE3EO8bPvBK5hdFw_12_0"/>
      <w:bookmarkStart w:id="611" w:name="Tc_WUo02fZep0WEPS3r4ejhyA_11_22"/>
      <w:bookmarkStart w:id="612" w:name="Tc_CizUq5xcgUOqE-v5lE2SSw_11_19"/>
      <w:bookmarkStart w:id="613" w:name="Tc_9KllzQQ6b0ulY-Dx1CGfLg_11_16"/>
      <w:bookmarkStart w:id="614" w:name="Tc_Li0tzKjDAUmJ1FQE98pD-Q_11_13"/>
      <w:bookmarkStart w:id="615" w:name="Tc_iD2LvscWnE23ODieDoMH4Q_11_11"/>
      <w:bookmarkStart w:id="616" w:name="Tc_0ChdrU_J8Uy2hX8hz_hq-w_11_8"/>
      <w:bookmarkStart w:id="617" w:name="Tc_BZkqwi1tqkq7YijPB2yDgA_11_5"/>
      <w:bookmarkStart w:id="618" w:name="Tc_ALONBzVyBEun1142SMP0Uw_11_2"/>
      <w:bookmarkStart w:id="619" w:name="Tc_hOXdxUm1REKcS4Q10ucqjQ_11_0"/>
      <w:bookmarkStart w:id="620" w:name="Tc_-CS05gdu80-7M7z2fme2Cw_10_31"/>
      <w:bookmarkStart w:id="621" w:name="Tc_2hjMDa3PRkKQ6iPaAfdmsw_10_25"/>
      <w:bookmarkStart w:id="622" w:name="Tc_mmafIwAG10G5o6vGXCUKgw_10_22"/>
      <w:bookmarkStart w:id="623" w:name="Tc_g3qViK9GnUiHic3wtlaW9Q_10_16"/>
      <w:bookmarkStart w:id="624" w:name="Tc_sD_U24asl02RHnQQIDKQlg_10_13"/>
      <w:bookmarkStart w:id="625" w:name="Tc_b6WBUPXXWkGnRbJNWHBVqw_10_11"/>
      <w:bookmarkStart w:id="626" w:name="Tc_up1wRDqzUkGIQplQ5glA5A_10_8"/>
      <w:bookmarkStart w:id="627" w:name="Tc_Jgvsi4F8TEq9zbTulEY1cA_10_0"/>
      <w:bookmarkStart w:id="628" w:name="Tc_tSdY4TN5p0CdqoV93_sJSg_9_31"/>
      <w:bookmarkStart w:id="629" w:name="Tc_TgHbgJomGUSzbwgSuAgT_Q_9_25"/>
      <w:bookmarkStart w:id="630" w:name="Tc_ERVmEi0xS0uRDgjFVdBIJQ_9_22"/>
      <w:bookmarkStart w:id="631" w:name="Tc_9pyvXNIzZ0WFyniKEv7E6A_9_16"/>
      <w:bookmarkStart w:id="632" w:name="Tc_6TtRE08Kzka99Exjhnpjlw_9_13"/>
      <w:bookmarkStart w:id="633" w:name="Tc_k4nQ6gR6NkOwhUUdcMHnrg_9_11"/>
      <w:bookmarkStart w:id="634" w:name="Tc_HykW1xebkkinebBTT6iaEQ_9_8"/>
      <w:bookmarkStart w:id="635" w:name="Tc_RMBqSV4_5U-9MwzH98ve2Q_9_5"/>
      <w:bookmarkStart w:id="636" w:name="Tc_LnQMGeHCckuI3cNEAVYIvg_9_2"/>
      <w:bookmarkStart w:id="637" w:name="Tc_5U3PalUwHECxPoFXmpT5Rw_9_0"/>
      <w:bookmarkStart w:id="638" w:name="Tc_TSl4Hcw1aEmHSA675gyiwQ_8_31"/>
      <w:bookmarkStart w:id="639" w:name="Tc_S3aAPF2XIESLeLAB7d5zpw_8_25"/>
      <w:bookmarkStart w:id="640" w:name="Tc_gmRyWDM58USS29CXPk97QQ_8_22"/>
      <w:bookmarkStart w:id="641" w:name="Tc_fWFV3abe_EeBevFjvIweyQ_8_16"/>
      <w:bookmarkStart w:id="642" w:name="Tc_2mwsUm0OtkCGFe_hX6e7dg_8_13"/>
      <w:bookmarkStart w:id="643" w:name="Tc_UkoRzWWbsEudA92n09NbVA_8_11"/>
      <w:bookmarkStart w:id="644" w:name="Tc_mxsveY7VwUqPVu9RfKR4FA_8_5"/>
      <w:bookmarkStart w:id="645" w:name="Tc_tdN6BN2Z1kWrD6WdTOi5WQ_8_2"/>
      <w:bookmarkStart w:id="646" w:name="Tc_ZAmnhyJRlUiAk8VTwAezuQ_8_0"/>
      <w:bookmarkStart w:id="647" w:name="Tc_u1ksXBBB202cW9Wg0V0EwQ_7_31"/>
      <w:bookmarkStart w:id="648" w:name="Tc_DEFcg3tkYE29hqL9s6HuLg_7_25"/>
      <w:bookmarkStart w:id="649" w:name="Tc_r04qvsg4zkO-U-RCusB4ew_7_22"/>
      <w:bookmarkStart w:id="650" w:name="Tc_7SRqHREATkW3r4VtAG0Kig_7_16"/>
      <w:bookmarkStart w:id="651" w:name="Tc_76pLQcRbnUyUcJgkDjoCHg_7_13"/>
      <w:bookmarkStart w:id="652" w:name="Tc_ggRUnvPvOUC0FvxlCg3mfw_7_11"/>
      <w:bookmarkStart w:id="653" w:name="Tc_m0sZU4aum02MepGjYHcJgA_7_8"/>
      <w:bookmarkStart w:id="654" w:name="Tc_bgvyNr6keU-2ZDj_NWSF4A_7_5"/>
      <w:bookmarkStart w:id="655" w:name="Tc_e3RF8zyJh0qBxdlNU4drjg_7_2"/>
      <w:bookmarkStart w:id="656" w:name="Tc_BtmiOYvvCEKJ9xy9HUE8Ag_7_0"/>
      <w:bookmarkStart w:id="657" w:name="Tc_FZBm9T_2t0SFw3WHTn_zyw_6_31"/>
      <w:bookmarkStart w:id="658" w:name="Tc_BSfr7XBsyk-C6EwpsaPq5Q_6_25"/>
      <w:bookmarkStart w:id="659" w:name="Tc_o9fhjzQZC0KMaphcIICofw_6_22"/>
      <w:bookmarkStart w:id="660" w:name="Tc_3cec8PnHh0erE9tZ30r52g_6_11"/>
      <w:bookmarkStart w:id="661" w:name="Tc_jjlciVVvG026CT2ODnsK5Q_6_8"/>
      <w:bookmarkStart w:id="662" w:name="Tc_ZB2za3zqQkeY8awp2Pf9AA_6_5"/>
      <w:bookmarkStart w:id="663" w:name="Tc_EYkP_doNDkq6pICqWjOr-A_6_2"/>
      <w:bookmarkStart w:id="664" w:name="Tc_TX3gakd_ZE6ZzVmEyTq8UQ_6_0"/>
      <w:bookmarkStart w:id="665" w:name="Tc_pj2mlqwQmEuJTX-gM-jamQ_5_33"/>
      <w:bookmarkStart w:id="666" w:name="Tc_eoAwcXtZwEWqHtiOHm_lJQ_5_30"/>
      <w:bookmarkStart w:id="667" w:name="Tc_1p5L-H23LkGAGEaM08nZiQ_5_27"/>
      <w:bookmarkStart w:id="668" w:name="Tc_DQ9McHMZpkyNq3axZ_rUYg_5_24"/>
      <w:bookmarkStart w:id="669" w:name="Tc_i8QpCKM5b0WXjkZBUdpYWQ_5_21"/>
      <w:bookmarkStart w:id="670" w:name="Tc_SWcxPttzmki5OwjVNLEVrw_5_18"/>
      <w:bookmarkStart w:id="671" w:name="Tc_VeZzO4riwkGPg9eEG-zzNQ_5_15"/>
      <w:bookmarkStart w:id="672" w:name="Tc_bUYD4j8fuUCd91RbM0wUVg_5_11"/>
      <w:bookmarkStart w:id="673" w:name="Tc__rG_Kemc_kOPeWigAn7i6g_5_10"/>
      <w:bookmarkStart w:id="674" w:name="Tc_BmU62ijmYUq2p2I3CjwYDw_5_8"/>
      <w:bookmarkStart w:id="675" w:name="Tc_vNHL0r6s_UGL6RzVC4f7DA_5_4"/>
      <w:bookmarkStart w:id="676" w:name="Tc_f1Ai3qrCWkmxD8anv8ZrkA_5_0"/>
      <w:bookmarkStart w:id="677" w:name="Tc_K4pKgawxuk-1bIpa0VwIaA_4_33"/>
      <w:bookmarkStart w:id="678" w:name="Tc_7bMSlicDuk6a8pCwsLV9-A_4_30"/>
      <w:bookmarkStart w:id="679" w:name="Tc_l9rPY9fKjESI_gHqfimaBQ_4_27"/>
      <w:bookmarkStart w:id="680" w:name="Tc_PeLi8zFe5UeS_-Uzu3Rlrg_4_24"/>
      <w:bookmarkStart w:id="681" w:name="Tc_qyfLiRFhTES0GUBAPCNatQ_4_21"/>
      <w:bookmarkStart w:id="682" w:name="Tc_E-a7mfc3Ek627Wp4ZnASpA_4_18"/>
      <w:bookmarkStart w:id="683" w:name="Tc_UBO5w2yEnEKFdVF2xqgMWQ_4_15"/>
      <w:bookmarkStart w:id="684" w:name="Tc_Bv6ySoRZWUCYPpAC04TyJg_4_13"/>
      <w:bookmarkStart w:id="685" w:name="Tc_QHc7JOUUVEe-lOBaxc7f0g_4_10"/>
      <w:bookmarkStart w:id="686" w:name="Tc_6HDXfiCN8kGzLg2PEP0KHA_4_8"/>
      <w:bookmarkStart w:id="687" w:name="Tc_01vu3gv8jEGP27epaFubcQ_4_4"/>
      <w:bookmarkStart w:id="688" w:name="Tc_FAinu6SELUyd7AIiH3Llwg_4_2"/>
      <w:bookmarkStart w:id="689" w:name="Tc_LkRQ8xCll0-rkCZ8063naA_3_33"/>
      <w:bookmarkStart w:id="690" w:name="Tc_nmOIs3u77U29ChI5AnU1Vg_3_30"/>
      <w:bookmarkStart w:id="691" w:name="Tc_R5ubmsg190SMRJSDWP_oQA_3_27"/>
      <w:bookmarkStart w:id="692" w:name="Tc_N4ogzy9nwEmm3QENn0OjPw_3_24"/>
      <w:bookmarkStart w:id="693" w:name="Tc_oIlEwGPs_kygCBYwqNI6lg_3_21"/>
      <w:bookmarkStart w:id="694" w:name="Tc_uJcb-XjRYUeF8vRCu-de0A_3_18"/>
      <w:bookmarkStart w:id="695" w:name="Tc_LAe7KU2eJk2Ff3iv7hAtBA_3_13"/>
      <w:bookmarkStart w:id="696" w:name="Tc_4041rFwIM0uMODwqKiadaA_3_8"/>
      <w:bookmarkStart w:id="697" w:name="Tc_mKiljDx41UOFdmOSUbxf2g_3_2"/>
      <w:bookmarkStart w:id="698" w:name="Tc_qd2NzeHDDUOqsvAG4A59xw_2_30"/>
      <w:bookmarkStart w:id="699" w:name="Tc_IkhoxKSI_UWMDvttyrZ6MA_2_27"/>
      <w:bookmarkStart w:id="700" w:name="Tc_gsq-ifA5Q02lJ13yWWPoaQ_2_24"/>
      <w:bookmarkStart w:id="701" w:name="Tc_5AtUyFHIREW49XtjQwjV2A_2_18"/>
      <w:bookmarkStart w:id="702" w:name="Tc_5Khnt36IIkyZn46g4sZqZA_2_8"/>
      <w:bookmarkStart w:id="703" w:name="Tc_1VBezRj2d0yjzbQCyGBUnA_2_2"/>
      <w:bookmarkStart w:id="704" w:name="Tc_32XVOUfm8EGlGRUX4BHT2Q_1_24"/>
      <w:bookmarkStart w:id="705" w:name="_f926ee1d_6f17_4e3c_b3b1_cd58758c1286"/>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W w:w="14096" w:type="dxa"/>
        <w:jc w:val="left"/>
        <w:tblInd w:w="0" w:type="dxa"/>
        <w:tblLayout w:type="fixed"/>
        <w:tblCellMar>
          <w:top w:w="0" w:type="dxa"/>
          <w:left w:w="0" w:type="dxa"/>
          <w:bottom w:w="0" w:type="dxa"/>
          <w:right w:w="0" w:type="dxa"/>
        </w:tblCellMar>
      </w:tblPr>
      <w:tblGrid>
        <w:gridCol w:w="1216"/>
        <w:gridCol w:w="346"/>
        <w:gridCol w:w="511"/>
        <w:gridCol w:w="346"/>
        <w:gridCol w:w="196"/>
        <w:gridCol w:w="436"/>
        <w:gridCol w:w="109"/>
        <w:gridCol w:w="109"/>
        <w:gridCol w:w="601"/>
        <w:gridCol w:w="346"/>
        <w:gridCol w:w="206"/>
        <w:gridCol w:w="365"/>
        <w:gridCol w:w="346"/>
        <w:gridCol w:w="826"/>
        <w:gridCol w:w="346"/>
        <w:gridCol w:w="206"/>
        <w:gridCol w:w="365"/>
        <w:gridCol w:w="109"/>
        <w:gridCol w:w="196"/>
        <w:gridCol w:w="691"/>
        <w:gridCol w:w="346"/>
        <w:gridCol w:w="196"/>
        <w:gridCol w:w="751"/>
        <w:gridCol w:w="346"/>
        <w:gridCol w:w="252"/>
        <w:gridCol w:w="739"/>
        <w:gridCol w:w="346"/>
        <w:gridCol w:w="196"/>
        <w:gridCol w:w="661"/>
        <w:gridCol w:w="346"/>
        <w:gridCol w:w="196"/>
        <w:gridCol w:w="601"/>
        <w:gridCol w:w="346"/>
        <w:gridCol w:w="196"/>
        <w:gridCol w:w="70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72160" cy="175260"/>
                      <wp:effectExtent l="0" t="0" r="0" b="0"/>
                      <wp:wrapNone/>
                      <wp:docPr id="22" name="Frame2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24485" cy="175260"/>
                      <wp:effectExtent l="0" t="0" r="0" b="0"/>
                      <wp:wrapNone/>
                      <wp:docPr id="24" name="Frame2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6860" cy="175260"/>
                      <wp:effectExtent l="0" t="0" r="0" b="0"/>
                      <wp:wrapNone/>
                      <wp:docPr id="27" name="Frame2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81635" cy="175260"/>
                      <wp:effectExtent l="0" t="0" r="0" b="0"/>
                      <wp:wrapNone/>
                      <wp:docPr id="30" name="Frame3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0810" cy="175260"/>
                      <wp:effectExtent l="0" t="0" r="0" b="0"/>
                      <wp:wrapNone/>
                      <wp:docPr id="32" name="Frame3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31775" cy="175260"/>
                      <wp:effectExtent l="0" t="0" r="0" b="0"/>
                      <wp:wrapNone/>
                      <wp:docPr id="33" name="Frame3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4510" cy="175260"/>
                      <wp:effectExtent l="0" t="0" r="0" b="0"/>
                      <wp:wrapNone/>
                      <wp:docPr id="35" name="Frame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0810" cy="175260"/>
                      <wp:effectExtent l="0" t="0" r="0" b="0"/>
                      <wp:wrapNone/>
                      <wp:docPr id="37" name="Frame3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31775" cy="175260"/>
                      <wp:effectExtent l="0" t="0" r="0" b="0"/>
                      <wp:wrapNone/>
                      <wp:docPr id="38" name="Frame3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785" cy="175260"/>
                      <wp:effectExtent l="0" t="0" r="0" b="0"/>
                      <wp:wrapNone/>
                      <wp:docPr id="41"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76885" cy="175260"/>
                      <wp:effectExtent l="0" t="0" r="0" b="0"/>
                      <wp:wrapNone/>
                      <wp:docPr id="44" name="Frame4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0020" cy="175260"/>
                      <wp:effectExtent l="0" t="0" r="0" b="0"/>
                      <wp:wrapNone/>
                      <wp:docPr id="46" name="Frame4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69265" cy="175260"/>
                      <wp:effectExtent l="0" t="0" r="0" b="0"/>
                      <wp:wrapNone/>
                      <wp:docPr id="47" name="Frame4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19735" cy="175260"/>
                      <wp:effectExtent l="0" t="0" r="0" b="0"/>
                      <wp:wrapNone/>
                      <wp:docPr id="50" name="Frame5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1635" cy="175260"/>
                      <wp:effectExtent l="0" t="0" r="0" b="0"/>
                      <wp:wrapNone/>
                      <wp:docPr id="53" name="Frame5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48310" cy="175260"/>
                      <wp:effectExtent l="0" t="0" r="0" b="0"/>
                      <wp:wrapNone/>
                      <wp:docPr id="56" name="Frame5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Series G Convertible</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518"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Series H Convertible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5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46" w:type="dxa"/>
            <w:tcBorders/>
            <w:vAlign w:val="center"/>
          </w:tcPr>
          <w:p>
            <w:pPr>
              <w:pStyle w:val="TableContents"/>
              <w:bidi w:val="0"/>
              <w:spacing w:before="0" w:after="0"/>
              <w:ind w:left="0" w:right="0" w:hanging="0"/>
              <w:jc w:val="left"/>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(deficit)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6,071,324</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468,915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(489,697)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(12,804)</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Series G preferred stock installment redemption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1,855,442</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H Preferred Stock in private placement, net of transaction costs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31,333</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Extinguishment of Series G Preferred Stock and convertible notes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4,356</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(11,012)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31,333</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7,926,766</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502,869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(500,899)</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vested stock awards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545,000</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31,333</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8,471,766</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502,962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(503,139)</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8,252</w:t>
            </w:r>
          </w:p>
        </w:tc>
      </w:tr>
      <w:tr>
        <w:trPr/>
        <w:tc>
          <w:tcPr>
            <w:tcW w:w="1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06" w:name="Tc_7fTWdt6h90ica-P1gGw_bQ_22_28"/>
      <w:bookmarkStart w:id="707" w:name="Tc_QoH9DPXlD0mvL3AJrkvWpA_22_25"/>
      <w:bookmarkStart w:id="708" w:name="Tc_t1k5RfsMoE-QxqWfSwQlYA_22_22"/>
      <w:bookmarkStart w:id="709" w:name="Tc_JUud853HK0ec3ux4yM7Bgg_22_19"/>
      <w:bookmarkStart w:id="710" w:name="Tc_xrHUyU5bdE2MALXvv3Z5ww_22_16"/>
      <w:bookmarkStart w:id="711" w:name="Tc_pO5maLEAUEy-wSUDi4A5Kg_22_13"/>
      <w:bookmarkStart w:id="712" w:name="Tc_wsrBPVyB_kKhcOFr8Svf3A_22_10"/>
      <w:bookmarkStart w:id="713" w:name="Tc_UmJYTh_W40a7lG5xpoaUkQ_22_4"/>
      <w:bookmarkStart w:id="714" w:name="Tc_M77iYhX9jUeAKNczCuK95w_22_0"/>
      <w:bookmarkStart w:id="715" w:name="Tc_jr-upZ-6UEWiyWJlDHqJtw_21_20"/>
      <w:bookmarkStart w:id="716" w:name="Tc_LmvYeumgP0O8sKQdxelZYw_21_14"/>
      <w:bookmarkStart w:id="717" w:name="Tc_nkb-5KW8I0uWl5SKMib1lg_21_11"/>
      <w:bookmarkStart w:id="718" w:name="Tc__ifEY2saDkunUbcmUbkU3g_21_8"/>
      <w:bookmarkStart w:id="719" w:name="Tc_KMTuWDkauUC_EeY8XmtFhw_21_5"/>
      <w:bookmarkStart w:id="720" w:name="Tc_lYEIALyui06_d13CV7lmrg_21_2"/>
      <w:bookmarkStart w:id="721" w:name="Tc_uyPoEk-lVEilhq4aABRmqQ_21_0"/>
      <w:bookmarkStart w:id="722" w:name="Tc_-KsmpnVolkGjU8-HE0IJwQ_20_26"/>
      <w:bookmarkStart w:id="723" w:name="Tc_ApcahW22uUiRrB1m8RmXkw_20_17"/>
      <w:bookmarkStart w:id="724" w:name="Tc_o5GOg-kTUk2ZgAv5RRL_oQ_20_14"/>
      <w:bookmarkStart w:id="725" w:name="Tc_VI9ivWCu3k2ix6kUtRutIg_20_11"/>
      <w:bookmarkStart w:id="726" w:name="Tc_6AIdBnSWXkq2h822-LZCSw_20_8"/>
      <w:bookmarkStart w:id="727" w:name="Tc_k4vbe13OsEedYMKWql4HXg_20_5"/>
      <w:bookmarkStart w:id="728" w:name="Tc_G6Fyjy7QyEmc3M1NztsNHw_20_2"/>
      <w:bookmarkStart w:id="729" w:name="Tc_biXHNMuLfk6JK2g9hOKx0g_20_0"/>
      <w:bookmarkStart w:id="730" w:name="Tc_f2CdXzTKPUui5HNo-K0UUQ_19_17"/>
      <w:bookmarkStart w:id="731" w:name="Tc_DxcH6u2xrUCV8yD9PD7FWQ_19_14"/>
      <w:bookmarkStart w:id="732" w:name="Tc_UdHGt_9qhUOM4T4MyuPflg_19_11"/>
      <w:bookmarkStart w:id="733" w:name="Tc_bdyOD5f81EWo0URGmre_FA_19_8"/>
      <w:bookmarkStart w:id="734" w:name="Tc_R1nsjgL5Kk2f7ik2FZ2uzg_19_5"/>
      <w:bookmarkStart w:id="735" w:name="Tc_YJRmu7t-MkKpk6glZkqsjw_19_2"/>
      <w:bookmarkStart w:id="736" w:name="Tc_OPLqwPoXFkKv9T79bN4h-w_19_0"/>
      <w:bookmarkStart w:id="737" w:name="Tc_8iNJ2BIoSkCkq6EM2XgWqg_18_26"/>
      <w:bookmarkStart w:id="738" w:name="Tc_Ha8b31X3s0KEEIg-9goINg_18_20"/>
      <w:bookmarkStart w:id="739" w:name="Tc_1Nt5qihKpEexRGLQzLK9xA_18_17"/>
      <w:bookmarkStart w:id="740" w:name="Tc_Y-dI1jncCUmUhfulMtvnZw_18_11"/>
      <w:bookmarkStart w:id="741" w:name="Tc_lq9eudZq7kKYX32vJopPjQ_18_8"/>
      <w:bookmarkStart w:id="742" w:name="Tc_piaZ7nz6REK0egYii3rBuw_18_5"/>
      <w:bookmarkStart w:id="743" w:name="Tc_TS_8uVW4fUSDck2-sCto4g_18_2"/>
      <w:bookmarkStart w:id="744" w:name="Tc_WJVteq3HDUu1VKPZOs15eA_18_0"/>
      <w:bookmarkStart w:id="745" w:name="Tc_ZMrJzRpjVEK5qR4TKMC-Zg_17_26"/>
      <w:bookmarkStart w:id="746" w:name="Tc_Sff5ewCUhk6V6a17AHxI8w_17_20"/>
      <w:bookmarkStart w:id="747" w:name="Tc_4rPxojMj7EGcpsx3JK2MQA_17_17"/>
      <w:bookmarkStart w:id="748" w:name="Tc_BGqwZp_aSkCtj865iG967w_17_11"/>
      <w:bookmarkStart w:id="749" w:name="Tc_5B0EkPOvCEG982OfVK7PLA_17_8"/>
      <w:bookmarkStart w:id="750" w:name="Tc_MHjtIKTIMEmDl3sswhkGNQ_17_5"/>
      <w:bookmarkStart w:id="751" w:name="Tc_g0CGUpXFo02Uz0Yt30Za3Q_17_2"/>
      <w:bookmarkStart w:id="752" w:name="Tc_YmUJsfyI30igsembtLBFTw_17_0"/>
      <w:bookmarkStart w:id="753" w:name="Tc_-kTo51Xq8Eup9lyQ_U4ieA_16_29"/>
      <w:bookmarkStart w:id="754" w:name="Tc_HiE_RSGNO0yTkd6buA4_Qw_16_26"/>
      <w:bookmarkStart w:id="755" w:name="Tc_cBy7N7GUvk6vTHwtYc6iCw_16_23"/>
      <w:bookmarkStart w:id="756" w:name="Tc_3ZSwvppIg065R5j-CUkzYA_16_20"/>
      <w:bookmarkStart w:id="757" w:name="Tc_QscJlfnAQk-6JLZlgv7bIQ_16_17"/>
      <w:bookmarkStart w:id="758" w:name="Tc_M99P2rWxP0iUNzG1Qe5AWw_16_14"/>
      <w:bookmarkStart w:id="759" w:name="Tc_6aOIpEVSWUiEk7n5CWuW1w_16_11"/>
      <w:bookmarkStart w:id="760" w:name="Tc_rwnQt3AO-kOYUz165p1-DA_16_8"/>
      <w:bookmarkStart w:id="761" w:name="Tc_MFhrvsP_U0q-Y0YSvEXxZQ_16_0"/>
      <w:bookmarkStart w:id="762" w:name="Tc_lEfgR0bWGkWBrJVeHPi9lA_15_26"/>
      <w:bookmarkStart w:id="763" w:name="Tc_3mg9cGZXQUqxMENpBUdtDw_15_20"/>
      <w:bookmarkStart w:id="764" w:name="Tc_RLXR_bBoK0iwuV1ZMWCIdg_15_17"/>
      <w:bookmarkStart w:id="765" w:name="Tc_9YWhvDJwvkOH2SsrafKmQw_15_11"/>
      <w:bookmarkStart w:id="766" w:name="Tc_kZryY6_WskSGAg6Gr7pIeg_15_8"/>
      <w:bookmarkStart w:id="767" w:name="Tc_9LBcDRLx0UCrDutuL_0gdw_15_2"/>
      <w:bookmarkStart w:id="768" w:name="Tc_xvxzpSlIBUyyjDqnscLqyA_15_0"/>
      <w:bookmarkStart w:id="769" w:name="Tc_aKNv2tzGu0u-1j_4oPU9Cg_14_26"/>
      <w:bookmarkStart w:id="770" w:name="Tc_p296Ke3ZgkOmvlcXY9Czfw_14_20"/>
      <w:bookmarkStart w:id="771" w:name="Tc_UWjvy5S-kkafY4tWYTWrZQ_14_17"/>
      <w:bookmarkStart w:id="772" w:name="Tc_IyOBerPt_EePBoOo-eUEgg_14_11"/>
      <w:bookmarkStart w:id="773" w:name="Tc_PnvTSAUVPE2Xa6craxyOTA_14_8"/>
      <w:bookmarkStart w:id="774" w:name="Tc_fOy8WYrs5Ueu3YVu3mnf9w_14_2"/>
      <w:bookmarkStart w:id="775" w:name="Tc_qbSxqkXvwkKinhF3YXLKsQ_14_0"/>
      <w:bookmarkStart w:id="776" w:name="Tc_OmxrdHjWb0avAJJ1hqzSJw_13_26"/>
      <w:bookmarkStart w:id="777" w:name="Tc_ox0irE5R4UeFFQpjyE-NfA_13_20"/>
      <w:bookmarkStart w:id="778" w:name="Tc_4STQXV71G0SDwju_lILJWA_13_17"/>
      <w:bookmarkStart w:id="779" w:name="Tc_3F7VpXxPdUGduxWx-18RUQ_13_11"/>
      <w:bookmarkStart w:id="780" w:name="Tc_cT0myE4jPkijZnqrosJlvA_13_8"/>
      <w:bookmarkStart w:id="781" w:name="Tc_JKX3_AJqo0u8mOl-Lk62tQ_13_5"/>
      <w:bookmarkStart w:id="782" w:name="Tc_UHnYBoaXkU-IlySvel714g_13_2"/>
      <w:bookmarkStart w:id="783" w:name="Tc_MTr7erMoQkug7xTTv69fKw_13_0"/>
      <w:bookmarkStart w:id="784" w:name="Tc_-n5iZ0tzKUqK97ph1bNogQ_12_28"/>
      <w:bookmarkStart w:id="785" w:name="Tc_oa2N6FZTOEGtJ5-PCI4GBA_12_25"/>
      <w:bookmarkStart w:id="786" w:name="Tc_rzUffHt5DUuqZkix5OcrWQ_12_22"/>
      <w:bookmarkStart w:id="787" w:name="Tc_2hV3sCVXhUai3ZoOlYeGrA_12_19"/>
      <w:bookmarkStart w:id="788" w:name="Tc_MZIjzZR4CEytdN0EDSB4Yg_12_16"/>
      <w:bookmarkStart w:id="789" w:name="Tc_0sFGCqEC7EaayJ3TiTbD8g_12_13"/>
      <w:bookmarkStart w:id="790" w:name="Tc_f_Sj1EGmY0G9-v3FYmUZ0w_12_10"/>
      <w:bookmarkStart w:id="791" w:name="Tc_x45yJDFd8E6XaYlCzFR5Vw_12_4"/>
      <w:bookmarkStart w:id="792" w:name="Tc_wkYqMPSm0kqHIeKxQ4xWnw_12_0"/>
      <w:bookmarkStart w:id="793" w:name="Tc_QSBV9HKTMkqcJK2LfPW8kQ_11_20"/>
      <w:bookmarkStart w:id="794" w:name="Tc_j5kXRCtnoEGjFEaSNG665g_11_14"/>
      <w:bookmarkStart w:id="795" w:name="Tc_AztoN4yFY0OCQ-1Ni4deHg_11_11"/>
      <w:bookmarkStart w:id="796" w:name="Tc_XyGe0-9dPkGVuyoEgc1o9Q_11_8"/>
      <w:bookmarkStart w:id="797" w:name="Tc_etGw7L3jP06dk9Wsh50vJQ_11_5"/>
      <w:bookmarkStart w:id="798" w:name="Tc_gcBOTkAz5UOpAI3M2XxWUg_11_2"/>
      <w:bookmarkStart w:id="799" w:name="Tc_45Be77CYvU-T9KTlmjc-CA_11_0"/>
      <w:bookmarkStart w:id="800" w:name="Tc_HfmldG1K0EOPxtur8OMosg_10_17"/>
      <w:bookmarkStart w:id="801" w:name="Tc_AMMmomlU7keyGTaHkoYQgw_10_14"/>
      <w:bookmarkStart w:id="802" w:name="Tc_zcz3K_TMCECHFFLaL2da_w_10_11"/>
      <w:bookmarkStart w:id="803" w:name="Tc_-mSf5AQ95kyakFfWcX34pQ_10_8"/>
      <w:bookmarkStart w:id="804" w:name="Tc_7J2p1nKBNkSwkb8Z25thsQ_10_2"/>
      <w:bookmarkStart w:id="805" w:name="Tc_sOTaIiW__kmlTdjhB8MReQ_10_0"/>
      <w:bookmarkStart w:id="806" w:name="Tc_RGWCeub89keyebCumKKBFA_9_26"/>
      <w:bookmarkStart w:id="807" w:name="Tc_VerLX27t9UCQddyel6FwDw_9_20"/>
      <w:bookmarkStart w:id="808" w:name="Tc_vKJSHr1bbUecAOEbXJZtTg_9_17"/>
      <w:bookmarkStart w:id="809" w:name="Tc_45XUVZu_B0uHQu-skESxMQ_9_11"/>
      <w:bookmarkStart w:id="810" w:name="Tc_TqekKCSXDke83ej7Jh94IQ_9_8"/>
      <w:bookmarkStart w:id="811" w:name="Tc_wOZ10772z0-xa7zhcoIcYQ_9_2"/>
      <w:bookmarkStart w:id="812" w:name="Tc_YI6GhBT2GkakO27ACJE3rw_9_0"/>
      <w:bookmarkStart w:id="813" w:name="Tc_hG_ONc2wjUaZm6IBMTB79Q_8_26"/>
      <w:bookmarkStart w:id="814" w:name="Tc_Ila-CtLQuEi5595zI1dk-w_8_20"/>
      <w:bookmarkStart w:id="815" w:name="Tc_eudgXp1dikuKxr9eR3Rv9A_8_17"/>
      <w:bookmarkStart w:id="816" w:name="Tc_Kexp7ZPe70azXtck7B3Y1g_8_11"/>
      <w:bookmarkStart w:id="817" w:name="Tc_l3EEE2YpVECKv8pudGUyjg_8_8"/>
      <w:bookmarkStart w:id="818" w:name="Tc_l61_Dnhy40aiY-ewhsim_Q_8_2"/>
      <w:bookmarkStart w:id="819" w:name="Tc_2ogNQ88YbUmsYePqpP5o3Q_8_0"/>
      <w:bookmarkStart w:id="820" w:name="Tc_wOAzu_Bv-EuYzsWm5Ep-zw_7_29"/>
      <w:bookmarkStart w:id="821" w:name="Tc_LuEuQf-9p0iEjBn1gOGLWg_7_26"/>
      <w:bookmarkStart w:id="822" w:name="Tc_bjkiCTZeN0u2R4mqt-GtSw_7_23"/>
      <w:bookmarkStart w:id="823" w:name="Tc_e-tr7zv-v0SsxwzdurZRMA_7_20"/>
      <w:bookmarkStart w:id="824" w:name="Tc_9E2ZsboN8kK1jVbPi1x4zg_7_17"/>
      <w:bookmarkStart w:id="825" w:name="Tc_oCECalneukSik_xrnD4f1Q_7_14"/>
      <w:bookmarkStart w:id="826" w:name="Tc_wL1ft004p0yveZcmCLFVeA_7_11"/>
      <w:bookmarkStart w:id="827" w:name="Tc_JPg7DhZOhk-NwzzKE13USQ_7_8"/>
      <w:bookmarkStart w:id="828" w:name="Tc__FtCqlnGh0CCZnvGb2KqSg_7_5"/>
      <w:bookmarkStart w:id="829" w:name="Tc_MlsBnoQgSkuDx_ZDiPn-hg_7_0"/>
      <w:bookmarkStart w:id="830" w:name="Tc_CP1q75QXHUyPgzF-oKQhFQ_6_20"/>
      <w:bookmarkStart w:id="831" w:name="Tc_e-yPGOLcGkSormvKJ3Meig_6_17"/>
      <w:bookmarkStart w:id="832" w:name="Tc_uQ_qPtva7USHN8ZrjmJFWw_6_11"/>
      <w:bookmarkStart w:id="833" w:name="Tc_sngef28m4k66v_JWdF5lpg_6_8"/>
      <w:bookmarkStart w:id="834" w:name="Tc_JeGkL-5HB0CXcqFnqIBNxg_6_5"/>
      <w:bookmarkStart w:id="835" w:name="Tc_WF3SNJp1X0aMC_ZpGWUpPA_6_2"/>
      <w:bookmarkStart w:id="836" w:name="Tc_DdUsdMFMVkWWbirU6L-THg_6_0"/>
      <w:bookmarkStart w:id="837" w:name="Tc_Cmha1Rr7HEuij7xvw6Hu0w_5_28"/>
      <w:bookmarkStart w:id="838" w:name="Tc_ZcHyJq898UOquNdkrBizVw_5_25"/>
      <w:bookmarkStart w:id="839" w:name="Tc_Xad7YVdSy0qldmyW5l_xCg_5_22"/>
      <w:bookmarkStart w:id="840" w:name="Tc_xKNLjfueNk61QxXslrBmkQ_5_19"/>
      <w:bookmarkStart w:id="841" w:name="Tc_tN2KKgNoEU61RHdyQKxzVw_5_16"/>
      <w:bookmarkStart w:id="842" w:name="Tc_gSxPZJAKEESpWhl-YSIa3A_5_13"/>
      <w:bookmarkStart w:id="843" w:name="Tc_OuZHhAoOBkmgueh5-Ogvwg_5_10"/>
      <w:bookmarkStart w:id="844" w:name="Tc_CeP4qvOwQ0O0NkXRzmXYhQ_5_5"/>
      <w:bookmarkStart w:id="845" w:name="Tc_xqEhc9vIbEiCgQ8V4DDY4g_5_4"/>
      <w:bookmarkStart w:id="846" w:name="Tc_5QwpqqPKOk6iFPZZ9CzG1g_5_2"/>
      <w:bookmarkStart w:id="847" w:name="Tc_cPuVDWr5vEuqEURsKd1vqw_5_0"/>
      <w:bookmarkStart w:id="848" w:name="Tc_rJEgpFJtVkyR62FWfxMUOA_4_28"/>
      <w:bookmarkStart w:id="849" w:name="Tc_PKGitOaRbUyH-AwxW6VYvg_4_25"/>
      <w:bookmarkStart w:id="850" w:name="Tc_WQMqGdItE0-E9jwChXNC-Q_4_22"/>
      <w:bookmarkStart w:id="851" w:name="Tc_XBoCqeziQk-buG7fqG-eAg_4_19"/>
      <w:bookmarkStart w:id="852" w:name="Tc_eI6Q-2oSC0uyJLZ1wgX4yQ_4_16"/>
      <w:bookmarkStart w:id="853" w:name="Tc_bovupNUJqE2PHoBVciiXJg_4_13"/>
      <w:bookmarkStart w:id="854" w:name="Tc_jivHk311FUaSra3POloWEw_4_10"/>
      <w:bookmarkStart w:id="855" w:name="Tc_5w1A6FMIk0GbdnTL5Y5MaA_4_8"/>
      <w:bookmarkStart w:id="856" w:name="Tc_JQt6TZaP8kuVoOr_NTB-GA_4_4"/>
      <w:bookmarkStart w:id="857" w:name="Tc_tlOHK_rr0UmRM4OHFEqFhA_4_2"/>
      <w:bookmarkStart w:id="858" w:name="Tc_5e8D_93Z3UCD1gjcEVwZmA_3_28"/>
      <w:bookmarkStart w:id="859" w:name="Tc_v_l4FA9sX0GcATkCFmQvSw_3_25"/>
      <w:bookmarkStart w:id="860" w:name="Tc_ZyN6kToMekuTiZ7LzPPvnw_3_22"/>
      <w:bookmarkStart w:id="861" w:name="Tc_W3I8bz3kD0COmbCxeELKyg_3_19"/>
      <w:bookmarkStart w:id="862" w:name="Tc_dDAuxzrE60GypmaRoncP3g_3_16"/>
      <w:bookmarkStart w:id="863" w:name="Tc_0qW5HJUWDEGI0qJ6tc5-KQ_3_13"/>
      <w:bookmarkStart w:id="864" w:name="Tc_SIXrPADOaEuBZHwfvGe0TA_3_8"/>
      <w:bookmarkStart w:id="865" w:name="Tc_syrWRvItoUmVyGvxyL-uOA_3_2"/>
      <w:bookmarkStart w:id="866" w:name="Tc_4WvzY0yJ3EGuQEQbJzxO8A_2_25"/>
      <w:bookmarkStart w:id="867" w:name="Tc_LpbeckPlbk2h58P_K_-1_A_2_19"/>
      <w:bookmarkStart w:id="868" w:name="Tc_Mjg3e7RFekK8tXrmuu5Mfg_2_13"/>
      <w:bookmarkStart w:id="869" w:name="Tc_MHntsZQEsEWPDyI1R8OH_w_2_2"/>
      <w:bookmarkStart w:id="870" w:name="Tc_h-rbGGGnX0OxUIrIx1ropA_1_25"/>
      <w:bookmarkStart w:id="871" w:name="_7ab45e77_0619_41de_932a_503d29c89b2d"/>
      <w:bookmarkStart w:id="872" w:name="Tc_7fTWdt6h90ica-P1gGw_bQ_22_28"/>
      <w:bookmarkStart w:id="873" w:name="Tc_QoH9DPXlD0mvL3AJrkvWpA_22_25"/>
      <w:bookmarkStart w:id="874" w:name="Tc_t1k5RfsMoE-QxqWfSwQlYA_22_22"/>
      <w:bookmarkStart w:id="875" w:name="Tc_JUud853HK0ec3ux4yM7Bgg_22_19"/>
      <w:bookmarkStart w:id="876" w:name="Tc_xrHUyU5bdE2MALXvv3Z5ww_22_16"/>
      <w:bookmarkStart w:id="877" w:name="Tc_pO5maLEAUEy-wSUDi4A5Kg_22_13"/>
      <w:bookmarkStart w:id="878" w:name="Tc_wsrBPVyB_kKhcOFr8Svf3A_22_10"/>
      <w:bookmarkStart w:id="879" w:name="Tc_UmJYTh_W40a7lG5xpoaUkQ_22_4"/>
      <w:bookmarkStart w:id="880" w:name="Tc_M77iYhX9jUeAKNczCuK95w_22_0"/>
      <w:bookmarkStart w:id="881" w:name="Tc_jr-upZ-6UEWiyWJlDHqJtw_21_20"/>
      <w:bookmarkStart w:id="882" w:name="Tc_LmvYeumgP0O8sKQdxelZYw_21_14"/>
      <w:bookmarkStart w:id="883" w:name="Tc_nkb-5KW8I0uWl5SKMib1lg_21_11"/>
      <w:bookmarkStart w:id="884" w:name="Tc__ifEY2saDkunUbcmUbkU3g_21_8"/>
      <w:bookmarkStart w:id="885" w:name="Tc_KMTuWDkauUC_EeY8XmtFhw_21_5"/>
      <w:bookmarkStart w:id="886" w:name="Tc_lYEIALyui06_d13CV7lmrg_21_2"/>
      <w:bookmarkStart w:id="887" w:name="Tc_uyPoEk-lVEilhq4aABRmqQ_21_0"/>
      <w:bookmarkStart w:id="888" w:name="Tc_-KsmpnVolkGjU8-HE0IJwQ_20_26"/>
      <w:bookmarkStart w:id="889" w:name="Tc_ApcahW22uUiRrB1m8RmXkw_20_17"/>
      <w:bookmarkStart w:id="890" w:name="Tc_o5GOg-kTUk2ZgAv5RRL_oQ_20_14"/>
      <w:bookmarkStart w:id="891" w:name="Tc_VI9ivWCu3k2ix6kUtRutIg_20_11"/>
      <w:bookmarkStart w:id="892" w:name="Tc_6AIdBnSWXkq2h822-LZCSw_20_8"/>
      <w:bookmarkStart w:id="893" w:name="Tc_k4vbe13OsEedYMKWql4HXg_20_5"/>
      <w:bookmarkStart w:id="894" w:name="Tc_G6Fyjy7QyEmc3M1NztsNHw_20_2"/>
      <w:bookmarkStart w:id="895" w:name="Tc_biXHNMuLfk6JK2g9hOKx0g_20_0"/>
      <w:bookmarkStart w:id="896" w:name="Tc_f2CdXzTKPUui5HNo-K0UUQ_19_17"/>
      <w:bookmarkStart w:id="897" w:name="Tc_DxcH6u2xrUCV8yD9PD7FWQ_19_14"/>
      <w:bookmarkStart w:id="898" w:name="Tc_UdHGt_9qhUOM4T4MyuPflg_19_11"/>
      <w:bookmarkStart w:id="899" w:name="Tc_bdyOD5f81EWo0URGmre_FA_19_8"/>
      <w:bookmarkStart w:id="900" w:name="Tc_R1nsjgL5Kk2f7ik2FZ2uzg_19_5"/>
      <w:bookmarkStart w:id="901" w:name="Tc_YJRmu7t-MkKpk6glZkqsjw_19_2"/>
      <w:bookmarkStart w:id="902" w:name="Tc_OPLqwPoXFkKv9T79bN4h-w_19_0"/>
      <w:bookmarkStart w:id="903" w:name="Tc_8iNJ2BIoSkCkq6EM2XgWqg_18_26"/>
      <w:bookmarkStart w:id="904" w:name="Tc_Ha8b31X3s0KEEIg-9goINg_18_20"/>
      <w:bookmarkStart w:id="905" w:name="Tc_1Nt5qihKpEexRGLQzLK9xA_18_17"/>
      <w:bookmarkStart w:id="906" w:name="Tc_Y-dI1jncCUmUhfulMtvnZw_18_11"/>
      <w:bookmarkStart w:id="907" w:name="Tc_lq9eudZq7kKYX32vJopPjQ_18_8"/>
      <w:bookmarkStart w:id="908" w:name="Tc_piaZ7nz6REK0egYii3rBuw_18_5"/>
      <w:bookmarkStart w:id="909" w:name="Tc_TS_8uVW4fUSDck2-sCto4g_18_2"/>
      <w:bookmarkStart w:id="910" w:name="Tc_WJVteq3HDUu1VKPZOs15eA_18_0"/>
      <w:bookmarkStart w:id="911" w:name="Tc_ZMrJzRpjVEK5qR4TKMC-Zg_17_26"/>
      <w:bookmarkStart w:id="912" w:name="Tc_Sff5ewCUhk6V6a17AHxI8w_17_20"/>
      <w:bookmarkStart w:id="913" w:name="Tc_4rPxojMj7EGcpsx3JK2MQA_17_17"/>
      <w:bookmarkStart w:id="914" w:name="Tc_BGqwZp_aSkCtj865iG967w_17_11"/>
      <w:bookmarkStart w:id="915" w:name="Tc_5B0EkPOvCEG982OfVK7PLA_17_8"/>
      <w:bookmarkStart w:id="916" w:name="Tc_MHjtIKTIMEmDl3sswhkGNQ_17_5"/>
      <w:bookmarkStart w:id="917" w:name="Tc_g0CGUpXFo02Uz0Yt30Za3Q_17_2"/>
      <w:bookmarkStart w:id="918" w:name="Tc_YmUJsfyI30igsembtLBFTw_17_0"/>
      <w:bookmarkStart w:id="919" w:name="Tc_-kTo51Xq8Eup9lyQ_U4ieA_16_29"/>
      <w:bookmarkStart w:id="920" w:name="Tc_HiE_RSGNO0yTkd6buA4_Qw_16_26"/>
      <w:bookmarkStart w:id="921" w:name="Tc_cBy7N7GUvk6vTHwtYc6iCw_16_23"/>
      <w:bookmarkStart w:id="922" w:name="Tc_3ZSwvppIg065R5j-CUkzYA_16_20"/>
      <w:bookmarkStart w:id="923" w:name="Tc_QscJlfnAQk-6JLZlgv7bIQ_16_17"/>
      <w:bookmarkStart w:id="924" w:name="Tc_M99P2rWxP0iUNzG1Qe5AWw_16_14"/>
      <w:bookmarkStart w:id="925" w:name="Tc_6aOIpEVSWUiEk7n5CWuW1w_16_11"/>
      <w:bookmarkStart w:id="926" w:name="Tc_rwnQt3AO-kOYUz165p1-DA_16_8"/>
      <w:bookmarkStart w:id="927" w:name="Tc_MFhrvsP_U0q-Y0YSvEXxZQ_16_0"/>
      <w:bookmarkStart w:id="928" w:name="Tc_lEfgR0bWGkWBrJVeHPi9lA_15_26"/>
      <w:bookmarkStart w:id="929" w:name="Tc_3mg9cGZXQUqxMENpBUdtDw_15_20"/>
      <w:bookmarkStart w:id="930" w:name="Tc_RLXR_bBoK0iwuV1ZMWCIdg_15_17"/>
      <w:bookmarkStart w:id="931" w:name="Tc_9YWhvDJwvkOH2SsrafKmQw_15_11"/>
      <w:bookmarkStart w:id="932" w:name="Tc_kZryY6_WskSGAg6Gr7pIeg_15_8"/>
      <w:bookmarkStart w:id="933" w:name="Tc_9LBcDRLx0UCrDutuL_0gdw_15_2"/>
      <w:bookmarkStart w:id="934" w:name="Tc_xvxzpSlIBUyyjDqnscLqyA_15_0"/>
      <w:bookmarkStart w:id="935" w:name="Tc_aKNv2tzGu0u-1j_4oPU9Cg_14_26"/>
      <w:bookmarkStart w:id="936" w:name="Tc_p296Ke3ZgkOmvlcXY9Czfw_14_20"/>
      <w:bookmarkStart w:id="937" w:name="Tc_UWjvy5S-kkafY4tWYTWrZQ_14_17"/>
      <w:bookmarkStart w:id="938" w:name="Tc_IyOBerPt_EePBoOo-eUEgg_14_11"/>
      <w:bookmarkStart w:id="939" w:name="Tc_PnvTSAUVPE2Xa6craxyOTA_14_8"/>
      <w:bookmarkStart w:id="940" w:name="Tc_fOy8WYrs5Ueu3YVu3mnf9w_14_2"/>
      <w:bookmarkStart w:id="941" w:name="Tc_qbSxqkXvwkKinhF3YXLKsQ_14_0"/>
      <w:bookmarkStart w:id="942" w:name="Tc_OmxrdHjWb0avAJJ1hqzSJw_13_26"/>
      <w:bookmarkStart w:id="943" w:name="Tc_ox0irE5R4UeFFQpjyE-NfA_13_20"/>
      <w:bookmarkStart w:id="944" w:name="Tc_4STQXV71G0SDwju_lILJWA_13_17"/>
      <w:bookmarkStart w:id="945" w:name="Tc_3F7VpXxPdUGduxWx-18RUQ_13_11"/>
      <w:bookmarkStart w:id="946" w:name="Tc_cT0myE4jPkijZnqrosJlvA_13_8"/>
      <w:bookmarkStart w:id="947" w:name="Tc_JKX3_AJqo0u8mOl-Lk62tQ_13_5"/>
      <w:bookmarkStart w:id="948" w:name="Tc_UHnYBoaXkU-IlySvel714g_13_2"/>
      <w:bookmarkStart w:id="949" w:name="Tc_MTr7erMoQkug7xTTv69fKw_13_0"/>
      <w:bookmarkStart w:id="950" w:name="Tc_-n5iZ0tzKUqK97ph1bNogQ_12_28"/>
      <w:bookmarkStart w:id="951" w:name="Tc_oa2N6FZTOEGtJ5-PCI4GBA_12_25"/>
      <w:bookmarkStart w:id="952" w:name="Tc_rzUffHt5DUuqZkix5OcrWQ_12_22"/>
      <w:bookmarkStart w:id="953" w:name="Tc_2hV3sCVXhUai3ZoOlYeGrA_12_19"/>
      <w:bookmarkStart w:id="954" w:name="Tc_MZIjzZR4CEytdN0EDSB4Yg_12_16"/>
      <w:bookmarkStart w:id="955" w:name="Tc_0sFGCqEC7EaayJ3TiTbD8g_12_13"/>
      <w:bookmarkStart w:id="956" w:name="Tc_f_Sj1EGmY0G9-v3FYmUZ0w_12_10"/>
      <w:bookmarkStart w:id="957" w:name="Tc_x45yJDFd8E6XaYlCzFR5Vw_12_4"/>
      <w:bookmarkStart w:id="958" w:name="Tc_wkYqMPSm0kqHIeKxQ4xWnw_12_0"/>
      <w:bookmarkStart w:id="959" w:name="Tc_QSBV9HKTMkqcJK2LfPW8kQ_11_20"/>
      <w:bookmarkStart w:id="960" w:name="Tc_j5kXRCtnoEGjFEaSNG665g_11_14"/>
      <w:bookmarkStart w:id="961" w:name="Tc_AztoN4yFY0OCQ-1Ni4deHg_11_11"/>
      <w:bookmarkStart w:id="962" w:name="Tc_XyGe0-9dPkGVuyoEgc1o9Q_11_8"/>
      <w:bookmarkStart w:id="963" w:name="Tc_etGw7L3jP06dk9Wsh50vJQ_11_5"/>
      <w:bookmarkStart w:id="964" w:name="Tc_gcBOTkAz5UOpAI3M2XxWUg_11_2"/>
      <w:bookmarkStart w:id="965" w:name="Tc_45Be77CYvU-T9KTlmjc-CA_11_0"/>
      <w:bookmarkStart w:id="966" w:name="Tc_HfmldG1K0EOPxtur8OMosg_10_17"/>
      <w:bookmarkStart w:id="967" w:name="Tc_AMMmomlU7keyGTaHkoYQgw_10_14"/>
      <w:bookmarkStart w:id="968" w:name="Tc_zcz3K_TMCECHFFLaL2da_w_10_11"/>
      <w:bookmarkStart w:id="969" w:name="Tc_-mSf5AQ95kyakFfWcX34pQ_10_8"/>
      <w:bookmarkStart w:id="970" w:name="Tc_7J2p1nKBNkSwkb8Z25thsQ_10_2"/>
      <w:bookmarkStart w:id="971" w:name="Tc_sOTaIiW__kmlTdjhB8MReQ_10_0"/>
      <w:bookmarkStart w:id="972" w:name="Tc_RGWCeub89keyebCumKKBFA_9_26"/>
      <w:bookmarkStart w:id="973" w:name="Tc_VerLX27t9UCQddyel6FwDw_9_20"/>
      <w:bookmarkStart w:id="974" w:name="Tc_vKJSHr1bbUecAOEbXJZtTg_9_17"/>
      <w:bookmarkStart w:id="975" w:name="Tc_45XUVZu_B0uHQu-skESxMQ_9_11"/>
      <w:bookmarkStart w:id="976" w:name="Tc_TqekKCSXDke83ej7Jh94IQ_9_8"/>
      <w:bookmarkStart w:id="977" w:name="Tc_wOZ10772z0-xa7zhcoIcYQ_9_2"/>
      <w:bookmarkStart w:id="978" w:name="Tc_YI6GhBT2GkakO27ACJE3rw_9_0"/>
      <w:bookmarkStart w:id="979" w:name="Tc_hG_ONc2wjUaZm6IBMTB79Q_8_26"/>
      <w:bookmarkStart w:id="980" w:name="Tc_Ila-CtLQuEi5595zI1dk-w_8_20"/>
      <w:bookmarkStart w:id="981" w:name="Tc_eudgXp1dikuKxr9eR3Rv9A_8_17"/>
      <w:bookmarkStart w:id="982" w:name="Tc_Kexp7ZPe70azXtck7B3Y1g_8_11"/>
      <w:bookmarkStart w:id="983" w:name="Tc_l3EEE2YpVECKv8pudGUyjg_8_8"/>
      <w:bookmarkStart w:id="984" w:name="Tc_l61_Dnhy40aiY-ewhsim_Q_8_2"/>
      <w:bookmarkStart w:id="985" w:name="Tc_2ogNQ88YbUmsYePqpP5o3Q_8_0"/>
      <w:bookmarkStart w:id="986" w:name="Tc_wOAzu_Bv-EuYzsWm5Ep-zw_7_29"/>
      <w:bookmarkStart w:id="987" w:name="Tc_LuEuQf-9p0iEjBn1gOGLWg_7_26"/>
      <w:bookmarkStart w:id="988" w:name="Tc_bjkiCTZeN0u2R4mqt-GtSw_7_23"/>
      <w:bookmarkStart w:id="989" w:name="Tc_e-tr7zv-v0SsxwzdurZRMA_7_20"/>
      <w:bookmarkStart w:id="990" w:name="Tc_9E2ZsboN8kK1jVbPi1x4zg_7_17"/>
      <w:bookmarkStart w:id="991" w:name="Tc_oCECalneukSik_xrnD4f1Q_7_14"/>
      <w:bookmarkStart w:id="992" w:name="Tc_wL1ft004p0yveZcmCLFVeA_7_11"/>
      <w:bookmarkStart w:id="993" w:name="Tc_JPg7DhZOhk-NwzzKE13USQ_7_8"/>
      <w:bookmarkStart w:id="994" w:name="Tc__FtCqlnGh0CCZnvGb2KqSg_7_5"/>
      <w:bookmarkStart w:id="995" w:name="Tc_MlsBnoQgSkuDx_ZDiPn-hg_7_0"/>
      <w:bookmarkStart w:id="996" w:name="Tc_CP1q75QXHUyPgzF-oKQhFQ_6_20"/>
      <w:bookmarkStart w:id="997" w:name="Tc_e-yPGOLcGkSormvKJ3Meig_6_17"/>
      <w:bookmarkStart w:id="998" w:name="Tc_uQ_qPtva7USHN8ZrjmJFWw_6_11"/>
      <w:bookmarkStart w:id="999" w:name="Tc_sngef28m4k66v_JWdF5lpg_6_8"/>
      <w:bookmarkStart w:id="1000" w:name="Tc_JeGkL-5HB0CXcqFnqIBNxg_6_5"/>
      <w:bookmarkStart w:id="1001" w:name="Tc_WF3SNJp1X0aMC_ZpGWUpPA_6_2"/>
      <w:bookmarkStart w:id="1002" w:name="Tc_DdUsdMFMVkWWbirU6L-THg_6_0"/>
      <w:bookmarkStart w:id="1003" w:name="Tc_Cmha1Rr7HEuij7xvw6Hu0w_5_28"/>
      <w:bookmarkStart w:id="1004" w:name="Tc_ZcHyJq898UOquNdkrBizVw_5_25"/>
      <w:bookmarkStart w:id="1005" w:name="Tc_Xad7YVdSy0qldmyW5l_xCg_5_22"/>
      <w:bookmarkStart w:id="1006" w:name="Tc_xKNLjfueNk61QxXslrBmkQ_5_19"/>
      <w:bookmarkStart w:id="1007" w:name="Tc_tN2KKgNoEU61RHdyQKxzVw_5_16"/>
      <w:bookmarkStart w:id="1008" w:name="Tc_gSxPZJAKEESpWhl-YSIa3A_5_13"/>
      <w:bookmarkStart w:id="1009" w:name="Tc_OuZHhAoOBkmgueh5-Ogvwg_5_10"/>
      <w:bookmarkStart w:id="1010" w:name="Tc_CeP4qvOwQ0O0NkXRzmXYhQ_5_5"/>
      <w:bookmarkStart w:id="1011" w:name="Tc_xqEhc9vIbEiCgQ8V4DDY4g_5_4"/>
      <w:bookmarkStart w:id="1012" w:name="Tc_5QwpqqPKOk6iFPZZ9CzG1g_5_2"/>
      <w:bookmarkStart w:id="1013" w:name="Tc_cPuVDWr5vEuqEURsKd1vqw_5_0"/>
      <w:bookmarkStart w:id="1014" w:name="Tc_rJEgpFJtVkyR62FWfxMUOA_4_28"/>
      <w:bookmarkStart w:id="1015" w:name="Tc_PKGitOaRbUyH-AwxW6VYvg_4_25"/>
      <w:bookmarkStart w:id="1016" w:name="Tc_WQMqGdItE0-E9jwChXNC-Q_4_22"/>
      <w:bookmarkStart w:id="1017" w:name="Tc_XBoCqeziQk-buG7fqG-eAg_4_19"/>
      <w:bookmarkStart w:id="1018" w:name="Tc_eI6Q-2oSC0uyJLZ1wgX4yQ_4_16"/>
      <w:bookmarkStart w:id="1019" w:name="Tc_bovupNUJqE2PHoBVciiXJg_4_13"/>
      <w:bookmarkStart w:id="1020" w:name="Tc_jivHk311FUaSra3POloWEw_4_10"/>
      <w:bookmarkStart w:id="1021" w:name="Tc_5w1A6FMIk0GbdnTL5Y5MaA_4_8"/>
      <w:bookmarkStart w:id="1022" w:name="Tc_JQt6TZaP8kuVoOr_NTB-GA_4_4"/>
      <w:bookmarkStart w:id="1023" w:name="Tc_tlOHK_rr0UmRM4OHFEqFhA_4_2"/>
      <w:bookmarkStart w:id="1024" w:name="Tc_5e8D_93Z3UCD1gjcEVwZmA_3_28"/>
      <w:bookmarkStart w:id="1025" w:name="Tc_v_l4FA9sX0GcATkCFmQvSw_3_25"/>
      <w:bookmarkStart w:id="1026" w:name="Tc_ZyN6kToMekuTiZ7LzPPvnw_3_22"/>
      <w:bookmarkStart w:id="1027" w:name="Tc_W3I8bz3kD0COmbCxeELKyg_3_19"/>
      <w:bookmarkStart w:id="1028" w:name="Tc_dDAuxzrE60GypmaRoncP3g_3_16"/>
      <w:bookmarkStart w:id="1029" w:name="Tc_0qW5HJUWDEGI0qJ6tc5-KQ_3_13"/>
      <w:bookmarkStart w:id="1030" w:name="Tc_SIXrPADOaEuBZHwfvGe0TA_3_8"/>
      <w:bookmarkStart w:id="1031" w:name="Tc_syrWRvItoUmVyGvxyL-uOA_3_2"/>
      <w:bookmarkStart w:id="1032" w:name="Tc_4WvzY0yJ3EGuQEQbJzxO8A_2_25"/>
      <w:bookmarkStart w:id="1033" w:name="Tc_LpbeckPlbk2h58P_K_-1_A_2_19"/>
      <w:bookmarkStart w:id="1034" w:name="Tc_Mjg3e7RFekK8tXrmuu5Mfg_2_13"/>
      <w:bookmarkStart w:id="1035" w:name="Tc_MHntsZQEsEWPDyI1R8OH_w_2_2"/>
      <w:bookmarkStart w:id="1036" w:name="Tc_h-rbGGGnX0OxUIrIx1ropA_1_25"/>
      <w:bookmarkStart w:id="1037" w:name="_7ab45e77_0619_41de_932a_503d29c89b2d"/>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tbl>
      <w:tblPr>
        <w:tblW w:w="12318" w:type="dxa"/>
        <w:jc w:val="left"/>
        <w:tblInd w:w="0" w:type="dxa"/>
        <w:tblLayout w:type="fixed"/>
        <w:tblCellMar>
          <w:top w:w="0" w:type="dxa"/>
          <w:left w:w="0" w:type="dxa"/>
          <w:bottom w:w="0" w:type="dxa"/>
          <w:right w:w="0" w:type="dxa"/>
        </w:tblCellMar>
      </w:tblPr>
      <w:tblGrid>
        <w:gridCol w:w="1171"/>
        <w:gridCol w:w="346"/>
        <w:gridCol w:w="511"/>
        <w:gridCol w:w="346"/>
        <w:gridCol w:w="196"/>
        <w:gridCol w:w="436"/>
        <w:gridCol w:w="346"/>
        <w:gridCol w:w="109"/>
        <w:gridCol w:w="826"/>
        <w:gridCol w:w="346"/>
        <w:gridCol w:w="206"/>
        <w:gridCol w:w="365"/>
        <w:gridCol w:w="109"/>
        <w:gridCol w:w="196"/>
        <w:gridCol w:w="691"/>
        <w:gridCol w:w="346"/>
        <w:gridCol w:w="196"/>
        <w:gridCol w:w="751"/>
        <w:gridCol w:w="346"/>
        <w:gridCol w:w="253"/>
        <w:gridCol w:w="738"/>
        <w:gridCol w:w="346"/>
        <w:gridCol w:w="196"/>
        <w:gridCol w:w="571"/>
        <w:gridCol w:w="346"/>
        <w:gridCol w:w="241"/>
        <w:gridCol w:w="630"/>
        <w:gridCol w:w="346"/>
        <w:gridCol w:w="196"/>
        <w:gridCol w:w="61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43585" cy="175260"/>
                      <wp:effectExtent l="0" t="0" r="0" b="0"/>
                      <wp:wrapNone/>
                      <wp:docPr id="57" name="Frame5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24485" cy="175260"/>
                      <wp:effectExtent l="0" t="0" r="0" b="0"/>
                      <wp:wrapNone/>
                      <wp:docPr id="59" name="Frame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76860" cy="175260"/>
                      <wp:effectExtent l="0" t="0" r="0" b="0"/>
                      <wp:wrapNone/>
                      <wp:docPr id="62" name="Frame6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24510" cy="175260"/>
                      <wp:effectExtent l="0" t="0" r="0" b="0"/>
                      <wp:wrapNone/>
                      <wp:docPr id="65" name="Frame6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0810" cy="175260"/>
                      <wp:effectExtent l="0" t="0" r="0" b="0"/>
                      <wp:wrapNone/>
                      <wp:docPr id="67" name="Frame6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1775" cy="175260"/>
                      <wp:effectExtent l="0" t="0" r="0" b="0"/>
                      <wp:wrapNone/>
                      <wp:docPr id="68" name="Frame6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76885" cy="175260"/>
                      <wp:effectExtent l="0" t="0" r="0" b="0"/>
                      <wp:wrapNone/>
                      <wp:docPr id="74" name="Frame7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60655" cy="175260"/>
                      <wp:effectExtent l="0" t="0" r="0" b="0"/>
                      <wp:wrapNone/>
                      <wp:docPr id="76" name="Frame7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68630" cy="175260"/>
                      <wp:effectExtent l="0" t="0" r="0" b="0"/>
                      <wp:wrapNone/>
                      <wp:docPr id="77" name="Frame7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260"/>
                      <wp:effectExtent l="0" t="0" r="0" b="0"/>
                      <wp:wrapNone/>
                      <wp:docPr id="80" name="Frame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53035" cy="175260"/>
                      <wp:effectExtent l="0" t="0" r="0" b="0"/>
                      <wp:wrapNone/>
                      <wp:docPr id="82" name="Frame8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00050" cy="175260"/>
                      <wp:effectExtent l="0" t="0" r="0" b="0"/>
                      <wp:wrapNone/>
                      <wp:docPr id="83" name="Frame83"/>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91160" cy="175260"/>
                      <wp:effectExtent l="0" t="0" r="0" b="0"/>
                      <wp:wrapNone/>
                      <wp:docPr id="86" name="Frame8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Series G Convertible</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4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473,824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(472,706)</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G Preferred Stock in private placement, net of transaction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2025</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(477,425)</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(5,795)</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Accrual of Series G Preferred Stock and dividend redemption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Deemed dividends on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 of warrant liability upon warrant modification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(479,694)</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(5,181)</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3,709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38" w:name="_0a5a5c7f_13ca_468f_9d52_41621962453f"/>
      <w:bookmarkEnd w:id="1038"/>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039" w:name="Tc_q38d0iwYJ06XWPhqf80obw_57_6"/>
      <w:bookmarkStart w:id="1040" w:name="Tc_CjfaL4ImvEmTn000CoflUg_57_0"/>
      <w:bookmarkStart w:id="1041" w:name="Tc_0fyQsi0ooUChDalTaB20cw_56_6"/>
      <w:bookmarkStart w:id="1042" w:name="Tc_pjyKPy8jB0CMBoDqgG7KVA_56_0"/>
      <w:bookmarkStart w:id="1043" w:name="Tc_x6w4XtdcbUWXnQm46Lm5kQ_55_6"/>
      <w:bookmarkStart w:id="1044" w:name="Tc_SwzvWZgKoUGQm6FJflHBbA_55_0"/>
      <w:bookmarkStart w:id="1045" w:name="Tc_ig_bQGgTGUust1KoI5qUSw_54_6"/>
      <w:bookmarkStart w:id="1046" w:name="Tc_nv5Y5RCeuEOfjfbPk72bFA_54_0"/>
      <w:bookmarkStart w:id="1047" w:name="Tc_PT9yIXTvtkejGI5gk7wYnA_53_3"/>
      <w:bookmarkStart w:id="1048" w:name="Tc_PMxrZiA67EGEHC33r5zBCA_53_0"/>
      <w:bookmarkStart w:id="1049" w:name="Tc_BwckChJumk6ASvstZrLcbg_52_6"/>
      <w:bookmarkStart w:id="1050" w:name="Tc_fu4R_gerJ0uubGf-P4xjqg_52_0"/>
      <w:bookmarkStart w:id="1051" w:name="Tc_OdIHBBQ7Akml38thR1iGow_51_3"/>
      <w:bookmarkStart w:id="1052" w:name="Tc_fNIHeKBtFUGkzu4uwG29kQ_51_0"/>
      <w:bookmarkStart w:id="1053" w:name="Tc_-n_xjRxsgECUW86GH0jVuw_50_3"/>
      <w:bookmarkStart w:id="1054" w:name="Tc_3K8meGBYekKjAVFRJctUSQ_50_0"/>
      <w:bookmarkStart w:id="1055" w:name="Tc_VLuz_DVZCU2yJfnTdVMYYw_49_3"/>
      <w:bookmarkStart w:id="1056" w:name="Tc_C3tUKjAem0SeAECJalyupg_49_0"/>
      <w:bookmarkStart w:id="1057" w:name="Tc_QedEDoCM20aHLU1zfWv9ZQ_48_3"/>
      <w:bookmarkStart w:id="1058" w:name="Tc_YCqGFi94JkyTzJn5dCUVUQ_48_0"/>
      <w:bookmarkStart w:id="1059" w:name="Tc_pKRNhSbnY0C41lXEfdQM9w_47_3"/>
      <w:bookmarkStart w:id="1060" w:name="Tc_LyIoUjs8ckyrVxtDHG8tyw_47_0"/>
      <w:bookmarkStart w:id="1061" w:name="Tc_J3cZiKWe8kmFmJknx3uemw_46_0"/>
      <w:bookmarkStart w:id="1062" w:name="Tc_vXhRPIjSYUmi6yc4kLpc6A_45_0"/>
      <w:bookmarkStart w:id="1063" w:name="Tc_dlsmXyDThE6SN4FjI2CRlg_44_0"/>
      <w:bookmarkStart w:id="1064" w:name="Tc_6QG-G5lIRE-bOliqlNfW8Q_43_5"/>
      <w:bookmarkStart w:id="1065" w:name="Tc_565AY1wLaEmQsnRga6ghPQ_43_2"/>
      <w:bookmarkStart w:id="1066" w:name="Tc_clnQ8XrPBEGCAaJpflttWQ_43_0"/>
      <w:bookmarkStart w:id="1067" w:name="Tc_2BtEk3v0uEO9jqxlN73gMQ_42_0"/>
      <w:bookmarkStart w:id="1068" w:name="Tc__vol3rwMtUmVph9Xm-BClA_41_5"/>
      <w:bookmarkStart w:id="1069" w:name="Tc_ZMKAPHIs5US3XeduFoeboA_41_2"/>
      <w:bookmarkStart w:id="1070" w:name="Tc_StI-_Q3dBkyZgrVJGeyd4Q_41_0"/>
      <w:bookmarkStart w:id="1071" w:name="Tc_r_U5NCptDkSAbU-ow8GptA_40_0"/>
      <w:bookmarkStart w:id="1072" w:name="Tc_MrSgeeDkpUOWnrrmCHTCCA_39_0"/>
      <w:bookmarkStart w:id="1073" w:name="Tc_27tdQ9YQcUiZ2QIwM2Rnww_38_0"/>
      <w:bookmarkStart w:id="1074" w:name="Tc_fADpgjQUcUKSxcUoAVUWCA_37_0"/>
      <w:bookmarkStart w:id="1075" w:name="Tc_UTL6EH2DQEeu4SlVBWkXOA_36_0"/>
      <w:bookmarkStart w:id="1076" w:name="Tc_Bs5rJtTvDUK2Mfyk0UvjRw_35_6"/>
      <w:bookmarkStart w:id="1077" w:name="Tc_1KiXaGPg_U-UaSH4wCZLrQ_35_0"/>
      <w:bookmarkStart w:id="1078" w:name="Tc_VGMHoWqjsU2WLLhphTFE7Q_34_6"/>
      <w:bookmarkStart w:id="1079" w:name="Tc_XJMmh9LX4EyVJCeE9e3MwA_34_3"/>
      <w:bookmarkStart w:id="1080" w:name="Tc_LM1ReTvYTUyr4513U6iDEQ_34_0"/>
      <w:bookmarkStart w:id="1081" w:name="Tc_-05ubxBC3Uq_qxlZYTlQ6w_33_0"/>
      <w:bookmarkStart w:id="1082" w:name="Tc_fUhaHZJCkUeZ0tISURCnzg_32_0"/>
      <w:bookmarkStart w:id="1083" w:name="Tc_Ums9aqC7i0ig2huhlgUBDQ_31_0"/>
      <w:bookmarkStart w:id="1084" w:name="Tc_yW6jPJMjlUuP-wXw4T9wHQ_30_0"/>
      <w:bookmarkStart w:id="1085" w:name="Tc_uAIuiuolNU6Y_rNzeWXaRQ_29_3"/>
      <w:bookmarkStart w:id="1086" w:name="Tc_kt0plj-qo0OgpeuhQ2J3Hw_29_0"/>
      <w:bookmarkStart w:id="1087" w:name="Tc_iXTJDJoiO02UqS-hAFVuig_28_0"/>
      <w:bookmarkStart w:id="1088" w:name="Tc_uGsjzIxpvkmwXhJ4ggYeIg_27_0"/>
      <w:bookmarkStart w:id="1089" w:name="Tc_YxGGZgcIm0ud-TxfQgJpsA_26_0"/>
      <w:bookmarkStart w:id="1090" w:name="Tc_InY6ln8mdkOYJJUaqSZnyw_25_0"/>
      <w:bookmarkStart w:id="1091" w:name="Tc_DIAUEeoO4k2L-Z_nyOub7Q_24_0"/>
      <w:bookmarkStart w:id="1092" w:name="Tc_6dIk4fF5vUKwwbV3XiX7jA_23_0"/>
      <w:bookmarkStart w:id="1093" w:name="Tc_I0cdMN29HUWnAbGr3NmyJA_22_0"/>
      <w:bookmarkStart w:id="1094" w:name="Tc_KR6KDibiBUKNUyrzKk8E_w_21_0"/>
      <w:bookmarkStart w:id="1095" w:name="Tc_bqfhn5oq7kW1WMSRLth-fg_20_0"/>
      <w:bookmarkStart w:id="1096" w:name="Tc_EaqbOb9rBEyqhq7fNae5Aw_19_0"/>
      <w:bookmarkStart w:id="1097" w:name="Tc_qQ2FfH_BgUe9ma17chrPrQ_18_3"/>
      <w:bookmarkStart w:id="1098" w:name="Tc_mDIsnyEdJ0acGyrOzf-_6A_18_0"/>
      <w:bookmarkStart w:id="1099" w:name="Tc_ZnXGhZjvRkSUHMfn3J8Iow_17_3"/>
      <w:bookmarkStart w:id="1100" w:name="Tc_wHpS6wYX2EWdY67Z61II2g_17_0"/>
      <w:bookmarkStart w:id="1101" w:name="Tc_UTmMSD6veUmZESkx1UgaWw_16_0"/>
      <w:bookmarkStart w:id="1102" w:name="Tc_XjFB3r-gmEC96-F96tRJNQ_15_0"/>
      <w:bookmarkStart w:id="1103" w:name="Tc_ilIHgej9DU-AU-IArZ1iNw_14_0"/>
      <w:bookmarkStart w:id="1104" w:name="Tc_56Ihfl8Ry0Clz7eCqURH9w_13_0"/>
      <w:bookmarkStart w:id="1105" w:name="Tc_L8h8NqvA-UGbdO5H-4_VRQ_12_0"/>
      <w:bookmarkStart w:id="1106" w:name="Tc_N7X47Nl0WES74m_ML8H2ng_11_0"/>
      <w:bookmarkStart w:id="1107" w:name="Tc_Z7qQHgkVjU2V3glmW2Mo3Q_10_6"/>
      <w:bookmarkStart w:id="1108" w:name="Tc_RtKBE9y0CEWRGwfhtD_qjA_10_0"/>
      <w:bookmarkStart w:id="1109" w:name="Tc_Emz2J4SJtE2TPusF02vtJQ_9_0"/>
      <w:bookmarkStart w:id="1110" w:name="Tc_tgq1XcKALECKhTKgbH98Ng_8_0"/>
      <w:bookmarkStart w:id="1111" w:name="Tc_1zx9scWw9kSh2u3TAZhWrg_7_3"/>
      <w:bookmarkStart w:id="1112" w:name="Tc_-ljHDT6YXU2WHuay-XLv6Q_7_0"/>
      <w:bookmarkStart w:id="1113" w:name="Tc_ZUfQV0e6F0KoirnljQU05g_6_0"/>
      <w:bookmarkStart w:id="1114" w:name="Tc_UpqnGyeAd0W3Rf8BbDfUng_5_0"/>
      <w:bookmarkStart w:id="1115" w:name="Tc_x61KFZ4W-0SC7aeFnvFGlA_4_5"/>
      <w:bookmarkStart w:id="1116" w:name="Tc_lI_fNAQWg0CjENJp3Qj_UQ_4_2"/>
      <w:bookmarkStart w:id="1117" w:name="Tc_M-ZLnEB4YUakj3XKYTWpwA_4_0"/>
      <w:bookmarkStart w:id="1118" w:name="Tc_WAPQKlCs5k-nZRTn6vlJbA_3_0"/>
      <w:bookmarkStart w:id="1119" w:name="Tc_NxoABw0UrUi5fe2BaTdwQw_2_5"/>
      <w:bookmarkStart w:id="1120" w:name="Tc_s7lA19wXM0WR6tpBspXV4A_2_2"/>
      <w:bookmarkStart w:id="1121" w:name="Tc_BJkl4WXS7kWI9M4W0IU48Q_1_2"/>
      <w:bookmarkStart w:id="1122" w:name="_6ec89fd5_220b_46f1_bbb5_940bcca20957"/>
      <w:bookmarkStart w:id="1123" w:name="Tc_q38d0iwYJ06XWPhqf80obw_57_6"/>
      <w:bookmarkStart w:id="1124" w:name="Tc_CjfaL4ImvEmTn000CoflUg_57_0"/>
      <w:bookmarkStart w:id="1125" w:name="Tc_0fyQsi0ooUChDalTaB20cw_56_6"/>
      <w:bookmarkStart w:id="1126" w:name="Tc_pjyKPy8jB0CMBoDqgG7KVA_56_0"/>
      <w:bookmarkStart w:id="1127" w:name="Tc_x6w4XtdcbUWXnQm46Lm5kQ_55_6"/>
      <w:bookmarkStart w:id="1128" w:name="Tc_SwzvWZgKoUGQm6FJflHBbA_55_0"/>
      <w:bookmarkStart w:id="1129" w:name="Tc_ig_bQGgTGUust1KoI5qUSw_54_6"/>
      <w:bookmarkStart w:id="1130" w:name="Tc_nv5Y5RCeuEOfjfbPk72bFA_54_0"/>
      <w:bookmarkStart w:id="1131" w:name="Tc_PT9yIXTvtkejGI5gk7wYnA_53_3"/>
      <w:bookmarkStart w:id="1132" w:name="Tc_PMxrZiA67EGEHC33r5zBCA_53_0"/>
      <w:bookmarkStart w:id="1133" w:name="Tc_BwckChJumk6ASvstZrLcbg_52_6"/>
      <w:bookmarkStart w:id="1134" w:name="Tc_fu4R_gerJ0uubGf-P4xjqg_52_0"/>
      <w:bookmarkStart w:id="1135" w:name="Tc_OdIHBBQ7Akml38thR1iGow_51_3"/>
      <w:bookmarkStart w:id="1136" w:name="Tc_fNIHeKBtFUGkzu4uwG29kQ_51_0"/>
      <w:bookmarkStart w:id="1137" w:name="Tc_-n_xjRxsgECUW86GH0jVuw_50_3"/>
      <w:bookmarkStart w:id="1138" w:name="Tc_3K8meGBYekKjAVFRJctUSQ_50_0"/>
      <w:bookmarkStart w:id="1139" w:name="Tc_VLuz_DVZCU2yJfnTdVMYYw_49_3"/>
      <w:bookmarkStart w:id="1140" w:name="Tc_C3tUKjAem0SeAECJalyupg_49_0"/>
      <w:bookmarkStart w:id="1141" w:name="Tc_QedEDoCM20aHLU1zfWv9ZQ_48_3"/>
      <w:bookmarkStart w:id="1142" w:name="Tc_YCqGFi94JkyTzJn5dCUVUQ_48_0"/>
      <w:bookmarkStart w:id="1143" w:name="Tc_pKRNhSbnY0C41lXEfdQM9w_47_3"/>
      <w:bookmarkStart w:id="1144" w:name="Tc_LyIoUjs8ckyrVxtDHG8tyw_47_0"/>
      <w:bookmarkStart w:id="1145" w:name="Tc_J3cZiKWe8kmFmJknx3uemw_46_0"/>
      <w:bookmarkStart w:id="1146" w:name="Tc_vXhRPIjSYUmi6yc4kLpc6A_45_0"/>
      <w:bookmarkStart w:id="1147" w:name="Tc_dlsmXyDThE6SN4FjI2CRlg_44_0"/>
      <w:bookmarkStart w:id="1148" w:name="Tc_6QG-G5lIRE-bOliqlNfW8Q_43_5"/>
      <w:bookmarkStart w:id="1149" w:name="Tc_565AY1wLaEmQsnRga6ghPQ_43_2"/>
      <w:bookmarkStart w:id="1150" w:name="Tc_clnQ8XrPBEGCAaJpflttWQ_43_0"/>
      <w:bookmarkStart w:id="1151" w:name="Tc_2BtEk3v0uEO9jqxlN73gMQ_42_0"/>
      <w:bookmarkStart w:id="1152" w:name="Tc__vol3rwMtUmVph9Xm-BClA_41_5"/>
      <w:bookmarkStart w:id="1153" w:name="Tc_ZMKAPHIs5US3XeduFoeboA_41_2"/>
      <w:bookmarkStart w:id="1154" w:name="Tc_StI-_Q3dBkyZgrVJGeyd4Q_41_0"/>
      <w:bookmarkStart w:id="1155" w:name="Tc_r_U5NCptDkSAbU-ow8GptA_40_0"/>
      <w:bookmarkStart w:id="1156" w:name="Tc_MrSgeeDkpUOWnrrmCHTCCA_39_0"/>
      <w:bookmarkStart w:id="1157" w:name="Tc_27tdQ9YQcUiZ2QIwM2Rnww_38_0"/>
      <w:bookmarkStart w:id="1158" w:name="Tc_fADpgjQUcUKSxcUoAVUWCA_37_0"/>
      <w:bookmarkStart w:id="1159" w:name="Tc_UTL6EH2DQEeu4SlVBWkXOA_36_0"/>
      <w:bookmarkStart w:id="1160" w:name="Tc_Bs5rJtTvDUK2Mfyk0UvjRw_35_6"/>
      <w:bookmarkStart w:id="1161" w:name="Tc_1KiXaGPg_U-UaSH4wCZLrQ_35_0"/>
      <w:bookmarkStart w:id="1162" w:name="Tc_VGMHoWqjsU2WLLhphTFE7Q_34_6"/>
      <w:bookmarkStart w:id="1163" w:name="Tc_XJMmh9LX4EyVJCeE9e3MwA_34_3"/>
      <w:bookmarkStart w:id="1164" w:name="Tc_LM1ReTvYTUyr4513U6iDEQ_34_0"/>
      <w:bookmarkStart w:id="1165" w:name="Tc_-05ubxBC3Uq_qxlZYTlQ6w_33_0"/>
      <w:bookmarkStart w:id="1166" w:name="Tc_fUhaHZJCkUeZ0tISURCnzg_32_0"/>
      <w:bookmarkStart w:id="1167" w:name="Tc_Ums9aqC7i0ig2huhlgUBDQ_31_0"/>
      <w:bookmarkStart w:id="1168" w:name="Tc_yW6jPJMjlUuP-wXw4T9wHQ_30_0"/>
      <w:bookmarkStart w:id="1169" w:name="Tc_uAIuiuolNU6Y_rNzeWXaRQ_29_3"/>
      <w:bookmarkStart w:id="1170" w:name="Tc_kt0plj-qo0OgpeuhQ2J3Hw_29_0"/>
      <w:bookmarkStart w:id="1171" w:name="Tc_iXTJDJoiO02UqS-hAFVuig_28_0"/>
      <w:bookmarkStart w:id="1172" w:name="Tc_uGsjzIxpvkmwXhJ4ggYeIg_27_0"/>
      <w:bookmarkStart w:id="1173" w:name="Tc_YxGGZgcIm0ud-TxfQgJpsA_26_0"/>
      <w:bookmarkStart w:id="1174" w:name="Tc_InY6ln8mdkOYJJUaqSZnyw_25_0"/>
      <w:bookmarkStart w:id="1175" w:name="Tc_DIAUEeoO4k2L-Z_nyOub7Q_24_0"/>
      <w:bookmarkStart w:id="1176" w:name="Tc_6dIk4fF5vUKwwbV3XiX7jA_23_0"/>
      <w:bookmarkStart w:id="1177" w:name="Tc_I0cdMN29HUWnAbGr3NmyJA_22_0"/>
      <w:bookmarkStart w:id="1178" w:name="Tc_KR6KDibiBUKNUyrzKk8E_w_21_0"/>
      <w:bookmarkStart w:id="1179" w:name="Tc_bqfhn5oq7kW1WMSRLth-fg_20_0"/>
      <w:bookmarkStart w:id="1180" w:name="Tc_EaqbOb9rBEyqhq7fNae5Aw_19_0"/>
      <w:bookmarkStart w:id="1181" w:name="Tc_qQ2FfH_BgUe9ma17chrPrQ_18_3"/>
      <w:bookmarkStart w:id="1182" w:name="Tc_mDIsnyEdJ0acGyrOzf-_6A_18_0"/>
      <w:bookmarkStart w:id="1183" w:name="Tc_ZnXGhZjvRkSUHMfn3J8Iow_17_3"/>
      <w:bookmarkStart w:id="1184" w:name="Tc_wHpS6wYX2EWdY67Z61II2g_17_0"/>
      <w:bookmarkStart w:id="1185" w:name="Tc_UTmMSD6veUmZESkx1UgaWw_16_0"/>
      <w:bookmarkStart w:id="1186" w:name="Tc_XjFB3r-gmEC96-F96tRJNQ_15_0"/>
      <w:bookmarkStart w:id="1187" w:name="Tc_ilIHgej9DU-AU-IArZ1iNw_14_0"/>
      <w:bookmarkStart w:id="1188" w:name="Tc_56Ihfl8Ry0Clz7eCqURH9w_13_0"/>
      <w:bookmarkStart w:id="1189" w:name="Tc_L8h8NqvA-UGbdO5H-4_VRQ_12_0"/>
      <w:bookmarkStart w:id="1190" w:name="Tc_N7X47Nl0WES74m_ML8H2ng_11_0"/>
      <w:bookmarkStart w:id="1191" w:name="Tc_Z7qQHgkVjU2V3glmW2Mo3Q_10_6"/>
      <w:bookmarkStart w:id="1192" w:name="Tc_RtKBE9y0CEWRGwfhtD_qjA_10_0"/>
      <w:bookmarkStart w:id="1193" w:name="Tc_Emz2J4SJtE2TPusF02vtJQ_9_0"/>
      <w:bookmarkStart w:id="1194" w:name="Tc_tgq1XcKALECKhTKgbH98Ng_8_0"/>
      <w:bookmarkStart w:id="1195" w:name="Tc_1zx9scWw9kSh2u3TAZhWrg_7_3"/>
      <w:bookmarkStart w:id="1196" w:name="Tc_-ljHDT6YXU2WHuay-XLv6Q_7_0"/>
      <w:bookmarkStart w:id="1197" w:name="Tc_ZUfQV0e6F0KoirnljQU05g_6_0"/>
      <w:bookmarkStart w:id="1198" w:name="Tc_UpqnGyeAd0W3Rf8BbDfUng_5_0"/>
      <w:bookmarkStart w:id="1199" w:name="Tc_x61KFZ4W-0SC7aeFnvFGlA_4_5"/>
      <w:bookmarkStart w:id="1200" w:name="Tc_lI_fNAQWg0CjENJp3Qj_UQ_4_2"/>
      <w:bookmarkStart w:id="1201" w:name="Tc_M-ZLnEB4YUakj3XKYTWpwA_4_0"/>
      <w:bookmarkStart w:id="1202" w:name="Tc_WAPQKlCs5k-nZRTn6vlJbA_3_0"/>
      <w:bookmarkStart w:id="1203" w:name="Tc_NxoABw0UrUi5fe2BaTdwQw_2_5"/>
      <w:bookmarkStart w:id="1204" w:name="Tc_s7lA19wXM0WR6tpBspXV4A_2_2"/>
      <w:bookmarkStart w:id="1205" w:name="Tc_BJkl4WXS7kWI9M4W0IU48Q_1_2"/>
      <w:bookmarkStart w:id="1206" w:name="_6ec89fd5_220b_46f1_bbb5_940bcca20957"/>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p>
    <w:tbl>
      <w:tblPr>
        <w:tblW w:w="8190" w:type="dxa"/>
        <w:jc w:val="left"/>
        <w:tblInd w:w="0" w:type="dxa"/>
        <w:tblLayout w:type="fixed"/>
        <w:tblCellMar>
          <w:top w:w="0" w:type="dxa"/>
          <w:left w:w="0" w:type="dxa"/>
          <w:bottom w:w="0" w:type="dxa"/>
          <w:right w:w="0" w:type="dxa"/>
        </w:tblCellMar>
      </w:tblPr>
      <w:tblGrid>
        <w:gridCol w:w="5881"/>
        <w:gridCol w:w="346"/>
        <w:gridCol w:w="212"/>
        <w:gridCol w:w="723"/>
        <w:gridCol w:w="128"/>
        <w:gridCol w:w="212"/>
        <w:gridCol w:w="688"/>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734435" cy="175260"/>
                      <wp:effectExtent l="0" t="0" r="0" b="0"/>
                      <wp:wrapNone/>
                      <wp:docPr id="87" name="Frame87"/>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4620" cy="175260"/>
                      <wp:effectExtent l="0" t="0" r="0" b="0"/>
                      <wp:wrapNone/>
                      <wp:docPr id="89" name="Frame8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9105" cy="175260"/>
                      <wp:effectExtent l="0" t="0" r="0" b="0"/>
                      <wp:wrapNone/>
                      <wp:docPr id="90" name="Frame9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1280" cy="175260"/>
                      <wp:effectExtent l="0" t="0" r="0" b="0"/>
                      <wp:wrapNone/>
                      <wp:docPr id="91" name="Frame91"/>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4620" cy="175260"/>
                      <wp:effectExtent l="0" t="0" r="0" b="0"/>
                      <wp:wrapNone/>
                      <wp:docPr id="92" name="Frame9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6880" cy="175260"/>
                      <wp:effectExtent l="0" t="0" r="0" b="0"/>
                      <wp:wrapNone/>
                      <wp:docPr id="93" name="Frame9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128" w:type="dxa"/>
            <w:tcBorders/>
            <w:vAlign w:val="center"/>
          </w:tcPr>
          <w:p>
            <w:pPr>
              <w:pStyle w:val="TableContents"/>
              <w:bidi w:val="0"/>
              <w:spacing w:before="0"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  ​</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(12,895)</w:t>
            </w:r>
          </w:p>
        </w:tc>
        <w:tc>
          <w:tcPr>
            <w:tcW w:w="12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(6,640)</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335</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353</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Unrealized gain on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Foreign currency remeasurement (gain) loss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998</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Gain on lease termination</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(501)</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disposal of assets, net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239</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operating lease right-of-use asset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490</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Provision for credit losses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984</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682</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interest expense</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Gain on equity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fair value of derivative liability</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5,584</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(3,215)</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issuance of Series G Preferred Stock</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3,443</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Decrease (increase) in inventory</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(Increase) decrease in 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(259)</w:t>
            </w:r>
          </w:p>
        </w:tc>
        <w:tc>
          <w:tcPr>
            <w:tcW w:w="128"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(Decrease) in deferred revenue</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(417)</w:t>
            </w:r>
          </w:p>
        </w:tc>
        <w:tc>
          <w:tcPr>
            <w:tcW w:w="12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Decrease (increase) in other assets, current and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w:t>
            </w:r>
          </w:p>
        </w:tc>
        <w:tc>
          <w:tcPr>
            <w:tcW w:w="128"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(1,013)</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(Decrease) in other liabilities, current and non-current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(1,196)</w:t>
            </w:r>
          </w:p>
        </w:tc>
        <w:tc>
          <w:tcPr>
            <w:tcW w:w="12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(1,287)</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(Decrease) increase in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(1,066)</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239</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 xml:space="preserve">Net cash used in operating activities </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(9,117)</w:t>
            </w:r>
          </w:p>
        </w:tc>
        <w:tc>
          <w:tcPr>
            <w:tcW w:w="128" w:type="dxa"/>
            <w:tcBorders/>
            <w:vAlign w:val="center"/>
          </w:tcPr>
          <w:p>
            <w:pPr>
              <w:pStyle w:val="TableContents"/>
              <w:bidi w:val="0"/>
              <w:spacing w:before="0" w:after="1"/>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(6,564)</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pPr>
            <w:r>
              <w:rPr/>
              <w:t>  ​</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 of property and equipment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(559)</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(1,313)</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Investment in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Sale of marketable securities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4,488</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cash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(552)</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3,091</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Series G Preferred Stock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shares withheld on vesting</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for Repurchase of preferred stock, convertible notes and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(9,000)</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Series H Preferred Stock in private placement, net of offering costs</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28,269</w:t>
            </w:r>
          </w:p>
        </w:tc>
        <w:tc>
          <w:tcPr>
            <w:tcW w:w="128" w:type="dxa"/>
            <w:tcBorders/>
            <w:vAlign w:val="center"/>
          </w:tcPr>
          <w:p>
            <w:pPr>
              <w:pStyle w:val="TableContents"/>
              <w:bidi w:val="0"/>
              <w:spacing w:before="0" w:after="1"/>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72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19,193</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68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3,650</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Effect of exchange rate changes on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w:t>
            </w:r>
          </w:p>
        </w:tc>
        <w:tc>
          <w:tcPr>
            <w:tcW w:w="128" w:type="dxa"/>
            <w:tcBorders/>
            <w:vAlign w:val="center"/>
          </w:tcPr>
          <w:p>
            <w:pPr>
              <w:pStyle w:val="TableContents"/>
              <w:bidi w:val="0"/>
              <w:spacing w:before="0" w:after="1"/>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9,478</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213</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the year</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2,868</w:t>
            </w:r>
          </w:p>
        </w:tc>
        <w:tc>
          <w:tcPr>
            <w:tcW w:w="128" w:type="dxa"/>
            <w:tcBorders/>
            <w:vAlign w:val="center"/>
          </w:tcPr>
          <w:p>
            <w:pPr>
              <w:pStyle w:val="TableContents"/>
              <w:bidi w:val="0"/>
              <w:spacing w:before="0" w:after="1"/>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5,301</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12,346</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5,514</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paid for</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left"/>
              <w:rPr/>
            </w:pPr>
            <w:r>
              <w:rPr/>
              <w:t>​</w:t>
            </w:r>
          </w:p>
        </w:tc>
        <w:tc>
          <w:tcPr>
            <w:tcW w:w="12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Non-cash investing and financing transactions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Capital expenditures included in accounts payable, 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Accrual of Series G convertible preferred stock dividends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162</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G convertible preferred stock to redemption value</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1,082</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Initial fair value of warrant liability</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5,873</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Initial fair value of 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1,315</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Series G convertible preferred stock redemption payable</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829</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Reclass of warrant liability upon warrant modification</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2,658</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Derecognition of right-of-use asset and operating lease liabilities upon termination of lease </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Lease liability remeasurement due to modification</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pPr>
            <w:r>
              <w:rPr/>
              <w:t>—</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conversion of Series G convertible preferred stock</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543</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Deemed dividend on Repurchase of Series G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Fair value of Placement Agent warrants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7,152</w:t>
            </w:r>
          </w:p>
        </w:tc>
        <w:tc>
          <w:tcPr>
            <w:tcW w:w="128"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Contribution on Repurchase of related party debt, net of warrant repurchase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4,250</w:t>
            </w:r>
          </w:p>
        </w:tc>
        <w:tc>
          <w:tcPr>
            <w:tcW w:w="128"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5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07" w:name="_120ef8db_c5ce_427d_8cbb_e3ffe37109b3"/>
      <w:bookmarkEnd w:id="1207"/>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Overview and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Naples Wax Center provides upscale hair removal and skincare services through its branded locations.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Analysis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assuming that the Company will continue as a going concern. While the Company has suffered recurring losses and negative cash flows from operations, management evaluated whether substantial doubt existed about the Company’s ability to continue as a going concern within one year after the date these unaudited condensed consolidated financial statements are issued.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financing options such as the February 2026 private placement (referenced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increase in liquidity during the six months ended June 30, 2026 was primarily attributable to proceeds from a private placement of Series H Convertible Preferred Stock with accompanying warrants completed in February 2026 (the “February 2026 Private Placement”), which generated net proceeds of $28,269. During the six months ended June 30, 2026, the Company used approximately $9,000 of these proceeds to repurchase outstanding Series G Preferred Stock, certain convertible notes, and related warrants as part of a strategic effort to simplify its capital structure and reduce future financing obligations. The remaining proceeds were used to support general corporate purposes and working capital needs.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continues to focus on managing operating expenses, optimizing working capital, and improving cash flows from operations. Based on its current cash position and expected operating cash flows, the Company believes it has sufficient liquidity to fund its operations and meet its obligations for at least the next twelve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2025, as amended. The condensed consolidated balance sheet as of December 31, 2025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 months ended June 30, 2026,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as of the date of the unaudited condensed consolidated financial statements and the reported amounts of revenues and expenses for the periods presented. Actual results may differ from such estimates. Significant items subject to such estimates and assumptions include the Company’s long-lived assets, the valuation of stock-based compensation, fair value of warrants, derivative liability, deferred tax assets and liabilities, income tax uncertainties, and other contingencies.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208" w:name="Tc_oXCCTbtWVkObwVdnbpfpGQ_6_5"/>
      <w:bookmarkStart w:id="1209" w:name="Tc_WaamX7BBBkmexzYQ92dWzA_6_2"/>
      <w:bookmarkStart w:id="1210" w:name="Tc_utESI-9HM0y-GQvbzljmJw_6_0"/>
      <w:bookmarkStart w:id="1211" w:name="Tc_1qk9yVdo1kKEZt7v6t9J4Q_5_0"/>
      <w:bookmarkStart w:id="1212" w:name="Tc_kmFSj8CwP0--WO-Nr_9veA_4_0"/>
      <w:bookmarkStart w:id="1213" w:name="Tc_qVYX_52Blk--zswBIJnJaw_3_0"/>
      <w:bookmarkStart w:id="1214" w:name="Tc_hCo27lhjsEWvpp_ZsesEWw_2_5"/>
      <w:bookmarkStart w:id="1215" w:name="Tc_vXPRsw0eJESEGIkG7FL_Cg_2_2"/>
      <w:bookmarkStart w:id="1216" w:name="Tc_D17bsKaTI0-KdaUaRGLZQQ_2_0"/>
      <w:bookmarkStart w:id="1217" w:name="Tc_0tWzzpslpEu4H7ZWbebPEA_1_5"/>
      <w:bookmarkStart w:id="1218" w:name="Tc_BHEqDvWDPE27hnTbzhmScQ_1_2"/>
      <w:bookmarkEnd w:id="1208"/>
      <w:bookmarkEnd w:id="1209"/>
      <w:bookmarkEnd w:id="1210"/>
      <w:bookmarkEnd w:id="1211"/>
      <w:bookmarkEnd w:id="1212"/>
      <w:bookmarkEnd w:id="1213"/>
      <w:bookmarkEnd w:id="1214"/>
      <w:bookmarkEnd w:id="1215"/>
      <w:bookmarkEnd w:id="1216"/>
      <w:bookmarkEnd w:id="1217"/>
      <w:bookmarkEnd w:id="1218"/>
      <w:r>
        <w:rPr>
          <w:rFonts w:ascii="Times New Roman;Times;serif" w:hAnsi="Times New Roman;Times;serif"/>
          <w:b/>
          <w:sz w:val="20"/>
        </w:rPr>
        <w:t xml:space="preserve">Note 3. Cash, Cash Equivalents, and Restricted Cash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the Company’s cash and cash equivalents in the unaudited condensed consolidated balance sheets to cash, cash equivalents and restricted cash in the unaudited condensed consolidated statements of cash flows as of June 30, 2026, and December 31, 2025 is as follows:</w:t>
      </w:r>
    </w:p>
    <w:p>
      <w:pPr>
        <w:pStyle w:val="TextBody"/>
        <w:bidi w:val="0"/>
        <w:spacing w:before="0" w:after="0"/>
        <w:ind w:left="0" w:right="0" w:hanging="0"/>
        <w:jc w:val="left"/>
        <w:rPr/>
      </w:pPr>
      <w:r>
        <w:rPr/>
        <w:t>​</w:t>
      </w:r>
    </w:p>
    <w:tbl>
      <w:tblPr>
        <w:tblW w:w="8930" w:type="dxa"/>
        <w:jc w:val="left"/>
        <w:tblInd w:w="0" w:type="dxa"/>
        <w:tblLayout w:type="fixed"/>
        <w:tblCellMar>
          <w:top w:w="0" w:type="dxa"/>
          <w:left w:w="0" w:type="dxa"/>
          <w:bottom w:w="0" w:type="dxa"/>
          <w:right w:w="0" w:type="dxa"/>
        </w:tblCellMar>
      </w:tblPr>
      <w:tblGrid>
        <w:gridCol w:w="5191"/>
        <w:gridCol w:w="346"/>
        <w:gridCol w:w="303"/>
        <w:gridCol w:w="973"/>
        <w:gridCol w:w="346"/>
        <w:gridCol w:w="416"/>
        <w:gridCol w:w="1355"/>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296285" cy="175260"/>
                      <wp:effectExtent l="0" t="0" r="0" b="0"/>
                      <wp:wrapNone/>
                      <wp:docPr id="94" name="Frame94"/>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92405" cy="175260"/>
                      <wp:effectExtent l="0" t="0" r="0" b="0"/>
                      <wp:wrapNone/>
                      <wp:docPr id="96" name="Frame9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7855" cy="175260"/>
                      <wp:effectExtent l="0" t="0" r="0" b="0"/>
                      <wp:wrapNone/>
                      <wp:docPr id="97" name="Frame97"/>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4160" cy="175260"/>
                      <wp:effectExtent l="0" t="0" r="0" b="0"/>
                      <wp:wrapNone/>
                      <wp:docPr id="99" name="Frame99"/>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860425" cy="175260"/>
                      <wp:effectExtent l="0" t="0" r="0" b="0"/>
                      <wp:wrapNone/>
                      <wp:docPr id="100" name="Frame100"/>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center"/>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United States dollars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10,187</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 </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and debit card receivables</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12,346</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2,868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19" w:name="Tc_d__SfBB-CUC-paJ6mYInDA_4_5"/>
      <w:bookmarkStart w:id="1220" w:name="Tc_OGt6Uc2tK02c6eLU2sEqlw_4_2"/>
      <w:bookmarkStart w:id="1221" w:name="Tc_YFq_32azRkSE_eHlUyz0YA_4_0"/>
      <w:bookmarkStart w:id="1222" w:name="Tc_6yzIjg_m5UawIv3-tV_0Aw_3_6"/>
      <w:bookmarkStart w:id="1223" w:name="Tc_oDOyWXRkzUuUkRnXMSXPqg_3_0"/>
      <w:bookmarkStart w:id="1224" w:name="Tc_fewcyZQaFUihs7mETvYkJg_2_5"/>
      <w:bookmarkStart w:id="1225" w:name="Tc_YUkFR_9-yECp908hdJc1Bw_2_2"/>
      <w:bookmarkStart w:id="1226" w:name="Tc_jQlEQ7jo9UySPlsXxrwlvA_2_0"/>
      <w:bookmarkStart w:id="1227" w:name="Tc_q1QEBnYII0i0H-5rujHPxw_1_5"/>
      <w:bookmarkStart w:id="1228" w:name="Tc_XzmxfBpxIEyA0xeVjMxwXA_1_2"/>
      <w:bookmarkEnd w:id="1219"/>
      <w:bookmarkEnd w:id="1220"/>
      <w:bookmarkEnd w:id="1221"/>
      <w:bookmarkEnd w:id="1222"/>
      <w:bookmarkEnd w:id="1223"/>
      <w:bookmarkEnd w:id="1224"/>
      <w:bookmarkEnd w:id="1225"/>
      <w:bookmarkEnd w:id="1226"/>
      <w:bookmarkEnd w:id="1227"/>
      <w:bookmarkEnd w:id="1228"/>
      <w:r>
        <w:rPr>
          <w:rFonts w:ascii="Times New Roman;Times;serif" w:hAnsi="Times New Roman;Times;serif"/>
          <w:b/>
          <w:sz w:val="20"/>
        </w:rPr>
        <w:t>Note 4.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other current assets consisted of the following:</w:t>
      </w:r>
    </w:p>
    <w:p>
      <w:pPr>
        <w:pStyle w:val="TextBody"/>
        <w:bidi w:val="0"/>
        <w:spacing w:before="0" w:after="0"/>
        <w:ind w:left="0" w:right="0" w:hanging="0"/>
        <w:jc w:val="left"/>
        <w:rPr/>
      </w:pPr>
      <w:r>
        <w:rPr/>
        <w:t>​</w:t>
      </w:r>
    </w:p>
    <w:tbl>
      <w:tblPr>
        <w:tblW w:w="5885" w:type="dxa"/>
        <w:jc w:val="left"/>
        <w:tblInd w:w="0" w:type="dxa"/>
        <w:tblLayout w:type="fixed"/>
        <w:tblCellMar>
          <w:top w:w="0" w:type="dxa"/>
          <w:left w:w="0" w:type="dxa"/>
          <w:bottom w:w="0" w:type="dxa"/>
          <w:right w:w="0" w:type="dxa"/>
        </w:tblCellMar>
      </w:tblPr>
      <w:tblGrid>
        <w:gridCol w:w="2146"/>
        <w:gridCol w:w="346"/>
        <w:gridCol w:w="344"/>
        <w:gridCol w:w="932"/>
        <w:gridCol w:w="346"/>
        <w:gridCol w:w="416"/>
        <w:gridCol w:w="1355"/>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62710" cy="175260"/>
                      <wp:effectExtent l="0" t="0" r="0" b="0"/>
                      <wp:wrapNone/>
                      <wp:docPr id="101" name="Frame10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8440" cy="175260"/>
                      <wp:effectExtent l="0" t="0" r="0" b="0"/>
                      <wp:wrapNone/>
                      <wp:docPr id="103" name="Frame10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91820" cy="175260"/>
                      <wp:effectExtent l="0" t="0" r="0" b="0"/>
                      <wp:wrapNone/>
                      <wp:docPr id="104" name="Frame10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64160" cy="175260"/>
                      <wp:effectExtent l="0" t="0" r="0" b="0"/>
                      <wp:wrapNone/>
                      <wp:docPr id="106" name="Frame10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60425" cy="175260"/>
                      <wp:effectExtent l="0" t="0" r="0" b="0"/>
                      <wp:wrapNone/>
                      <wp:docPr id="107" name="Frame107"/>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center"/>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1,217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are predominantly comprised of financed and prepaid insurance policies and IT hosting services, which have terms of one year or less.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229" w:name="Tc_1F3gxlSc5kyTKKljQio3EA_8_5"/>
      <w:bookmarkStart w:id="1230" w:name="Tc_nJKP2Y1p3U2TDhZcALxl6Q_8_2"/>
      <w:bookmarkStart w:id="1231" w:name="Tc_1_2H55_3RUO_ljBm7tZkvA_8_0"/>
      <w:bookmarkStart w:id="1232" w:name="Tc_0CheggqXO02KvF0rUJSLCQ_7_0"/>
      <w:bookmarkStart w:id="1233" w:name="Tc_9RdI7hP0ZU-KAjSxl4WqNQ_5_8"/>
      <w:bookmarkStart w:id="1234" w:name="Tc_-XXFWCZBl0exCOWvUhwJcg_5_0"/>
      <w:bookmarkStart w:id="1235" w:name="Tc_kAAHYd11AE6Bd6HoE0qt7w_4_8"/>
      <w:bookmarkStart w:id="1236" w:name="Tc_GQ_zeSFAREGmw8PGNM35OQ_4_0"/>
      <w:bookmarkStart w:id="1237" w:name="Tc_D-3SFCR_ek6_8H_FA9GEZw_3_8"/>
      <w:bookmarkStart w:id="1238" w:name="Tc_uz6hx6hjYUWmoSMTYa4eRA_3_5"/>
      <w:bookmarkStart w:id="1239" w:name="Tc_zQqIPrUMz0aH02NZU9Gc2g_3_2"/>
      <w:bookmarkStart w:id="1240" w:name="Tc_mu7dFBb3eE26ofltBdYCEA_3_0"/>
      <w:bookmarkStart w:id="1241" w:name="Tc_P_nC5UEWlUyc0b2Y0OPmGA_2_8"/>
      <w:bookmarkStart w:id="1242" w:name="Tc_y_MSZcZtGE6j1sDq9hMonQ_2_5"/>
      <w:bookmarkStart w:id="1243" w:name="Tc_8JSBripYT0iFbGMpFdsqhw_2_2"/>
      <w:bookmarkStart w:id="1244" w:name="Tc_zXWd-sz2BkGYQDAfPKW_Bw_1_5"/>
      <w:bookmarkStart w:id="1245" w:name="Tc_Mb6IOhKBPkWIkCV2oiy5Hw_1_2"/>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Times New Roman;Times;serif" w:hAnsi="Times New Roman;Times;serif"/>
          <w:b/>
          <w:sz w:val="20"/>
        </w:rPr>
        <w:t>Note 5. 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comprised of the following:</w:t>
      </w:r>
    </w:p>
    <w:p>
      <w:pPr>
        <w:pStyle w:val="TextBody"/>
        <w:bidi w:val="0"/>
        <w:spacing w:before="0" w:after="0"/>
        <w:ind w:left="0" w:right="0" w:hanging="0"/>
        <w:jc w:val="left"/>
        <w:rPr/>
      </w:pPr>
      <w:r>
        <w:rPr/>
        <w:t>​</w:t>
      </w:r>
    </w:p>
    <w:tbl>
      <w:tblPr>
        <w:tblW w:w="7747" w:type="dxa"/>
        <w:jc w:val="left"/>
        <w:tblInd w:w="0" w:type="dxa"/>
        <w:tblLayout w:type="fixed"/>
        <w:tblCellMar>
          <w:top w:w="0" w:type="dxa"/>
          <w:left w:w="0" w:type="dxa"/>
          <w:bottom w:w="0" w:type="dxa"/>
          <w:right w:w="0" w:type="dxa"/>
        </w:tblCellMar>
      </w:tblPr>
      <w:tblGrid>
        <w:gridCol w:w="2896"/>
        <w:gridCol w:w="346"/>
        <w:gridCol w:w="211"/>
        <w:gridCol w:w="691"/>
        <w:gridCol w:w="346"/>
        <w:gridCol w:w="326"/>
        <w:gridCol w:w="979"/>
        <w:gridCol w:w="346"/>
        <w:gridCol w:w="16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38960" cy="175260"/>
                      <wp:effectExtent l="0" t="0" r="0" b="0"/>
                      <wp:wrapNone/>
                      <wp:docPr id="108" name="Frame108"/>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38785" cy="175260"/>
                      <wp:effectExtent l="0" t="0" r="0" b="0"/>
                      <wp:wrapNone/>
                      <wp:docPr id="111" name="Frame1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1665" cy="175260"/>
                      <wp:effectExtent l="0" t="0" r="0" b="0"/>
                      <wp:wrapNone/>
                      <wp:docPr id="114" name="Frame114"/>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019810" cy="175260"/>
                      <wp:effectExtent l="0" t="0" r="0" b="0"/>
                      <wp:wrapNone/>
                      <wp:docPr id="116" name="Frame11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r>
          </w:p>
        </w:tc>
        <w:tc>
          <w:tcPr>
            <w:tcW w:w="346"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pPr>
            <w:r>
              <w:rPr/>
              <w:t>  ​ ​ ​</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Life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w:t>
            </w:r>
          </w:p>
        </w:tc>
        <w:tc>
          <w:tcPr>
            <w:tcW w:w="34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5-8 years</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 years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4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5 years</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7,590</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w:t>
            </w:r>
          </w:p>
        </w:tc>
        <w:tc>
          <w:tcPr>
            <w:tcW w:w="34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3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expense was $132 and $255 for the three and six months ended June 30, 2026, respectively. Depreciation expense was $110 and $200 for the three and six months ended June 30, 2025, respectively.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1: </w:t>
      </w:r>
      <w:r>
        <w:rPr>
          <w:rFonts w:ascii="Times New Roman;Times;serif" w:hAnsi="Times New Roman;Times;serif"/>
          <w:sz w:val="20"/>
        </w:rPr>
        <w:t>Inputs are quoted prices (unadjusted) for identical assets or liabilities in active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2: </w:t>
      </w:r>
      <w:r>
        <w:rPr>
          <w:rFonts w:ascii="Times New Roman;Times;serif" w:hAnsi="Times New Roman;Times;serif"/>
          <w:sz w:val="20"/>
        </w:rPr>
        <w:t>Pricing inputs are other than quoted prices in active markets included in Level 1, which are either directly or indirectly observable as of the reported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3: </w:t>
      </w:r>
      <w:r>
        <w:rPr>
          <w:rFonts w:ascii="Times New Roman;Times;serif" w:hAnsi="Times New Roman;Times;serif"/>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placement in the fair value hierarchy of the Company’s assets and liabilities measured at fair value on a recurring and nonrecurring basis as of June 30, 2026 and December 31, 2025. Assets and liabilities that are measured at fair value on a nonrecurring basis relate primarily to tangible property and equipment, right-of-use assets, and other intangible assets, which are remeasured when the derived fair value is below carrying value in the consolidated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46" w:name="Tc_qYxNSAGqeEiwEKlKCelNcQ_4_3"/>
      <w:bookmarkStart w:id="1247" w:name="Tc_gjfmOcf_f0muCTt-njXWBw_4_2"/>
      <w:bookmarkStart w:id="1248" w:name="Tc_DFyq4jO4aEe0o4BRcayQQw_4_0"/>
      <w:bookmarkStart w:id="1249" w:name="Tc_SfrjhOwutkabGBeMEGfWHQ_3_0"/>
      <w:bookmarkStart w:id="1250" w:name="Tc_V3RFbakkMEuOqLVEDdyoJA_2_0"/>
      <w:bookmarkStart w:id="1251" w:name="Tc_O0MugV_BiEKjRITgVT0yQg_1_0"/>
      <w:bookmarkStart w:id="1252" w:name="Tc_heIr0uW-x0SlFfg-pEocoA_27_11"/>
      <w:bookmarkStart w:id="1253" w:name="Tc_P6m9Fa3mPEmMrtR7hTB1bw_27_9"/>
      <w:bookmarkStart w:id="1254" w:name="Tc_c-XI9ndt8EKRCR_5uWtJDg_27_8"/>
      <w:bookmarkStart w:id="1255" w:name="Tc_yJdQgSIFqUyNtOvoI0h1WQ_27_6"/>
      <w:bookmarkStart w:id="1256" w:name="Tc__o0kWuyr8kmj615d9t2bAw_27_5"/>
      <w:bookmarkStart w:id="1257" w:name="Tc_ANT-GFCwEU-YiDEwUbq3sw_27_2"/>
      <w:bookmarkStart w:id="1258" w:name="Tc_DQBLyV8Rzkmlk9rFHdgszw_27_0"/>
      <w:bookmarkStart w:id="1259" w:name="Tc_jvkpXnsbLUappI8VoreqIg_26_9"/>
      <w:bookmarkStart w:id="1260" w:name="Tc_rLadnU51N0e11ajBFVoK0A_26_6"/>
      <w:bookmarkStart w:id="1261" w:name="Tc_5NelGfbQyUOGcuqGfBeoqg_26_0"/>
      <w:bookmarkStart w:id="1262" w:name="Tc_sozgd300rUWliyHbOo7R6A_25_9"/>
      <w:bookmarkStart w:id="1263" w:name="Tc_nkqXX5-kp0mNLn4Ox3aWOQ_25_6"/>
      <w:bookmarkStart w:id="1264" w:name="Tc_DCP4nNfpNUWUTzwG7XiXyQ_25_0"/>
      <w:bookmarkStart w:id="1265" w:name="Tc_EdSmjwcmUEW6jHH2Hw1O_Q_24_11"/>
      <w:bookmarkStart w:id="1266" w:name="Tc_xcrt3B8CIEO2U5WagLTMLA_24_9"/>
      <w:bookmarkStart w:id="1267" w:name="Tc_-i7FOpp7IkeIMVxB5DrHgQ_24_8"/>
      <w:bookmarkStart w:id="1268" w:name="Tc_lCBmNwjOBkeTqqTE10ns5w_24_6"/>
      <w:bookmarkStart w:id="1269" w:name="Tc_jyPy8aY3ukq3yv-87IoWWg_24_5"/>
      <w:bookmarkStart w:id="1270" w:name="Tc_HD_ps5NQEU-r3F8TTOp5Tw_24_2"/>
      <w:bookmarkStart w:id="1271" w:name="Tc_kJt4p_98nU-FbqtnmYc1wA_24_0"/>
      <w:bookmarkStart w:id="1272" w:name="Tc__i-17o_T-kqWqJ1NYOWJLQ_23_0"/>
      <w:bookmarkStart w:id="1273" w:name="Tc_jEOYpUiXPUOnp-EfBNkkAw_22_11"/>
      <w:bookmarkStart w:id="1274" w:name="Tc_RKcVW3WZWU-BlyqWA5DLGw_22_8"/>
      <w:bookmarkStart w:id="1275" w:name="Tc_hGevkvsTJkWMKJDLvT_sbA_22_5"/>
      <w:bookmarkStart w:id="1276" w:name="Tc_5IcX_7olvUCumaCEhmG1yw_22_2"/>
      <w:bookmarkStart w:id="1277" w:name="Tc_GbA76RPiEE6pQYe2_r0hBg_22_0"/>
      <w:bookmarkStart w:id="1278" w:name="Tc_EN9bBZ6eB0S0q1ImTnutzQ_21_9"/>
      <w:bookmarkStart w:id="1279" w:name="Tc_REAjeQhcmE-NIByra4HLsw_21_6"/>
      <w:bookmarkStart w:id="1280" w:name="Tc_fRuaeUOdzkum-ODFWVFVPQ_21_0"/>
      <w:bookmarkStart w:id="1281" w:name="Tc_TFGpkaM-eE-6r0ubJlQqzg_20_9"/>
      <w:bookmarkStart w:id="1282" w:name="Tc_AbQL26gXTkSYdNPWfcLeLA_20_6"/>
      <w:bookmarkStart w:id="1283" w:name="Tc_JJNDykJ2WESbifFgPAWfyw_20_0"/>
      <w:bookmarkStart w:id="1284" w:name="Tc__yIkJcUWo0Sfe0dieTi1Qg_19_0"/>
      <w:bookmarkStart w:id="1285" w:name="Tc_5tf_r5zeHE2tnaUmq4W6rQ_18_12"/>
      <w:bookmarkStart w:id="1286" w:name="Tc_ZyXnXUG3aEecKqH5y6KhgA_18_0"/>
      <w:bookmarkStart w:id="1287" w:name="Tc_1TZ-Jba5IEGnP1C5ZHvHcA_17_12"/>
      <w:bookmarkStart w:id="1288" w:name="Tc_0UueF0Qe_U2grAAhRzd2LQ_17_9"/>
      <w:bookmarkStart w:id="1289" w:name="Tc_hBVkB6CwuUKmR9G9R_V55A_17_0"/>
      <w:bookmarkStart w:id="1290" w:name="Tc_6H-SZeJ4z0i2OSyb_bmTBQ_16_12"/>
      <w:bookmarkStart w:id="1291" w:name="Tc_qx6JauxtrUG0lgkZhuIDMQ_16_11"/>
      <w:bookmarkStart w:id="1292" w:name="Tc_WgSeOzy83EK4AAfqxOWM5Q_16_8"/>
      <w:bookmarkStart w:id="1293" w:name="Tc_tQ1VkpoDdUqaqYq8dTbh9A_16_6"/>
      <w:bookmarkStart w:id="1294" w:name="Tc_fhQz5EbvXUyYuykDLlXGGA_16_5"/>
      <w:bookmarkStart w:id="1295" w:name="Tc_5iLdjUHbW0ikT11k6YdNhA_16_2"/>
      <w:bookmarkStart w:id="1296" w:name="Tc_x0W-F_FjRE-tS6QFB1OsUg_16_0"/>
      <w:bookmarkStart w:id="1297" w:name="Tc_4VGeUhUt0EicEdfUowp7cg_15_0"/>
      <w:bookmarkStart w:id="1298" w:name="Tc_ucafbPrUtEqmepc_h74-HQ_14_0"/>
      <w:bookmarkStart w:id="1299" w:name="Tc_SV914J2T6kuLnvPE3RXHRA_13_0"/>
      <w:bookmarkStart w:id="1300" w:name="Tc_feJgRSX34kqcvUNvybvd4w_11_12"/>
      <w:bookmarkStart w:id="1301" w:name="Tc_8nu3ZXyTeEmxEqGXJhywyg_11_11"/>
      <w:bookmarkStart w:id="1302" w:name="Tc_veXwm78A6Uyv8aEg2xniqA_11_8"/>
      <w:bookmarkStart w:id="1303" w:name="Tc_77q1tliCBk2lsKyhGt8K9w_11_6"/>
      <w:bookmarkStart w:id="1304" w:name="Tc_sW-RgQ4dVkqAHTzDRmyJKg_11_5"/>
      <w:bookmarkStart w:id="1305" w:name="Tc_Q_oTb-miFECvp70sw5hR0A_11_2"/>
      <w:bookmarkStart w:id="1306" w:name="Tc_FHiJ4zzqSUuJ4vBvs0ugzQ_11_0"/>
      <w:bookmarkStart w:id="1307" w:name="Tc_b4u93ru06kK_dGPgfwDnAg_10_12"/>
      <w:bookmarkStart w:id="1308" w:name="Tc_dcG32Lu4tUO7jefeZaOqMQ_10_6"/>
      <w:bookmarkStart w:id="1309" w:name="Tc_IW_HFqs0KkSaboYT_qZSfQ_10_0"/>
      <w:bookmarkStart w:id="1310" w:name="Tc_j96esNtDYESTnqlGBPProg_9_12"/>
      <w:bookmarkStart w:id="1311" w:name="Tc_1IH_hX5ZtUGbYe3o4PcuPw_9_11"/>
      <w:bookmarkStart w:id="1312" w:name="Tc_NomgZQhcPkKkeQXyMQn6Vw_9_8"/>
      <w:bookmarkStart w:id="1313" w:name="Tc_xzQ4NB_xEEiq4gIU-ZHLfQ_9_6"/>
      <w:bookmarkStart w:id="1314" w:name="Tc_s6csB8db1kWPz4BuqpxrWA_9_5"/>
      <w:bookmarkStart w:id="1315" w:name="Tc_WEN_2OXmyEC7Gg9ut9DoUQ_9_2"/>
      <w:bookmarkStart w:id="1316" w:name="Tc_DtEGwJv0AU2OzQSbad8yOg_9_0"/>
      <w:bookmarkStart w:id="1317" w:name="Tc_PucvfyZ7l0Csf-0lBZwRMQ_8_0"/>
      <w:bookmarkStart w:id="1318" w:name="Tc_FHOrr31UmUSpbBJxn6rAlw_7_0"/>
      <w:bookmarkStart w:id="1319" w:name="Tc_G0Drrtk8dEqkOsS8MDNeog_6_0"/>
      <w:bookmarkStart w:id="1320" w:name="Tc_nkOTlcvhzUy4_0vHDkXLaQ_5_11"/>
      <w:bookmarkStart w:id="1321" w:name="Tc_uBqS_6pChUOPIO6CKvzl2Q_5_8"/>
      <w:bookmarkStart w:id="1322" w:name="Tc_MptfFlooJEu5dFbjOFrXbw_5_5"/>
      <w:bookmarkStart w:id="1323" w:name="Tc_URuPfDhbnEKx-1Us8HIzZA_5_2"/>
      <w:bookmarkStart w:id="1324" w:name="Tc_rhX_ZFmBpESO3OvPrNEztA_4_11"/>
      <w:bookmarkStart w:id="1325" w:name="Tc_aV0dmFUMOkOU0cGDqpoUjg_4_8"/>
      <w:bookmarkStart w:id="1326" w:name="Tc_gfovJ_a-U0eMjly_oEqKtA_4_5"/>
      <w:bookmarkStart w:id="1327" w:name="Tc_3JSE0xyR9UudRk2sRaVgBg_3_11"/>
      <w:bookmarkStart w:id="1328" w:name="Tc_OFtoZaW0uk2KvdlNU9SXEA_3_8"/>
      <w:bookmarkStart w:id="1329" w:name="Tc_UMzVASiohUS2yosxgxH72A_3_5"/>
      <w:bookmarkStart w:id="1330" w:name="Tc_--xDaBIgjUqVsL5Mf3cSUg_2_5"/>
      <w:bookmarkStart w:id="1331" w:name="Tc_zRdy2kEXgkuDtaq4FwVuzg_1_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Pr>
          <w:rFonts w:ascii="Times New Roman;Times;serif" w:hAnsi="Times New Roman;Times;serif"/>
          <w:sz w:val="20"/>
        </w:rPr>
        <w:t>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measurements discussed herein are based upon certain market assumptions and pertinent information available to management as of and during the six months ended June 30, 2026. The carrying amounts of cash equivalents, accounts receivable, and accounts payable approximated their fair values as of June 30, 2026 due to their short-term nature. The fair value of the bifurcated embedded derivative related to the convertible preferred stock and Note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30"/>
        <w:gridCol w:w="346"/>
        <w:gridCol w:w="214"/>
        <w:gridCol w:w="582"/>
        <w:gridCol w:w="346"/>
        <w:gridCol w:w="562"/>
        <w:gridCol w:w="924"/>
        <w:gridCol w:w="521"/>
        <w:gridCol w:w="505"/>
        <w:gridCol w:w="1011"/>
        <w:gridCol w:w="521"/>
        <w:gridCol w:w="336"/>
        <w:gridCol w:w="1107"/>
      </w:tblGrid>
      <w:tr>
        <w:trPr/>
        <w:tc>
          <w:tcPr>
            <w:tcW w:w="3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51050" cy="175260"/>
                      <wp:effectExtent l="0" t="0" r="0" b="0"/>
                      <wp:wrapNone/>
                      <wp:docPr id="117" name="Frame117"/>
                      <a:graphic xmlns:a="http://schemas.openxmlformats.org/drawingml/2006/main">
                        <a:graphicData uri="http://schemas.microsoft.com/office/word/2010/wordprocessingShape">
                          <wps:wsp>
                            <wps:cNvSpPr txBox="1"/>
                            <wps:spPr>
                              <a:xfrm>
                                <a:off x="0" y="0"/>
                                <a:ext cx="2051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5890" cy="175260"/>
                      <wp:effectExtent l="0" t="0" r="0" b="0"/>
                      <wp:wrapNone/>
                      <wp:docPr id="119" name="Frame11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9570" cy="175260"/>
                      <wp:effectExtent l="0" t="0" r="0" b="0"/>
                      <wp:wrapNone/>
                      <wp:docPr id="120" name="Frame12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56870" cy="175260"/>
                      <wp:effectExtent l="0" t="0" r="0" b="0"/>
                      <wp:wrapNone/>
                      <wp:docPr id="122" name="Frame122"/>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86740" cy="175260"/>
                      <wp:effectExtent l="0" t="0" r="0" b="0"/>
                      <wp:wrapNone/>
                      <wp:docPr id="123" name="Frame123"/>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30835" cy="175260"/>
                      <wp:effectExtent l="0" t="0" r="0" b="0"/>
                      <wp:wrapNone/>
                      <wp:docPr id="124" name="Frame12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20675" cy="175260"/>
                      <wp:effectExtent l="0" t="0" r="0" b="0"/>
                      <wp:wrapNone/>
                      <wp:docPr id="125" name="Frame125"/>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1985" cy="175260"/>
                      <wp:effectExtent l="0" t="0" r="0" b="0"/>
                      <wp:wrapNone/>
                      <wp:docPr id="126" name="Frame126"/>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30835" cy="175260"/>
                      <wp:effectExtent l="0" t="0" r="0" b="0"/>
                      <wp:wrapNone/>
                      <wp:docPr id="127" name="Frame127"/>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3360" cy="175260"/>
                      <wp:effectExtent l="0" t="0" r="0" b="0"/>
                      <wp:wrapNone/>
                      <wp:docPr id="128" name="Frame12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02945" cy="175260"/>
                      <wp:effectExtent l="0" t="0" r="0" b="0"/>
                      <wp:wrapNone/>
                      <wp:docPr id="129" name="Frame129"/>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8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 at reporting date using</w:t>
            </w:r>
          </w:p>
        </w:tc>
      </w:tr>
      <w:tr>
        <w:trPr/>
        <w:tc>
          <w:tcPr>
            <w:tcW w:w="3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w:t>
            </w:r>
          </w:p>
        </w:tc>
        <w:tc>
          <w:tcPr>
            <w:tcW w:w="521" w:type="dxa"/>
            <w:tcBorders/>
            <w:vAlign w:val="center"/>
          </w:tcPr>
          <w:p>
            <w:pPr>
              <w:pStyle w:val="TableContents"/>
              <w:bidi w:val="0"/>
              <w:spacing w:before="0" w:after="0"/>
              <w:ind w:left="0" w:right="0" w:hanging="0"/>
              <w:jc w:val="center"/>
              <w:rPr/>
            </w:pPr>
            <w:r>
              <w:rPr/>
              <w:t>  ​ ​ ​</w:t>
            </w:r>
          </w:p>
        </w:tc>
        <w:tc>
          <w:tcPr>
            <w:tcW w:w="505"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center"/>
              <w:rPr/>
            </w:pPr>
            <w:r>
              <w:rPr/>
              <w:t>​</w:t>
            </w:r>
          </w:p>
        </w:tc>
        <w:tc>
          <w:tcPr>
            <w:tcW w:w="521" w:type="dxa"/>
            <w:tcBorders/>
            <w:vAlign w:val="center"/>
          </w:tcPr>
          <w:p>
            <w:pPr>
              <w:pStyle w:val="TableContents"/>
              <w:bidi w:val="0"/>
              <w:spacing w:before="0" w:after="0"/>
              <w:ind w:left="0" w:right="0" w:hanging="0"/>
              <w:jc w:val="center"/>
              <w:rPr/>
            </w:pPr>
            <w:r>
              <w:rPr/>
              <w:t>  ​ ​ ​</w:t>
            </w:r>
          </w:p>
        </w:tc>
        <w:tc>
          <w:tcPr>
            <w:tcW w:w="336" w:type="dxa"/>
            <w:tcBorders/>
            <w:vAlign w:val="center"/>
          </w:tcPr>
          <w:p>
            <w:pPr>
              <w:pStyle w:val="TableContents"/>
              <w:bidi w:val="0"/>
              <w:spacing w:before="0" w:after="0"/>
              <w:ind w:left="0" w:right="0" w:hanging="0"/>
              <w:jc w:val="center"/>
              <w:rPr/>
            </w:pPr>
            <w:r>
              <w:rPr/>
              <w:t>​</w:t>
            </w:r>
          </w:p>
        </w:tc>
        <w:tc>
          <w:tcPr>
            <w:tcW w:w="1107" w:type="dxa"/>
            <w:tcBorders/>
            <w:vAlign w:val="center"/>
          </w:tcPr>
          <w:p>
            <w:pPr>
              <w:pStyle w:val="TableContents"/>
              <w:bidi w:val="0"/>
              <w:spacing w:before="0" w:after="0"/>
              <w:ind w:left="0" w:right="0" w:hanging="0"/>
              <w:jc w:val="center"/>
              <w:rPr/>
            </w:pPr>
            <w:r>
              <w:rPr/>
              <w:t>​</w:t>
            </w:r>
          </w:p>
        </w:tc>
      </w:tr>
      <w:tr>
        <w:trPr/>
        <w:tc>
          <w:tcPr>
            <w:tcW w:w="3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active markets</w:t>
            </w:r>
          </w:p>
        </w:tc>
        <w:tc>
          <w:tcPr>
            <w:tcW w:w="521"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w:t>
            </w:r>
          </w:p>
        </w:tc>
        <w:tc>
          <w:tcPr>
            <w:tcW w:w="521" w:type="dxa"/>
            <w:tcBorders/>
            <w:vAlign w:val="center"/>
          </w:tcPr>
          <w:p>
            <w:pPr>
              <w:pStyle w:val="TableContents"/>
              <w:bidi w:val="0"/>
              <w:spacing w:before="0" w:after="0"/>
              <w:ind w:left="0" w:right="0" w:hanging="0"/>
              <w:jc w:val="center"/>
              <w:rPr/>
            </w:pPr>
            <w:r>
              <w:rPr/>
              <w:t>​</w:t>
            </w:r>
          </w:p>
        </w:tc>
        <w:tc>
          <w:tcPr>
            <w:tcW w:w="14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identical</w:t>
            </w:r>
          </w:p>
        </w:tc>
        <w:tc>
          <w:tcPr>
            <w:tcW w:w="521"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521" w:type="dxa"/>
            <w:tcBorders/>
            <w:vAlign w:val="center"/>
          </w:tcPr>
          <w:p>
            <w:pPr>
              <w:pStyle w:val="TableContents"/>
              <w:bidi w:val="0"/>
              <w:spacing w:before="0" w:after="0"/>
              <w:ind w:left="0" w:right="0" w:hanging="0"/>
              <w:jc w:val="center"/>
              <w:rPr/>
            </w:pPr>
            <w:r>
              <w:rPr/>
              <w:t>​</w:t>
            </w:r>
          </w:p>
        </w:tc>
        <w:tc>
          <w:tcPr>
            <w:tcW w:w="14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46" w:type="dxa"/>
            <w:tcBorders/>
            <w:vAlign w:val="center"/>
          </w:tcPr>
          <w:p>
            <w:pPr>
              <w:pStyle w:val="TableContents"/>
              <w:bidi w:val="0"/>
              <w:spacing w:before="0" w:after="0"/>
              <w:ind w:left="0" w:right="0" w:hanging="0"/>
              <w:jc w:val="center"/>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 (Level 1)</w:t>
            </w:r>
          </w:p>
        </w:tc>
        <w:tc>
          <w:tcPr>
            <w:tcW w:w="521"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2)</w:t>
            </w:r>
          </w:p>
        </w:tc>
        <w:tc>
          <w:tcPr>
            <w:tcW w:w="521" w:type="dxa"/>
            <w:tcBorders/>
            <w:vAlign w:val="center"/>
          </w:tcPr>
          <w:p>
            <w:pPr>
              <w:pStyle w:val="TableContents"/>
              <w:bidi w:val="0"/>
              <w:spacing w:before="0" w:after="0"/>
              <w:ind w:left="0" w:right="0" w:hanging="0"/>
              <w:jc w:val="center"/>
              <w:rPr/>
            </w:pPr>
            <w:r>
              <w:rPr/>
              <w:t>​</w:t>
            </w:r>
          </w:p>
        </w:tc>
        <w:tc>
          <w:tcPr>
            <w:tcW w:w="14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3)</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  ​</w:t>
            </w:r>
          </w:p>
        </w:tc>
        <w:tc>
          <w:tcPr>
            <w:tcW w:w="521" w:type="dxa"/>
            <w:tcBorders/>
            <w:shd w:fill="CCEEFF" w:val="clear"/>
            <w:vAlign w:val="center"/>
          </w:tcPr>
          <w:p>
            <w:pPr>
              <w:pStyle w:val="TableContents"/>
              <w:bidi w:val="0"/>
              <w:spacing w:before="0" w:after="0"/>
              <w:ind w:left="0" w:right="0" w:hanging="0"/>
              <w:jc w:val="left"/>
              <w:rPr/>
            </w:pPr>
            <w:r>
              <w:rPr/>
              <w:t> </w:t>
            </w:r>
          </w:p>
        </w:tc>
        <w:tc>
          <w:tcPr>
            <w:tcW w:w="50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right"/>
              <w:rPr/>
            </w:pPr>
            <w:r>
              <w:rPr/>
              <w:t>  ​</w:t>
            </w:r>
          </w:p>
        </w:tc>
        <w:tc>
          <w:tcPr>
            <w:tcW w:w="521"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  ​</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 Inc.</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521"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0"/>
              <w:ind w:left="0" w:right="0" w:hanging="0"/>
              <w:jc w:val="left"/>
              <w:rPr/>
            </w:pPr>
            <w:r>
              <w:rPr/>
              <w:t>​</w:t>
            </w:r>
          </w:p>
        </w:tc>
        <w:tc>
          <w:tcPr>
            <w:tcW w:w="5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521"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  ​</w:t>
            </w:r>
          </w:p>
        </w:tc>
        <w:tc>
          <w:tcPr>
            <w:tcW w:w="521"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pPr>
            <w:r>
              <w:rPr/>
              <w:t>  ​</w:t>
            </w:r>
          </w:p>
        </w:tc>
        <w:tc>
          <w:tcPr>
            <w:tcW w:w="521"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21" w:type="dxa"/>
            <w:tcBorders/>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346" w:type="dxa"/>
            <w:tcBorders/>
            <w:vAlign w:val="center"/>
          </w:tcPr>
          <w:p>
            <w:pPr>
              <w:pStyle w:val="TableContents"/>
              <w:bidi w:val="0"/>
              <w:spacing w:before="0" w:after="0"/>
              <w:ind w:left="0" w:right="0" w:hanging="0"/>
              <w:jc w:val="left"/>
              <w:rPr/>
            </w:pPr>
            <w:r>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senior secured note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nonrecurring fair value measurements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46" w:type="dxa"/>
            <w:tcBorders/>
            <w:vAlign w:val="center"/>
          </w:tcPr>
          <w:p>
            <w:pPr>
              <w:pStyle w:val="TableContents"/>
              <w:bidi w:val="0"/>
              <w:spacing w:before="0" w:after="0"/>
              <w:ind w:left="0" w:right="0" w:hanging="0"/>
              <w:jc w:val="left"/>
              <w:rPr/>
            </w:pPr>
            <w:r>
              <w:rPr/>
              <w:t>​</w:t>
            </w:r>
          </w:p>
        </w:tc>
        <w:tc>
          <w:tcPr>
            <w:tcW w:w="5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5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9,393</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a summary of the change in the fair value of the bifurcated embedded derivative liabilities that are measured at fair value on a recurring basis:</w:t>
      </w:r>
    </w:p>
    <w:p>
      <w:pPr>
        <w:pStyle w:val="TextBody"/>
        <w:bidi w:val="0"/>
        <w:spacing w:before="0" w:after="0"/>
        <w:ind w:left="0" w:right="0" w:hanging="0"/>
        <w:jc w:val="left"/>
        <w:rPr/>
      </w:pPr>
      <w:r>
        <w:rPr/>
        <w:t>​</w:t>
      </w:r>
    </w:p>
    <w:tbl>
      <w:tblPr>
        <w:tblW w:w="7942" w:type="dxa"/>
        <w:jc w:val="left"/>
        <w:tblInd w:w="0" w:type="dxa"/>
        <w:tblLayout w:type="fixed"/>
        <w:tblCellMar>
          <w:top w:w="0" w:type="dxa"/>
          <w:left w:w="0" w:type="dxa"/>
          <w:bottom w:w="0" w:type="dxa"/>
          <w:right w:w="0" w:type="dxa"/>
        </w:tblCellMar>
      </w:tblPr>
      <w:tblGrid>
        <w:gridCol w:w="6886"/>
        <w:gridCol w:w="109"/>
        <w:gridCol w:w="211"/>
        <w:gridCol w:w="736"/>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72610" cy="175260"/>
                      <wp:effectExtent l="0" t="0" r="0" b="0"/>
                      <wp:wrapNone/>
                      <wp:docPr id="130" name="Frame130"/>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67360" cy="175260"/>
                      <wp:effectExtent l="0" t="0" r="0" b="0"/>
                      <wp:wrapNone/>
                      <wp:docPr id="133" name="Frame1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bifurcated embedded derivative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Extinguishment of convertible preferred stock with bifurcated embedded derivative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(9,454)</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smallCaps/>
        </w:rPr>
      </w:pPr>
      <w:r>
        <w:rPr>
          <w:smallCaps/>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32" w:name="Tc_bSv_WRFAfU-BLFArUrrkTg_9_5"/>
      <w:bookmarkStart w:id="1333" w:name="Tc_AvIEB-uTSkm3lDRKnPmscg_9_2"/>
      <w:bookmarkStart w:id="1334" w:name="Tc_Hf1EZyK0x0e4uYYBAg7Dag_9_0"/>
      <w:bookmarkStart w:id="1335" w:name="Tc_cn7gi27kck2bDumn5LFAcw_8_0"/>
      <w:bookmarkStart w:id="1336" w:name="Tc_gBqOn6FWp0quanatTLlUJA_7_0"/>
      <w:bookmarkStart w:id="1337" w:name="Tc_fH_zMgZhjUWyiNstuurfFA_6_0"/>
      <w:bookmarkStart w:id="1338" w:name="Tc_61EPQt6bfUuNIUkKxlcb1g_5_0"/>
      <w:bookmarkStart w:id="1339" w:name="Tc_GStCqfeA-UmJaE4Uu6owdw_4_0"/>
      <w:bookmarkStart w:id="1340" w:name="Tc_aliYplORhkucj1q2lEeUkQ_3_5"/>
      <w:bookmarkStart w:id="1341" w:name="Tc_1oCSm5nWvUe_gQmPUrnuwA_3_2"/>
      <w:bookmarkStart w:id="1342" w:name="Tc_vMbzk7qpkE2i0zyP-zegAQ_3_0"/>
      <w:bookmarkStart w:id="1343" w:name="Tc_KoVNkFJsKkOXHHI08706DQ_2_5"/>
      <w:bookmarkStart w:id="1344" w:name="Tc_t0LGZ_ZTjUC9MCjP-_CXhw_2_2"/>
      <w:bookmarkEnd w:id="1332"/>
      <w:bookmarkEnd w:id="1333"/>
      <w:bookmarkEnd w:id="1334"/>
      <w:bookmarkEnd w:id="1335"/>
      <w:bookmarkEnd w:id="1336"/>
      <w:bookmarkEnd w:id="1337"/>
      <w:bookmarkEnd w:id="1338"/>
      <w:bookmarkEnd w:id="1339"/>
      <w:bookmarkEnd w:id="1340"/>
      <w:bookmarkEnd w:id="1341"/>
      <w:bookmarkEnd w:id="1342"/>
      <w:bookmarkEnd w:id="1343"/>
      <w:bookmarkEnd w:id="1344"/>
      <w:r>
        <w:rPr>
          <w:rFonts w:ascii="Times New Roman;Times;serif" w:hAnsi="Times New Roman;Times;serif"/>
          <w:b/>
          <w:sz w:val="20"/>
        </w:rPr>
        <w:t>Note 7. Accrued expenses and other current liabilities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As of June 30, 2026, and December 31, 2025, accrued expenses and other current liabilities consisted of the following:</w:t>
      </w:r>
    </w:p>
    <w:p>
      <w:pPr>
        <w:pStyle w:val="TextBody"/>
        <w:bidi w:val="0"/>
        <w:spacing w:before="0" w:after="0"/>
        <w:ind w:left="0" w:right="0" w:hanging="0"/>
        <w:jc w:val="left"/>
        <w:rPr/>
      </w:pPr>
      <w:r>
        <w:rPr/>
        <w:t>​</w:t>
      </w:r>
    </w:p>
    <w:tbl>
      <w:tblPr>
        <w:tblW w:w="7115" w:type="dxa"/>
        <w:jc w:val="left"/>
        <w:tblInd w:w="0" w:type="dxa"/>
        <w:tblLayout w:type="fixed"/>
        <w:tblCellMar>
          <w:top w:w="0" w:type="dxa"/>
          <w:left w:w="0" w:type="dxa"/>
          <w:bottom w:w="0" w:type="dxa"/>
          <w:right w:w="0" w:type="dxa"/>
        </w:tblCellMar>
      </w:tblPr>
      <w:tblGrid>
        <w:gridCol w:w="3676"/>
        <w:gridCol w:w="346"/>
        <w:gridCol w:w="320"/>
        <w:gridCol w:w="836"/>
        <w:gridCol w:w="346"/>
        <w:gridCol w:w="384"/>
        <w:gridCol w:w="1207"/>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334260" cy="175260"/>
                      <wp:effectExtent l="0" t="0" r="0" b="0"/>
                      <wp:wrapNone/>
                      <wp:docPr id="134" name="Frame134"/>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3200" cy="175260"/>
                      <wp:effectExtent l="0" t="0" r="0" b="0"/>
                      <wp:wrapNone/>
                      <wp:docPr id="136" name="Frame136"/>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30860" cy="175260"/>
                      <wp:effectExtent l="0" t="0" r="0" b="0"/>
                      <wp:wrapNone/>
                      <wp:docPr id="137" name="Frame13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3840" cy="175260"/>
                      <wp:effectExtent l="0" t="0" r="0" b="0"/>
                      <wp:wrapNone/>
                      <wp:docPr id="139" name="Frame139"/>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66445" cy="175260"/>
                      <wp:effectExtent l="0" t="0" r="0" b="0"/>
                      <wp:wrapNone/>
                      <wp:docPr id="140" name="Frame140"/>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207" w:type="dxa"/>
            <w:tcBorders/>
            <w:vAlign w:val="center"/>
          </w:tcPr>
          <w:p>
            <w:pPr>
              <w:pStyle w:val="TableContents"/>
              <w:bidi w:val="0"/>
              <w:spacing w:before="0" w:after="1"/>
              <w:ind w:left="0" w:right="0" w:hanging="0"/>
              <w:jc w:val="left"/>
              <w:rPr/>
            </w:pPr>
            <w:r>
              <w:rPr/>
              <w:t>​</w:t>
            </w:r>
          </w:p>
        </w:tc>
      </w:tr>
      <w:tr>
        <w:trPr/>
        <w:tc>
          <w:tcPr>
            <w:tcW w:w="3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w:t>
            </w:r>
          </w:p>
        </w:tc>
        <w:tc>
          <w:tcPr>
            <w:tcW w:w="346"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905</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Tax-related liabilities</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w:t>
            </w:r>
          </w:p>
        </w:tc>
        <w:tc>
          <w:tcPr>
            <w:tcW w:w="346"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area maintenance accruals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 Accruals</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346"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Gift certificates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c>
          <w:tcPr>
            <w:tcW w:w="346"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miscellaneous accruals</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w:t>
            </w:r>
          </w:p>
        </w:tc>
        <w:tc>
          <w:tcPr>
            <w:tcW w:w="346" w:type="dxa"/>
            <w:tcBorders/>
            <w:vAlign w:val="center"/>
          </w:tcPr>
          <w:p>
            <w:pPr>
              <w:pStyle w:val="TableContents"/>
              <w:bidi w:val="0"/>
              <w:spacing w:before="0" w:after="1"/>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1,058</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2,657</w:t>
            </w:r>
          </w:p>
        </w:tc>
        <w:tc>
          <w:tcPr>
            <w:tcW w:w="346" w:type="dxa"/>
            <w:tcBorders/>
            <w:shd w:fill="CCEEFF" w:val="clear"/>
            <w:vAlign w:val="center"/>
          </w:tcPr>
          <w:p>
            <w:pPr>
              <w:pStyle w:val="TableContents"/>
              <w:bidi w:val="0"/>
              <w:spacing w:before="0" w:after="1"/>
              <w:ind w:left="0" w:right="0" w:hanging="0"/>
              <w:jc w:val="left"/>
              <w:rPr/>
            </w:pPr>
            <w:r>
              <w:rPr/>
              <w:t>​</w:t>
            </w:r>
          </w:p>
        </w:tc>
        <w:tc>
          <w:tcPr>
            <w:tcW w:w="3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2,940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8. Commitments and Contingencies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November 2025 Employment 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2025, a former employee initiated an employment-related legal proceeding against the Company, as previously disclosed in the Company’s Annual Report on Form 10-K for the year ended December 31, 2025. During the three months ended March 31, 2026, the Company entered into a confidential settlement agreement to resolve the matter. The matter was settled for a de minimis amount, and the case has been dismissed with prejudice.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 Holdings, LLC (“XpresSpa”) v. Cordial Endeavor Concessions of Atlanta, LLC (“Cordial”), et al., Arbitration Case No. 2126399.</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subsidiary, XpressSpa Holdings, LLC, is party to an arbitration proceeding (the “Arbitration”) which was requested by the City of Atlanta relating to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 </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This dispute arises out of alleged breaches of contract between the parties as well as other alleged improper conduct relating to the agreements. The arbitration hearing was completed in March 2026, and the arbitrator issued a final award on June 3, 2026. On July 30, 2026, the Superior Court of Fulton County, Georgia confirmed the arbitration award and entered final judgment. The final judgment includes an award of approximately $118 payable by the Company.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Company has not received notice of any challenge to the award, and the deadline to seek appellate review is September 3, 2026.</w:t>
      </w:r>
    </w:p>
    <w:p>
      <w:pPr>
        <w:pStyle w:val="TextBody"/>
        <w:bidi w:val="0"/>
        <w:spacing w:before="280" w:after="0"/>
        <w:ind w:left="0" w:right="0" w:hanging="0"/>
        <w:jc w:val="both"/>
        <w:rPr>
          <w:rFonts w:ascii="Times New Roman;Times;serif" w:hAnsi="Times New Roman;Times;serif"/>
          <w:i/>
          <w:sz w:val="20"/>
        </w:rPr>
      </w:pPr>
      <w:r>
        <w:rPr>
          <w:rFonts w:ascii="Times New Roman;Times;serif" w:hAnsi="Times New Roman;Times;serif"/>
          <w:i/>
          <w:sz w:val="20"/>
        </w:rPr>
        <w:t>Other Arrangements</w:t>
      </w:r>
    </w:p>
    <w:p>
      <w:pPr>
        <w:pStyle w:val="TextBody"/>
        <w:bidi w:val="0"/>
        <w:spacing w:before="100" w:after="10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On May 16, 2025, the Company entered into a sales and marketing agreement with a vendor that obligates the Company to make payments totaling $662</w:t>
      </w:r>
      <w:r>
        <w:rPr>
          <w:rFonts w:ascii="Times New Roman;Times;serif" w:hAnsi="Times New Roman;Times;serif"/>
          <w:b/>
          <w:sz w:val="20"/>
        </w:rPr>
        <w:t xml:space="preserve"> </w:t>
      </w:r>
      <w:r>
        <w:rPr>
          <w:rFonts w:ascii="Times New Roman;Times;serif" w:hAnsi="Times New Roman;Times;serif"/>
          <w:b w:val="false"/>
          <w:sz w:val="20"/>
        </w:rPr>
        <w:t>over the next three years. Payments are due quarterly, with the first installment beginning in July 2025.</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 Stockholders’ Equity and 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February 2026 Private Placement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On February 24, 2026, the Company entered into the February 2026 Purchase Agreement with a certain accredited investor (the “February 2026 Purchaser”) for the issuance and sale in a private placement of an aggregate of (i) 31,333</w:t>
      </w:r>
      <w:r>
        <w:rPr>
          <w:rFonts w:ascii="Times New Roman;Times;serif" w:hAnsi="Times New Roman;Times;serif"/>
          <w:sz w:val="24"/>
        </w:rPr>
        <w:t xml:space="preserve"> </w:t>
      </w:r>
      <w:r>
        <w:rPr>
          <w:rFonts w:ascii="Times New Roman;Times;serif" w:hAnsi="Times New Roman;Times;serif"/>
          <w:sz w:val="20"/>
        </w:rPr>
        <w:t>shares of the Company’s newly-designated Series H Convertible Preferred Stock, par value of $0.01</w:t>
      </w:r>
      <w:r>
        <w:rPr>
          <w:rFonts w:ascii="Times New Roman;Times;serif" w:hAnsi="Times New Roman;Times;serif"/>
          <w:sz w:val="24"/>
        </w:rPr>
        <w:t xml:space="preserve"> </w:t>
      </w:r>
      <w:r>
        <w:rPr>
          <w:rFonts w:ascii="Times New Roman;Times;serif" w:hAnsi="Times New Roman;Times;serif"/>
          <w:sz w:val="20"/>
        </w:rPr>
        <w:t>per share and a stated value of $1,000</w:t>
      </w:r>
      <w:r>
        <w:rPr>
          <w:rFonts w:ascii="Times New Roman;Times;serif" w:hAnsi="Times New Roman;Times;serif"/>
          <w:sz w:val="24"/>
        </w:rPr>
        <w:t xml:space="preserve"> </w:t>
      </w:r>
      <w:r>
        <w:rPr>
          <w:rFonts w:ascii="Times New Roman;Times;serif" w:hAnsi="Times New Roman;Times;serif"/>
          <w:sz w:val="20"/>
        </w:rPr>
        <w:t>per share (the “Series H Preferred Stock”), initially convertible into up to 66,665,957</w:t>
      </w:r>
      <w:r>
        <w:rPr>
          <w:rFonts w:ascii="Times New Roman;Times;serif" w:hAnsi="Times New Roman;Times;serif"/>
          <w:sz w:val="24"/>
        </w:rPr>
        <w:t xml:space="preserve"> </w:t>
      </w:r>
      <w:r>
        <w:rPr>
          <w:rFonts w:ascii="Times New Roman;Times;serif" w:hAnsi="Times New Roman;Times;serif"/>
          <w:sz w:val="20"/>
        </w:rPr>
        <w:t>shares of common stock (the “Series H Conversion Shares”), at an initial conversion price of $0.47</w:t>
      </w:r>
      <w:r>
        <w:rPr>
          <w:rFonts w:ascii="Times New Roman;Times;serif" w:hAnsi="Times New Roman;Times;serif"/>
          <w:sz w:val="24"/>
        </w:rPr>
        <w:t xml:space="preserve"> </w:t>
      </w:r>
      <w:r>
        <w:rPr>
          <w:rFonts w:ascii="Times New Roman;Times;serif" w:hAnsi="Times New Roman;Times;serif"/>
          <w:sz w:val="20"/>
        </w:rPr>
        <w:t>per share, subject to adjustment for certain customary adjustments, and (ii) the warrants (the “Series H Warrants”) to purchase up to 66,665,957</w:t>
      </w:r>
      <w:r>
        <w:rPr>
          <w:rFonts w:ascii="Times New Roman;Times;serif" w:hAnsi="Times New Roman;Times;serif"/>
          <w:sz w:val="24"/>
        </w:rPr>
        <w:t xml:space="preserve"> </w:t>
      </w:r>
      <w:r>
        <w:rPr>
          <w:rFonts w:ascii="Times New Roman;Times;serif" w:hAnsi="Times New Roman;Times;serif"/>
          <w:sz w:val="20"/>
        </w:rPr>
        <w:t>shares of common stock, at an initial exercise price of $0.345</w:t>
      </w:r>
      <w:r>
        <w:rPr>
          <w:rFonts w:ascii="Times New Roman;Times;serif" w:hAnsi="Times New Roman;Times;serif"/>
          <w:sz w:val="24"/>
        </w:rPr>
        <w:t xml:space="preserve"> </w:t>
      </w:r>
      <w:r>
        <w:rPr>
          <w:rFonts w:ascii="Times New Roman;Times;serif" w:hAnsi="Times New Roman;Times;serif"/>
          <w:sz w:val="20"/>
        </w:rPr>
        <w:t>per share, subject to adjustment for certain customary adjustments, for aggregate gross proceeds of approximately $31,300. The Series H Warrants expire three years</w:t>
      </w:r>
      <w:r>
        <w:rPr>
          <w:rFonts w:ascii="Times New Roman;Times;serif" w:hAnsi="Times New Roman;Times;serif"/>
          <w:sz w:val="24"/>
        </w:rPr>
        <w:t xml:space="preserve"> </w:t>
      </w:r>
      <w:r>
        <w:rPr>
          <w:rFonts w:ascii="Times New Roman;Times;serif" w:hAnsi="Times New Roman;Times;serif"/>
          <w:sz w:val="20"/>
        </w:rPr>
        <w:t>from the date of issuance. The February 2026 Private Placement closed in two</w:t>
      </w:r>
      <w:r>
        <w:rPr>
          <w:rFonts w:ascii="Times New Roman;Times;serif" w:hAnsi="Times New Roman;Times;serif"/>
          <w:sz w:val="24"/>
        </w:rPr>
        <w:t xml:space="preserve"> </w:t>
      </w:r>
      <w:r>
        <w:rPr>
          <w:rFonts w:ascii="Times New Roman;Times;serif" w:hAnsi="Times New Roman;Times;serif"/>
          <w:sz w:val="20"/>
        </w:rPr>
        <w:t>tranches, with 30,832</w:t>
      </w:r>
      <w:r>
        <w:rPr>
          <w:rFonts w:ascii="Times New Roman;Times;serif" w:hAnsi="Times New Roman;Times;serif"/>
          <w:sz w:val="24"/>
        </w:rPr>
        <w:t xml:space="preserve"> </w:t>
      </w:r>
      <w:r>
        <w:rPr>
          <w:rFonts w:ascii="Times New Roman;Times;serif" w:hAnsi="Times New Roman;Times;serif"/>
          <w:sz w:val="20"/>
        </w:rPr>
        <w:t>shares of Series H Preferred Stock and 65,600,000</w:t>
      </w:r>
      <w:r>
        <w:rPr>
          <w:rFonts w:ascii="Times New Roman;Times;serif" w:hAnsi="Times New Roman;Times;serif"/>
          <w:sz w:val="24"/>
        </w:rPr>
        <w:t xml:space="preserve"> </w:t>
      </w:r>
      <w:r>
        <w:rPr>
          <w:rFonts w:ascii="Times New Roman;Times;serif" w:hAnsi="Times New Roman;Times;serif"/>
          <w:sz w:val="20"/>
        </w:rPr>
        <w:t>Series H Warrants issued on February 27, 2026 (the “First Closing”), and 501</w:t>
      </w:r>
      <w:r>
        <w:rPr>
          <w:rFonts w:ascii="Times New Roman;Times;serif" w:hAnsi="Times New Roman;Times;serif"/>
          <w:sz w:val="24"/>
        </w:rPr>
        <w:t xml:space="preserve"> </w:t>
      </w:r>
      <w:r>
        <w:rPr>
          <w:rFonts w:ascii="Times New Roman;Times;serif" w:hAnsi="Times New Roman;Times;serif"/>
          <w:sz w:val="20"/>
        </w:rPr>
        <w:t>shares of Series H Preferred Stock and 1,065,957</w:t>
      </w:r>
      <w:r>
        <w:rPr>
          <w:rFonts w:ascii="Times New Roman;Times;serif" w:hAnsi="Times New Roman;Times;serif"/>
          <w:sz w:val="24"/>
        </w:rPr>
        <w:t xml:space="preserve"> </w:t>
      </w:r>
      <w:r>
        <w:rPr>
          <w:rFonts w:ascii="Times New Roman;Times;serif" w:hAnsi="Times New Roman;Times;serif"/>
          <w:sz w:val="20"/>
        </w:rPr>
        <w:t>Series H Warrants issued on March 3, 2026 (the “Second Closing”, and collectively with the First Closing, the “Closing”).</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w:t>
      </w:r>
      <w:r>
        <w:rPr>
          <w:rFonts w:ascii="Times New Roman;Times;serif" w:hAnsi="Times New Roman;Times;serif"/>
          <w:sz w:val="24"/>
        </w:rPr>
        <w:t xml:space="preserve"> </w:t>
      </w:r>
      <w:r>
        <w:rPr>
          <w:rFonts w:ascii="Times New Roman;Times;serif" w:hAnsi="Times New Roman;Times;serif"/>
          <w:sz w:val="20"/>
        </w:rPr>
        <w:t>of the gross proceeds of the February 2026 Private Placement and (b) reimbursements and payments of certain expenses, including non-accountable expense allowance equal to 1%</w:t>
      </w:r>
      <w:r>
        <w:rPr>
          <w:rFonts w:ascii="Times New Roman;Times;serif" w:hAnsi="Times New Roman;Times;serif"/>
          <w:sz w:val="24"/>
        </w:rPr>
        <w:t xml:space="preserve"> </w:t>
      </w:r>
      <w:r>
        <w:rPr>
          <w:rFonts w:ascii="Times New Roman;Times;serif" w:hAnsi="Times New Roman;Times;serif"/>
          <w:sz w:val="20"/>
        </w:rPr>
        <w:t>of the gross proceeds raised in the February 2026 Private Placement and reasonable out-of-pocket expenses, not to exceed $250, and (ii) issue to the Placement Agent warrants (the “Placement Agent Warrants”) to purchase up to an aggregate number of shares of Common Stock equal to 8%</w:t>
      </w:r>
      <w:r>
        <w:rPr>
          <w:rFonts w:ascii="Times New Roman;Times;serif" w:hAnsi="Times New Roman;Times;serif"/>
          <w:sz w:val="24"/>
        </w:rPr>
        <w:t xml:space="preserve"> </w:t>
      </w:r>
      <w:r>
        <w:rPr>
          <w:rFonts w:ascii="Times New Roman;Times;serif" w:hAnsi="Times New Roman;Times;serif"/>
          <w:sz w:val="20"/>
        </w:rPr>
        <w:t>of the aggregate number of shares of common stock underlying the securities issued in the February 2026 Private Placement, with terms identical to the Series H Warrants, except that the Series H Placement Agent Warrants have a term of five (5) years from the date of issuance. The Placement Agency Agreement contains customary representations, warranties and agreements of the parties, and customary indemnification obligations of the Company.</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Series H 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terms of the Series H Preferred Stock are set forth in the Series H Certificate of Designations. The shares of Series H Preferred Stock are convertible into the Series H Conversion Shares at the election of the holders of the Series H Preferred Stock (the “Holders”) at any time at an initial conversion price of $0.47 per share (the “Series H Conversion Price”).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Series H Conversion Price is subject to customary adjustments for stock dividends, stock splits, reclassifications, stock combinations and the like.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Holder of the Series H Preferred Stock may not convert any portion of the Series H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Series H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Series H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as otherwise provided in the Series H Certificate of Designations or as otherwise required by law, the Series H Preferred Stock will have no voting rights except as provided by law. However, as long as any shares of Series H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Series H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 (b) increase or decrease (other than by conversion) the authorized number of shares of the Series H Preferred Stock; (c) create or authorize (by reclassification or otherwise) any new class or series of shares that has a preference over the Series H Preferred Stock with respect to dividends or the distribution of assets on the liquidation, dissolution or winding up of the Company; (d) pay dividends or make any other distribution on any shares of any capital stock of the Company junior in rank to the Series H Preferred Stock; or (e) whether or not prohibited by the terms of the Series H Preferred Stock, circumvent a right of the Series H 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Series H Preferred Shares are not mandatorily redeemable and do not embody an unconditional obligation to settle in a variable number of equity shares. As such, the Series H Preferred Stock are classified as permanent equity on the unaudited condensed consolidated balance sheets. The holder’s contingent redemption right in the event of certain deemed liquidation events does not preclude permanent equity classification. The Series H Preferred Shares were determined to be more akin to an equity-like host than a debt-like host for purposes of assessing embedded derivative features for potential bifurcation. The embedded conversion feature is considered to be clearly and closely related to the associated convertible preferred stock host instrument and therefore was not bifurcated from the equity host.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Series H 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exercise price of the Series H Warrants is subject to customary adjustments for stock dividends, stock splits, reclassifications and the like. A holder of the Series H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assessed the Series H Warrants under ASC 480 and ASC 815 and determined that they met the requirements to be classified in stockholders’ equity upon issuance.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45" w:name="Tc_TXw569mq_U6jPpNzWaEp0A_6_1"/>
      <w:bookmarkStart w:id="1346" w:name="Tc_esNQZpUnZECASmdbews5LQ_6_0"/>
      <w:bookmarkStart w:id="1347" w:name="Tc_yJyTact4eESZ0ThHN5bWOw_5_0"/>
      <w:bookmarkStart w:id="1348" w:name="Tc__GgJeCGBZUO5aVMl_yi9RA_4_0"/>
      <w:bookmarkStart w:id="1349" w:name="Tc_xFbu7pJlHk6AUJAVdYBwRQ_3_1"/>
      <w:bookmarkStart w:id="1350" w:name="Tc_KrZwxk42QUqxmU_FlrZlyA_3_0"/>
      <w:bookmarkStart w:id="1351" w:name="Tc_f8X5jq9TZE-z-PRFczGeNQ_2_6"/>
      <w:bookmarkStart w:id="1352" w:name="Tc_a0Pn1vbAJkWvm2HlkL3J2Q_2_4"/>
      <w:bookmarkStart w:id="1353" w:name="Tc_SlAx9w2DIk6dv8ddWHiyVg_2_2"/>
      <w:bookmarkStart w:id="1354" w:name="Tc_vZoJFGx4Bkiv5DJ9HlCf6w_2_0"/>
      <w:bookmarkStart w:id="1355" w:name="Tc_dI33Cz-eq0qswKc2x97pQw_1_6"/>
      <w:bookmarkStart w:id="1356" w:name="Tc_LXyrZMBqs0SnihFuqUTzRA_1_4"/>
      <w:bookmarkEnd w:id="1345"/>
      <w:bookmarkEnd w:id="1346"/>
      <w:bookmarkEnd w:id="1347"/>
      <w:bookmarkEnd w:id="1348"/>
      <w:bookmarkEnd w:id="1349"/>
      <w:bookmarkEnd w:id="1350"/>
      <w:bookmarkEnd w:id="1351"/>
      <w:bookmarkEnd w:id="1352"/>
      <w:bookmarkEnd w:id="1353"/>
      <w:bookmarkEnd w:id="1354"/>
      <w:bookmarkEnd w:id="1355"/>
      <w:bookmarkEnd w:id="1356"/>
      <w:r>
        <w:rPr>
          <w:rFonts w:ascii="Times New Roman;Times;serif" w:hAnsi="Times New Roman;Times;serif"/>
          <w:sz w:val="20"/>
        </w:rPr>
        <w:t xml:space="preserve">Pursuant to the Placement Agency Agreement, the Company issued to the Placement Agent  the Series H Placement Agent Warrants to purchase 5,333,277 shares of Common Stock with the same terms as the Series H Warrants except that the Series H Placement Agent Warrants have a term of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(5) years from the date of issuance. The Series H Placement Agent Warrants are within the scope of ASC 718 pursuant to ASC 718-10-20 and were determined to qualify for equity classification upon issuance. The total aggregate fair value of the Series H Placement Agent Warrants between the First Closing and the Second Closing of approximately $7,152 was included as a component of total transaction costs for the February 2026 Private Placement and was accordingly recorded in equity. The issuance date fair value of the Series H Placement Agent Warrants issued in the First Closing of $7,048 was determined using the </w:t>
      </w:r>
      <w:r>
        <w:rPr>
          <w:rFonts w:ascii="Times New Roman;Times;serif" w:hAnsi="Times New Roman;Times;serif"/>
          <w:sz w:val="20"/>
          <w:shd w:fill="FFFFFF" w:val="clear"/>
        </w:rPr>
        <w:t>Black Scholes Model</w:t>
      </w:r>
      <w:r>
        <w:rPr>
          <w:rFonts w:ascii="Times New Roman;Times;serif" w:hAnsi="Times New Roman;Times;serif"/>
          <w:sz w:val="20"/>
        </w:rPr>
        <w:t xml:space="preserve"> </w:t>
      </w:r>
      <w:r>
        <w:rPr>
          <w:rFonts w:ascii="Times New Roman;Times;serif" w:hAnsi="Times New Roman;Times;serif"/>
          <w:sz w:val="20"/>
          <w:shd w:fill="FFFFFF" w:val="clear"/>
        </w:rPr>
        <w:t xml:space="preserve">using the following weighted average assumptions: the fair value of the Company’s common stock per share of $1.49; remaining term of 5 years; equity volatility of 101%; and a risk-free interest rate of 3.5%. </w:t>
      </w:r>
      <w:r>
        <w:rPr>
          <w:rFonts w:ascii="Times New Roman;Times;serif" w:hAnsi="Times New Roman;Times;serif"/>
          <w:sz w:val="20"/>
        </w:rPr>
        <w:t xml:space="preserve">The issuance date fair value of the Series H Placement Agent Warrants issued in the Second Closing of $104 was determined using the </w:t>
      </w:r>
      <w:r>
        <w:rPr>
          <w:rFonts w:ascii="Times New Roman;Times;serif" w:hAnsi="Times New Roman;Times;serif"/>
          <w:sz w:val="20"/>
          <w:shd w:fill="FFFFFF" w:val="clear"/>
        </w:rPr>
        <w:t>Black Scholes Model</w:t>
      </w:r>
      <w:r>
        <w:rPr>
          <w:rFonts w:ascii="Times New Roman;Times;serif" w:hAnsi="Times New Roman;Times;serif"/>
          <w:sz w:val="20"/>
        </w:rPr>
        <w:t xml:space="preserve"> </w:t>
      </w:r>
      <w:r>
        <w:rPr>
          <w:rFonts w:ascii="Times New Roman;Times;serif" w:hAnsi="Times New Roman;Times;serif"/>
          <w:sz w:val="20"/>
          <w:shd w:fill="FFFFFF" w:val="clear"/>
        </w:rPr>
        <w:t>using the following weighted average assumptions: the fair value of the Company’s common stock per share of $1.37; remaining term of 5 years; equity volatility of 100%; and a risk-free interest rate of 3.6%.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costs totaling $10,216 were incurred related to the February 2026 Private Placement consisting of cash expenses for placement agent fees, legal fees, and accounting costs related to the financing, as well as the fair value of Series H Placement Agent Warrants. Net proceeds from the February 2026 Private Placement totaled $28,269. As the Series H Preferred Stock and Series H Warrants were classified in permanent equity, all transaction costs were recorded as an offset to additional paid-in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February 2026 Omnibus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2026, the Company entered into the Omnibus Agreement, by and between the Company and January 2025 Investors, pursuant to which, the Company agreed to (i) repurchase from the January 2025 Investors $3,468 of aggregate principal amount of the Notes, representing the entire outstanding principal amounts of the Notes and any accrued and unpaid interest thereon, (ii) redeem 196 shares of Series G Preferred Stock held by the January 2025 Investors with an aggregate Stated Value of $196 and $27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allocated the total cash purchase price related to the Repurchase among the Series G Preferred Stock, the Notes, and the Amended and Restated Warrants using the relative fair value method on March 2, 2026 as summarized in the table below and accounted for each instrument in accordance with the relevant accounting guidance:</w:t>
      </w:r>
    </w:p>
    <w:p>
      <w:pPr>
        <w:pStyle w:val="TextBody"/>
        <w:bidi w:val="0"/>
        <w:spacing w:before="0" w:after="0"/>
        <w:ind w:left="0" w:right="0" w:hanging="0"/>
        <w:jc w:val="both"/>
        <w:rPr/>
      </w:pPr>
      <w:r>
        <w:rPr/>
        <w:t>​</w:t>
      </w:r>
    </w:p>
    <w:tbl>
      <w:tblPr>
        <w:tblW w:w="8398" w:type="dxa"/>
        <w:jc w:val="left"/>
        <w:tblInd w:w="0" w:type="dxa"/>
        <w:tblLayout w:type="fixed"/>
        <w:tblCellMar>
          <w:top w:w="0" w:type="dxa"/>
          <w:left w:w="0" w:type="dxa"/>
          <w:bottom w:w="0" w:type="dxa"/>
          <w:right w:w="0" w:type="dxa"/>
        </w:tblCellMar>
      </w:tblPr>
      <w:tblGrid>
        <w:gridCol w:w="2761"/>
        <w:gridCol w:w="346"/>
        <w:gridCol w:w="1021"/>
        <w:gridCol w:w="109"/>
        <w:gridCol w:w="1366"/>
        <w:gridCol w:w="109"/>
        <w:gridCol w:w="268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53235" cy="175260"/>
                      <wp:effectExtent l="0" t="0" r="0" b="0"/>
                      <wp:wrapNone/>
                      <wp:docPr id="141" name="Frame14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335" cy="175260"/>
                      <wp:effectExtent l="0" t="0" r="0" b="0"/>
                      <wp:wrapNone/>
                      <wp:docPr id="143" name="Frame14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6" w:type="dxa"/>
            <w:tcBorders/>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w:t>
            </w:r>
          </w:p>
        </w:tc>
        <w:tc>
          <w:tcPr>
            <w:tcW w:w="109" w:type="dxa"/>
            <w:tcBorders/>
            <w:vAlign w:val="center"/>
          </w:tcPr>
          <w:p>
            <w:pPr>
              <w:pStyle w:val="TableContents"/>
              <w:bidi w:val="0"/>
              <w:spacing w:before="0" w:after="0"/>
              <w:ind w:left="0" w:right="0" w:hanging="0"/>
              <w:jc w:val="left"/>
              <w:rPr/>
            </w:pPr>
            <w:r>
              <w:rPr/>
              <w:t>​</w:t>
            </w:r>
          </w:p>
        </w:tc>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Allocated consideration based</w:t>
            </w:r>
          </w:p>
        </w:tc>
      </w:tr>
      <w:tr>
        <w:trPr/>
        <w:tc>
          <w:tcPr>
            <w:tcW w:w="2761"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Instrument</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109" w:type="dxa"/>
            <w:tcBorders/>
            <w:vAlign w:val="center"/>
          </w:tcPr>
          <w:p>
            <w:pPr>
              <w:pStyle w:val="TableContents"/>
              <w:bidi w:val="0"/>
              <w:spacing w:before="0" w:after="0"/>
              <w:ind w:left="0" w:right="0" w:hanging="0"/>
              <w:jc w:val="left"/>
              <w:rPr/>
            </w:pPr>
            <w:r>
              <w:rPr/>
              <w:t>​</w:t>
            </w:r>
          </w:p>
        </w:tc>
        <w:tc>
          <w:tcPr>
            <w:tcW w:w="136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fair value</w:t>
            </w:r>
          </w:p>
        </w:tc>
        <w:tc>
          <w:tcPr>
            <w:tcW w:w="109" w:type="dxa"/>
            <w:tcBorders/>
            <w:vAlign w:val="center"/>
          </w:tcPr>
          <w:p>
            <w:pPr>
              <w:pStyle w:val="TableContents"/>
              <w:bidi w:val="0"/>
              <w:spacing w:before="0" w:after="0"/>
              <w:ind w:left="0" w:right="0" w:hanging="0"/>
              <w:jc w:val="left"/>
              <w:rPr/>
            </w:pPr>
            <w:r>
              <w:rPr/>
              <w:t>​</w:t>
            </w:r>
          </w:p>
        </w:tc>
        <w:tc>
          <w:tcPr>
            <w:tcW w:w="268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 relative fair value</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G Preferred</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0"/>
              <w:ind w:left="0" w:right="0" w:hanging="0"/>
              <w:jc w:val="right"/>
              <w:rPr/>
            </w:pPr>
            <w:r>
              <w:rPr/>
              <w:t>​</w:t>
            </w:r>
          </w:p>
        </w:tc>
        <w:tc>
          <w:tcPr>
            <w:tcW w:w="2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12,906</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w:t>
            </w:r>
          </w:p>
        </w:tc>
        <w:tc>
          <w:tcPr>
            <w:tcW w:w="109" w:type="dxa"/>
            <w:tcBorders/>
            <w:vAlign w:val="center"/>
          </w:tcPr>
          <w:p>
            <w:pPr>
              <w:pStyle w:val="TableContents"/>
              <w:bidi w:val="0"/>
              <w:spacing w:before="0" w:after="0"/>
              <w:ind w:left="0" w:right="0" w:hanging="0"/>
              <w:jc w:val="right"/>
              <w:rPr/>
            </w:pPr>
            <w:r>
              <w:rPr/>
              <w:t>​</w:t>
            </w:r>
          </w:p>
        </w:tc>
        <w:tc>
          <w:tcPr>
            <w:tcW w:w="2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Amended and Restated Warrants</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12,044</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25,348</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86" w:type="dxa"/>
            <w:tcBorders>
              <w:bottom w:val="single" w:sz="2"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9,000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bookmarkStart w:id="1357" w:name="Tc_6jZlljdTYkuvhEs6fWsR3A_5_2"/>
      <w:bookmarkStart w:id="1358" w:name="Tc_S7RXcsXt0UeaykichKj2oQ_4_0"/>
      <w:bookmarkStart w:id="1359" w:name="Tc_2zKp4uU2sUKCj99EFhN8Rg_3_0"/>
      <w:bookmarkStart w:id="1360" w:name="Tc_ygLyY7MheU60P_9K2Ep6Pw_2_0"/>
      <w:bookmarkStart w:id="1361" w:name="Tc_mTYIdtZpVkSSD-JxMxstQg_1_2"/>
      <w:bookmarkStart w:id="1362" w:name="Tc_xY6czF00zk-YrEdXqs55Aw_1_0"/>
      <w:bookmarkStart w:id="1363" w:name="Tc_KbjotNz9S0mS3Ogys2fGrQ_5_2"/>
      <w:bookmarkStart w:id="1364" w:name="Tc_Usd4d1vE10uDNdLiR32S_g_4_0"/>
      <w:bookmarkStart w:id="1365" w:name="Tc_aqkC24ghx0aUPMC3NkYmUQ_3_0"/>
      <w:bookmarkStart w:id="1366" w:name="Tc_vVbzgUmHeUKuxZxiYsINdg_2_0"/>
      <w:bookmarkStart w:id="1367" w:name="Tc_rRrGZe5vJkiv45OExFSljA_1_2"/>
      <w:bookmarkStart w:id="1368" w:name="Tc_4IMRrA3v0EqkzCvlE3B_gg_1_0"/>
      <w:bookmarkEnd w:id="1357"/>
      <w:bookmarkEnd w:id="1358"/>
      <w:bookmarkEnd w:id="1359"/>
      <w:bookmarkEnd w:id="1360"/>
      <w:bookmarkEnd w:id="1361"/>
      <w:bookmarkEnd w:id="1362"/>
      <w:bookmarkEnd w:id="1363"/>
      <w:bookmarkEnd w:id="1364"/>
      <w:bookmarkEnd w:id="1365"/>
      <w:bookmarkEnd w:id="1366"/>
      <w:bookmarkEnd w:id="1367"/>
      <w:bookmarkEnd w:id="1368"/>
      <w:r>
        <w:rPr>
          <w:rFonts w:ascii="Times New Roman;Times;serif" w:hAnsi="Times New Roman;Times;serif"/>
          <w:i/>
          <w:sz w:val="20"/>
        </w:rPr>
        <w:t>Accounting Treatment – Redemption of Series G 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calculation of the net carrying value of the Series G Preferred Shares before the Repurchase:</w:t>
      </w:r>
    </w:p>
    <w:p>
      <w:pPr>
        <w:pStyle w:val="TextBody"/>
        <w:bidi w:val="0"/>
        <w:spacing w:before="0" w:after="0"/>
        <w:ind w:left="0" w:right="0" w:hanging="0"/>
        <w:jc w:val="both"/>
        <w:rPr/>
      </w:pPr>
      <w:r>
        <w:rPr/>
        <w:t>​</w:t>
      </w:r>
    </w:p>
    <w:tbl>
      <w:tblPr>
        <w:tblW w:w="5069" w:type="dxa"/>
        <w:jc w:val="left"/>
        <w:tblInd w:w="0" w:type="dxa"/>
        <w:tblLayout w:type="fixed"/>
        <w:tblCellMar>
          <w:top w:w="0" w:type="dxa"/>
          <w:left w:w="0" w:type="dxa"/>
          <w:bottom w:w="0" w:type="dxa"/>
          <w:right w:w="0" w:type="dxa"/>
        </w:tblCellMar>
      </w:tblPr>
      <w:tblGrid>
        <w:gridCol w:w="3976"/>
        <w:gridCol w:w="346"/>
        <w:gridCol w:w="211"/>
        <w:gridCol w:w="53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24760" cy="175260"/>
                      <wp:effectExtent l="0" t="0" r="0" b="0"/>
                      <wp:wrapNone/>
                      <wp:docPr id="146" name="Frame14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40360" cy="175260"/>
                      <wp:effectExtent l="0" t="0" r="0" b="0"/>
                      <wp:wrapNone/>
                      <wp:docPr id="149" name="Frame149"/>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Stated value of outstanding Preferred Shares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bifurcated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Series G Convertible Preferred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247</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 Company incurred $0 and $82 respectively, in dividends, and paid $0 and $76 of dividends in cash related to the Series G Preferred Stock. Additionally, during the six months ended June 30, 2026 the Company issued 1,855,442 shares of its common stock in conversion of Series G Preferred Shares for a total value of $543.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estimated the $398 fair value of the remaining Series G Preferred Stock and the $22 fair value of the bifurcated embedded derivative related to the Series G Preferred Stock prior to the Repurchase on March 2, 2026 using a Monte Carlo simulation model, with the following inputs: the fair value of the Company’s common stock of $1.70 on the valuation date, estimated equity volatility of 148%, the time to maturity of 0.87 years, a discounted market interest rate 6.3%, a risk-free rate of 3.51%, dividend rate of 8.0%, a penalty dividend rate of 15.0%, and probability of default of 3.9%. Prior to the Repurchase, the Company recognized a gain of $0 and $40 related to the change in the fair value of the derivative during the three and six months ended June 30, 2026, respectively, which is recorded in change in fair value of derivative liabilities on the unaudited condensed consolidated statement of operations.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treated the extinguishment of the Series G Convertible Preferred Stock as a redemption in accordance with ASC Topic 260, Earnings Per Share. Accordingly, the Company thus recognized a total of $106 representing the difference between the allocated consideration of $141 and the carrying amount of the Series G Preferred Shares of $247 as a deemed contribution, which is added to net loss attributable to common stockholders in the unaudited consolidated statement of operations and comprehensive loss for the six months ended June 30, 2026 and recognized as additional paid-in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Accounting Treatment – Extinguishment of the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calculation of the net carrying value of the Notes before the Repurchase:</w:t>
      </w:r>
    </w:p>
    <w:p>
      <w:pPr>
        <w:pStyle w:val="TextBody"/>
        <w:bidi w:val="0"/>
        <w:spacing w:before="0" w:after="0"/>
        <w:ind w:left="0" w:right="0" w:hanging="0"/>
        <w:jc w:val="both"/>
        <w:rPr/>
      </w:pPr>
      <w:r>
        <w:rPr/>
        <w:t>​</w:t>
      </w:r>
    </w:p>
    <w:tbl>
      <w:tblPr>
        <w:tblW w:w="4934" w:type="dxa"/>
        <w:jc w:val="left"/>
        <w:tblInd w:w="0" w:type="dxa"/>
        <w:tblLayout w:type="fixed"/>
        <w:tblCellMar>
          <w:top w:w="0" w:type="dxa"/>
          <w:left w:w="0" w:type="dxa"/>
          <w:bottom w:w="0" w:type="dxa"/>
          <w:right w:w="0" w:type="dxa"/>
        </w:tblCellMar>
      </w:tblPr>
      <w:tblGrid>
        <w:gridCol w:w="3586"/>
        <w:gridCol w:w="346"/>
        <w:gridCol w:w="211"/>
        <w:gridCol w:w="79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77110" cy="175260"/>
                      <wp:effectExtent l="0" t="0" r="0" b="0"/>
                      <wp:wrapNone/>
                      <wp:docPr id="150" name="Frame15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2285" cy="175260"/>
                      <wp:effectExtent l="0" t="0" r="0" b="0"/>
                      <wp:wrapNone/>
                      <wp:docPr id="153" name="Frame15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premium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bifurcated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9,431</w:t>
            </w:r>
          </w:p>
        </w:tc>
      </w:tr>
      <w:tr>
        <w:trPr/>
        <w:tc>
          <w:tcPr>
            <w:tcW w:w="3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13,109</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recognized interest expense totaling approximately $0 and $53 during the three and six months ended June 30, 2026 prior to the Repurchase, reflecting an effective interest rate of 8.80% and which was comprised of approximately $46 interest at the stated rate, and approximately $7 representing the amortization of the premium recognized at issuance.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estimated the $12,906 fair value of the Notes and the $9,431 fair value of the bifurcated embedded derivative related to the Notes prior to the Repurchase on March 2, 2026 using a Monte Carlo simulation model, with the following inputs: the fair value of the Company’s common stock of $1.70 on the valuation date, estimated equity volatility of 108%, the time to maturity of 3.03 years, a discounted market interest rate of 6.5%, a risk-free rate of 3.43%, and probability of default of 15.6%. Prior to the Repurchase, the Company recognized a loss of $5,624 related to the change in the fair value of the derivative during the three and six months ended June 30, 2026, which is recorded in change in fair value of derivative liabilities on the unaudited condensed consolidated statement of operations.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69" w:name="Tc_BcnVtS7CVkmayK6sN_a0CQ_6_4"/>
      <w:bookmarkStart w:id="1370" w:name="Tc_QQKy44AN70SVxywYrjZ3jA_6_0"/>
      <w:bookmarkStart w:id="1371" w:name="Tc_0_C0ODnpVkSCgHCKQ1r2rA_5_8"/>
      <w:bookmarkStart w:id="1372" w:name="Tc_7mvpOnH3NU6_MYhV-C2G8Q_5_4"/>
      <w:bookmarkStart w:id="1373" w:name="Tc_OmgBfUeYDEqR61yrB4VVfw_5_0"/>
      <w:bookmarkStart w:id="1374" w:name="Tc_-m1HMNRtqE6AvpajSKqpvA_4_8"/>
      <w:bookmarkStart w:id="1375" w:name="Tc_dhRJDnKl0k-1H-shkn0YTg_4_4"/>
      <w:bookmarkStart w:id="1376" w:name="Tc_37rjtNoyaEKwBvpJRBXygQ_4_0"/>
      <w:bookmarkStart w:id="1377" w:name="Tc_zZKNmlhWb0SoMe0t43njHQ_3_4"/>
      <w:bookmarkStart w:id="1378" w:name="Tc_8nXTvq4S_0CBudZFz0PvDw_3_0"/>
      <w:bookmarkStart w:id="1379" w:name="Tc_TCjf6iXMd0u7CxmxnuG7kA_2_7"/>
      <w:bookmarkStart w:id="1380" w:name="Tc_h2WzIVCOb0S1iyyXlHl2ag_2_4"/>
      <w:bookmarkStart w:id="1381" w:name="Tc_ziCLTWKN80yZbxMtIEHDNw_2_2"/>
      <w:bookmarkStart w:id="1382" w:name="Tc_6WwTw6ESjEOUa-2dyEdn5w_1_7"/>
      <w:bookmarkStart w:id="1383" w:name="Tc_Xb0OBJhY4E2B-6e38JeJng_1_4"/>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r>
        <w:rPr>
          <w:rFonts w:ascii="Times New Roman;Times;serif" w:hAnsi="Times New Roman;Times;serif"/>
          <w:sz w:val="20"/>
        </w:rPr>
        <w:t>The Company accounted for the repurchase of the Notes as a debt extinguishment in accordance with ASC Topic 470, Debt. Accordingly, the $8,527 difference between the allocated consideration of $4,583 and the carrying amount of the Notes of $13,109 was recognized as a capital contribution recognized in additional paid-in capital as the Notes were held by certain of the Company’s investors.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Accounting Treatment – Repurchase of the Amended and Restated 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estimated the $12,044 fair value of the Amended and Restated Warrants prior to the Repurchase on March 2, 2026 using the </w:t>
      </w:r>
      <w:r>
        <w:rPr>
          <w:rFonts w:ascii="Times New Roman;Times;serif" w:hAnsi="Times New Roman;Times;serif"/>
          <w:sz w:val="20"/>
          <w:shd w:fill="FFFFFF" w:val="clear"/>
        </w:rPr>
        <w:t>Black Scholes Model</w:t>
      </w:r>
      <w:r>
        <w:rPr>
          <w:rFonts w:ascii="Times New Roman;Times;serif" w:hAnsi="Times New Roman;Times;serif"/>
          <w:sz w:val="20"/>
        </w:rPr>
        <w:t xml:space="preserve"> </w:t>
      </w:r>
      <w:r>
        <w:rPr>
          <w:rFonts w:ascii="Times New Roman;Times;serif" w:hAnsi="Times New Roman;Times;serif"/>
          <w:sz w:val="20"/>
          <w:shd w:fill="FFFFFF" w:val="clear"/>
        </w:rPr>
        <w:t>using the following weighted average assumptions: the fair value of the Company’s common stock per share of $1.70; remaining term of 3.87 years; equity volatility of 103%; and a risk-free interest rate of 3.49%.</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accounted for the repurchase of the Amended and Restated Warrants in accordance with the guidance in ASC Topic 815, Derivatives and Hedging, related to the repurchase of freestanding equity-classified instruments. Accordingly, the allocated consideration of $4,277 was recorded as reduction of additional paid-in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six months ended June 30, 2026:</w:t>
      </w:r>
    </w:p>
    <w:p>
      <w:pPr>
        <w:pStyle w:val="TextBody"/>
        <w:bidi w:val="0"/>
        <w:spacing w:before="0" w:after="0"/>
        <w:ind w:left="0" w:right="0" w:hanging="0"/>
        <w:jc w:val="left"/>
        <w:rPr/>
      </w:pPr>
      <w:r>
        <w:rPr/>
        <w:t>​</w:t>
      </w:r>
    </w:p>
    <w:tbl>
      <w:tblPr>
        <w:tblW w:w="8061" w:type="dxa"/>
        <w:jc w:val="left"/>
        <w:tblInd w:w="0" w:type="dxa"/>
        <w:tblLayout w:type="fixed"/>
        <w:tblCellMar>
          <w:top w:w="0" w:type="dxa"/>
          <w:left w:w="0" w:type="dxa"/>
          <w:bottom w:w="0" w:type="dxa"/>
          <w:right w:w="0" w:type="dxa"/>
        </w:tblCellMar>
      </w:tblPr>
      <w:tblGrid>
        <w:gridCol w:w="1696"/>
        <w:gridCol w:w="346"/>
        <w:gridCol w:w="1471"/>
        <w:gridCol w:w="346"/>
        <w:gridCol w:w="514"/>
        <w:gridCol w:w="1137"/>
        <w:gridCol w:w="346"/>
        <w:gridCol w:w="385"/>
        <w:gridCol w:w="1820"/>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076960" cy="175260"/>
                      <wp:effectExtent l="0" t="0" r="0" b="0"/>
                      <wp:wrapNone/>
                      <wp:docPr id="154" name="Frame15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34085" cy="175260"/>
                      <wp:effectExtent l="0" t="0" r="0" b="0"/>
                      <wp:wrapNone/>
                      <wp:docPr id="156" name="Frame15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26390" cy="175260"/>
                      <wp:effectExtent l="0" t="0" r="0" b="0"/>
                      <wp:wrapNone/>
                      <wp:docPr id="158" name="Frame15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21995" cy="175260"/>
                      <wp:effectExtent l="0" t="0" r="0" b="0"/>
                      <wp:wrapNone/>
                      <wp:docPr id="159" name="Frame159"/>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4475" cy="175260"/>
                      <wp:effectExtent l="0" t="0" r="0" b="0"/>
                      <wp:wrapNone/>
                      <wp:docPr id="161" name="Frame16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155700" cy="175260"/>
                      <wp:effectExtent l="0" t="0" r="0" b="0"/>
                      <wp:wrapNone/>
                      <wp:docPr id="162" name="Frame162"/>
                      <a:graphic xmlns:a="http://schemas.openxmlformats.org/drawingml/2006/main">
                        <a:graphicData uri="http://schemas.microsoft.com/office/word/2010/wordprocessingShape">
                          <wps:wsp>
                            <wps:cNvSpPr txBox="1"/>
                            <wps:spPr>
                              <a:xfrm>
                                <a:off x="0" y="0"/>
                                <a:ext cx="1155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6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346" w:type="dxa"/>
            <w:tcBorders/>
            <w:vAlign w:val="center"/>
          </w:tcPr>
          <w:p>
            <w:pPr>
              <w:pStyle w:val="TableContents"/>
              <w:bidi w:val="0"/>
              <w:spacing w:before="0" w:after="0"/>
              <w:ind w:left="0" w:right="0" w:hanging="0"/>
              <w:jc w:val="center"/>
              <w:rPr/>
            </w:pPr>
            <w:r>
              <w:rPr/>
              <w:t>  ​ ​ ​</w:t>
            </w:r>
          </w:p>
        </w:tc>
        <w:tc>
          <w:tcPr>
            <w:tcW w:w="2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 Warrants</w:t>
            </w:r>
          </w:p>
        </w:tc>
        <w:tc>
          <w:tcPr>
            <w:tcW w:w="346" w:type="dxa"/>
            <w:tcBorders/>
            <w:vAlign w:val="center"/>
          </w:tcPr>
          <w:p>
            <w:pPr>
              <w:pStyle w:val="TableContents"/>
              <w:bidi w:val="0"/>
              <w:spacing w:before="0" w:after="0"/>
              <w:ind w:left="0" w:right="0" w:hanging="0"/>
              <w:jc w:val="center"/>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46" w:type="dxa"/>
            <w:tcBorders/>
            <w:vAlign w:val="center"/>
          </w:tcPr>
          <w:p>
            <w:pPr>
              <w:pStyle w:val="TableContents"/>
              <w:bidi w:val="0"/>
              <w:spacing w:before="0" w:after="0"/>
              <w:ind w:left="0" w:right="0" w:hanging="0"/>
              <w:jc w:val="center"/>
              <w:rPr/>
            </w:pPr>
            <w:r>
              <w:rPr/>
              <w:t>​</w:t>
            </w:r>
          </w:p>
        </w:tc>
        <w:tc>
          <w:tcPr>
            <w:tcW w:w="2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 term (years)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9,045,000</w:t>
            </w:r>
          </w:p>
        </w:tc>
        <w:tc>
          <w:tcPr>
            <w:tcW w:w="34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82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71,999,234</w:t>
            </w:r>
          </w:p>
        </w:tc>
        <w:tc>
          <w:tcPr>
            <w:tcW w:w="34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820" w:type="dxa"/>
            <w:tcBorders/>
            <w:vAlign w:val="center"/>
          </w:tcPr>
          <w:p>
            <w:pPr>
              <w:pStyle w:val="TableContents"/>
              <w:bidi w:val="0"/>
              <w:spacing w:before="0" w:after="0"/>
              <w:ind w:left="0" w:right="0" w:hanging="0"/>
              <w:jc w:val="center"/>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Repurchased</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(9,045,000)</w:t>
            </w:r>
          </w:p>
        </w:tc>
        <w:tc>
          <w:tcPr>
            <w:tcW w:w="34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820" w:type="dxa"/>
            <w:tcBorders/>
            <w:shd w:fill="CCEEFF" w:val="clear"/>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0"/>
              <w:ind w:left="0" w:right="0" w:hanging="0"/>
              <w:jc w:val="left"/>
              <w:rPr/>
            </w:pPr>
            <w:r>
              <w:rPr/>
              <w:t> </w:t>
            </w:r>
          </w:p>
        </w:tc>
        <w:tc>
          <w:tcPr>
            <w:tcW w:w="14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71,999,234</w:t>
            </w:r>
          </w:p>
        </w:tc>
        <w:tc>
          <w:tcPr>
            <w:tcW w:w="34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8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outstanding warrants were exercisable as of June 30, 2026 with an intrinsic value of $50,039.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84" w:name="Tc_-IYlJQrRv0eUpAJpVUXuHw_12_13"/>
      <w:bookmarkStart w:id="1385" w:name="Tc_L5s7wvpBuE2Vp1iV-EBpZQ_12_9"/>
      <w:bookmarkStart w:id="1386" w:name="Tc_2Dwm8_TDC0-2QBB6ouZxtA_12_2"/>
      <w:bookmarkStart w:id="1387" w:name="Tc_m_zWweAfokOC23vbKbvQMQ_12_0"/>
      <w:bookmarkStart w:id="1388" w:name="Tc_rNFfskRA5UWHSC3ePwjBRg_11_13"/>
      <w:bookmarkStart w:id="1389" w:name="Tc_GS9qlx4fnk6gw2YWtyMjSA_11_9"/>
      <w:bookmarkStart w:id="1390" w:name="Tc_C8Pbbfd6pkmdsNldDXn1TQ_11_4"/>
      <w:bookmarkStart w:id="1391" w:name="Tc_wHlchaGiQUqLyUPLjzw1vg_11_0"/>
      <w:bookmarkStart w:id="1392" w:name="Tc_miLvmYnhgkmJe_4gEDAkPw_10_10"/>
      <w:bookmarkStart w:id="1393" w:name="Tc_ZwY9U15Sdkaul75hbGl7Lw_10_5"/>
      <w:bookmarkStart w:id="1394" w:name="Tc_xq_V0Dk0MESpkit6H4Svjg_10_2"/>
      <w:bookmarkStart w:id="1395" w:name="Tc_gw47Tfo8Ek-cM1gLooFk5w_10_0"/>
      <w:bookmarkStart w:id="1396" w:name="Tc_4kakmMh_a0SE3AgkvNhRRg_9_10"/>
      <w:bookmarkStart w:id="1397" w:name="Tc_WSk353Gt2kusrBI0JqxtZg_9_7"/>
      <w:bookmarkStart w:id="1398" w:name="Tc_Z_OIh28rN02UYyBDr02v9Q_9_5"/>
      <w:bookmarkStart w:id="1399" w:name="Tc_7GgSJYnaqEekSccsO0TcBw_9_2"/>
      <w:bookmarkStart w:id="1400" w:name="Tc_0TokH919O0e0d_1RyYj_IQ_9_0"/>
      <w:bookmarkStart w:id="1401" w:name="Tc_3zhMQLONX0GHADv1Oa_rcQ_8_10"/>
      <w:bookmarkStart w:id="1402" w:name="Tc_Smcr4cssLkmz9DF8222VrQ_8_7"/>
      <w:bookmarkStart w:id="1403" w:name="Tc_L-yelKp3TEea4qmUsNMVGg_8_0"/>
      <w:bookmarkStart w:id="1404" w:name="Tc_mf4fMewQCEer-Rm8UWtbNA_7_10"/>
      <w:bookmarkStart w:id="1405" w:name="Tc_AUYUomFgx06mN5H9u4GdoQ_7_7"/>
      <w:bookmarkStart w:id="1406" w:name="Tc_40TZUFX-sUyk9I-iT1rFBA_7_0"/>
      <w:bookmarkStart w:id="1407" w:name="Tc_5MCbM01pF0aYGXQHBe_UPw_6_13"/>
      <w:bookmarkStart w:id="1408" w:name="Tc_mWptY4Twm0O226GZk8_rmw_6_9"/>
      <w:bookmarkStart w:id="1409" w:name="Tc_W-SvL1eoRkSofyWoHdFg7Q_6_4"/>
      <w:bookmarkStart w:id="1410" w:name="Tc_QIVCX1P88Ui-g5ifEApQbA_6_0"/>
      <w:bookmarkStart w:id="1411" w:name="Tc_f3cwuVCoGEeTZVH9NNpEzw_5_12"/>
      <w:bookmarkStart w:id="1412" w:name="Tc_D7NXtQgOpEGoN-C6lc2HFQ_5_9"/>
      <w:bookmarkStart w:id="1413" w:name="Tc_KST_jEjqTUeFVaXMoD115g_5_7"/>
      <w:bookmarkStart w:id="1414" w:name="Tc_i5F_4FTFDk2o_3G0FFt1Ew_5_4"/>
      <w:bookmarkStart w:id="1415" w:name="Tc_GubkpLvAs0CVOVB2BuGsiw_5_2"/>
      <w:bookmarkStart w:id="1416" w:name="Tc_t02DE-zPC0OteyzYlW7ulA_4_12"/>
      <w:bookmarkStart w:id="1417" w:name="Tc_xvsnJc79-UePaA1dU_71bw_4_9"/>
      <w:bookmarkStart w:id="1418" w:name="Tc_2cw-LxJ5cEaLAwCuX1GacQ_4_7"/>
      <w:bookmarkStart w:id="1419" w:name="Tc_fClRDo-L6kO6LL90g6YN1w_4_4"/>
      <w:bookmarkStart w:id="1420" w:name="Tc_472KmQ_VUk2k1tkd1Dq_CA_4_2"/>
      <w:bookmarkStart w:id="1421" w:name="Tc_YwwE2_pBo068Qpo9hfLpbA_3_12"/>
      <w:bookmarkStart w:id="1422" w:name="Tc_-iv3S_UTP0qajua6UrfswA_3_9"/>
      <w:bookmarkStart w:id="1423" w:name="Tc_u5za_2x6Pk6XZQZUxutNhw_3_4"/>
      <w:bookmarkStart w:id="1424" w:name="Tc_y_0RDuT0zk6cKmlBaQYvBQ_2_13"/>
      <w:bookmarkStart w:id="1425" w:name="Tc_P9bvbTMR60eTOLg35dsM0A_2_9"/>
      <w:bookmarkStart w:id="1426" w:name="Tc_tHuhtVBQEUmUULz040G6kA_2_4"/>
      <w:bookmarkStart w:id="1427" w:name="Tc_eDY0rgQ_pE2cQs-OZp1eWA_1_7"/>
      <w:bookmarkStart w:id="1428" w:name="Tc_Xhtd6XXDSEaDYm1DC6x9JQ_1_2"/>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r>
        <w:rPr>
          <w:rFonts w:ascii="Times New Roman;Times;serif" w:hAnsi="Times New Roman;Times;serif"/>
          <w:b/>
          <w:sz w:val="20"/>
        </w:rPr>
        <w:t>Note 10. Stock-based Compensation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stock-based compensation for the three and six months ended June 30, 2026 was $98 and $984, respectively. Total stock-based compensation for the three and six months ended June 30, 2025 was $599 and $682, respectively. All stock-based compensation for the three and six months ended June 30, 2026 and June 30, 2025 is presented on the unaudited condensed consolidated statements of operations and comprehensive loss within general and administrative expense.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summarize information about stock options and RSU activity for the six months ended June 30, 2026:</w:t>
      </w:r>
    </w:p>
    <w:p>
      <w:pPr>
        <w:pStyle w:val="TextBody"/>
        <w:bidi w:val="0"/>
        <w:spacing w:before="0" w:after="0"/>
        <w:ind w:left="0" w:right="0" w:hanging="0"/>
        <w:jc w:val="both"/>
        <w:rPr/>
      </w:pPr>
      <w:r>
        <w:rPr/>
        <w:t>​</w:t>
      </w:r>
    </w:p>
    <w:tbl>
      <w:tblPr>
        <w:tblW w:w="9570" w:type="dxa"/>
        <w:jc w:val="left"/>
        <w:tblInd w:w="0" w:type="dxa"/>
        <w:tblLayout w:type="fixed"/>
        <w:tblCellMar>
          <w:top w:w="0" w:type="dxa"/>
          <w:left w:w="0" w:type="dxa"/>
          <w:bottom w:w="0" w:type="dxa"/>
          <w:right w:w="0" w:type="dxa"/>
        </w:tblCellMar>
      </w:tblPr>
      <w:tblGrid>
        <w:gridCol w:w="3166"/>
        <w:gridCol w:w="346"/>
        <w:gridCol w:w="901"/>
        <w:gridCol w:w="346"/>
        <w:gridCol w:w="303"/>
        <w:gridCol w:w="673"/>
        <w:gridCol w:w="346"/>
        <w:gridCol w:w="796"/>
        <w:gridCol w:w="346"/>
        <w:gridCol w:w="285"/>
        <w:gridCol w:w="631"/>
        <w:gridCol w:w="346"/>
        <w:gridCol w:w="109"/>
        <w:gridCol w:w="97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10410" cy="175260"/>
                      <wp:effectExtent l="0" t="0" r="0" b="0"/>
                      <wp:wrapNone/>
                      <wp:docPr id="163" name="Frame16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72135" cy="175260"/>
                      <wp:effectExtent l="0" t="0" r="0" b="0"/>
                      <wp:wrapNone/>
                      <wp:docPr id="165" name="Frame1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92405" cy="175260"/>
                      <wp:effectExtent l="0" t="0" r="0" b="0"/>
                      <wp:wrapNone/>
                      <wp:docPr id="167" name="Frame16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7355" cy="175260"/>
                      <wp:effectExtent l="0" t="0" r="0" b="0"/>
                      <wp:wrapNone/>
                      <wp:docPr id="168" name="Frame16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5460" cy="175260"/>
                      <wp:effectExtent l="0" t="0" r="0" b="0"/>
                      <wp:wrapNone/>
                      <wp:docPr id="170" name="Frame1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0975" cy="175260"/>
                      <wp:effectExtent l="0" t="0" r="0" b="0"/>
                      <wp:wrapNone/>
                      <wp:docPr id="172" name="Frame17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00685" cy="175260"/>
                      <wp:effectExtent l="0" t="0" r="0" b="0"/>
                      <wp:wrapNone/>
                      <wp:docPr id="173" name="Frame17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9760" cy="175260"/>
                      <wp:effectExtent l="0" t="0" r="0" b="0"/>
                      <wp:wrapNone/>
                      <wp:docPr id="176" name="Frame17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46" w:type="dxa"/>
            <w:tcBorders/>
            <w:vAlign w:val="center"/>
          </w:tcPr>
          <w:p>
            <w:pPr>
              <w:pStyle w:val="TableContents"/>
              <w:bidi w:val="0"/>
              <w:spacing w:before="0" w:after="0"/>
              <w:ind w:left="0" w:right="0" w:hanging="0"/>
              <w:jc w:val="center"/>
              <w:rPr/>
            </w:pPr>
            <w:r>
              <w:rPr/>
              <w:t>​</w:t>
            </w:r>
          </w:p>
        </w:tc>
        <w:tc>
          <w:tcPr>
            <w:tcW w:w="348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46" w:type="dxa"/>
            <w:tcBorders/>
            <w:vAlign w:val="center"/>
          </w:tcPr>
          <w:p>
            <w:pPr>
              <w:pStyle w:val="TableContents"/>
              <w:bidi w:val="0"/>
              <w:spacing w:before="0" w:after="0"/>
              <w:ind w:left="0" w:right="0" w:hanging="0"/>
              <w:jc w:val="center"/>
              <w:rPr/>
            </w:pPr>
            <w:r>
              <w:rPr/>
              <w:t>​</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46" w:type="dxa"/>
            <w:tcBorders/>
            <w:vAlign w:val="center"/>
          </w:tcPr>
          <w:p>
            <w:pPr>
              <w:pStyle w:val="TableContents"/>
              <w:bidi w:val="0"/>
              <w:spacing w:before="0" w:after="0"/>
              <w:ind w:left="0" w:right="0" w:hanging="0"/>
              <w:jc w:val="center"/>
              <w:rPr/>
            </w:pPr>
            <w:r>
              <w:rPr/>
              <w:t>​</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4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921,267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8.63 years</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Exercised/Vested</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(535,000)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(22,144)</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899,123</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8.28 years</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893,707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8.16 years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unrecognized stock-based payment cost related to non-vested stock options as of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stock-based payment cost related to non-vested RSUs as of June 30, 2026 was $21.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29" w:name="Tc_g7T7wjd040a-NGpSDOFPAQ_5_5"/>
      <w:bookmarkStart w:id="1430" w:name="Tc_1ct8VyaGR0WI74JhLdsggw_5_2"/>
      <w:bookmarkStart w:id="1431" w:name="Tc_vK_xLREzT0OFV2psBHO4vA_5_0"/>
      <w:bookmarkStart w:id="1432" w:name="Tc_dww08VzrUUSmqrHKShzYow_4_0"/>
      <w:bookmarkStart w:id="1433" w:name="Tc_VJUl5Gd660OwfaS00kTzag_3_0"/>
      <w:bookmarkStart w:id="1434" w:name="Tc_1JPBiMHBIU2B59Qr6l2pvA_2_5"/>
      <w:bookmarkStart w:id="1435" w:name="Tc_QDTyKHTW5UCevhNa-5N2DA_2_2"/>
      <w:bookmarkStart w:id="1436" w:name="Tc_qNTVGLX9Xkm2Jj2ZH5-TRQ_2_0"/>
      <w:bookmarkStart w:id="1437" w:name="Tc_x4yWW32r6k2UnOpe5kKjRA_1_5"/>
      <w:bookmarkStart w:id="1438" w:name="Tc_CNfrwPrCn0iaQz1BzGi3Ag_1_2"/>
      <w:bookmarkStart w:id="1439" w:name="Tc_AFOjvTPnCkuCYoLr7CypUw_6_5"/>
      <w:bookmarkStart w:id="1440" w:name="Tc_fNFotT7uDEuGugZj9GGD3Q_6_2"/>
      <w:bookmarkStart w:id="1441" w:name="Tc_NT6Bu2QCAE6dp6lEb_a31A_6_0"/>
      <w:bookmarkStart w:id="1442" w:name="Tc_bcRtO-xUS0WY04yfn0Tz1Q_5_0"/>
      <w:bookmarkStart w:id="1443" w:name="Tc_vJnBvvtfXkuACioR8SqAjQ_4_5"/>
      <w:bookmarkStart w:id="1444" w:name="Tc_UFeGOCLs7kmBjsj3Za55lg_4_2"/>
      <w:bookmarkStart w:id="1445" w:name="Tc_KT_BC12GDEaqWY5MmX9ZQA_4_0"/>
      <w:bookmarkStart w:id="1446" w:name="Tc_80AAwRtpykurA8j_KKT54Q_3_5"/>
      <w:bookmarkStart w:id="1447" w:name="Tc_lGOLSejQOUu91z5bvBShYQ_3_2"/>
      <w:bookmarkStart w:id="1448" w:name="Tc_etGEox2hh0y63_-5nLdV_g_2_2"/>
      <w:bookmarkStart w:id="1449" w:name="Tc_qdPp8IdO_keYy4tSqBisng_1_2"/>
      <w:bookmarkStart w:id="1450" w:name="_cef87ce9_3263_4a32_9b93_52ff5dd3f28b"/>
      <w:bookmarkStart w:id="1451" w:name="Tc_vgJXKuZBTkik-4CZMKny1g_6_5"/>
      <w:bookmarkStart w:id="1452" w:name="Tc_FbgH73wauU6KSGPOmA5shg_6_2"/>
      <w:bookmarkStart w:id="1453" w:name="Tc_3cqZDs9jsEObNMd4wTlw8Q_6_0"/>
      <w:bookmarkStart w:id="1454" w:name="Tc_QKZv0Uz6zU-J2Kzy98fMbQ_5_0"/>
      <w:bookmarkStart w:id="1455" w:name="Tc_gJ_xU7WnK0GWCzkG_Tc0fg_4_5"/>
      <w:bookmarkStart w:id="1456" w:name="Tc_oL9_nhg-aUW6WwMiXIf_Iw_4_2"/>
      <w:bookmarkStart w:id="1457" w:name="Tc_BZeX67MA3UGp_n9iLXrjAQ_4_0"/>
      <w:bookmarkStart w:id="1458" w:name="Tc_7DOjkgdoB0-LEm2YU7eTZw_3_5"/>
      <w:bookmarkStart w:id="1459" w:name="Tc_6BGdg65f6kekMoyjN-X9Rw_3_2"/>
      <w:bookmarkStart w:id="1460" w:name="Tc_bNQF_Y--_EqtW7H6n67znQ_2_2"/>
      <w:bookmarkStart w:id="1461" w:name="Tc_SMDK2W0jEkGMNsQr1NR3_A_1_2"/>
      <w:bookmarkStart w:id="1462" w:name="_05e622cf_22cd_488a_b4e8_0ba35db7ac85"/>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r>
        <w:rPr>
          <w:rFonts w:ascii="Times New Roman;Times;serif" w:hAnsi="Times New Roman;Times;serif"/>
          <w:b/>
          <w:sz w:val="20"/>
        </w:rPr>
        <w:t>Note 11.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about disaggregated revenue from contracts with customers by the nature of products and services provided:</w:t>
      </w:r>
    </w:p>
    <w:p>
      <w:pPr>
        <w:pStyle w:val="TextBody"/>
        <w:bidi w:val="0"/>
        <w:spacing w:before="0" w:after="0"/>
        <w:ind w:left="0" w:right="0" w:hanging="0"/>
        <w:jc w:val="left"/>
        <w:rPr/>
      </w:pPr>
      <w:r>
        <w:rPr/>
        <w:t>​</w:t>
      </w:r>
    </w:p>
    <w:tbl>
      <w:tblPr>
        <w:tblW w:w="4562" w:type="dxa"/>
        <w:jc w:val="left"/>
        <w:tblInd w:w="0" w:type="dxa"/>
        <w:tblLayout w:type="fixed"/>
        <w:tblCellMar>
          <w:top w:w="0" w:type="dxa"/>
          <w:left w:w="0" w:type="dxa"/>
          <w:bottom w:w="0" w:type="dxa"/>
          <w:right w:w="0" w:type="dxa"/>
        </w:tblCellMar>
      </w:tblPr>
      <w:tblGrid>
        <w:gridCol w:w="1981"/>
        <w:gridCol w:w="346"/>
        <w:gridCol w:w="211"/>
        <w:gridCol w:w="676"/>
        <w:gridCol w:w="346"/>
        <w:gridCol w:w="211"/>
        <w:gridCol w:w="79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57935" cy="175260"/>
                      <wp:effectExtent l="0" t="0" r="0" b="0"/>
                      <wp:wrapNone/>
                      <wp:docPr id="177" name="Frame177"/>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80"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2285" cy="175260"/>
                      <wp:effectExtent l="0" t="0" r="0" b="0"/>
                      <wp:wrapNone/>
                      <wp:docPr id="183" name="Frame18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10,379</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14,712</w:t>
            </w:r>
          </w:p>
        </w:tc>
      </w:tr>
    </w:tbl>
    <w:p>
      <w:pPr>
        <w:pStyle w:val="TextBody"/>
        <w:bidi w:val="0"/>
        <w:spacing w:before="0" w:after="240"/>
        <w:ind w:left="0" w:right="0" w:hanging="0"/>
        <w:jc w:val="both"/>
        <w:rPr/>
      </w:pPr>
      <w:r>
        <w:rPr/>
        <w:t>​</w:t>
      </w:r>
    </w:p>
    <w:tbl>
      <w:tblPr>
        <w:tblW w:w="4352" w:type="dxa"/>
        <w:jc w:val="left"/>
        <w:tblInd w:w="0" w:type="dxa"/>
        <w:tblLayout w:type="fixed"/>
        <w:tblCellMar>
          <w:top w:w="0" w:type="dxa"/>
          <w:left w:w="0" w:type="dxa"/>
          <w:bottom w:w="0" w:type="dxa"/>
          <w:right w:w="0" w:type="dxa"/>
        </w:tblCellMar>
      </w:tblPr>
      <w:tblGrid>
        <w:gridCol w:w="1981"/>
        <w:gridCol w:w="346"/>
        <w:gridCol w:w="211"/>
        <w:gridCol w:w="571"/>
        <w:gridCol w:w="346"/>
        <w:gridCol w:w="211"/>
        <w:gridCol w:w="68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57935" cy="175260"/>
                      <wp:effectExtent l="0" t="0" r="0" b="0"/>
                      <wp:wrapNone/>
                      <wp:docPr id="184" name="Frame184"/>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62585" cy="175260"/>
                      <wp:effectExtent l="0" t="0" r="0" b="0"/>
                      <wp:wrapNone/>
                      <wp:docPr id="187" name="Frame1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5610" cy="175260"/>
                      <wp:effectExtent l="0" t="0" r="0" b="0"/>
                      <wp:wrapNone/>
                      <wp:docPr id="190" name="Frame19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7,689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unrecognized committed amount of the Ginkgo/Bioworks contract is $6,880.</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contract costs related to the periods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liabilities are classified as deferred revenue in the unaudited condensed consolidated balance sheets. The activity in deferred revenue for the six months ended June 30, 2026 and for the year ended December 31, 2025,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13"/>
        <w:gridCol w:w="346"/>
        <w:gridCol w:w="344"/>
        <w:gridCol w:w="932"/>
        <w:gridCol w:w="346"/>
        <w:gridCol w:w="404"/>
        <w:gridCol w:w="1320"/>
      </w:tblGrid>
      <w:tr>
        <w:trPr/>
        <w:tc>
          <w:tcPr>
            <w:tcW w:w="6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135755" cy="175260"/>
                      <wp:effectExtent l="0" t="0" r="0" b="0"/>
                      <wp:wrapNone/>
                      <wp:docPr id="191" name="Frame191"/>
                      <a:graphic xmlns:a="http://schemas.openxmlformats.org/drawingml/2006/main">
                        <a:graphicData uri="http://schemas.microsoft.com/office/word/2010/wordprocessingShape">
                          <wps:wsp>
                            <wps:cNvSpPr txBox="1"/>
                            <wps:spPr>
                              <a:xfrm>
                                <a:off x="0" y="0"/>
                                <a:ext cx="4135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8440" cy="175260"/>
                      <wp:effectExtent l="0" t="0" r="0" b="0"/>
                      <wp:wrapNone/>
                      <wp:docPr id="193" name="Frame19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820" cy="175260"/>
                      <wp:effectExtent l="0" t="0" r="0" b="0"/>
                      <wp:wrapNone/>
                      <wp:docPr id="194" name="Frame19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6540" cy="175260"/>
                      <wp:effectExtent l="0" t="0" r="0" b="0"/>
                      <wp:wrapNone/>
                      <wp:docPr id="196" name="Frame19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38200" cy="175260"/>
                      <wp:effectExtent l="0" t="0" r="0" b="0"/>
                      <wp:wrapNone/>
                      <wp:docPr id="197" name="Frame197"/>
                      <a:graphic xmlns:a="http://schemas.openxmlformats.org/drawingml/2006/main">
                        <a:graphicData uri="http://schemas.microsoft.com/office/word/2010/wordprocessingShape">
                          <wps:wsp>
                            <wps:cNvSpPr txBox="1"/>
                            <wps:spPr>
                              <a:xfrm>
                                <a:off x="0" y="0"/>
                                <a:ext cx="838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  ​ ​ ​</w:t>
            </w:r>
          </w:p>
        </w:tc>
        <w:tc>
          <w:tcPr>
            <w:tcW w:w="1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65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the period contract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6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from the contract liabilities included in the beginning balance</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3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65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due cash received net of amounts recognized revenue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r>
      <w:tr>
        <w:trPr/>
        <w:tc>
          <w:tcPr>
            <w:tcW w:w="6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 contract liability</w:t>
            </w:r>
          </w:p>
        </w:tc>
        <w:tc>
          <w:tcPr>
            <w:tcW w:w="34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$1,126 outstanding as of December 31, 2025, $120 and $551 have been recognized as revenue for the three and six months ended June 30, 2026,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63" w:name="Tc_D6LnLtrge0iCsOtP7dsSag_1_4"/>
      <w:bookmarkStart w:id="1464" w:name="Tc_bxm5Nd4i0UGHyjqIrQPdEA_1_3"/>
      <w:bookmarkStart w:id="1465" w:name="Tc_jj6yexz3JUiNGcQQsNVaAA_1_1"/>
      <w:bookmarkStart w:id="1466" w:name="Tc_niLjUNVyLUKDgq-Nknscvw_1_0"/>
      <w:bookmarkStart w:id="1467" w:name="Tc_FxEC4dYNSECRA_iWIJhMcw_0_4"/>
      <w:bookmarkStart w:id="1468" w:name="Tc_QSD9jow4E0OY7pMS-K_QeA_0_2"/>
      <w:bookmarkEnd w:id="1463"/>
      <w:bookmarkEnd w:id="1464"/>
      <w:bookmarkEnd w:id="1465"/>
      <w:bookmarkEnd w:id="1466"/>
      <w:bookmarkEnd w:id="1467"/>
      <w:bookmarkEnd w:id="1468"/>
      <w:r>
        <w:rPr>
          <w:rFonts w:ascii="Times New Roman;Times;serif" w:hAnsi="Times New Roman;Times;serif"/>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Naples Wax Center offers prepaid wax packages that are either unlimited for one year or a set number of services. When the packages are purchased, the sales are recorded as deferred revenue, which was $708 and $837 as of June 30, 2026 and December 31, 2025, respectively. As services related to prepaid packages are used, revenue is recognized.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Contract assets are classified as other assets in the unaudited condensed consolidated balance sheets. The activity in other assets as of June 30, 2026 and  December 31, 2025, was as follows:</w:t>
      </w:r>
    </w:p>
    <w:p>
      <w:pPr>
        <w:pStyle w:val="TextBody"/>
        <w:bidi w:val="0"/>
        <w:spacing w:before="0" w:after="0"/>
        <w:ind w:left="0" w:right="0" w:hanging="0"/>
        <w:jc w:val="left"/>
        <w:rPr/>
      </w:pPr>
      <w:r>
        <w:rPr/>
        <w:t>​</w:t>
      </w:r>
    </w:p>
    <w:tbl>
      <w:tblPr>
        <w:tblW w:w="5045" w:type="dxa"/>
        <w:jc w:val="left"/>
        <w:tblInd w:w="0" w:type="dxa"/>
        <w:tblLayout w:type="fixed"/>
        <w:tblCellMar>
          <w:top w:w="0" w:type="dxa"/>
          <w:left w:w="0" w:type="dxa"/>
          <w:bottom w:w="28" w:type="dxa"/>
          <w:right w:w="0" w:type="dxa"/>
        </w:tblCellMar>
      </w:tblPr>
      <w:tblGrid>
        <w:gridCol w:w="1306"/>
        <w:gridCol w:w="346"/>
        <w:gridCol w:w="1276"/>
        <w:gridCol w:w="346"/>
        <w:gridCol w:w="1771"/>
      </w:tblGrid>
      <w:tr>
        <w:trPr/>
        <w:tc>
          <w:tcPr>
            <w:tcW w:w="130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2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7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30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w:t>
            </w:r>
          </w:p>
        </w:tc>
        <w:tc>
          <w:tcPr>
            <w:tcW w:w="3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1" w:type="dxa"/>
            <w:tcBorders>
              <w:top w:val="single" w:sz="2" w:space="0" w:color="000000"/>
            </w:tcBorders>
            <w:shd w:fill="CCEEFF" w:val="clear"/>
            <w:tcMar>
              <w:top w:w="28" w:type="dxa"/>
              <w:bottom w:w="0"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Contract assets represent the Company’s right to consideration for performance completed under customer contracts but not yet billable under the contractual terms. The increase over the six months ended June 30, 2026 was primarily driven by timing difference between revenue recognition and customer billing milestones. Contract assets are reclassified to accounts receivable when the Company’s right to payment becomes unconditional.</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9" w:name="Tc_c2eFahXv3kOX6NLJtulRpQ_11_14"/>
      <w:bookmarkStart w:id="1470" w:name="Tc_qt_pKxMgpEmj6Xlw9-OS9Q_11_11"/>
      <w:bookmarkStart w:id="1471" w:name="Tc_qnOxzB54OkenigFJgWoI6w_11_8"/>
      <w:bookmarkStart w:id="1472" w:name="Tc_xzqGVvn_z0qw0IPZ1obhjQ_11_5"/>
      <w:bookmarkStart w:id="1473" w:name="Tc_HVSj5t0R4U-bboBNigZMcw_11_2"/>
      <w:bookmarkStart w:id="1474" w:name="Tc_sQ3WVWfPJUe1UFR1gj3iPg_11_0"/>
      <w:bookmarkStart w:id="1475" w:name="Tc_YvziFSlpkk2p7q38Up9-kg_10_14"/>
      <w:bookmarkStart w:id="1476" w:name="Tc_2NABAB5NjkOs2tZWk8aIwQ_10_12"/>
      <w:bookmarkStart w:id="1477" w:name="Tc_VyPe265nVUWLxFSrnRNsDw_10_11"/>
      <w:bookmarkStart w:id="1478" w:name="Tc_mzV8FF6HrkSPyUlQdmaRhA_10_8"/>
      <w:bookmarkStart w:id="1479" w:name="Tc_NJ0PLcJJHU2Ra4zBcwaMcQ_10_5"/>
      <w:bookmarkStart w:id="1480" w:name="Tc_FVoZ-8ChEESFQ5WfjFXg_g_10_2"/>
      <w:bookmarkStart w:id="1481" w:name="Tc_0963Up6NQkSs7fHW-jmoGA_10_0"/>
      <w:bookmarkStart w:id="1482" w:name="Tc_MxWM01AVMkeptSw9SF9IJg_9_14"/>
      <w:bookmarkStart w:id="1483" w:name="Tc_JRcovlcMHkKimUx_fSXQ6A_9_11"/>
      <w:bookmarkStart w:id="1484" w:name="Tc_7sQPrjpbLkyNRS2824JVfQ_9_8"/>
      <w:bookmarkStart w:id="1485" w:name="Tc_CNUHps1vCE2MdHyaeSuxcg_9_5"/>
      <w:bookmarkStart w:id="1486" w:name="Tc_X8Z3bex1DEyL8X9DO3X6NA_9_2"/>
      <w:bookmarkStart w:id="1487" w:name="Tc__HgPUphWwEWy_VDLE3PcZA_8_2"/>
      <w:bookmarkStart w:id="1488" w:name="Tc_JaF2o0242E25mvyzSJPdpg_5_14"/>
      <w:bookmarkStart w:id="1489" w:name="Tc_GX9yVpVZxUKbY4dYwbjciw_5_11"/>
      <w:bookmarkStart w:id="1490" w:name="Tc_X87brhbQtUOUdDw1L4vb2w_5_8"/>
      <w:bookmarkStart w:id="1491" w:name="Tc_IU0YfPEqLE-of-Tl_h1rNw_5_5"/>
      <w:bookmarkStart w:id="1492" w:name="Tc_ose1iQPlM0y81d54dYu6Gg_5_2"/>
      <w:bookmarkStart w:id="1493" w:name="Tc_o1Ez9LtwRkqqSYhdBY8QnA_5_0"/>
      <w:bookmarkStart w:id="1494" w:name="Tc_5yV-FfCCV0icm6MBOZwOUA_4_14"/>
      <w:bookmarkStart w:id="1495" w:name="Tc_oE0c2ztWbUyitj-lv-LSWA_4_12"/>
      <w:bookmarkStart w:id="1496" w:name="Tc_VcvG_Ihou0af949jiUGgYQ_4_11"/>
      <w:bookmarkStart w:id="1497" w:name="Tc_tFGNI--27km8uT-pyh859g_4_8"/>
      <w:bookmarkStart w:id="1498" w:name="Tc_tQTqQGJeBEiZaHsOlbHYgw_4_5"/>
      <w:bookmarkStart w:id="1499" w:name="Tc_4XfGxc5vMkyLEolVYb9TGQ_4_2"/>
      <w:bookmarkStart w:id="1500" w:name="Tc_caKm2VbIg0-YeW4iq8SBKw_4_0"/>
      <w:bookmarkStart w:id="1501" w:name="Tc_l6ZZa8BCFUivxJD2R2mijA_2_14"/>
      <w:bookmarkStart w:id="1502" w:name="Tc_e9tTKDcuyky3l7evk1eLBA_2_11"/>
      <w:bookmarkStart w:id="1503" w:name="Tc_zwCUJt4Qg0CSUp9OKPIwBA_2_8"/>
      <w:bookmarkStart w:id="1504" w:name="Tc_JhITn5jnEU6hGN40iQyaGA_2_5"/>
      <w:bookmarkStart w:id="1505" w:name="Tc_LgrBtMnmLUumfz-w-UdqbA_2_2"/>
      <w:bookmarkStart w:id="1506" w:name="Tc_9cRrf9HqmUGwRtkpJ4PfKQ_1_2"/>
      <w:bookmarkStart w:id="1507" w:name="_2e36ca49_b49a_47b4_9cd3_52736bd6d387"/>
      <w:bookmarkStart w:id="1508" w:name="Tc_A2pMnZagXE-kYgXIgGUkrg_10_14"/>
      <w:bookmarkStart w:id="1509" w:name="Tc_Ia0mNrVF7U6sXMimEKW0eA_10_11"/>
      <w:bookmarkStart w:id="1510" w:name="Tc_xoRKL5vc5UGCI9EfrCSWjg_10_8"/>
      <w:bookmarkStart w:id="1511" w:name="Tc_wJDJ7pELu0qyiyLI2JKp7g_10_5"/>
      <w:bookmarkStart w:id="1512" w:name="Tc_MpnZ00CPdUWtMtuOp6eNog_10_2"/>
      <w:bookmarkStart w:id="1513" w:name="Tc_l0DPaykKf0Ol8QQkxByQog_10_0"/>
      <w:bookmarkStart w:id="1514" w:name="Tc_wyYnD74xr0uMQqC1dvkSnQ_9_14"/>
      <w:bookmarkStart w:id="1515" w:name="Tc_YxPFKkSTE0irjXrLKoHWTg_9_12"/>
      <w:bookmarkStart w:id="1516" w:name="Tc_jZ1DR5r2O0S3cD7Y_HM41w_9_11"/>
      <w:bookmarkStart w:id="1517" w:name="Tc_MFVwn9unFES_KfKD0NCo7w_9_8"/>
      <w:bookmarkStart w:id="1518" w:name="Tc_uaXTW9oubkKLR079Hm6mCw_9_5"/>
      <w:bookmarkStart w:id="1519" w:name="Tc_qF_fq-tGnkOAvqM8ShJHGg_9_2"/>
      <w:bookmarkStart w:id="1520" w:name="Tc_IhKvhbTrlkOfDr5SI8hq6g_9_0"/>
      <w:bookmarkStart w:id="1521" w:name="Tc_36tJuSxB_E-KNofG2TZaEg_8_14"/>
      <w:bookmarkStart w:id="1522" w:name="Tc_KnSmX9MLHUO91iVGQtqszA_8_11"/>
      <w:bookmarkStart w:id="1523" w:name="Tc_I1s7ipnun06tvFc1tuUMRQ_8_8"/>
      <w:bookmarkStart w:id="1524" w:name="Tc_IYbAOtxRX0mveECoaDD0sw_8_5"/>
      <w:bookmarkStart w:id="1525" w:name="Tc_uHDcWxh1NEuGSwBozPx53g_8_2"/>
      <w:bookmarkStart w:id="1526" w:name="Tc_EcbqLtCKoESK7-sG80ToQg_7_2"/>
      <w:bookmarkStart w:id="1527" w:name="Tc_CIdWOiF6xU-m8P3sgEoPwQ_4_14"/>
      <w:bookmarkStart w:id="1528" w:name="Tc_isE_1LNwjUK9x5UFOsxSQg_4_11"/>
      <w:bookmarkStart w:id="1529" w:name="Tc_NeOSCqiFRkmP4rAtBkTIPw_4_8"/>
      <w:bookmarkStart w:id="1530" w:name="Tc_8QPqeApk-EWTLkk4awDEDA_4_5"/>
      <w:bookmarkStart w:id="1531" w:name="Tc_zJGArcTEzUS9MKeb4JRiIg_4_2"/>
      <w:bookmarkStart w:id="1532" w:name="Tc_lbjpfB6WVE-qaBuMQonNxg_4_0"/>
      <w:bookmarkStart w:id="1533" w:name="Tc_1Lg9Rew1J0qSQQw_f0Dh0w_3_14"/>
      <w:bookmarkStart w:id="1534" w:name="Tc_rKHR4PdefEy3PM2gmoFblA_3_12"/>
      <w:bookmarkStart w:id="1535" w:name="Tc_dK-kvG-8EEGn68gZXsHjWA_3_11"/>
      <w:bookmarkStart w:id="1536" w:name="Tc_HvqVhabPNEahR5QwF6Dw2A_3_8"/>
      <w:bookmarkStart w:id="1537" w:name="Tc_wfruiEiwnkyyS1ZDWwu5gg_3_5"/>
      <w:bookmarkStart w:id="1538" w:name="Tc_KYeSOjzVeEmp05-zGlYYrQ_3_2"/>
      <w:bookmarkStart w:id="1539" w:name="Tc_ructanwoiUqBWFiY0I2tBg_3_0"/>
      <w:bookmarkStart w:id="1540" w:name="Tc_LTEgme_0c0KWDa_04s6CsQ_2_14"/>
      <w:bookmarkStart w:id="1541" w:name="Tc_SoJ6P_DGEUOEo87PFGxqgQ_2_11"/>
      <w:bookmarkStart w:id="1542" w:name="Tc_Y3UpgMBp70OXNWE1dDo2nA_2_8"/>
      <w:bookmarkStart w:id="1543" w:name="Tc_7qnT4GHmi0qxsG4aF_jhrw_2_5"/>
      <w:bookmarkStart w:id="1544" w:name="Tc_m0id0zNx5EqWggN_vVWwjw_2_2"/>
      <w:bookmarkStart w:id="1545" w:name="Tc_HWPDdti0DEqtsS6DX3v4Jw_1_2"/>
      <w:bookmarkStart w:id="1546" w:name="_5d3362f9_2eca_4b70_be50_27188020b0ee"/>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r>
        <w:rPr>
          <w:rFonts w:ascii="Times New Roman;Times;serif" w:hAnsi="Times New Roman;Times;serif"/>
          <w:b/>
          <w:sz w:val="20"/>
        </w:rPr>
        <w:t>Note 12.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CODM evaluates performance and allocates resources for all of its reportable segments based on segment revenues and operating income.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information about reported segments for the three and six months ended June 30, 2026 and 2025:</w:t>
      </w:r>
    </w:p>
    <w:p>
      <w:pPr>
        <w:pStyle w:val="TextBody"/>
        <w:bidi w:val="0"/>
        <w:spacing w:before="0" w:after="0"/>
        <w:ind w:left="0" w:right="0" w:hanging="0"/>
        <w:jc w:val="left"/>
        <w:rPr/>
      </w:pPr>
      <w:r>
        <w:rPr/>
        <w:t>​</w:t>
      </w:r>
    </w:p>
    <w:tbl>
      <w:tblPr>
        <w:tblW w:w="9580" w:type="dxa"/>
        <w:jc w:val="left"/>
        <w:tblInd w:w="0" w:type="dxa"/>
        <w:tblLayout w:type="fixed"/>
        <w:tblCellMar>
          <w:top w:w="0" w:type="dxa"/>
          <w:left w:w="0" w:type="dxa"/>
          <w:bottom w:w="0" w:type="dxa"/>
          <w:right w:w="0" w:type="dxa"/>
        </w:tblCellMar>
      </w:tblPr>
      <w:tblGrid>
        <w:gridCol w:w="2056"/>
        <w:gridCol w:w="346"/>
        <w:gridCol w:w="247"/>
        <w:gridCol w:w="669"/>
        <w:gridCol w:w="346"/>
        <w:gridCol w:w="259"/>
        <w:gridCol w:w="702"/>
        <w:gridCol w:w="346"/>
        <w:gridCol w:w="315"/>
        <w:gridCol w:w="810"/>
        <w:gridCol w:w="346"/>
        <w:gridCol w:w="461"/>
        <w:gridCol w:w="1384"/>
        <w:gridCol w:w="346"/>
        <w:gridCol w:w="211"/>
        <w:gridCol w:w="73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05560" cy="175260"/>
                      <wp:effectExtent l="0" t="0" r="0" b="0"/>
                      <wp:wrapNone/>
                      <wp:docPr id="198" name="Frame19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56845" cy="175260"/>
                      <wp:effectExtent l="0" t="0" r="0" b="0"/>
                      <wp:wrapNone/>
                      <wp:docPr id="200" name="Frame200"/>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4815" cy="175260"/>
                      <wp:effectExtent l="0" t="0" r="0" b="0"/>
                      <wp:wrapNone/>
                      <wp:docPr id="201" name="Frame201"/>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4465" cy="175260"/>
                      <wp:effectExtent l="0" t="0" r="0" b="0"/>
                      <wp:wrapNone/>
                      <wp:docPr id="203" name="Frame20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45770" cy="175260"/>
                      <wp:effectExtent l="0" t="0" r="0" b="0"/>
                      <wp:wrapNone/>
                      <wp:docPr id="204" name="Frame204"/>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0025" cy="175260"/>
                      <wp:effectExtent l="0" t="0" r="0" b="0"/>
                      <wp:wrapNone/>
                      <wp:docPr id="206" name="Frame206"/>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14350" cy="175260"/>
                      <wp:effectExtent l="0" t="0" r="0" b="0"/>
                      <wp:wrapNone/>
                      <wp:docPr id="207" name="Frame207"/>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92735" cy="175260"/>
                      <wp:effectExtent l="0" t="0" r="0" b="0"/>
                      <wp:wrapNone/>
                      <wp:docPr id="209" name="Frame209"/>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878840" cy="175260"/>
                      <wp:effectExtent l="0" t="0" r="0" b="0"/>
                      <wp:wrapNone/>
                      <wp:docPr id="210" name="Frame210"/>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67360" cy="175260"/>
                      <wp:effectExtent l="0" t="0" r="0" b="0"/>
                      <wp:wrapNone/>
                      <wp:docPr id="213" name="Frame21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7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2026</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1"/>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4,171</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c>
          <w:tcPr>
            <w:tcW w:w="346" w:type="dxa"/>
            <w:tcBorders/>
            <w:shd w:fill="CCEEFF" w:val="clear"/>
            <w:vAlign w:val="center"/>
          </w:tcPr>
          <w:p>
            <w:pPr>
              <w:pStyle w:val="TableContents"/>
              <w:bidi w:val="0"/>
              <w:spacing w:before="0" w:after="1"/>
              <w:ind w:left="0" w:right="0" w:hanging="0"/>
              <w:jc w:val="left"/>
              <w:rPr/>
            </w:pPr>
            <w:r>
              <w:rPr/>
              <w:t>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shd w:fill="CCEEFF" w:val="clear"/>
            <w:vAlign w:val="center"/>
          </w:tcPr>
          <w:p>
            <w:pPr>
              <w:pStyle w:val="TableContents"/>
              <w:bidi w:val="0"/>
              <w:spacing w:before="0" w:after="1"/>
              <w:ind w:left="0" w:right="0" w:hanging="0"/>
              <w:jc w:val="righ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7,145</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vAlign w:val="center"/>
          </w:tcPr>
          <w:p>
            <w:pPr>
              <w:pStyle w:val="TableContents"/>
              <w:bidi w:val="0"/>
              <w:spacing w:before="0" w:after="1"/>
              <w:ind w:left="0" w:right="0" w:hanging="0"/>
              <w:jc w:val="right"/>
              <w:rPr/>
            </w:pPr>
            <w:r>
              <w:rPr/>
              <w:t>​</w:t>
            </w:r>
          </w:p>
        </w:tc>
        <w:tc>
          <w:tcPr>
            <w:tcW w:w="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13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13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7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2025</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1"/>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w:t>
            </w:r>
          </w:p>
        </w:tc>
        <w:tc>
          <w:tcPr>
            <w:tcW w:w="346" w:type="dxa"/>
            <w:tcBorders/>
            <w:shd w:fill="CCEEFF" w:val="clear"/>
            <w:vAlign w:val="center"/>
          </w:tcPr>
          <w:p>
            <w:pPr>
              <w:pStyle w:val="TableContents"/>
              <w:bidi w:val="0"/>
              <w:spacing w:before="0" w:after="1"/>
              <w:ind w:left="0" w:right="0" w:hanging="0"/>
              <w:jc w:val="left"/>
              <w:rPr/>
            </w:pPr>
            <w:r>
              <w:rPr/>
              <w:t>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7,689</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w:t>
            </w:r>
          </w:p>
        </w:tc>
      </w:tr>
    </w:tbl>
    <w:p>
      <w:pPr>
        <w:pStyle w:val="TextBody"/>
        <w:bidi w:val="0"/>
        <w:spacing w:before="0" w:after="240"/>
        <w:ind w:left="0" w:right="0" w:hanging="0"/>
        <w:jc w:val="both"/>
        <w:rPr/>
      </w:pPr>
      <w:r>
        <w:rPr/>
        <w:t>​</w:t>
      </w:r>
    </w:p>
    <w:tbl>
      <w:tblPr>
        <w:tblW w:w="9580" w:type="dxa"/>
        <w:jc w:val="left"/>
        <w:tblInd w:w="0" w:type="dxa"/>
        <w:tblLayout w:type="fixed"/>
        <w:tblCellMar>
          <w:top w:w="0" w:type="dxa"/>
          <w:left w:w="0" w:type="dxa"/>
          <w:bottom w:w="0" w:type="dxa"/>
          <w:right w:w="0" w:type="dxa"/>
        </w:tblCellMar>
      </w:tblPr>
      <w:tblGrid>
        <w:gridCol w:w="2056"/>
        <w:gridCol w:w="346"/>
        <w:gridCol w:w="247"/>
        <w:gridCol w:w="669"/>
        <w:gridCol w:w="346"/>
        <w:gridCol w:w="259"/>
        <w:gridCol w:w="702"/>
        <w:gridCol w:w="346"/>
        <w:gridCol w:w="303"/>
        <w:gridCol w:w="822"/>
        <w:gridCol w:w="346"/>
        <w:gridCol w:w="461"/>
        <w:gridCol w:w="1384"/>
        <w:gridCol w:w="346"/>
        <w:gridCol w:w="211"/>
        <w:gridCol w:w="73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05560" cy="175260"/>
                      <wp:effectExtent l="0" t="0" r="0" b="0"/>
                      <wp:wrapNone/>
                      <wp:docPr id="214" name="Frame214"/>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6845" cy="175260"/>
                      <wp:effectExtent l="0" t="0" r="0" b="0"/>
                      <wp:wrapNone/>
                      <wp:docPr id="216" name="Frame21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4815" cy="175260"/>
                      <wp:effectExtent l="0" t="0" r="0" b="0"/>
                      <wp:wrapNone/>
                      <wp:docPr id="217" name="Frame217"/>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4465" cy="175260"/>
                      <wp:effectExtent l="0" t="0" r="0" b="0"/>
                      <wp:wrapNone/>
                      <wp:docPr id="219" name="Frame21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45770" cy="175260"/>
                      <wp:effectExtent l="0" t="0" r="0" b="0"/>
                      <wp:wrapNone/>
                      <wp:docPr id="220" name="Frame22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92405" cy="175260"/>
                      <wp:effectExtent l="0" t="0" r="0" b="0"/>
                      <wp:wrapNone/>
                      <wp:docPr id="222" name="Frame22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21970" cy="175260"/>
                      <wp:effectExtent l="0" t="0" r="0" b="0"/>
                      <wp:wrapNone/>
                      <wp:docPr id="223" name="Frame22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92735" cy="175260"/>
                      <wp:effectExtent l="0" t="0" r="0" b="0"/>
                      <wp:wrapNone/>
                      <wp:docPr id="225" name="Frame22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878840" cy="175260"/>
                      <wp:effectExtent l="0" t="0" r="0" b="0"/>
                      <wp:wrapNone/>
                      <wp:docPr id="226" name="Frame226"/>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67360" cy="175260"/>
                      <wp:effectExtent l="0" t="0" r="0" b="0"/>
                      <wp:wrapNone/>
                      <wp:docPr id="229" name="Frame22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7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46" w:type="dxa"/>
            <w:tcBorders/>
            <w:shd w:fill="CCEEFF" w:val="clear"/>
            <w:vAlign w:val="center"/>
          </w:tcPr>
          <w:p>
            <w:pPr>
              <w:pStyle w:val="TableContents"/>
              <w:bidi w:val="0"/>
              <w:spacing w:before="0" w:after="0"/>
              <w:ind w:left="0" w:right="0" w:hanging="0"/>
              <w:jc w:val="righ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7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4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14,712</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547" w:name="Tc_NWQfITm3yE-CUjbbwb1RAA_27_14"/>
      <w:bookmarkStart w:id="1548" w:name="Tc_1d0ZQ-wYs0iDk_iThX6DEQ_27_11"/>
      <w:bookmarkStart w:id="1549" w:name="Tc_sRs3bFk0pECQ3uK91pxAiw_27_8"/>
      <w:bookmarkStart w:id="1550" w:name="Tc_b_tUYj42GU-JF6dJxzWj1w_27_5"/>
      <w:bookmarkStart w:id="1551" w:name="Tc_mBzWETexVE6dm4ZBfmiNzg_27_2"/>
      <w:bookmarkStart w:id="1552" w:name="Tc_ej3wssGvwkSepmFcvsdwpg_27_0"/>
      <w:bookmarkStart w:id="1553" w:name="Tc_dr3B3wqnBUOAqqYfqeA8vg_26_0"/>
      <w:bookmarkStart w:id="1554" w:name="Tc_E9NkKMuLPU-5XEZeuX6dzA_25_0"/>
      <w:bookmarkStart w:id="1555" w:name="Tc_sKO9L0oTP0Cayr6EzyUkbw_24_0"/>
      <w:bookmarkStart w:id="1556" w:name="Tc_VLrNrZOOh0GEoMcUwRF5wg_23_12"/>
      <w:bookmarkStart w:id="1557" w:name="Tc_4qb0c6P0D0ukH9pSODqZDg_23_0"/>
      <w:bookmarkStart w:id="1558" w:name="Tc_eprMyfRV3kG7wMYrwhGURw_22_12"/>
      <w:bookmarkStart w:id="1559" w:name="Tc_RtHmTR465k2qJiDPcqRTbw_22_0"/>
      <w:bookmarkStart w:id="1560" w:name="Tc_WRbI2FWgz0qJJu1RGwLBwg_21_12"/>
      <w:bookmarkStart w:id="1561" w:name="Tc_t5Ry8PJkS0qvwWubBAegvg_21_6"/>
      <w:bookmarkStart w:id="1562" w:name="Tc_juREJXEwBk6BSInZMgFjMw_21_0"/>
      <w:bookmarkStart w:id="1563" w:name="Tc_rHTrX32hOkO8ey-9kPkrEg_20_12"/>
      <w:bookmarkStart w:id="1564" w:name="Tc_r2f3zZTUzEWosfTH360Qmg_20_0"/>
      <w:bookmarkStart w:id="1565" w:name="Tc_pjaAgAX8-0ixC1thyqvqIg_19_0"/>
      <w:bookmarkStart w:id="1566" w:name="Tc_l1lX9PKVLk-h8ccOXkLq5g_18_14"/>
      <w:bookmarkStart w:id="1567" w:name="Tc_xhb8CGg2r06emEcRDJ2_9g_18_12"/>
      <w:bookmarkStart w:id="1568" w:name="Tc_7F1_THyWZUuUD-tP42TcFA_18_11"/>
      <w:bookmarkStart w:id="1569" w:name="Tc_rReOFpfytky3vRnCAsQCfg_18_8"/>
      <w:bookmarkStart w:id="1570" w:name="Tc_yolvdo5Nv0Wn2PfJVFZjpw_18_5"/>
      <w:bookmarkStart w:id="1571" w:name="Tc_CeIAg1GX6E2vVVtKj69stA_18_2"/>
      <w:bookmarkStart w:id="1572" w:name="Tc_SPUfLRNWqk2oajlaKkaSlw_18_0"/>
      <w:bookmarkStart w:id="1573" w:name="Tc_W_AKzmsjokajZB-opgiPOg_17_14"/>
      <w:bookmarkStart w:id="1574" w:name="Tc_2c9d1g0920abNeT-D8herA_17_11"/>
      <w:bookmarkStart w:id="1575" w:name="Tc_q8jItRhl8U6VeOyDZTtYkA_17_8"/>
      <w:bookmarkStart w:id="1576" w:name="Tc_bkq0xMdOuEOFFNCFylpY6w_17_5"/>
      <w:bookmarkStart w:id="1577" w:name="Tc_lhoYnrwtnEK0pg5XD3O5sA_17_2"/>
      <w:bookmarkStart w:id="1578" w:name="Tc_WCVWmrs0Y02rB1Sd-LxNtw_16_2"/>
      <w:bookmarkStart w:id="1579" w:name="Tc_msbd20tn7Ey09rk_0QqZrA_13_14"/>
      <w:bookmarkStart w:id="1580" w:name="Tc_xIWflmBg9kqu2I4VIEFwqg_13_11"/>
      <w:bookmarkStart w:id="1581" w:name="Tc_HqiqZIGmBEWX3zkpJDww-w_13_8"/>
      <w:bookmarkStart w:id="1582" w:name="Tc_5_6RFU1mAk-gkqV4px2xxw_13_5"/>
      <w:bookmarkStart w:id="1583" w:name="Tc_CHE3_p993UKbt5CUgiCE7Q_13_2"/>
      <w:bookmarkStart w:id="1584" w:name="Tc_DP6RSVeVP0m_ivuUigSqGA_13_0"/>
      <w:bookmarkStart w:id="1585" w:name="Tc_fpLRAfpJX0aXKTlffzabTQ_12_0"/>
      <w:bookmarkStart w:id="1586" w:name="Tc_CBtAoDBE4Uq7Z8v_A0w0Qg_11_0"/>
      <w:bookmarkStart w:id="1587" w:name="Tc_lbH71beJ40ShfL1ztsE19w_10_12"/>
      <w:bookmarkStart w:id="1588" w:name="Tc_H9cNEJ25oEC_i11ffKTz4A_10_6"/>
      <w:bookmarkStart w:id="1589" w:name="Tc_gdvjtvEknU2-7jjThsPf6Q_10_0"/>
      <w:bookmarkStart w:id="1590" w:name="Tc_HTik9NsX1Em1e60L8yDONw_9_6"/>
      <w:bookmarkStart w:id="1591" w:name="Tc_Zu2FuZTzwEWkwavKXi7Rbw_9_0"/>
      <w:bookmarkStart w:id="1592" w:name="Tc_7V-yhn--S0GpTbXrJlHDAg_8_12"/>
      <w:bookmarkStart w:id="1593" w:name="Tc_ui3TzU8y8EOrECZoZerg4g_8_0"/>
      <w:bookmarkStart w:id="1594" w:name="Tc_vpqTFUXlY0eQ7cc0F_1Sag_7_12"/>
      <w:bookmarkStart w:id="1595" w:name="Tc_CsVTQv9LL0i3vE4inB7l7Q_7_0"/>
      <w:bookmarkStart w:id="1596" w:name="Tc_z95YzPhYYEuLszsXJNvSZw_6_12"/>
      <w:bookmarkStart w:id="1597" w:name="Tc_EYhylvSZE06aC9bRaFlDtA_6_6"/>
      <w:bookmarkStart w:id="1598" w:name="Tc_-s0bpopMlkGB3bikZmZ5TA_6_0"/>
      <w:bookmarkStart w:id="1599" w:name="Tc_bxsvvMUJS0e_gxm6BCxZ7A_5_12"/>
      <w:bookmarkStart w:id="1600" w:name="Tc_NbQ4_UM9-UqYNXMSmiYprg_5_0"/>
      <w:bookmarkStart w:id="1601" w:name="Tc_r1DWT_603E2GT3n9qLyVYQ_4_0"/>
      <w:bookmarkStart w:id="1602" w:name="Tc_D_qL399hH02RBOcekVTLIA_3_14"/>
      <w:bookmarkStart w:id="1603" w:name="Tc_E6jsv0moEUmjfvy4vnczqg_3_12"/>
      <w:bookmarkStart w:id="1604" w:name="Tc_kNhPjMrBq0-wLs6NzKnY3w_3_11"/>
      <w:bookmarkStart w:id="1605" w:name="Tc_oPuqOg8QK0e-kxs1K0KIlw_3_8"/>
      <w:bookmarkStart w:id="1606" w:name="Tc_hqDwuKGDZ0uZyugcHsP9MQ_3_5"/>
      <w:bookmarkStart w:id="1607" w:name="Tc_e8ZXArrN70yxlLuH1Xi3AA_3_2"/>
      <w:bookmarkStart w:id="1608" w:name="Tc_kJ4Jm3oXYkOYRnqZxxmGPg_3_0"/>
      <w:bookmarkStart w:id="1609" w:name="Tc_D7bdfSEmokiKgGkTFZmakw_2_14"/>
      <w:bookmarkStart w:id="1610" w:name="Tc_LnRSHkT6GUy_o4zvR8dCyg_2_11"/>
      <w:bookmarkStart w:id="1611" w:name="Tc_Ik6IX26LEke-L5WPHmvz1A_2_8"/>
      <w:bookmarkStart w:id="1612" w:name="Tc_9T1sWaWd1kKSx5FzOH8uwA_2_5"/>
      <w:bookmarkStart w:id="1613" w:name="Tc_7t4V6bEbKU2T1eqKX0loVA_2_2"/>
      <w:bookmarkStart w:id="1614" w:name="Tc_3jhjafR870uSLmBwOs2ayA_1_2"/>
      <w:bookmarkStart w:id="1615" w:name="_f7d2bd80_99aa_4b15_ab5f_338e3ea0154f"/>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r>
        <w:rPr>
          <w:rFonts w:ascii="Times New Roman;Times;serif" w:hAnsi="Times New Roman;Times;serif"/>
          <w:sz w:val="20"/>
        </w:rPr>
        <w:t>A reconciliation of total segment revenues to total unaudited condensed consolidated revenue and of total segment operating (loss) income to total consolidated (loss) income, for the three and six months ended June 30, 2026 and 2025,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71"/>
        <w:gridCol w:w="346"/>
        <w:gridCol w:w="247"/>
        <w:gridCol w:w="669"/>
        <w:gridCol w:w="346"/>
        <w:gridCol w:w="259"/>
        <w:gridCol w:w="702"/>
        <w:gridCol w:w="346"/>
        <w:gridCol w:w="292"/>
        <w:gridCol w:w="739"/>
        <w:gridCol w:w="346"/>
        <w:gridCol w:w="415"/>
        <w:gridCol w:w="1245"/>
        <w:gridCol w:w="346"/>
        <w:gridCol w:w="211"/>
        <w:gridCol w:w="725"/>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886585" cy="175260"/>
                      <wp:effectExtent l="0" t="0" r="0" b="0"/>
                      <wp:wrapNone/>
                      <wp:docPr id="230" name="Frame230"/>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6845" cy="175260"/>
                      <wp:effectExtent l="0" t="0" r="0" b="0"/>
                      <wp:wrapNone/>
                      <wp:docPr id="232" name="Frame23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4815" cy="175260"/>
                      <wp:effectExtent l="0" t="0" r="0" b="0"/>
                      <wp:wrapNone/>
                      <wp:docPr id="233" name="Frame233"/>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64465" cy="175260"/>
                      <wp:effectExtent l="0" t="0" r="0" b="0"/>
                      <wp:wrapNone/>
                      <wp:docPr id="235" name="Frame23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45770" cy="175260"/>
                      <wp:effectExtent l="0" t="0" r="0" b="0"/>
                      <wp:wrapNone/>
                      <wp:docPr id="236" name="Frame236"/>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5420" cy="175260"/>
                      <wp:effectExtent l="0" t="0" r="0" b="0"/>
                      <wp:wrapNone/>
                      <wp:docPr id="238" name="Frame238"/>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69265" cy="175260"/>
                      <wp:effectExtent l="0" t="0" r="0" b="0"/>
                      <wp:wrapNone/>
                      <wp:docPr id="239" name="Frame239"/>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63525" cy="175260"/>
                      <wp:effectExtent l="0" t="0" r="0" b="0"/>
                      <wp:wrapNone/>
                      <wp:docPr id="241" name="Frame241"/>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90575" cy="175260"/>
                      <wp:effectExtent l="0" t="0" r="0" b="0"/>
                      <wp:wrapNone/>
                      <wp:docPr id="242" name="Frame242"/>
                      <a:graphic xmlns:a="http://schemas.openxmlformats.org/drawingml/2006/main">
                        <a:graphicData uri="http://schemas.microsoft.com/office/word/2010/wordprocessingShape">
                          <wps:wsp>
                            <wps:cNvSpPr txBox="1"/>
                            <wps:spPr>
                              <a:xfrm>
                                <a:off x="0" y="0"/>
                                <a:ext cx="79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60375" cy="175260"/>
                      <wp:effectExtent l="0" t="0" r="0" b="0"/>
                      <wp:wrapNone/>
                      <wp:docPr id="245" name="Frame24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2026</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6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shd w:fill="CCEEFF" w:val="clear"/>
            <w:vAlign w:val="center"/>
          </w:tcPr>
          <w:p>
            <w:pPr>
              <w:pStyle w:val="TableContents"/>
              <w:bidi w:val="0"/>
              <w:spacing w:before="0" w:after="0"/>
              <w:ind w:left="0" w:right="0" w:hanging="0"/>
              <w:jc w:val="righ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shd w:fill="CCEEFF" w:val="clear"/>
            <w:vAlign w:val="center"/>
          </w:tcPr>
          <w:p>
            <w:pPr>
              <w:pStyle w:val="TableContents"/>
              <w:bidi w:val="0"/>
              <w:spacing w:before="0" w:after="0"/>
              <w:ind w:left="0" w:right="0" w:hanging="0"/>
              <w:jc w:val="righ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righ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righ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righ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shd w:fill="CCEEFF" w:val="clear"/>
            <w:vAlign w:val="center"/>
          </w:tcPr>
          <w:p>
            <w:pPr>
              <w:pStyle w:val="TableContents"/>
              <w:bidi w:val="0"/>
              <w:spacing w:before="0" w:after="0"/>
              <w:ind w:left="0" w:right="0" w:hanging="0"/>
              <w:jc w:val="righ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righ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2025</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6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 (loss)</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vAlign w:val="center"/>
          </w:tcPr>
          <w:p>
            <w:pPr>
              <w:pStyle w:val="TableContents"/>
              <w:bidi w:val="0"/>
              <w:spacing w:before="0" w:after="0"/>
              <w:ind w:left="0" w:right="0" w:hanging="0"/>
              <w:jc w:val="righ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0"/>
              <w:ind w:left="0" w:right="0" w:hanging="0"/>
              <w:jc w:val="right"/>
              <w:rPr/>
            </w:pPr>
            <w:r>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16" w:name="Tc_Sw3ZBl4W8kOaJvM6iCX0lA_8_14"/>
      <w:bookmarkStart w:id="1617" w:name="Tc_jkaPmg6upU2h4Nhu98EVAQ_8_11"/>
      <w:bookmarkStart w:id="1618" w:name="Tc_Y1tq-XlPa0CEUidZvcMRWw_8_9"/>
      <w:bookmarkStart w:id="1619" w:name="Tc_pMu0f_A0p0Wc71pjt7a4tA_8_8"/>
      <w:bookmarkStart w:id="1620" w:name="Tc_4NBdO-O0xkWvP6RzkGF7Gw_8_6"/>
      <w:bookmarkStart w:id="1621" w:name="Tc_JAqmUVi5zU6NPvGXszY3VA_8_5"/>
      <w:bookmarkStart w:id="1622" w:name="Tc_PWUsaQDGO0m0VLbwA51xgQ_8_2"/>
      <w:bookmarkStart w:id="1623" w:name="Tc_x_NmE3HX_ECjVeF7NiBzqg_8_0"/>
      <w:bookmarkStart w:id="1624" w:name="Tc_NYcD7VQP0EWCN5kVbtmgUw_7_14"/>
      <w:bookmarkStart w:id="1625" w:name="Tc_gsSeKoEfbkKWsYs7MVcmlw_7_11"/>
      <w:bookmarkStart w:id="1626" w:name="Tc_3cc5J85ZikWApF-qHI1m7Q_7_8"/>
      <w:bookmarkStart w:id="1627" w:name="Tc_iORZ1U5WtUqIV9kQ_uCtSA_7_5"/>
      <w:bookmarkStart w:id="1628" w:name="Tc_OWCTiBgnxUuJP8MPTn_xUQ_7_2"/>
      <w:bookmarkStart w:id="1629" w:name="Tc_PvXb0v3V3U-w3D-qRJKrbA_6_2"/>
      <w:bookmarkStart w:id="1630" w:name="Tc_m_2y70NxtUqP2Sw2jYvWaQ_3_14"/>
      <w:bookmarkStart w:id="1631" w:name="Tc_Jw4_1g9IOECuoILr6ziQ6w_3_11"/>
      <w:bookmarkStart w:id="1632" w:name="Tc_1Y4p2MY2EkGTlPLGLz_pLg_3_9"/>
      <w:bookmarkStart w:id="1633" w:name="Tc_xfElPWrGNkOwS1F1iZ54aw_3_8"/>
      <w:bookmarkStart w:id="1634" w:name="Tc_pERpRloRQUySGP0g3bj2XA_3_6"/>
      <w:bookmarkStart w:id="1635" w:name="Tc_TsaQ67tbSUObIWpT_oBonQ_3_5"/>
      <w:bookmarkStart w:id="1636" w:name="Tc_Bu_Gk8DwEkaM8m8epni7qg_3_3"/>
      <w:bookmarkStart w:id="1637" w:name="Tc_Pg0x3awv70u6hIL8ToI1Lg_3_2"/>
      <w:bookmarkStart w:id="1638" w:name="Tc_V5_kx-Tn5Uux9NHRNBv1AQ_3_0"/>
      <w:bookmarkStart w:id="1639" w:name="Tc_OFhj4IVoZk6er8rlA0-uhQ_2_14"/>
      <w:bookmarkStart w:id="1640" w:name="Tc_2yPg7Qrxv0als1ZmCVTgHw_2_11"/>
      <w:bookmarkStart w:id="1641" w:name="Tc_b_c86I__NUmrgPQXJpKF8A_2_8"/>
      <w:bookmarkStart w:id="1642" w:name="Tc_gCpJekxC_kqVpYvdcDJ30Q_2_5"/>
      <w:bookmarkStart w:id="1643" w:name="Tc_fkMZu1voH0yjweZds7cHMQ_2_2"/>
      <w:bookmarkStart w:id="1644" w:name="Tc_4g9_jb-zN0unmQMNnBphdA_1_2"/>
      <w:bookmarkStart w:id="1645" w:name="_39a6a5da_ebb2_4c7b_8d76_9d849eeb9159"/>
      <w:bookmarkStart w:id="1646" w:name="Tc_6ihKuyPMPkyVytTwEcaXZA_27_14"/>
      <w:bookmarkStart w:id="1647" w:name="Tc_8-JXqhBoVUKEYzktGqQboQ_27_11"/>
      <w:bookmarkStart w:id="1648" w:name="Tc_jhswaQZz5UmehBbNPwL3CQ_27_8"/>
      <w:bookmarkStart w:id="1649" w:name="Tc_1EiskdtAs0y8dxSiH9FF3g_27_5"/>
      <w:bookmarkStart w:id="1650" w:name="Tc_P43vUUMkPkSsP-iSG1P8eQ_27_2"/>
      <w:bookmarkStart w:id="1651" w:name="Tc_FeHhuDZdgUO-gdQ7EhHVcQ_27_0"/>
      <w:bookmarkStart w:id="1652" w:name="Tc_DWyWKSZtdE2ZdbgG8dw3fg_26_0"/>
      <w:bookmarkStart w:id="1653" w:name="Tc_xSTI0gx44EW-9vF6fNiEwg_25_0"/>
      <w:bookmarkStart w:id="1654" w:name="Tc_vLRBblkLeUGNlZeBXT6t9w_24_0"/>
      <w:bookmarkStart w:id="1655" w:name="Tc_q4kik2B2E0-VKzSpHU4uzA_23_12"/>
      <w:bookmarkStart w:id="1656" w:name="Tc_7A_jrIAsLUuS3oq2Ws7tZQ_23_0"/>
      <w:bookmarkStart w:id="1657" w:name="Tc_UitLt-BTHU6AsJmAc-t_ZQ_22_12"/>
      <w:bookmarkStart w:id="1658" w:name="Tc_WR8QLsXEO024XsT2mQW9cA_22_0"/>
      <w:bookmarkStart w:id="1659" w:name="Tc_x5Rd-EqTDkehc18f5asbrg_21_12"/>
      <w:bookmarkStart w:id="1660" w:name="Tc_8CWc352krEyLzFUJHqhEhA_21_6"/>
      <w:bookmarkStart w:id="1661" w:name="Tc_u9L7lKWjG0-95pOQufIVSQ_21_0"/>
      <w:bookmarkStart w:id="1662" w:name="Tc_7uXUaX35uEmgtwXx0XUkBQ_20_12"/>
      <w:bookmarkStart w:id="1663" w:name="Tc_lDudWuNmaE2zfNipNmGMTg_20_0"/>
      <w:bookmarkStart w:id="1664" w:name="Tc_qw5JU3Qs4k-V4e7Z6jgE7Q_19_0"/>
      <w:bookmarkStart w:id="1665" w:name="Tc_8sYib6B29EqlEfDtHWTxwQ_18_14"/>
      <w:bookmarkStart w:id="1666" w:name="Tc_7u2MV6yxl0qvTAwzM0r2aw_18_12"/>
      <w:bookmarkStart w:id="1667" w:name="Tc_Acd8LPVU10CADADvpUOxQQ_18_11"/>
      <w:bookmarkStart w:id="1668" w:name="Tc_AkfqUqYvNU6HjAURUlwkyg_18_8"/>
      <w:bookmarkStart w:id="1669" w:name="Tc_t10XQKgXWEWUKan3WFpOcQ_18_5"/>
      <w:bookmarkStart w:id="1670" w:name="Tc_zchdVnqbKUWP1lRBt9A2OA_18_2"/>
      <w:bookmarkStart w:id="1671" w:name="Tc_6JT-fySHHUuK8c5rsanmTg_18_0"/>
      <w:bookmarkStart w:id="1672" w:name="Tc_f2YdZtlcVkWH3x8WJGH1Jg_17_14"/>
      <w:bookmarkStart w:id="1673" w:name="Tc_sbQGt0ja80-A4DJSd4iVyA_17_11"/>
      <w:bookmarkStart w:id="1674" w:name="Tc_i3P4IVPLoEufgHEq5jShIw_17_8"/>
      <w:bookmarkStart w:id="1675" w:name="Tc_D8BrJD__-0miYm7kNsLHpg_17_5"/>
      <w:bookmarkStart w:id="1676" w:name="Tc_dWaIq0XOL06oYfqgZeMwmw_17_2"/>
      <w:bookmarkStart w:id="1677" w:name="Tc_N_nfSA8Jm0WloBP7Upkxpg_16_2"/>
      <w:bookmarkStart w:id="1678" w:name="Tc_1mkD2SU_PkGd_eBXH6UYDw_13_14"/>
      <w:bookmarkStart w:id="1679" w:name="Tc_UeqNhVOp4EeESEoO99YFjw_13_11"/>
      <w:bookmarkStart w:id="1680" w:name="Tc_iMFT62jETU-kuuoP_6h9sg_13_8"/>
      <w:bookmarkStart w:id="1681" w:name="Tc_CJUrvFhHOU-O2B-DXZsC7g_13_5"/>
      <w:bookmarkStart w:id="1682" w:name="Tc_PdaL_itmUk-Zs_4bm4MQvg_13_2"/>
      <w:bookmarkStart w:id="1683" w:name="Tc_YPhkdjlgn0aOfg5IwLyFOA_13_0"/>
      <w:bookmarkStart w:id="1684" w:name="Tc_0KNeJDo_ak644AVWR-Mwiw_12_0"/>
      <w:bookmarkStart w:id="1685" w:name="Tc_l8BS7WYfx0Wrl8WaTQ8-rQ_11_0"/>
      <w:bookmarkStart w:id="1686" w:name="Tc_JWRHLO95AkqqJ0suG9Sx6g_10_12"/>
      <w:bookmarkStart w:id="1687" w:name="Tc_47mxHggvgEuBP9ydBHNOCA_10_6"/>
      <w:bookmarkStart w:id="1688" w:name="Tc_MwzBmV6sfkO3m-PkiUiyLw_10_0"/>
      <w:bookmarkStart w:id="1689" w:name="Tc_NIl2O49H3UicGIS01ZppvA_9_6"/>
      <w:bookmarkStart w:id="1690" w:name="Tc_FSgVmMPNdEOB9U8baSvE7Q_9_0"/>
      <w:bookmarkStart w:id="1691" w:name="Tc_NbUM4EiQMEuuwAvEYd0j1A_8_12"/>
      <w:bookmarkStart w:id="1692" w:name="Tc_7RnxdLxXjE6Sjk0GBAzTJA_8_0"/>
      <w:bookmarkStart w:id="1693" w:name="Tc_nzNUuoR0B0muovcr9qx8Lg_7_12"/>
      <w:bookmarkStart w:id="1694" w:name="Tc_hDQlz1qJr0CiCZ-GCfxebA_7_0"/>
      <w:bookmarkStart w:id="1695" w:name="Tc_TGyWl_RaSkO3t6NOqZTIEA_6_12"/>
      <w:bookmarkStart w:id="1696" w:name="Tc_ucwKoF8gwU64_CX77VbVGg_6_6"/>
      <w:bookmarkStart w:id="1697" w:name="Tc_c25I7ljXcEmPKsrkYTlN3Q_6_0"/>
      <w:bookmarkStart w:id="1698" w:name="Tc_65NTtRycxEaIC4Fr4kpd7g_5_12"/>
      <w:bookmarkStart w:id="1699" w:name="Tc_KOzOwGpfjUuGqLwpSQr68g_5_0"/>
      <w:bookmarkStart w:id="1700" w:name="Tc_iKMA3U6bQU2dy9tL4U0_oQ_4_0"/>
      <w:bookmarkStart w:id="1701" w:name="Tc_VuHhnikP4Een-xi-H8m3qw_3_14"/>
      <w:bookmarkStart w:id="1702" w:name="Tc_2xUfoFjbNkqFEmSPlxjJqw_3_12"/>
      <w:bookmarkStart w:id="1703" w:name="Tc_r95W1Y84Ukikg4ASK6jVUA_3_11"/>
      <w:bookmarkStart w:id="1704" w:name="Tc_3yf1G3ZqJ0CUlFmjUcfVQA_3_8"/>
      <w:bookmarkStart w:id="1705" w:name="Tc_A_lUHsTWw0O8L8OF7tqw6Q_3_5"/>
      <w:bookmarkStart w:id="1706" w:name="Tc_FFcnCcCHM0WTL-d0QVg0Rg_3_2"/>
      <w:bookmarkStart w:id="1707" w:name="Tc_NMGUaYg8VkeJtuFP7yjK7g_3_0"/>
      <w:bookmarkStart w:id="1708" w:name="Tc_d63o5BxCKUWPKu2U05JcyQ_2_14"/>
      <w:bookmarkStart w:id="1709" w:name="Tc_aTiThlcWDkWsLIGeq2_yfw_2_11"/>
      <w:bookmarkStart w:id="1710" w:name="Tc_epYVNsZRbUSSzA15Z0MvRw_2_8"/>
      <w:bookmarkStart w:id="1711" w:name="Tc_Bg39XIchekqNohKi6HyA4w_2_5"/>
      <w:bookmarkStart w:id="1712" w:name="Tc_Ef5xZP5WukqxXsjDhurd-w_2_2"/>
      <w:bookmarkStart w:id="1713" w:name="Tc_ew9we025qkaMGkAniL4GZg_1_2"/>
      <w:bookmarkStart w:id="1714" w:name="_8554c9fb_77d0_4755_9fca_95c7c1852418"/>
      <w:bookmarkStart w:id="1715" w:name="Tc_Sw3ZBl4W8kOaJvM6iCX0lA_8_14"/>
      <w:bookmarkStart w:id="1716" w:name="Tc_jkaPmg6upU2h4Nhu98EVAQ_8_11"/>
      <w:bookmarkStart w:id="1717" w:name="Tc_Y1tq-XlPa0CEUidZvcMRWw_8_9"/>
      <w:bookmarkStart w:id="1718" w:name="Tc_pMu0f_A0p0Wc71pjt7a4tA_8_8"/>
      <w:bookmarkStart w:id="1719" w:name="Tc_4NBdO-O0xkWvP6RzkGF7Gw_8_6"/>
      <w:bookmarkStart w:id="1720" w:name="Tc_JAqmUVi5zU6NPvGXszY3VA_8_5"/>
      <w:bookmarkStart w:id="1721" w:name="Tc_PWUsaQDGO0m0VLbwA51xgQ_8_2"/>
      <w:bookmarkStart w:id="1722" w:name="Tc_x_NmE3HX_ECjVeF7NiBzqg_8_0"/>
      <w:bookmarkStart w:id="1723" w:name="Tc_NYcD7VQP0EWCN5kVbtmgUw_7_14"/>
      <w:bookmarkStart w:id="1724" w:name="Tc_gsSeKoEfbkKWsYs7MVcmlw_7_11"/>
      <w:bookmarkStart w:id="1725" w:name="Tc_3cc5J85ZikWApF-qHI1m7Q_7_8"/>
      <w:bookmarkStart w:id="1726" w:name="Tc_iORZ1U5WtUqIV9kQ_uCtSA_7_5"/>
      <w:bookmarkStart w:id="1727" w:name="Tc_OWCTiBgnxUuJP8MPTn_xUQ_7_2"/>
      <w:bookmarkStart w:id="1728" w:name="Tc_PvXb0v3V3U-w3D-qRJKrbA_6_2"/>
      <w:bookmarkStart w:id="1729" w:name="Tc_m_2y70NxtUqP2Sw2jYvWaQ_3_14"/>
      <w:bookmarkStart w:id="1730" w:name="Tc_Jw4_1g9IOECuoILr6ziQ6w_3_11"/>
      <w:bookmarkStart w:id="1731" w:name="Tc_1Y4p2MY2EkGTlPLGLz_pLg_3_9"/>
      <w:bookmarkStart w:id="1732" w:name="Tc_xfElPWrGNkOwS1F1iZ54aw_3_8"/>
      <w:bookmarkStart w:id="1733" w:name="Tc_pERpRloRQUySGP0g3bj2XA_3_6"/>
      <w:bookmarkStart w:id="1734" w:name="Tc_TsaQ67tbSUObIWpT_oBonQ_3_5"/>
      <w:bookmarkStart w:id="1735" w:name="Tc_Bu_Gk8DwEkaM8m8epni7qg_3_3"/>
      <w:bookmarkStart w:id="1736" w:name="Tc_Pg0x3awv70u6hIL8ToI1Lg_3_2"/>
      <w:bookmarkStart w:id="1737" w:name="Tc_V5_kx-Tn5Uux9NHRNBv1AQ_3_0"/>
      <w:bookmarkStart w:id="1738" w:name="Tc_OFhj4IVoZk6er8rlA0-uhQ_2_14"/>
      <w:bookmarkStart w:id="1739" w:name="Tc_2yPg7Qrxv0als1ZmCVTgHw_2_11"/>
      <w:bookmarkStart w:id="1740" w:name="Tc_b_c86I__NUmrgPQXJpKF8A_2_8"/>
      <w:bookmarkStart w:id="1741" w:name="Tc_gCpJekxC_kqVpYvdcDJ30Q_2_5"/>
      <w:bookmarkStart w:id="1742" w:name="Tc_fkMZu1voH0yjweZds7cHMQ_2_2"/>
      <w:bookmarkStart w:id="1743" w:name="Tc_4g9_jb-zN0unmQMNnBphdA_1_2"/>
      <w:bookmarkStart w:id="1744" w:name="_39a6a5da_ebb2_4c7b_8d76_9d849eeb9159"/>
      <w:bookmarkStart w:id="1745" w:name="Tc_6ihKuyPMPkyVytTwEcaXZA_27_14"/>
      <w:bookmarkStart w:id="1746" w:name="Tc_8-JXqhBoVUKEYzktGqQboQ_27_11"/>
      <w:bookmarkStart w:id="1747" w:name="Tc_jhswaQZz5UmehBbNPwL3CQ_27_8"/>
      <w:bookmarkStart w:id="1748" w:name="Tc_1EiskdtAs0y8dxSiH9FF3g_27_5"/>
      <w:bookmarkStart w:id="1749" w:name="Tc_P43vUUMkPkSsP-iSG1P8eQ_27_2"/>
      <w:bookmarkStart w:id="1750" w:name="Tc_FeHhuDZdgUO-gdQ7EhHVcQ_27_0"/>
      <w:bookmarkStart w:id="1751" w:name="Tc_DWyWKSZtdE2ZdbgG8dw3fg_26_0"/>
      <w:bookmarkStart w:id="1752" w:name="Tc_xSTI0gx44EW-9vF6fNiEwg_25_0"/>
      <w:bookmarkStart w:id="1753" w:name="Tc_vLRBblkLeUGNlZeBXT6t9w_24_0"/>
      <w:bookmarkStart w:id="1754" w:name="Tc_q4kik2B2E0-VKzSpHU4uzA_23_12"/>
      <w:bookmarkStart w:id="1755" w:name="Tc_7A_jrIAsLUuS3oq2Ws7tZQ_23_0"/>
      <w:bookmarkStart w:id="1756" w:name="Tc_UitLt-BTHU6AsJmAc-t_ZQ_22_12"/>
      <w:bookmarkStart w:id="1757" w:name="Tc_WR8QLsXEO024XsT2mQW9cA_22_0"/>
      <w:bookmarkStart w:id="1758" w:name="Tc_x5Rd-EqTDkehc18f5asbrg_21_12"/>
      <w:bookmarkStart w:id="1759" w:name="Tc_8CWc352krEyLzFUJHqhEhA_21_6"/>
      <w:bookmarkStart w:id="1760" w:name="Tc_u9L7lKWjG0-95pOQufIVSQ_21_0"/>
      <w:bookmarkStart w:id="1761" w:name="Tc_7uXUaX35uEmgtwXx0XUkBQ_20_12"/>
      <w:bookmarkStart w:id="1762" w:name="Tc_lDudWuNmaE2zfNipNmGMTg_20_0"/>
      <w:bookmarkStart w:id="1763" w:name="Tc_qw5JU3Qs4k-V4e7Z6jgE7Q_19_0"/>
      <w:bookmarkStart w:id="1764" w:name="Tc_8sYib6B29EqlEfDtHWTxwQ_18_14"/>
      <w:bookmarkStart w:id="1765" w:name="Tc_7u2MV6yxl0qvTAwzM0r2aw_18_12"/>
      <w:bookmarkStart w:id="1766" w:name="Tc_Acd8LPVU10CADADvpUOxQQ_18_11"/>
      <w:bookmarkStart w:id="1767" w:name="Tc_AkfqUqYvNU6HjAURUlwkyg_18_8"/>
      <w:bookmarkStart w:id="1768" w:name="Tc_t10XQKgXWEWUKan3WFpOcQ_18_5"/>
      <w:bookmarkStart w:id="1769" w:name="Tc_zchdVnqbKUWP1lRBt9A2OA_18_2"/>
      <w:bookmarkStart w:id="1770" w:name="Tc_6JT-fySHHUuK8c5rsanmTg_18_0"/>
      <w:bookmarkStart w:id="1771" w:name="Tc_f2YdZtlcVkWH3x8WJGH1Jg_17_14"/>
      <w:bookmarkStart w:id="1772" w:name="Tc_sbQGt0ja80-A4DJSd4iVyA_17_11"/>
      <w:bookmarkStart w:id="1773" w:name="Tc_i3P4IVPLoEufgHEq5jShIw_17_8"/>
      <w:bookmarkStart w:id="1774" w:name="Tc_D8BrJD__-0miYm7kNsLHpg_17_5"/>
      <w:bookmarkStart w:id="1775" w:name="Tc_dWaIq0XOL06oYfqgZeMwmw_17_2"/>
      <w:bookmarkStart w:id="1776" w:name="Tc_N_nfSA8Jm0WloBP7Upkxpg_16_2"/>
      <w:bookmarkStart w:id="1777" w:name="Tc_1mkD2SU_PkGd_eBXH6UYDw_13_14"/>
      <w:bookmarkStart w:id="1778" w:name="Tc_UeqNhVOp4EeESEoO99YFjw_13_11"/>
      <w:bookmarkStart w:id="1779" w:name="Tc_iMFT62jETU-kuuoP_6h9sg_13_8"/>
      <w:bookmarkStart w:id="1780" w:name="Tc_CJUrvFhHOU-O2B-DXZsC7g_13_5"/>
      <w:bookmarkStart w:id="1781" w:name="Tc_PdaL_itmUk-Zs_4bm4MQvg_13_2"/>
      <w:bookmarkStart w:id="1782" w:name="Tc_YPhkdjlgn0aOfg5IwLyFOA_13_0"/>
      <w:bookmarkStart w:id="1783" w:name="Tc_0KNeJDo_ak644AVWR-Mwiw_12_0"/>
      <w:bookmarkStart w:id="1784" w:name="Tc_l8BS7WYfx0Wrl8WaTQ8-rQ_11_0"/>
      <w:bookmarkStart w:id="1785" w:name="Tc_JWRHLO95AkqqJ0suG9Sx6g_10_12"/>
      <w:bookmarkStart w:id="1786" w:name="Tc_47mxHggvgEuBP9ydBHNOCA_10_6"/>
      <w:bookmarkStart w:id="1787" w:name="Tc_MwzBmV6sfkO3m-PkiUiyLw_10_0"/>
      <w:bookmarkStart w:id="1788" w:name="Tc_NIl2O49H3UicGIS01ZppvA_9_6"/>
      <w:bookmarkStart w:id="1789" w:name="Tc_FSgVmMPNdEOB9U8baSvE7Q_9_0"/>
      <w:bookmarkStart w:id="1790" w:name="Tc_NbUM4EiQMEuuwAvEYd0j1A_8_12"/>
      <w:bookmarkStart w:id="1791" w:name="Tc_7RnxdLxXjE6Sjk0GBAzTJA_8_0"/>
      <w:bookmarkStart w:id="1792" w:name="Tc_nzNUuoR0B0muovcr9qx8Lg_7_12"/>
      <w:bookmarkStart w:id="1793" w:name="Tc_hDQlz1qJr0CiCZ-GCfxebA_7_0"/>
      <w:bookmarkStart w:id="1794" w:name="Tc_TGyWl_RaSkO3t6NOqZTIEA_6_12"/>
      <w:bookmarkStart w:id="1795" w:name="Tc_ucwKoF8gwU64_CX77VbVGg_6_6"/>
      <w:bookmarkStart w:id="1796" w:name="Tc_c25I7ljXcEmPKsrkYTlN3Q_6_0"/>
      <w:bookmarkStart w:id="1797" w:name="Tc_65NTtRycxEaIC4Fr4kpd7g_5_12"/>
      <w:bookmarkStart w:id="1798" w:name="Tc_KOzOwGpfjUuGqLwpSQr68g_5_0"/>
      <w:bookmarkStart w:id="1799" w:name="Tc_iKMA3U6bQU2dy9tL4U0_oQ_4_0"/>
      <w:bookmarkStart w:id="1800" w:name="Tc_VuHhnikP4Een-xi-H8m3qw_3_14"/>
      <w:bookmarkStart w:id="1801" w:name="Tc_2xUfoFjbNkqFEmSPlxjJqw_3_12"/>
      <w:bookmarkStart w:id="1802" w:name="Tc_r95W1Y84Ukikg4ASK6jVUA_3_11"/>
      <w:bookmarkStart w:id="1803" w:name="Tc_3yf1G3ZqJ0CUlFmjUcfVQA_3_8"/>
      <w:bookmarkStart w:id="1804" w:name="Tc_A_lUHsTWw0O8L8OF7tqw6Q_3_5"/>
      <w:bookmarkStart w:id="1805" w:name="Tc_FFcnCcCHM0WTL-d0QVg0Rg_3_2"/>
      <w:bookmarkStart w:id="1806" w:name="Tc_NMGUaYg8VkeJtuFP7yjK7g_3_0"/>
      <w:bookmarkStart w:id="1807" w:name="Tc_d63o5BxCKUWPKu2U05JcyQ_2_14"/>
      <w:bookmarkStart w:id="1808" w:name="Tc_aTiThlcWDkWsLIGeq2_yfw_2_11"/>
      <w:bookmarkStart w:id="1809" w:name="Tc_epYVNsZRbUSSzA15Z0MvRw_2_8"/>
      <w:bookmarkStart w:id="1810" w:name="Tc_Bg39XIchekqNohKi6HyA4w_2_5"/>
      <w:bookmarkStart w:id="1811" w:name="Tc_Ef5xZP5WukqxXsjDhurd-w_2_2"/>
      <w:bookmarkStart w:id="1812" w:name="Tc_ew9we025qkaMGkAniL4GZg_1_2"/>
      <w:bookmarkStart w:id="1813" w:name="_8554c9fb_77d0_4755_9fca_95c7c1852418"/>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p>
    <w:tbl>
      <w:tblPr>
        <w:tblW w:w="10205" w:type="dxa"/>
        <w:jc w:val="left"/>
        <w:tblInd w:w="0" w:type="dxa"/>
        <w:tblLayout w:type="fixed"/>
        <w:tblCellMar>
          <w:top w:w="0" w:type="dxa"/>
          <w:left w:w="0" w:type="dxa"/>
          <w:bottom w:w="0" w:type="dxa"/>
          <w:right w:w="0" w:type="dxa"/>
        </w:tblCellMar>
      </w:tblPr>
      <w:tblGrid>
        <w:gridCol w:w="2952"/>
        <w:gridCol w:w="346"/>
        <w:gridCol w:w="247"/>
        <w:gridCol w:w="669"/>
        <w:gridCol w:w="346"/>
        <w:gridCol w:w="259"/>
        <w:gridCol w:w="702"/>
        <w:gridCol w:w="346"/>
        <w:gridCol w:w="282"/>
        <w:gridCol w:w="765"/>
        <w:gridCol w:w="346"/>
        <w:gridCol w:w="413"/>
        <w:gridCol w:w="1240"/>
        <w:gridCol w:w="346"/>
        <w:gridCol w:w="211"/>
        <w:gridCol w:w="735"/>
      </w:tblGrid>
      <w:tr>
        <w:trPr/>
        <w:tc>
          <w:tcPr>
            <w:tcW w:w="2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74520" cy="175260"/>
                      <wp:effectExtent l="0" t="0" r="0" b="0"/>
                      <wp:wrapNone/>
                      <wp:docPr id="246" name="Frame246"/>
                      <a:graphic xmlns:a="http://schemas.openxmlformats.org/drawingml/2006/main">
                        <a:graphicData uri="http://schemas.microsoft.com/office/word/2010/wordprocessingShape">
                          <wps:wsp>
                            <wps:cNvSpPr txBox="1"/>
                            <wps:spPr>
                              <a:xfrm>
                                <a:off x="0" y="0"/>
                                <a:ext cx="187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56845" cy="175260"/>
                      <wp:effectExtent l="0" t="0" r="0" b="0"/>
                      <wp:wrapNone/>
                      <wp:docPr id="248" name="Frame24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24815" cy="175260"/>
                      <wp:effectExtent l="0" t="0" r="0" b="0"/>
                      <wp:wrapNone/>
                      <wp:docPr id="249" name="Frame249"/>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4465" cy="175260"/>
                      <wp:effectExtent l="0" t="0" r="0" b="0"/>
                      <wp:wrapNone/>
                      <wp:docPr id="251" name="Frame251"/>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45770" cy="175260"/>
                      <wp:effectExtent l="0" t="0" r="0" b="0"/>
                      <wp:wrapNone/>
                      <wp:docPr id="252" name="Frame252"/>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9070" cy="175260"/>
                      <wp:effectExtent l="0" t="0" r="0" b="0"/>
                      <wp:wrapNone/>
                      <wp:docPr id="254" name="Frame25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85775" cy="175260"/>
                      <wp:effectExtent l="0" t="0" r="0" b="0"/>
                      <wp:wrapNone/>
                      <wp:docPr id="255" name="Frame255"/>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62255" cy="175260"/>
                      <wp:effectExtent l="0" t="0" r="0" b="0"/>
                      <wp:wrapNone/>
                      <wp:docPr id="257" name="Frame25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87400" cy="175260"/>
                      <wp:effectExtent l="0" t="0" r="0" b="0"/>
                      <wp:wrapNone/>
                      <wp:docPr id="258" name="Frame258"/>
                      <a:graphic xmlns:a="http://schemas.openxmlformats.org/drawingml/2006/main">
                        <a:graphicData uri="http://schemas.microsoft.com/office/word/2010/wordprocessingShape">
                          <wps:wsp>
                            <wps:cNvSpPr txBox="1"/>
                            <wps:spPr>
                              <a:xfrm>
                                <a:off x="0" y="0"/>
                                <a:ext cx="787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66725" cy="175260"/>
                      <wp:effectExtent l="0" t="0" r="0" b="0"/>
                      <wp:wrapNone/>
                      <wp:docPr id="261" name="Frame261"/>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0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w:t>
            </w:r>
          </w:p>
        </w:tc>
      </w:tr>
      <w:tr>
        <w:trPr/>
        <w:tc>
          <w:tcPr>
            <w:tcW w:w="29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6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34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righ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12,246</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9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586"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29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29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0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w:t>
            </w:r>
          </w:p>
        </w:tc>
      </w:tr>
      <w:tr>
        <w:trPr/>
        <w:tc>
          <w:tcPr>
            <w:tcW w:w="29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shd w:fill="CCEEFF" w:val="clear"/>
            <w:vAlign w:val="center"/>
          </w:tcPr>
          <w:p>
            <w:pPr>
              <w:pStyle w:val="TableContents"/>
              <w:bidi w:val="0"/>
              <w:spacing w:before="0" w:after="0"/>
              <w:ind w:left="0" w:right="0" w:hanging="0"/>
              <w:jc w:val="left"/>
              <w:rPr/>
            </w:pPr>
            <w:r>
              <w:rPr/>
              <w:t>  ​ ​ ​</w:t>
            </w:r>
          </w:p>
        </w:tc>
        <w:tc>
          <w:tcPr>
            <w:tcW w:w="104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shd w:fill="CCEEFF" w:val="clear"/>
            <w:vAlign w:val="center"/>
          </w:tcPr>
          <w:p>
            <w:pPr>
              <w:pStyle w:val="TableContents"/>
              <w:bidi w:val="0"/>
              <w:spacing w:before="0" w:after="0"/>
              <w:ind w:left="0" w:right="0" w:hanging="0"/>
              <w:jc w:val="left"/>
              <w:rPr/>
            </w:pPr>
            <w:r>
              <w:rPr/>
              <w:t>  ​ ​ ​</w:t>
            </w:r>
          </w:p>
        </w:tc>
        <w:tc>
          <w:tcPr>
            <w:tcW w:w="1653"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shd w:fill="CCEEFF" w:val="clear"/>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46" w:type="dxa"/>
            <w:tcBorders/>
            <w:vAlign w:val="center"/>
          </w:tcPr>
          <w:p>
            <w:pPr>
              <w:pStyle w:val="TableContents"/>
              <w:bidi w:val="0"/>
              <w:spacing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14,712</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7,879</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vAlign w:val="center"/>
          </w:tcPr>
          <w:p>
            <w:pPr>
              <w:pStyle w:val="TableContents"/>
              <w:bidi w:val="0"/>
              <w:spacing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7,843</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shd w:fill="CCEEFF" w:val="clear"/>
            <w:vAlign w:val="center"/>
          </w:tcPr>
          <w:p>
            <w:pPr>
              <w:pStyle w:val="TableContents"/>
              <w:bidi w:val="0"/>
              <w:spacing w:before="0" w:after="0"/>
              <w:ind w:left="0" w:right="0" w:hanging="0"/>
              <w:jc w:val="righ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46" w:type="dxa"/>
            <w:tcBorders/>
            <w:shd w:fill="CCEEFF" w:val="clear"/>
            <w:vAlign w:val="center"/>
          </w:tcPr>
          <w:p>
            <w:pPr>
              <w:pStyle w:val="TableContents"/>
              <w:bidi w:val="0"/>
              <w:spacing w:before="0" w:after="0"/>
              <w:ind w:left="0" w:right="0" w:hanging="0"/>
              <w:jc w:val="righ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shd w:fill="CCEEFF" w:val="clear"/>
            <w:vAlign w:val="center"/>
          </w:tcPr>
          <w:p>
            <w:pPr>
              <w:pStyle w:val="TableContents"/>
              <w:bidi w:val="0"/>
              <w:spacing w:before="0" w:after="0"/>
              <w:ind w:left="0" w:right="0" w:hanging="0"/>
              <w:jc w:val="right"/>
              <w:rPr/>
            </w:pPr>
            <w:r>
              <w:rPr/>
              <w:t>​</w:t>
            </w:r>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significant expense amounts align with the expenses that the CODM is regularly provided with to assess performance and allocate resources.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For all segments, SGA consists of the following:Salaries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Significant Items</w:t>
      </w:r>
    </w:p>
    <w:p>
      <w:pPr>
        <w:pStyle w:val="TextBody"/>
        <w:bidi w:val="0"/>
        <w:spacing w:before="0" w:after="0"/>
        <w:ind w:left="0" w:right="0" w:hanging="0"/>
        <w:jc w:val="left"/>
        <w:rPr/>
      </w:pPr>
      <w:r>
        <w:rPr/>
        <w:t>​</w:t>
      </w:r>
    </w:p>
    <w:tbl>
      <w:tblPr>
        <w:tblW w:w="9620" w:type="dxa"/>
        <w:jc w:val="left"/>
        <w:tblInd w:w="0" w:type="dxa"/>
        <w:tblLayout w:type="fixed"/>
        <w:tblCellMar>
          <w:top w:w="0" w:type="dxa"/>
          <w:left w:w="0" w:type="dxa"/>
          <w:bottom w:w="0" w:type="dxa"/>
          <w:right w:w="0" w:type="dxa"/>
        </w:tblCellMar>
      </w:tblPr>
      <w:tblGrid>
        <w:gridCol w:w="2296"/>
        <w:gridCol w:w="346"/>
        <w:gridCol w:w="346"/>
        <w:gridCol w:w="570"/>
        <w:gridCol w:w="346"/>
        <w:gridCol w:w="364"/>
        <w:gridCol w:w="597"/>
        <w:gridCol w:w="346"/>
        <w:gridCol w:w="426"/>
        <w:gridCol w:w="699"/>
        <w:gridCol w:w="346"/>
        <w:gridCol w:w="614"/>
        <w:gridCol w:w="1231"/>
        <w:gridCol w:w="346"/>
        <w:gridCol w:w="211"/>
        <w:gridCol w:w="53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57960" cy="175260"/>
                      <wp:effectExtent l="0" t="0" r="0" b="0"/>
                      <wp:wrapNone/>
                      <wp:docPr id="262" name="Frame26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1950" cy="175260"/>
                      <wp:effectExtent l="0" t="0" r="0" b="0"/>
                      <wp:wrapNone/>
                      <wp:docPr id="265" name="Frame265"/>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31140" cy="175260"/>
                      <wp:effectExtent l="0" t="0" r="0" b="0"/>
                      <wp:wrapNone/>
                      <wp:docPr id="267" name="Frame267"/>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9095" cy="175260"/>
                      <wp:effectExtent l="0" t="0" r="0" b="0"/>
                      <wp:wrapNone/>
                      <wp:docPr id="268" name="Frame268"/>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70510" cy="175260"/>
                      <wp:effectExtent l="0" t="0" r="0" b="0"/>
                      <wp:wrapNone/>
                      <wp:docPr id="270" name="Frame270"/>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43865" cy="175260"/>
                      <wp:effectExtent l="0" t="0" r="0" b="0"/>
                      <wp:wrapNone/>
                      <wp:docPr id="271" name="Frame271"/>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89890" cy="175260"/>
                      <wp:effectExtent l="0" t="0" r="0" b="0"/>
                      <wp:wrapNone/>
                      <wp:docPr id="273" name="Frame273"/>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81685" cy="175260"/>
                      <wp:effectExtent l="0" t="0" r="0" b="0"/>
                      <wp:wrapNone/>
                      <wp:docPr id="274" name="Frame27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40360" cy="175260"/>
                      <wp:effectExtent l="0" t="0" r="0" b="0"/>
                      <wp:wrapNone/>
                      <wp:docPr id="277" name="Frame277"/>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7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2026</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1"/>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1"/>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7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2025</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1"/>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1"/>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599</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814" w:name="Tc_hsxoCGTEHEqkIidhW60aHA_4_5"/>
      <w:bookmarkStart w:id="1815" w:name="Tc_8fqiME57eEG9ulF9MnHRjg_4_2"/>
      <w:bookmarkStart w:id="1816" w:name="Tc_g2dvug1s6kmD7B-iP5S1Ww_4_0"/>
      <w:bookmarkStart w:id="1817" w:name="Tc_xba78hz0EE-SehFqEwHrwQ_3_0"/>
      <w:bookmarkStart w:id="1818" w:name="Tc_niElEGV83E-UT5ocs1s2ow_2_5"/>
      <w:bookmarkStart w:id="1819" w:name="Tc_Ex0z73KmLkSq4Po3qQQzdg_2_2"/>
      <w:bookmarkStart w:id="1820" w:name="Tc_tTY4qJAZzEi0N43mXPrWeg_2_0"/>
      <w:bookmarkStart w:id="1821" w:name="Tc_2BqPwrvHKU-pyuU-CD_QvA_1_5"/>
      <w:bookmarkStart w:id="1822" w:name="Tc_W60RhkkzK0uhqgviFkiB0w_1_2"/>
      <w:bookmarkStart w:id="1823" w:name="Tc_nazrpNZZ10OhCW--_LsPzA_1_0"/>
      <w:bookmarkStart w:id="1824" w:name="_7ea1f6ab_bcb8_474e_98b2_3fb6e0e93ad0"/>
      <w:bookmarkStart w:id="1825" w:name="Tc_NUZQVLE8VEicBKDlzR5QbA_7_5"/>
      <w:bookmarkStart w:id="1826" w:name="Tc_7YWvTI5stEaTC45kSX9aAA_7_2"/>
      <w:bookmarkStart w:id="1827" w:name="Tc_bt11csGw8k62pChDofuwWg_7_0"/>
      <w:bookmarkStart w:id="1828" w:name="Tc_5AZ6JaZoxUqHj-V2dwX2Hg_6_0"/>
      <w:bookmarkStart w:id="1829" w:name="Tc_Pa8IcCr3OEWkAcOc3ezaoA_5_5"/>
      <w:bookmarkStart w:id="1830" w:name="Tc_G9NAXl81Gke5kJsHCxaZtQ_5_2"/>
      <w:bookmarkStart w:id="1831" w:name="Tc_OTYUriT6LketIDdYPWQi_Q_5_0"/>
      <w:bookmarkStart w:id="1832" w:name="Tc_j3kNU9HOGk-7lk84bbbdCA_4_0"/>
      <w:bookmarkStart w:id="1833" w:name="Tc_CYkce4ct8kSKlGAibLPIug_3_5"/>
      <w:bookmarkStart w:id="1834" w:name="Tc_raBK1dH6-ke-eELzByyU2A_3_2"/>
      <w:bookmarkStart w:id="1835" w:name="Tc_0u9VXF5bfE6dshBD7WyeHQ_2_2"/>
      <w:bookmarkStart w:id="1836" w:name="Tc_LLFMo6oUZ0mBlD_2xpV-Aw_1_2"/>
      <w:bookmarkStart w:id="1837" w:name="_320cb298_6099_44cd_ba7c_c52790977202"/>
      <w:bookmarkStart w:id="1838" w:name="Tc_1cN4QOA_6EqxyomCGmGhew_7_5"/>
      <w:bookmarkStart w:id="1839" w:name="Tc_1kKE97KsXkawWsGTaE4m-Q_7_2"/>
      <w:bookmarkStart w:id="1840" w:name="Tc_O3dHL6fzxkWWvowViQxaWg_7_0"/>
      <w:bookmarkStart w:id="1841" w:name="Tc_L83CzmWiYEOBkktM4v95Wg_6_0"/>
      <w:bookmarkStart w:id="1842" w:name="Tc_nFrUyNkiVk-A8xo90FyUoQ_5_5"/>
      <w:bookmarkStart w:id="1843" w:name="Tc_qYvy2dgOfkyacjter7DGOQ_5_2"/>
      <w:bookmarkStart w:id="1844" w:name="Tc_1WxpR5OFk02UxP83WZ7UVw_5_0"/>
      <w:bookmarkStart w:id="1845" w:name="Tc_G0cnT5zfPU23No1wGPBCZA_4_0"/>
      <w:bookmarkStart w:id="1846" w:name="Tc_VlsrHMZVVk6EpTQmhiTGKw_3_5"/>
      <w:bookmarkStart w:id="1847" w:name="Tc_f2ITdPu3yUuNC9G4KZWxcA_3_2"/>
      <w:bookmarkStart w:id="1848" w:name="Tc_PTmlyvtXGkWD7Em4tfXHMA_2_2"/>
      <w:bookmarkStart w:id="1849" w:name="Tc_h14S-KOkQEKTUH9tLN-cjQ_1_2"/>
      <w:bookmarkStart w:id="1850" w:name="_5d2058c0_5948_4e3a_a4bf_3807b973ad57"/>
      <w:bookmarkStart w:id="1851" w:name="Tc_nuMnKcp2I0SdhpDjnopgmg_12_14"/>
      <w:bookmarkStart w:id="1852" w:name="Tc_LODsMZP4UEWdKrJCzBLftg_12_11"/>
      <w:bookmarkStart w:id="1853" w:name="Tc_oW4Y99EK60-C8_sTuoDbsg_12_8"/>
      <w:bookmarkStart w:id="1854" w:name="Tc_n8G-Py1Gm0G97Z37tzU_iA_12_5"/>
      <w:bookmarkStart w:id="1855" w:name="Tc_JU68tNM5HUeBRaX9B1B3Wg_12_2"/>
      <w:bookmarkStart w:id="1856" w:name="Tc_ArLLw-cV3kG7b-df4WsyaQ_12_0"/>
      <w:bookmarkStart w:id="1857" w:name="Tc_BF1z9xbMjkiLBShDwIVbHA_11_14"/>
      <w:bookmarkStart w:id="1858" w:name="Tc_I6CS0ag6P0uNnYmnMsxfOA_11_11"/>
      <w:bookmarkStart w:id="1859" w:name="Tc_vdUGCW5J00mOhd6SlvRJKw_11_8"/>
      <w:bookmarkStart w:id="1860" w:name="Tc_VlCKKcGTjUK7vqX8qHcfMA_11_6"/>
      <w:bookmarkStart w:id="1861" w:name="Tc_COH6FW5NREqDXYHmqMBhLA_11_5"/>
      <w:bookmarkStart w:id="1862" w:name="Tc_2ZDXJOg9e0mhaaTIKmVy0A_11_2"/>
      <w:bookmarkStart w:id="1863" w:name="Tc_rljBjG1eDkOa9KCA_EBIyA_11_0"/>
      <w:bookmarkStart w:id="1864" w:name="Tc_hMAglshNKkCn6O0mwAlprA_9_14"/>
      <w:bookmarkStart w:id="1865" w:name="Tc_ej1bIegeIk2SQ5U0tVQleQ_9_11"/>
      <w:bookmarkStart w:id="1866" w:name="Tc_va5lo8eurk-5nEOjXLVCRQ_9_8"/>
      <w:bookmarkStart w:id="1867" w:name="Tc_giE3d5_H-UCc6hI-v-pclg_9_5"/>
      <w:bookmarkStart w:id="1868" w:name="Tc_X0dsbKhFYkOyQDbxlhhvQQ_9_2"/>
      <w:bookmarkStart w:id="1869" w:name="Tc_nmQLYa4Jx0eN3vnOmhLKbQ_8_2"/>
      <w:bookmarkStart w:id="1870" w:name="Tc_g3O3jt_ccEK49fChQ2hsqQ_5_14"/>
      <w:bookmarkStart w:id="1871" w:name="Tc_GerA1yRky0SyIpUelrHTSw_5_11"/>
      <w:bookmarkStart w:id="1872" w:name="Tc_rBpHUkSqZ0mS3kb67QVzVQ_5_8"/>
      <w:bookmarkStart w:id="1873" w:name="Tc_a6mrLmilZ0SO6Dwtg_lTfA_5_5"/>
      <w:bookmarkStart w:id="1874" w:name="Tc_a7wEbSt86EGdVWxbhRmLuw_5_2"/>
      <w:bookmarkStart w:id="1875" w:name="Tc_pE0YQJca306TPCX3RfHaxg_5_0"/>
      <w:bookmarkStart w:id="1876" w:name="Tc_cdgLOnBkFUClQ1AllW5Aqw_4_14"/>
      <w:bookmarkStart w:id="1877" w:name="Tc_IJ85dCHxHUilk-M0NKYIFg_4_11"/>
      <w:bookmarkStart w:id="1878" w:name="Tc_I692c5sjsEOHs5rZZPPuBA_4_9"/>
      <w:bookmarkStart w:id="1879" w:name="Tc_VdjV6LO3NEeXFgKxNAe7Sg_4_8"/>
      <w:bookmarkStart w:id="1880" w:name="Tc_lsMmfHYNz0yTR_mnaFnI8w_4_5"/>
      <w:bookmarkStart w:id="1881" w:name="Tc_eXVHDsDin0eMMIWfYINOHA_4_2"/>
      <w:bookmarkStart w:id="1882" w:name="Tc_hkuz7WC6Hk-d15xdZQ7liA_4_0"/>
      <w:bookmarkStart w:id="1883" w:name="Tc_K9uOa1a-hEOKJEDkHOk47w_2_14"/>
      <w:bookmarkStart w:id="1884" w:name="Tc_yW3QbIO_dEW6csjAV845FQ_2_11"/>
      <w:bookmarkStart w:id="1885" w:name="Tc_Fp6uWVI3GkyuL7F6Rgt_4w_2_8"/>
      <w:bookmarkStart w:id="1886" w:name="Tc_rNmaYRaXlkmw0_GlApvIHw_2_5"/>
      <w:bookmarkStart w:id="1887" w:name="Tc_B1eIjKHyHEOJaaJ5CVve2w_2_2"/>
      <w:bookmarkStart w:id="1888" w:name="Tc_G35P0EjiOUGGKVtV_M51DA_1_2"/>
      <w:bookmarkStart w:id="1889" w:name="_3430a0cf_00e0_4fc3_88d8_34cd1b523a8b"/>
      <w:bookmarkStart w:id="1890" w:name="Tc_gy-q_XFqo02S6qKnquK9Jw_7_14"/>
      <w:bookmarkStart w:id="1891" w:name="Tc_JXmYa7_-o0-j7idK2xc-dQ_7_11"/>
      <w:bookmarkStart w:id="1892" w:name="Tc_Q7lbSeQBdUKDtCYVrwuANw_7_9"/>
      <w:bookmarkStart w:id="1893" w:name="Tc_KhAKX0o8Ike4Z4aCjvqLbw_7_8"/>
      <w:bookmarkStart w:id="1894" w:name="Tc_XtWTfiZgnEiq6I4uXrBrvg_7_5"/>
      <w:bookmarkStart w:id="1895" w:name="Tc_eCKXRFFXyUCpXrTl5rb_RQ_7_2"/>
      <w:bookmarkStart w:id="1896" w:name="Tc_Xp1qqCDfzEC8I9UbIefSUQ_7_0"/>
      <w:bookmarkStart w:id="1897" w:name="Tc_AwiYha_YB0ehpzSDAuGv9Q_6_14"/>
      <w:bookmarkStart w:id="1898" w:name="Tc_aEbID6YxoU-Wl46zGCMnFg_6_11"/>
      <w:bookmarkStart w:id="1899" w:name="Tc_rB0m1OLq1kC_ntWE1bNjnw_6_8"/>
      <w:bookmarkStart w:id="1900" w:name="Tc_5IUYgTJ46UiIK7nday505g_6_5"/>
      <w:bookmarkStart w:id="1901" w:name="Tc_2qBxVoN5T0W8i2jmZqHyaw_6_2"/>
      <w:bookmarkStart w:id="1902" w:name="Tc_5-0iaoXmy0avhdqC5yL12w_5_2"/>
      <w:bookmarkStart w:id="1903" w:name="Tc_DcfOi-DG00CjWqciLVavhQ_3_14"/>
      <w:bookmarkStart w:id="1904" w:name="Tc_WyliTH9-gEKtIGMc4kREpQ_3_11"/>
      <w:bookmarkStart w:id="1905" w:name="Tc_0YBlWGO3yUulhrN2PMRrcQ_3_9"/>
      <w:bookmarkStart w:id="1906" w:name="Tc_ruYGBMwG_02OofOiOhtPjQ_3_8"/>
      <w:bookmarkStart w:id="1907" w:name="Tc_g1p_UNq3m0ak_Qx3AXslHg_3_6"/>
      <w:bookmarkStart w:id="1908" w:name="Tc_7c8fTCGnPEKjxeMuNHRIwg_3_5"/>
      <w:bookmarkStart w:id="1909" w:name="Tc_V77Zwma4a0OUy5-6Pv-xZQ_3_3"/>
      <w:bookmarkStart w:id="1910" w:name="Tc_FQLe-atd_0eupEsnxTDtiA_3_2"/>
      <w:bookmarkStart w:id="1911" w:name="Tc_ZfvodRtmbEOgp3JKTXDcyw_3_0"/>
      <w:bookmarkStart w:id="1912" w:name="Tc_c6pib2lmykCfRukIcbEVTQ_2_14"/>
      <w:bookmarkStart w:id="1913" w:name="Tc_SMxxGtomyUmcnPwqRuP0GQ_2_11"/>
      <w:bookmarkStart w:id="1914" w:name="Tc_AJanJVXcK0KZcdZnB31Qcg_2_8"/>
      <w:bookmarkStart w:id="1915" w:name="Tc_LSHtwljVpEO4tedblyZqGA_2_5"/>
      <w:bookmarkStart w:id="1916" w:name="Tc_vp33FIE-qEC_ss2m6_Gu0w_2_2"/>
      <w:bookmarkStart w:id="1917" w:name="Tc_wT0KIqKHMUe0J6RUBIZlgg_1_2"/>
      <w:bookmarkStart w:id="1918" w:name="_5db83fe4_7316_4a33_9933_e8227d2d0312"/>
      <w:bookmarkStart w:id="1919" w:name="Tc_hsxoCGTEHEqkIidhW60aHA_4_5"/>
      <w:bookmarkStart w:id="1920" w:name="Tc_8fqiME57eEG9ulF9MnHRjg_4_2"/>
      <w:bookmarkStart w:id="1921" w:name="Tc_g2dvug1s6kmD7B-iP5S1Ww_4_0"/>
      <w:bookmarkStart w:id="1922" w:name="Tc_xba78hz0EE-SehFqEwHrwQ_3_0"/>
      <w:bookmarkStart w:id="1923" w:name="Tc_niElEGV83E-UT5ocs1s2ow_2_5"/>
      <w:bookmarkStart w:id="1924" w:name="Tc_Ex0z73KmLkSq4Po3qQQzdg_2_2"/>
      <w:bookmarkStart w:id="1925" w:name="Tc_tTY4qJAZzEi0N43mXPrWeg_2_0"/>
      <w:bookmarkStart w:id="1926" w:name="Tc_2BqPwrvHKU-pyuU-CD_QvA_1_5"/>
      <w:bookmarkStart w:id="1927" w:name="Tc_W60RhkkzK0uhqgviFkiB0w_1_2"/>
      <w:bookmarkStart w:id="1928" w:name="Tc_nazrpNZZ10OhCW--_LsPzA_1_0"/>
      <w:bookmarkStart w:id="1929" w:name="_7ea1f6ab_bcb8_474e_98b2_3fb6e0e93ad0"/>
      <w:bookmarkStart w:id="1930" w:name="Tc_NUZQVLE8VEicBKDlzR5QbA_7_5"/>
      <w:bookmarkStart w:id="1931" w:name="Tc_7YWvTI5stEaTC45kSX9aAA_7_2"/>
      <w:bookmarkStart w:id="1932" w:name="Tc_bt11csGw8k62pChDofuwWg_7_0"/>
      <w:bookmarkStart w:id="1933" w:name="Tc_5AZ6JaZoxUqHj-V2dwX2Hg_6_0"/>
      <w:bookmarkStart w:id="1934" w:name="Tc_Pa8IcCr3OEWkAcOc3ezaoA_5_5"/>
      <w:bookmarkStart w:id="1935" w:name="Tc_G9NAXl81Gke5kJsHCxaZtQ_5_2"/>
      <w:bookmarkStart w:id="1936" w:name="Tc_OTYUriT6LketIDdYPWQi_Q_5_0"/>
      <w:bookmarkStart w:id="1937" w:name="Tc_j3kNU9HOGk-7lk84bbbdCA_4_0"/>
      <w:bookmarkStart w:id="1938" w:name="Tc_CYkce4ct8kSKlGAibLPIug_3_5"/>
      <w:bookmarkStart w:id="1939" w:name="Tc_raBK1dH6-ke-eELzByyU2A_3_2"/>
      <w:bookmarkStart w:id="1940" w:name="Tc_0u9VXF5bfE6dshBD7WyeHQ_2_2"/>
      <w:bookmarkStart w:id="1941" w:name="Tc_LLFMo6oUZ0mBlD_2xpV-Aw_1_2"/>
      <w:bookmarkStart w:id="1942" w:name="_320cb298_6099_44cd_ba7c_c52790977202"/>
      <w:bookmarkStart w:id="1943" w:name="Tc_1cN4QOA_6EqxyomCGmGhew_7_5"/>
      <w:bookmarkStart w:id="1944" w:name="Tc_1kKE97KsXkawWsGTaE4m-Q_7_2"/>
      <w:bookmarkStart w:id="1945" w:name="Tc_O3dHL6fzxkWWvowViQxaWg_7_0"/>
      <w:bookmarkStart w:id="1946" w:name="Tc_L83CzmWiYEOBkktM4v95Wg_6_0"/>
      <w:bookmarkStart w:id="1947" w:name="Tc_nFrUyNkiVk-A8xo90FyUoQ_5_5"/>
      <w:bookmarkStart w:id="1948" w:name="Tc_qYvy2dgOfkyacjter7DGOQ_5_2"/>
      <w:bookmarkStart w:id="1949" w:name="Tc_1WxpR5OFk02UxP83WZ7UVw_5_0"/>
      <w:bookmarkStart w:id="1950" w:name="Tc_G0cnT5zfPU23No1wGPBCZA_4_0"/>
      <w:bookmarkStart w:id="1951" w:name="Tc_VlsrHMZVVk6EpTQmhiTGKw_3_5"/>
      <w:bookmarkStart w:id="1952" w:name="Tc_f2ITdPu3yUuNC9G4KZWxcA_3_2"/>
      <w:bookmarkStart w:id="1953" w:name="Tc_PTmlyvtXGkWD7Em4tfXHMA_2_2"/>
      <w:bookmarkStart w:id="1954" w:name="Tc_h14S-KOkQEKTUH9tLN-cjQ_1_2"/>
      <w:bookmarkStart w:id="1955" w:name="_5d2058c0_5948_4e3a_a4bf_3807b973ad57"/>
      <w:bookmarkStart w:id="1956" w:name="Tc_nuMnKcp2I0SdhpDjnopgmg_12_14"/>
      <w:bookmarkStart w:id="1957" w:name="Tc_LODsMZP4UEWdKrJCzBLftg_12_11"/>
      <w:bookmarkStart w:id="1958" w:name="Tc_oW4Y99EK60-C8_sTuoDbsg_12_8"/>
      <w:bookmarkStart w:id="1959" w:name="Tc_n8G-Py1Gm0G97Z37tzU_iA_12_5"/>
      <w:bookmarkStart w:id="1960" w:name="Tc_JU68tNM5HUeBRaX9B1B3Wg_12_2"/>
      <w:bookmarkStart w:id="1961" w:name="Tc_ArLLw-cV3kG7b-df4WsyaQ_12_0"/>
      <w:bookmarkStart w:id="1962" w:name="Tc_BF1z9xbMjkiLBShDwIVbHA_11_14"/>
      <w:bookmarkStart w:id="1963" w:name="Tc_I6CS0ag6P0uNnYmnMsxfOA_11_11"/>
      <w:bookmarkStart w:id="1964" w:name="Tc_vdUGCW5J00mOhd6SlvRJKw_11_8"/>
      <w:bookmarkStart w:id="1965" w:name="Tc_VlCKKcGTjUK7vqX8qHcfMA_11_6"/>
      <w:bookmarkStart w:id="1966" w:name="Tc_COH6FW5NREqDXYHmqMBhLA_11_5"/>
      <w:bookmarkStart w:id="1967" w:name="Tc_2ZDXJOg9e0mhaaTIKmVy0A_11_2"/>
      <w:bookmarkStart w:id="1968" w:name="Tc_rljBjG1eDkOa9KCA_EBIyA_11_0"/>
      <w:bookmarkStart w:id="1969" w:name="Tc_hMAglshNKkCn6O0mwAlprA_9_14"/>
      <w:bookmarkStart w:id="1970" w:name="Tc_ej1bIegeIk2SQ5U0tVQleQ_9_11"/>
      <w:bookmarkStart w:id="1971" w:name="Tc_va5lo8eurk-5nEOjXLVCRQ_9_8"/>
      <w:bookmarkStart w:id="1972" w:name="Tc_giE3d5_H-UCc6hI-v-pclg_9_5"/>
      <w:bookmarkStart w:id="1973" w:name="Tc_X0dsbKhFYkOyQDbxlhhvQQ_9_2"/>
      <w:bookmarkStart w:id="1974" w:name="Tc_nmQLYa4Jx0eN3vnOmhLKbQ_8_2"/>
      <w:bookmarkStart w:id="1975" w:name="Tc_g3O3jt_ccEK49fChQ2hsqQ_5_14"/>
      <w:bookmarkStart w:id="1976" w:name="Tc_GerA1yRky0SyIpUelrHTSw_5_11"/>
      <w:bookmarkStart w:id="1977" w:name="Tc_rBpHUkSqZ0mS3kb67QVzVQ_5_8"/>
      <w:bookmarkStart w:id="1978" w:name="Tc_a6mrLmilZ0SO6Dwtg_lTfA_5_5"/>
      <w:bookmarkStart w:id="1979" w:name="Tc_a7wEbSt86EGdVWxbhRmLuw_5_2"/>
      <w:bookmarkStart w:id="1980" w:name="Tc_pE0YQJca306TPCX3RfHaxg_5_0"/>
      <w:bookmarkStart w:id="1981" w:name="Tc_cdgLOnBkFUClQ1AllW5Aqw_4_14"/>
      <w:bookmarkStart w:id="1982" w:name="Tc_IJ85dCHxHUilk-M0NKYIFg_4_11"/>
      <w:bookmarkStart w:id="1983" w:name="Tc_I692c5sjsEOHs5rZZPPuBA_4_9"/>
      <w:bookmarkStart w:id="1984" w:name="Tc_VdjV6LO3NEeXFgKxNAe7Sg_4_8"/>
      <w:bookmarkStart w:id="1985" w:name="Tc_lsMmfHYNz0yTR_mnaFnI8w_4_5"/>
      <w:bookmarkStart w:id="1986" w:name="Tc_eXVHDsDin0eMMIWfYINOHA_4_2"/>
      <w:bookmarkStart w:id="1987" w:name="Tc_hkuz7WC6Hk-d15xdZQ7liA_4_0"/>
      <w:bookmarkStart w:id="1988" w:name="Tc_K9uOa1a-hEOKJEDkHOk47w_2_14"/>
      <w:bookmarkStart w:id="1989" w:name="Tc_yW3QbIO_dEW6csjAV845FQ_2_11"/>
      <w:bookmarkStart w:id="1990" w:name="Tc_Fp6uWVI3GkyuL7F6Rgt_4w_2_8"/>
      <w:bookmarkStart w:id="1991" w:name="Tc_rNmaYRaXlkmw0_GlApvIHw_2_5"/>
      <w:bookmarkStart w:id="1992" w:name="Tc_B1eIjKHyHEOJaaJ5CVve2w_2_2"/>
      <w:bookmarkStart w:id="1993" w:name="Tc_G35P0EjiOUGGKVtV_M51DA_1_2"/>
      <w:bookmarkStart w:id="1994" w:name="_3430a0cf_00e0_4fc3_88d8_34cd1b523a8b"/>
      <w:bookmarkStart w:id="1995" w:name="Tc_gy-q_XFqo02S6qKnquK9Jw_7_14"/>
      <w:bookmarkStart w:id="1996" w:name="Tc_JXmYa7_-o0-j7idK2xc-dQ_7_11"/>
      <w:bookmarkStart w:id="1997" w:name="Tc_Q7lbSeQBdUKDtCYVrwuANw_7_9"/>
      <w:bookmarkStart w:id="1998" w:name="Tc_KhAKX0o8Ike4Z4aCjvqLbw_7_8"/>
      <w:bookmarkStart w:id="1999" w:name="Tc_XtWTfiZgnEiq6I4uXrBrvg_7_5"/>
      <w:bookmarkStart w:id="2000" w:name="Tc_eCKXRFFXyUCpXrTl5rb_RQ_7_2"/>
      <w:bookmarkStart w:id="2001" w:name="Tc_Xp1qqCDfzEC8I9UbIefSUQ_7_0"/>
      <w:bookmarkStart w:id="2002" w:name="Tc_AwiYha_YB0ehpzSDAuGv9Q_6_14"/>
      <w:bookmarkStart w:id="2003" w:name="Tc_aEbID6YxoU-Wl46zGCMnFg_6_11"/>
      <w:bookmarkStart w:id="2004" w:name="Tc_rB0m1OLq1kC_ntWE1bNjnw_6_8"/>
      <w:bookmarkStart w:id="2005" w:name="Tc_5IUYgTJ46UiIK7nday505g_6_5"/>
      <w:bookmarkStart w:id="2006" w:name="Tc_2qBxVoN5T0W8i2jmZqHyaw_6_2"/>
      <w:bookmarkStart w:id="2007" w:name="Tc_5-0iaoXmy0avhdqC5yL12w_5_2"/>
      <w:bookmarkStart w:id="2008" w:name="Tc_DcfOi-DG00CjWqciLVavhQ_3_14"/>
      <w:bookmarkStart w:id="2009" w:name="Tc_WyliTH9-gEKtIGMc4kREpQ_3_11"/>
      <w:bookmarkStart w:id="2010" w:name="Tc_0YBlWGO3yUulhrN2PMRrcQ_3_9"/>
      <w:bookmarkStart w:id="2011" w:name="Tc_ruYGBMwG_02OofOiOhtPjQ_3_8"/>
      <w:bookmarkStart w:id="2012" w:name="Tc_g1p_UNq3m0ak_Qx3AXslHg_3_6"/>
      <w:bookmarkStart w:id="2013" w:name="Tc_7c8fTCGnPEKjxeMuNHRIwg_3_5"/>
      <w:bookmarkStart w:id="2014" w:name="Tc_V77Zwma4a0OUy5-6Pv-xZQ_3_3"/>
      <w:bookmarkStart w:id="2015" w:name="Tc_FQLe-atd_0eupEsnxTDtiA_3_2"/>
      <w:bookmarkStart w:id="2016" w:name="Tc_ZfvodRtmbEOgp3JKTXDcyw_3_0"/>
      <w:bookmarkStart w:id="2017" w:name="Tc_c6pib2lmykCfRukIcbEVTQ_2_14"/>
      <w:bookmarkStart w:id="2018" w:name="Tc_SMxxGtomyUmcnPwqRuP0GQ_2_11"/>
      <w:bookmarkStart w:id="2019" w:name="Tc_AJanJVXcK0KZcdZnB31Qcg_2_8"/>
      <w:bookmarkStart w:id="2020" w:name="Tc_LSHtwljVpEO4tedblyZqGA_2_5"/>
      <w:bookmarkStart w:id="2021" w:name="Tc_vp33FIE-qEC_ss2m6_Gu0w_2_2"/>
      <w:bookmarkStart w:id="2022" w:name="Tc_wT0KIqKHMUe0J6RUBIZlgg_1_2"/>
      <w:bookmarkStart w:id="2023" w:name="_5db83fe4_7316_4a33_9933_e8227d2d0312"/>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p>
    <w:tbl>
      <w:tblPr>
        <w:tblW w:w="9620" w:type="dxa"/>
        <w:jc w:val="left"/>
        <w:tblInd w:w="0" w:type="dxa"/>
        <w:tblLayout w:type="fixed"/>
        <w:tblCellMar>
          <w:top w:w="0" w:type="dxa"/>
          <w:left w:w="0" w:type="dxa"/>
          <w:bottom w:w="0" w:type="dxa"/>
          <w:right w:w="0" w:type="dxa"/>
        </w:tblCellMar>
      </w:tblPr>
      <w:tblGrid>
        <w:gridCol w:w="2296"/>
        <w:gridCol w:w="346"/>
        <w:gridCol w:w="366"/>
        <w:gridCol w:w="550"/>
        <w:gridCol w:w="346"/>
        <w:gridCol w:w="480"/>
        <w:gridCol w:w="481"/>
        <w:gridCol w:w="346"/>
        <w:gridCol w:w="426"/>
        <w:gridCol w:w="699"/>
        <w:gridCol w:w="346"/>
        <w:gridCol w:w="614"/>
        <w:gridCol w:w="1231"/>
        <w:gridCol w:w="346"/>
        <w:gridCol w:w="211"/>
        <w:gridCol w:w="53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57960" cy="175260"/>
                      <wp:effectExtent l="0" t="0" r="0" b="0"/>
                      <wp:wrapNone/>
                      <wp:docPr id="278" name="Frame278"/>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32410" cy="175260"/>
                      <wp:effectExtent l="0" t="0" r="0" b="0"/>
                      <wp:wrapNone/>
                      <wp:docPr id="280" name="Frame280"/>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49250" cy="175260"/>
                      <wp:effectExtent l="0" t="0" r="0" b="0"/>
                      <wp:wrapNone/>
                      <wp:docPr id="281" name="Frame281"/>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04800" cy="175260"/>
                      <wp:effectExtent l="0" t="0" r="0" b="0"/>
                      <wp:wrapNone/>
                      <wp:docPr id="283" name="Frame28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05435" cy="175260"/>
                      <wp:effectExtent l="0" t="0" r="0" b="0"/>
                      <wp:wrapNone/>
                      <wp:docPr id="284" name="Frame28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0510" cy="175260"/>
                      <wp:effectExtent l="0" t="0" r="0" b="0"/>
                      <wp:wrapNone/>
                      <wp:docPr id="286" name="Frame286"/>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43865" cy="175260"/>
                      <wp:effectExtent l="0" t="0" r="0" b="0"/>
                      <wp:wrapNone/>
                      <wp:docPr id="287" name="Frame28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89890" cy="175260"/>
                      <wp:effectExtent l="0" t="0" r="0" b="0"/>
                      <wp:wrapNone/>
                      <wp:docPr id="289" name="Frame289"/>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81685" cy="175260"/>
                      <wp:effectExtent l="0" t="0" r="0" b="0"/>
                      <wp:wrapNone/>
                      <wp:docPr id="290" name="Frame29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40360" cy="175260"/>
                      <wp:effectExtent l="0" t="0" r="0" b="0"/>
                      <wp:wrapNone/>
                      <wp:docPr id="293" name="Frame293"/>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7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7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395" w:type="dxa"/>
        <w:jc w:val="left"/>
        <w:tblInd w:w="0" w:type="dxa"/>
        <w:tblLayout w:type="fixed"/>
        <w:tblCellMar>
          <w:top w:w="0" w:type="dxa"/>
          <w:left w:w="0" w:type="dxa"/>
          <w:bottom w:w="0" w:type="dxa"/>
          <w:right w:w="0" w:type="dxa"/>
        </w:tblCellMar>
      </w:tblPr>
      <w:tblGrid>
        <w:gridCol w:w="1816"/>
        <w:gridCol w:w="346"/>
        <w:gridCol w:w="217"/>
        <w:gridCol w:w="699"/>
        <w:gridCol w:w="346"/>
        <w:gridCol w:w="259"/>
        <w:gridCol w:w="702"/>
        <w:gridCol w:w="346"/>
        <w:gridCol w:w="303"/>
        <w:gridCol w:w="822"/>
        <w:gridCol w:w="346"/>
        <w:gridCol w:w="497"/>
        <w:gridCol w:w="1348"/>
        <w:gridCol w:w="346"/>
        <w:gridCol w:w="211"/>
        <w:gridCol w:w="7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153160" cy="175260"/>
                      <wp:effectExtent l="0" t="0" r="0" b="0"/>
                      <wp:wrapNone/>
                      <wp:docPr id="294" name="Frame294"/>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7795" cy="175260"/>
                      <wp:effectExtent l="0" t="0" r="0" b="0"/>
                      <wp:wrapNone/>
                      <wp:docPr id="296" name="Frame29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43865" cy="175260"/>
                      <wp:effectExtent l="0" t="0" r="0" b="0"/>
                      <wp:wrapNone/>
                      <wp:docPr id="297" name="Frame29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64465" cy="175260"/>
                      <wp:effectExtent l="0" t="0" r="0" b="0"/>
                      <wp:wrapNone/>
                      <wp:docPr id="299" name="Frame29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45770" cy="175260"/>
                      <wp:effectExtent l="0" t="0" r="0" b="0"/>
                      <wp:wrapNone/>
                      <wp:docPr id="300" name="Frame30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92405" cy="175260"/>
                      <wp:effectExtent l="0" t="0" r="0" b="0"/>
                      <wp:wrapNone/>
                      <wp:docPr id="302" name="Frame30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21970" cy="175260"/>
                      <wp:effectExtent l="0" t="0" r="0" b="0"/>
                      <wp:wrapNone/>
                      <wp:docPr id="303" name="Frame30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15595" cy="175260"/>
                      <wp:effectExtent l="0" t="0" r="0" b="0"/>
                      <wp:wrapNone/>
                      <wp:docPr id="305" name="Frame305"/>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855980" cy="175260"/>
                      <wp:effectExtent l="0" t="0" r="0" b="0"/>
                      <wp:wrapNone/>
                      <wp:docPr id="306" name="Frame306"/>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02285" cy="175260"/>
                      <wp:effectExtent l="0" t="0" r="0" b="0"/>
                      <wp:wrapNone/>
                      <wp:docPr id="309" name="Frame30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3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20,526</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3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46" w:type="dxa"/>
            <w:tcBorders/>
            <w:vAlign w:val="center"/>
          </w:tcPr>
          <w:p>
            <w:pPr>
              <w:pStyle w:val="TableContents"/>
              <w:bidi w:val="0"/>
              <w:spacing w:before="0" w:after="0"/>
              <w:ind w:left="0" w:right="0" w:hanging="0"/>
              <w:jc w:val="left"/>
              <w:rPr/>
            </w:pPr>
            <w:r>
              <w:rPr/>
              <w:t>  ​ ​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  ​ ​ ​</w:t>
            </w:r>
          </w:p>
        </w:tc>
        <w:tc>
          <w:tcPr>
            <w:tcW w:w="303"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3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6,884</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34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11,217</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country outside of the United States that were material to the Company’s unaudited condensed consolidated financial statements. Long-lived assets include property and equipment and right of use lease assets.</w:t>
      </w:r>
    </w:p>
    <w:p>
      <w:pPr>
        <w:pStyle w:val="TextBody"/>
        <w:bidi w:val="0"/>
        <w:spacing w:before="0" w:after="0"/>
        <w:ind w:left="0" w:right="0" w:hanging="0"/>
        <w:jc w:val="left"/>
        <w:rPr/>
      </w:pPr>
      <w:r>
        <w:rPr/>
        <w:t>​</w:t>
      </w:r>
    </w:p>
    <w:tbl>
      <w:tblPr>
        <w:tblW w:w="4217" w:type="dxa"/>
        <w:jc w:val="left"/>
        <w:tblInd w:w="0" w:type="dxa"/>
        <w:tblLayout w:type="fixed"/>
        <w:tblCellMar>
          <w:top w:w="0" w:type="dxa"/>
          <w:left w:w="0" w:type="dxa"/>
          <w:bottom w:w="0" w:type="dxa"/>
          <w:right w:w="0" w:type="dxa"/>
        </w:tblCellMar>
      </w:tblPr>
      <w:tblGrid>
        <w:gridCol w:w="1636"/>
        <w:gridCol w:w="346"/>
        <w:gridCol w:w="211"/>
        <w:gridCol w:w="676"/>
        <w:gridCol w:w="346"/>
        <w:gridCol w:w="211"/>
        <w:gridCol w:w="791"/>
      </w:tblGrid>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02285" cy="175260"/>
                      <wp:effectExtent l="0" t="0" r="0" b="0"/>
                      <wp:wrapNone/>
                      <wp:docPr id="315" name="Frame31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11,902</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14,712</w:t>
            </w:r>
          </w:p>
        </w:tc>
      </w:tr>
    </w:tbl>
    <w:p>
      <w:pPr>
        <w:pStyle w:val="TextBody"/>
        <w:bidi w:val="0"/>
        <w:spacing w:before="0" w:after="0"/>
        <w:ind w:left="0" w:right="0" w:hanging="0"/>
        <w:jc w:val="left"/>
        <w:rPr/>
      </w:pPr>
      <w:r>
        <w:rPr/>
        <w:t>​</w:t>
      </w:r>
    </w:p>
    <w:tbl>
      <w:tblPr>
        <w:tblW w:w="4007" w:type="dxa"/>
        <w:jc w:val="left"/>
        <w:tblInd w:w="0" w:type="dxa"/>
        <w:tblLayout w:type="fixed"/>
        <w:tblCellMar>
          <w:top w:w="0" w:type="dxa"/>
          <w:left w:w="0" w:type="dxa"/>
          <w:bottom w:w="0" w:type="dxa"/>
          <w:right w:w="0" w:type="dxa"/>
        </w:tblCellMar>
      </w:tblPr>
      <w:tblGrid>
        <w:gridCol w:w="1636"/>
        <w:gridCol w:w="346"/>
        <w:gridCol w:w="211"/>
        <w:gridCol w:w="571"/>
        <w:gridCol w:w="346"/>
        <w:gridCol w:w="211"/>
        <w:gridCol w:w="686"/>
      </w:tblGrid>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5610" cy="175260"/>
                      <wp:effectExtent l="0" t="0" r="0" b="0"/>
                      <wp:wrapNone/>
                      <wp:docPr id="321" name="Frame32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7,689</w:t>
            </w:r>
          </w:p>
        </w:tc>
      </w:tr>
    </w:tbl>
    <w:p>
      <w:pPr>
        <w:pStyle w:val="TextBody"/>
        <w:bidi w:val="0"/>
        <w:spacing w:before="0" w:after="0"/>
        <w:ind w:left="0" w:right="0" w:hanging="0"/>
        <w:jc w:val="left"/>
        <w:rPr/>
      </w:pPr>
      <w:r>
        <w:rPr/>
        <w:t>​</w:t>
      </w:r>
    </w:p>
    <w:tbl>
      <w:tblPr>
        <w:tblW w:w="5749" w:type="dxa"/>
        <w:jc w:val="left"/>
        <w:tblInd w:w="0" w:type="dxa"/>
        <w:tblLayout w:type="fixed"/>
        <w:tblCellMar>
          <w:top w:w="0" w:type="dxa"/>
          <w:left w:w="0" w:type="dxa"/>
          <w:bottom w:w="0" w:type="dxa"/>
          <w:right w:w="0" w:type="dxa"/>
        </w:tblCellMar>
      </w:tblPr>
      <w:tblGrid>
        <w:gridCol w:w="2011"/>
        <w:gridCol w:w="346"/>
        <w:gridCol w:w="344"/>
        <w:gridCol w:w="931"/>
        <w:gridCol w:w="346"/>
        <w:gridCol w:w="416"/>
        <w:gridCol w:w="1355"/>
      </w:tblGrid>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8440" cy="175260"/>
                      <wp:effectExtent l="0" t="0" r="0" b="0"/>
                      <wp:wrapNone/>
                      <wp:docPr id="323" name="Frame32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91185" cy="175260"/>
                      <wp:effectExtent l="0" t="0" r="0" b="0"/>
                      <wp:wrapNone/>
                      <wp:docPr id="324" name="Frame3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64160" cy="175260"/>
                      <wp:effectExtent l="0" t="0" r="0" b="0"/>
                      <wp:wrapNone/>
                      <wp:docPr id="326" name="Frame32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860425" cy="175260"/>
                      <wp:effectExtent l="0" t="0" r="0" b="0"/>
                      <wp:wrapNone/>
                      <wp:docPr id="327" name="Frame327"/>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Long-lived assets</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4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long-lived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2024" w:name="Tc_sKLJ5EHM7kuYPOSBPIzbrA_21_0"/>
      <w:bookmarkStart w:id="2025" w:name="Tc_mKsTUnm2kUu2aNPi5V7Hlg_20_12"/>
      <w:bookmarkStart w:id="2026" w:name="Tc_MlDEoZG2JEWDRHjmeVWqOg_20_6"/>
      <w:bookmarkStart w:id="2027" w:name="Tc_ji-loSmDG0C3bzIi9H-g_g_20_0"/>
      <w:bookmarkStart w:id="2028" w:name="Tc_ZEhsbHkikEiRY86_y-M8YA_19_9"/>
      <w:bookmarkStart w:id="2029" w:name="Tc_QqCzN-MINkCsJ6pAN94Hvw_19_3"/>
      <w:bookmarkStart w:id="2030" w:name="Tc_PAZbV_Fg30CDpoalDiuDCA_19_0"/>
      <w:bookmarkStart w:id="2031" w:name="Tc_hyLmL5IttkeigwZJREiajA_18_9"/>
      <w:bookmarkStart w:id="2032" w:name="Tc_mhsFYfJFpkSBzKeJd-AJpg_18_3"/>
      <w:bookmarkStart w:id="2033" w:name="Tc_7j18lMeLRUqDeXYBdhal9g_18_0"/>
      <w:bookmarkStart w:id="2034" w:name="Tc_RiYEJU6irU-629w1gY-r8w_17_12"/>
      <w:bookmarkStart w:id="2035" w:name="Tc_gT9trNcFy02pxZRgV7TL6A_17_6"/>
      <w:bookmarkStart w:id="2036" w:name="Tc_sdrlXFGQGUayHwtpMJpNcQ_17_0"/>
      <w:bookmarkStart w:id="2037" w:name="Tc_iEYHPKm4QES5G3dyNhqyfQ_16_0"/>
      <w:bookmarkStart w:id="2038" w:name="Tc_Bf5w9O4FUkKPLCYTuNRCyg_15_0"/>
      <w:bookmarkStart w:id="2039" w:name="Tc_B16sdAGbeUSDLsAtt30V8g_14_0"/>
      <w:bookmarkStart w:id="2040" w:name="Tc_LYusJiSDj02uBcVAlaqfDw_12_11"/>
      <w:bookmarkStart w:id="2041" w:name="Tc_1GV6rAQONkS-TnPziUlIVA_12_8"/>
      <w:bookmarkStart w:id="2042" w:name="Tc_Wm05hl-LjUi8vI7x7ntBZw_12_5"/>
      <w:bookmarkStart w:id="2043" w:name="Tc_4-P-RtfhU0ejo-SADlZFsA_12_2"/>
      <w:bookmarkStart w:id="2044" w:name="Tc_nTItttrcaUafk4xtv4AgKQ_12_0"/>
      <w:bookmarkStart w:id="2045" w:name="Tc_b8gRMZdn2EGXUTUbpYHwTQ_11_0"/>
      <w:bookmarkStart w:id="2046" w:name="Tc_PQiU_rQTfk-nJuMr8Abiuw_10_0"/>
      <w:bookmarkStart w:id="2047" w:name="Tc_-h1VzZFjBkqu4riwbhnEaA_9_11"/>
      <w:bookmarkStart w:id="2048" w:name="Tc_pyHMPrcrEE6zAhhjzAGbXw_9_8"/>
      <w:bookmarkStart w:id="2049" w:name="Tc_H8D8wf65J0a9suimku_s_g_9_5"/>
      <w:bookmarkStart w:id="2050" w:name="Tc_7iWr1xs5-UqrWZ5ltNlxGQ_9_2"/>
      <w:bookmarkStart w:id="2051" w:name="Tc_cX9mskGUGE-oGmIjrPvfvw_9_0"/>
      <w:bookmarkStart w:id="2052" w:name="Tc_YPvV6OrD6UmR4l-sql7dOg_8_12"/>
      <w:bookmarkStart w:id="2053" w:name="Tc_ETJ00EcoAE6M-d9eLHTogw_8_6"/>
      <w:bookmarkStart w:id="2054" w:name="Tc_nfQ1Ckh4DUqpp4a-pRm4Sw_8_3"/>
      <w:bookmarkStart w:id="2055" w:name="Tc_VnpJVjgawEm0bSL22RcZQA_8_0"/>
      <w:bookmarkStart w:id="2056" w:name="Tc_cSjfhnQChk6zVg39eQszcQ_7_9"/>
      <w:bookmarkStart w:id="2057" w:name="Tc_cB4GXzZwuk6AVk33RxeFQA_7_3"/>
      <w:bookmarkStart w:id="2058" w:name="Tc_54z1bpO_Qki-g7gWa5sR3Q_7_0"/>
      <w:bookmarkStart w:id="2059" w:name="Tc_Amv_tvmEi0KNBBa1Yhn3cg_6_3"/>
      <w:bookmarkStart w:id="2060" w:name="Tc_o8x1LZKQo0WNQuuuuKLyVg_6_0"/>
      <w:bookmarkStart w:id="2061" w:name="Tc_PGHi2vUdRUypOu2_ujr7BA_5_11"/>
      <w:bookmarkStart w:id="2062" w:name="Tc_qX-lESnoGESrDbZsHmdo3Q_5_8"/>
      <w:bookmarkStart w:id="2063" w:name="Tc_2uH6I5_8T0ypMCN8xBfmLA_5_5"/>
      <w:bookmarkStart w:id="2064" w:name="Tc_BJXTkpAGfE-IcVE9raX5iQ_5_2"/>
      <w:bookmarkStart w:id="2065" w:name="Tc_svCQ7U-zzkyAmoupKevBeQ_5_0"/>
      <w:bookmarkStart w:id="2066" w:name="Tc_h6qnXVQSlEOWlmdHdEETRA_4_0"/>
      <w:bookmarkStart w:id="2067" w:name="Tc_TM6_mZasxESVQdUx5SGvkA_3_11"/>
      <w:bookmarkStart w:id="2068" w:name="Tc_xj4FUHWLb0KhOS_p4SlJ4w_3_8"/>
      <w:bookmarkStart w:id="2069" w:name="Tc_EazFBMSHmE25z01Bb3kBYg_3_5"/>
      <w:bookmarkStart w:id="2070" w:name="Tc_SSoG7BDDNE2id0W_XlvU9g_3_2"/>
      <w:bookmarkStart w:id="2071" w:name="Tc_xS066ZnzoUa0nPOpDpBWAg_2_8"/>
      <w:bookmarkStart w:id="2072" w:name="Tc_9PvcH8XFeU2haW2pKR0ZRQ_2_2"/>
      <w:bookmarkStart w:id="2073" w:name="Tc_SOFzmU7kJEu6wKWT0QlJ0w_1_8"/>
      <w:bookmarkStart w:id="2074" w:name="Tc_HaN_Cp0XREKevKJHXoXAAw_1_2"/>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r>
        <w:rPr>
          <w:rFonts w:ascii="Times New Roman;Times;serif" w:hAnsi="Times New Roman;Times;serif"/>
          <w:b/>
          <w:sz w:val="20"/>
        </w:rPr>
        <w:t>Note 13. Net Loss per Share of Common Stock</w:t>
      </w:r>
    </w:p>
    <w:p>
      <w:pPr>
        <w:pStyle w:val="TextBody"/>
        <w:bidi w:val="0"/>
        <w:spacing w:before="0" w:after="200"/>
        <w:ind w:left="0" w:right="0" w:hanging="0"/>
        <w:jc w:val="left"/>
        <w:rPr>
          <w:rFonts w:ascii="Times New Roman;Times;serif" w:hAnsi="Times New Roman;Times;serif"/>
          <w:b w:val="false"/>
          <w:sz w:val="20"/>
        </w:rPr>
      </w:pPr>
      <w:r>
        <w:rPr>
          <w:rFonts w:ascii="Times New Roman;Times;serif" w:hAnsi="Times New Roman;Times;serif"/>
          <w:b w:val="false"/>
          <w:sz w:val="20"/>
        </w:rPr>
        <w:t>For the three and six months ended June 30, 2026 and June 30, 2025, basic earnings per hare has been calculated by dividing net earnings attributable to Common Stock by the weighted average number of shares of Common Stock outstanding for the same period. Share of Common Stock are weighted for the portion of the period in which the shares were outstanding. Dilutive earnings per share has been calculated in a manner consistent with that of basic earnings per share while considering all potentially dilutive shares of Common Stock outstanding during the period.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val="false"/>
          <w:sz w:val="20"/>
        </w:rPr>
        <w:t>The following table set forth the computation of basic and diluted earnings per share for the three and six months ended June 30, 2026 and June 30, 2025.</w:t>
      </w:r>
      <w:r>
        <w:rPr>
          <w:rFonts w:ascii="Times New Roman;Times;serif" w:hAnsi="Times New Roman;Times;serif"/>
          <w:b/>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8"/>
        <w:gridCol w:w="346"/>
        <w:gridCol w:w="211"/>
        <w:gridCol w:w="1141"/>
        <w:gridCol w:w="346"/>
        <w:gridCol w:w="211"/>
        <w:gridCol w:w="931"/>
        <w:gridCol w:w="346"/>
        <w:gridCol w:w="211"/>
        <w:gridCol w:w="1141"/>
        <w:gridCol w:w="346"/>
        <w:gridCol w:w="211"/>
        <w:gridCol w:w="1046"/>
      </w:tblGrid>
      <w:tr>
        <w:trPr/>
        <w:tc>
          <w:tcPr>
            <w:tcW w:w="3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360930" cy="175260"/>
                      <wp:effectExtent l="0" t="0" r="0" b="0"/>
                      <wp:wrapNone/>
                      <wp:docPr id="328" name="Frame328"/>
                      <a:graphic xmlns:a="http://schemas.openxmlformats.org/drawingml/2006/main">
                        <a:graphicData uri="http://schemas.microsoft.com/office/word/2010/wordprocessingShape">
                          <wps:wsp>
                            <wps:cNvSpPr txBox="1"/>
                            <wps:spPr>
                              <a:xfrm>
                                <a:off x="0" y="0"/>
                                <a:ext cx="2360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24535" cy="175260"/>
                      <wp:effectExtent l="0" t="0" r="0" b="0"/>
                      <wp:wrapNone/>
                      <wp:docPr id="331" name="Frame3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91185" cy="175260"/>
                      <wp:effectExtent l="0" t="0" r="0" b="0"/>
                      <wp:wrapNone/>
                      <wp:docPr id="334" name="Frame3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24535" cy="175260"/>
                      <wp:effectExtent l="0" t="0" r="0" b="0"/>
                      <wp:wrapNone/>
                      <wp:docPr id="337" name="Frame33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64210" cy="175260"/>
                      <wp:effectExtent l="0" t="0" r="0" b="0"/>
                      <wp:wrapNone/>
                      <wp:docPr id="340" name="Frame34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9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2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XWELL, Inc.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(6,988)</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preferred stock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preferred stock accretion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deemed contribution on Repurchase of Series G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shareholders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8,487,425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5,417,271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7,944,801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5,340,442</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the following potentially dilutive securities, having an anti-dilutive impact, in case of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944,554</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to purchase shares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71,999,234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71,999,234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and Series B warrants to purchase shares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G Convertible Preferred Stock on an as converted basis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2,406,417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2,406,417</w:t>
            </w:r>
          </w:p>
        </w:tc>
      </w:tr>
      <w:tr>
        <w:trPr/>
        <w:tc>
          <w:tcPr>
            <w:tcW w:w="3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H Convertible Preferred Stock on an as converted basis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66,665,957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66,665,957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loss per share attributable to common shareholders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139,584,314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8,728,565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139,584,314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8,728,565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14. Related Party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On January 1, 2026, the Consulting Agreement was further extended for a period of three months from the effective date of the extension in exchange for an additional amount of $500. For the three  and six months ended June 30, 2026, $20 and $582, respectively, of this contract was recognized in general and administrative expenses on the unaudited condensed consolidated statement of operations. There have been no further amendments or extensions to the Consulting Agreement, and there was no remaining prepaid balance related to this arrangement as of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Asset Sale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6, 2026, the Company entered into a Securities Purchase Agreement by and among the Company, XpresSpa, XpresTest (together with XpresSpa, the “Target Companies”), and Express Wellness Group, LLC, a Delaware limited liability company (the “Buyer”) to sell its ownership interests in the Target Companies, which comprise substantially all of the Company's airport-based operations, for aggregate cash consideration of approximately $13,000,000 (the “Purchase Price”) subject to customary working capital and other purchase price adjustments (the “Sale”). At the closing of the Sale, a portion of the Purchase Price, equal to $2,650,000 in the aggregate, will be deposited into escrow accounts to secure certain of the Company’s post-closing obligations with respect to any purchase price adjustments or indemnities.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consummation of the Sale requires the affirmative vote of holders of a majority of the outstanding shares of the Company’s common stock (the “Stockholder Approval”). The Company was required to file a preliminary proxy statement (the “Proxy Statement”) with the SEC within 20 days following the date of the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of the Company and the Buyer may, under certain circumstances, be required to pay a termination fee equal to the greater of (A) $1,300,000 and (B) $650,000 plus documented out-of-pocket expenses (capped at $2,000,000 for expenses).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transaction will represent a strategic shift in the Company's operations, as the Company intends to divest substantially all of its airport-based business activities while retaining certain non-airport operations. The transaction is subject to customary closing conditions, including approval by the holders of a majority of the Company's outstanding common stock, and is expected to close during the fourth quarter of 2026.</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75" w:name="Item2ManagementsDiscussionandAnalysisofF"/>
      <w:bookmarkStart w:id="2076" w:name="_252f996d_f851_4959_a3b0_2861b760d32b"/>
      <w:bookmarkStart w:id="2077" w:name="_692211"/>
      <w:bookmarkEnd w:id="2075"/>
      <w:bookmarkEnd w:id="2076"/>
      <w:bookmarkEnd w:id="207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2025, filed with the Securities and Exchange Commission (the “SEC”) on April 1, 2026, as subsequently amended on April 30, 2026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 references in this Quarterly Report on Form 10-Q to “we,” “us” and “our” refer to XWELL, Inc., a Delaware corporation,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is a global wellness company operating multiple brands and focused on bringing restorative, regenerative and reinvigorating products and services to travelers. As of the date of this Quarterly Report on Form 10-Q, XWELL currently has three reportable operating segments: XpresSpa®, XpresTest®, and 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amounts are in thousands, except share, per share, or as otherwise specifically noted.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there were 16 domestic XpresSpa locations in total. The Company also had nine international locations operating as of June 30, 2026, including two XpresSpa locations in the Dubai International Airport in the United Arab Emirates, one XpresSpa location in the Zayad International Airport in Abu Dhabi, United Arab Emirates, two XpresSpa locations in the Schiphol Amsterdam Airport in the Netherlands and four XpresSpa locations in the Istanbul Airport in Turkey.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$22,200 over three years, and a maximum ceiling value of $24,800 within the same timeframe. Subsequent amendments in 2026 authorized additional funded services, expanded the scope of the program through new collection locations and surge testing activities, and increased the maximum contract value to approximately $28,600.</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Naples Wax Center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XWELL’s subsidiary Naples Wax, LLC, d/b/a Naples Wax Centers (“Naples Wax Center” or “Naples Wax”) operates a group of upscale hair removal locations with core products and service offerings from face and body waxing to a range of skincare and cosmetic products. Naples Wax Center represents the Company's primary non-airport retail wellness platform and continues to serve customers through its branded service and product offerings.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Naples Wax Center's strategy is focused on driving customer acquisition and retention, expanding retail product sales, and enhancing operational efficiency across its existing locations. The Company continues to evaluate opportunities to strengthen the Naples Wax Center brand and expand its wellness offerings where appropriate.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2026 Securities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6, 2026, the Company entered into a Securities Purchase Agreement by and among the Company, XpresSpa, XpresTest (together with XpresSpa, the “Target Companies”), and Express Wellness Group, LLC, a Delaware limited liability company (the “Buyer”) to sell its ownership interests in the Target Companies, which together comprise substantially all of the Company's airport-based operations, for aggregate cash consideration of approximately $13.0 million (the “Purchase Price”), subject to customary working capital and other purchase price adjustments(the “Sale”). At the closing of the Sale, a portion of the Purchase Price, equal to $2,650,000 in the aggregate, will be deposited into escrow accounts to secure certain of the Company’s post-closing obligations with respect to any purchase price adjustments or indemnities.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consummation of the Sale requires the affirmative vote of holders of a majority of the outstanding shares of the Company’s common stock (the “Stockholder Approval”). The Company is required to file a preliminary proxy statement (the “Proxy Statement”) with the SEC within 20 days following the date of the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of the Company and the Buyer may, under certain circumstances, be required to pay a termination fee equal to the greater of (A) $1,300,000 and (B) $650,000 plus documented out-of-pocket expenses (capped at $2,000,000 for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proposed transaction represents a significant strategic shift for the Company and is intended to streamline operations and increase the Company's focus on its non-airport wellness businesses. Following the completion of the transaction, the Company expects its operations to be primarily comprised of its non-airport wellness activities, including Naples Wax Center. The transaction remains subject to customary closing conditions and approvals and is expected to close during the fourth quarter of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Resignation and Appointment of Director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3, 2026, Ezra T. Ernst, the President, Chief Executive Officer and director of the Company, notified the Company of his resignation as a director of the Company’s Board of Directors (the “Board”) and all committees of the Board, effective as of the same date. Mr. Ernst’s resignation from the Board was not in connection with any disagreement with the Company on any matter relating to the Company’s operations, policies or practices. Mr. Ernst will continue to serve as President and Chief Executive Officer of the Company.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3, 2026, the Board appointed </w:t>
      </w:r>
      <w:r>
        <w:rPr>
          <w:rFonts w:ascii="Times New Roman;Times;serif" w:hAnsi="Times New Roman;Times;serif"/>
          <w:sz w:val="20"/>
          <w:shd w:fill="FFFFFF" w:val="clear"/>
        </w:rPr>
        <w:t>Gerard Reid </w:t>
      </w:r>
      <w:r>
        <w:rPr>
          <w:rFonts w:ascii="Times New Roman;Times;serif" w:hAnsi="Times New Roman;Times;serif"/>
          <w:sz w:val="20"/>
        </w:rPr>
        <w:t xml:space="preserve">as a director of the Board, effective as of the same date, to fill the vacancy resulting from Mr. Ernst’s resignation.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February 2026 Private Placement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24, 2026, the Company entered into the February 2026 Purchase Agreement with the a certain accredited investor (the “February 2026 Purchaser”) for the issuance and sale in a private placement of an aggregate of (i) 31,333 shares of the Company’s newly-designated Series H Convertible Preferred Stock, par value of $0.01 per share and a stated value of $1,000 per share (the “Series H Preferred Stock”), initially convertible into up to 66,665,957 shares of common stock (the “Series H Conversion Shares”), at an initial conversion price of $0.47 per share, subject to adjustment for certain customary adjustments, and (ii) the warrants (the “Series H Warrants”) to purchase up to 66,665,957 shares of common stock, at an initial exercise price of $0.345 per share, subject to adjustment for certain customary adjustments, for aggregate gross proceeds of approximately $31,300. The Series H Warrants expire three years from the date of issuance. The February 2026 Private Placement closed in two tranches, with 30,832 shares of Series H Preferred Stock and 65,600,000 Series H Warrants issued on February 27, 2026 (the “First Closing”), and 501 shares of Series H Preferred Stock and 1,065,957 Series H Warrants issued on March 3, 2026 (the “Second Closing”, and collectively with the First Closing, the “Closing”).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Series H Warrants, except that the Series H Placement Agent Warrants have a term of five (5) years from the date of issuance. The Placement Agency Agreement contains customary representations, warranties and agreements of the parties, and customary indemnification obligations of the Company.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February 2026 Private Placement, the Company entered  into a registration rights agreement (the “Registration Rights Agreement”) with the February 2026 Purchaser and the Placement Agent, pursuant to which the Company has agreed to prepare and file a registration statement with the SEC registering the resale of the shares of common stock underlying the Series H Preferred Stock and shares of common stock underlying the Series H Warrants and the Series H Placement Agent Warrants no later than the earlier of (a) 50 days after the later of (1) the closing date of the February 2026 Private Placement or (2) the Escrow Release Date (as defined in the Registration Rights Agreement) and (b) the second trading day following the date on which the Company files its Annual Report on Form 10-K for the year ended December 31, 2025 (the “Filing Deadline”), and to use best efforts to have the registration statement declared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as promptly as practical thereafter, and in any event no later than 60 days following the Filing Deadline (or 90 days following the Filing Deadline in the event of a “full review” by the SEC). Such registration statement was filed on April 1, 2026, with the SEC and declared effective on April 15, 2026.</w:t>
      </w:r>
    </w:p>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used the net proceeds from the February 2026 Private Placement, in part, to repurchase certain outstanding indebtedness, redeem previously issued preferred equity and warrants in the Repurchase (see below February 2026 Omnibus Agreement).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February 2026 Omnibus Agreement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2026, the Company entered into the Omnibus Agreement, by and between the Company and January 2025 Investors, pursuant to which, the Company agreed to (i) repurchase from the January 2025 Investors $3,468 of aggregate principal amount of the Notes, representing the entire outstanding principal amounts of the Notes and any accrued and unpaid interest thereon, (ii) redeem 196 shares of Series G Preferred Stock held by the January 2025 Investors, with an aggregate Stated Value of $196 and $27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Series H Preferred Stock</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terms of the Series H Preferred Stock are set forth in the Series H Certificate of Designations. The shares of Series H Preferred Stock are convertible into the Conversion Shares at the election of the holders of the Series H Preferred Stock (the “Holders”) at any time at an initial conversion price of $0.47 per share (the “Conversion Price”). The Conversion Price is subject to customary adjustments for stock dividends, stock splits, reclassifications, stock combinations and the like.</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Holder of the Series H Preferred Stock may not convert any portion of the Series H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Series H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Except as otherwise provided in the Series H Certificate of Designations or as otherwise required by law, the Series H Preferred Stock will have no voting rights except as provided by law. However, as long as any shares of Series H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 bylaws, the Series H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 (b) increase or decrease (other than by conversion) the authorized number of shares of the Series H Preferred Stock; (c) create or authorize (by reclassification or otherwise) any new class or series of shares that has a preference over the Series H Preferred Stock with respect to dividends or the distribution of assets on the liquidation, dissolution or winding up of the Company; (d) pay dividends or make any other distribution on any shares of any capital stock of the Company junior in rank to the Series H Preferred Stock; or (e) whether or not prohibited by the terms of the Series H Preferred Stock, circumvent a right of the Series H Preferred Stock.</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established public trading market for the Preferred Stock and the Company does not intend to list the Series H Preferred Stock on any national securities exchange or nationally recognized trading system.</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the sale of XpresSpa and Naples Wax services when they are rendered at our stores and from the sale of products at the time goods are purchased at our stores or online (usually by credit card), net of discounts and applicable sales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XpresTest, in partnership with Ginkgo Bioworks, provides support to the CDC to conduct traveler-based bio-surveillance.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sales for our XpresSpa, XpresTest, and Naples Wax segments consist of location and segment level costs. Location and segment level costs include all costs that are directly attributable to operations, primarily payroll and related benefit costs for personnel, occupancy costs and cost of products sold.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include management and administrative personnel, overhead and occupancy costs, insurance, salaries, and various professional fees, as well as stock-based compensation for directors, management and administrative personnel.</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Three months ended June 30, 2026, compared to the three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108" w:type="dxa"/>
        <w:jc w:val="left"/>
        <w:tblInd w:w="0" w:type="dxa"/>
        <w:tblLayout w:type="fixed"/>
        <w:tblCellMar>
          <w:top w:w="0" w:type="dxa"/>
          <w:left w:w="0" w:type="dxa"/>
          <w:bottom w:w="0" w:type="dxa"/>
          <w:right w:w="0" w:type="dxa"/>
        </w:tblCellMar>
      </w:tblPr>
      <w:tblGrid>
        <w:gridCol w:w="1591"/>
        <w:gridCol w:w="346"/>
        <w:gridCol w:w="211"/>
        <w:gridCol w:w="571"/>
        <w:gridCol w:w="346"/>
        <w:gridCol w:w="211"/>
        <w:gridCol w:w="571"/>
        <w:gridCol w:w="346"/>
        <w:gridCol w:w="242"/>
        <w:gridCol w:w="673"/>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010285" cy="175260"/>
                      <wp:effectExtent l="0" t="0" r="0" b="0"/>
                      <wp:wrapNone/>
                      <wp:docPr id="341" name="Frame341"/>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62585" cy="175260"/>
                      <wp:effectExtent l="0" t="0" r="0" b="0"/>
                      <wp:wrapNone/>
                      <wp:docPr id="344" name="Frame3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62585" cy="175260"/>
                      <wp:effectExtent l="0" t="0" r="0" b="0"/>
                      <wp:wrapNone/>
                      <wp:docPr id="347" name="Frame3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3670" cy="175260"/>
                      <wp:effectExtent l="0" t="0" r="0" b="0"/>
                      <wp:wrapNone/>
                      <wp:docPr id="349" name="Frame34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7355" cy="175260"/>
                      <wp:effectExtent l="0" t="0" r="0" b="0"/>
                      <wp:wrapNone/>
                      <wp:docPr id="350" name="Frame350"/>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7,689</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decrease in revenue of $544 or 7%, for the three months ended June 30, 2026, was primarily driven by the absence of revenues from the HyperPointe operations, which ceased operations as of December 31, 2025. Additionally, for XpresTest, there were moderate growth in revenues in three months ended June 30, 2026 over the three months ended June 30, 2025 driven by increased funding related to its partnership with the CDC.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125" w:type="dxa"/>
        <w:jc w:val="left"/>
        <w:tblInd w:w="0" w:type="dxa"/>
        <w:tblLayout w:type="fixed"/>
        <w:tblCellMar>
          <w:top w:w="0" w:type="dxa"/>
          <w:left w:w="0" w:type="dxa"/>
          <w:bottom w:w="0" w:type="dxa"/>
          <w:right w:w="0" w:type="dxa"/>
        </w:tblCellMar>
      </w:tblPr>
      <w:tblGrid>
        <w:gridCol w:w="1576"/>
        <w:gridCol w:w="346"/>
        <w:gridCol w:w="211"/>
        <w:gridCol w:w="571"/>
        <w:gridCol w:w="346"/>
        <w:gridCol w:w="211"/>
        <w:gridCol w:w="571"/>
        <w:gridCol w:w="346"/>
        <w:gridCol w:w="211"/>
        <w:gridCol w:w="73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000760" cy="175260"/>
                      <wp:effectExtent l="0" t="0" r="0" b="0"/>
                      <wp:wrapNone/>
                      <wp:docPr id="351" name="Frame35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62585" cy="175260"/>
                      <wp:effectExtent l="0" t="0" r="0" b="0"/>
                      <wp:wrapNone/>
                      <wp:docPr id="354" name="Frame3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62585" cy="175260"/>
                      <wp:effectExtent l="0" t="0" r="0" b="0"/>
                      <wp:wrapNone/>
                      <wp:docPr id="357" name="Frame3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67360" cy="175260"/>
                      <wp:effectExtent l="0" t="0" r="0" b="0"/>
                      <wp:wrapNone/>
                      <wp:docPr id="360" name="Frame36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$1,717 or 29%, for the three months ended June 30, 2026, was primarily driven by the absence of costs associated with the HyperPointe operations, which ceased operations as of December 31, 2025. The Company also experienced lower labor and related operating costs due to reduced sales activity and a smaller workforce compared to the prior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817" w:type="dxa"/>
        <w:jc w:val="left"/>
        <w:tblInd w:w="0" w:type="dxa"/>
        <w:tblLayout w:type="fixed"/>
        <w:tblCellMar>
          <w:top w:w="0" w:type="dxa"/>
          <w:left w:w="0" w:type="dxa"/>
          <w:bottom w:w="0" w:type="dxa"/>
          <w:right w:w="0" w:type="dxa"/>
        </w:tblCellMar>
      </w:tblPr>
      <w:tblGrid>
        <w:gridCol w:w="2596"/>
        <w:gridCol w:w="346"/>
        <w:gridCol w:w="211"/>
        <w:gridCol w:w="422"/>
        <w:gridCol w:w="347"/>
        <w:gridCol w:w="211"/>
        <w:gridCol w:w="422"/>
        <w:gridCol w:w="347"/>
        <w:gridCol w:w="278"/>
        <w:gridCol w:w="6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648460" cy="175260"/>
                      <wp:effectExtent l="0" t="0" r="0" b="0"/>
                      <wp:wrapNone/>
                      <wp:docPr id="361" name="Frame36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67970" cy="175260"/>
                      <wp:effectExtent l="0" t="0" r="0" b="0"/>
                      <wp:wrapNone/>
                      <wp:docPr id="364" name="Frame36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20345" cy="175260"/>
                      <wp:effectExtent l="0" t="0" r="0" b="0"/>
                      <wp:wrapNone/>
                      <wp:docPr id="365" name="Frame36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67970" cy="175260"/>
                      <wp:effectExtent l="0" t="0" r="0" b="0"/>
                      <wp:wrapNone/>
                      <wp:docPr id="367" name="Frame367"/>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20345" cy="175260"/>
                      <wp:effectExtent l="0" t="0" r="0" b="0"/>
                      <wp:wrapNone/>
                      <wp:docPr id="368" name="Frame36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6530" cy="175260"/>
                      <wp:effectExtent l="0" t="0" r="0" b="0"/>
                      <wp:wrapNone/>
                      <wp:docPr id="369" name="Frame36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04495" cy="175260"/>
                      <wp:effectExtent l="0" t="0" r="0" b="0"/>
                      <wp:wrapNone/>
                      <wp:docPr id="370" name="Frame370"/>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7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7" w:type="dxa"/>
            <w:tcBorders/>
            <w:vAlign w:val="center"/>
          </w:tcPr>
          <w:p>
            <w:pPr>
              <w:pStyle w:val="TableContents"/>
              <w:bidi w:val="0"/>
              <w:spacing w:before="0" w:after="1"/>
              <w:ind w:left="0" w:right="0" w:hanging="0"/>
              <w:jc w:val="left"/>
              <w:rPr/>
            </w:pPr>
            <w:r>
              <w:rPr/>
              <w:t>  ​ ​ ​</w:t>
            </w:r>
          </w:p>
        </w:tc>
        <w:tc>
          <w:tcPr>
            <w:tcW w:w="6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7"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7"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$24 or 13% for the three months ended June 30, 2026, was not individually significant and was primarily attributable to normal changes in the Company’s depreciable asset base compared to the three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828" w:type="dxa"/>
        <w:jc w:val="left"/>
        <w:tblInd w:w="0" w:type="dxa"/>
        <w:tblLayout w:type="fixed"/>
        <w:tblCellMar>
          <w:top w:w="0" w:type="dxa"/>
          <w:left w:w="0" w:type="dxa"/>
          <w:bottom w:w="0" w:type="dxa"/>
          <w:right w:w="0" w:type="dxa"/>
        </w:tblCellMar>
      </w:tblPr>
      <w:tblGrid>
        <w:gridCol w:w="2311"/>
        <w:gridCol w:w="346"/>
        <w:gridCol w:w="211"/>
        <w:gridCol w:w="571"/>
        <w:gridCol w:w="346"/>
        <w:gridCol w:w="211"/>
        <w:gridCol w:w="571"/>
        <w:gridCol w:w="346"/>
        <w:gridCol w:w="258"/>
        <w:gridCol w:w="657"/>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67485" cy="175260"/>
                      <wp:effectExtent l="0" t="0" r="0" b="0"/>
                      <wp:wrapNone/>
                      <wp:docPr id="371" name="Frame37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62585" cy="175260"/>
                      <wp:effectExtent l="0" t="0" r="0" b="0"/>
                      <wp:wrapNone/>
                      <wp:docPr id="374" name="Frame3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62585" cy="175260"/>
                      <wp:effectExtent l="0" t="0" r="0" b="0"/>
                      <wp:wrapNone/>
                      <wp:docPr id="377" name="Frame3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63830" cy="175260"/>
                      <wp:effectExtent l="0" t="0" r="0" b="0"/>
                      <wp:wrapNone/>
                      <wp:docPr id="379" name="Frame37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17195" cy="175260"/>
                      <wp:effectExtent l="0" t="0" r="0" b="0"/>
                      <wp:wrapNone/>
                      <wp:docPr id="380" name="Frame38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change in General and administrative expense for the period was an overall increase of $370 driven primarily by an increase in legal expenses related to the July 2026 Purchase Agreement for the three months ended June 30, 2026 compared to the three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expenses</w:t>
      </w:r>
    </w:p>
    <w:tbl>
      <w:tblPr>
        <w:tblW w:w="6173" w:type="dxa"/>
        <w:jc w:val="left"/>
        <w:tblInd w:w="0" w:type="dxa"/>
        <w:tblLayout w:type="fixed"/>
        <w:tblCellMar>
          <w:top w:w="0" w:type="dxa"/>
          <w:left w:w="0" w:type="dxa"/>
          <w:bottom w:w="0" w:type="dxa"/>
          <w:right w:w="0" w:type="dxa"/>
        </w:tblCellMar>
      </w:tblPr>
      <w:tblGrid>
        <w:gridCol w:w="2821"/>
        <w:gridCol w:w="346"/>
        <w:gridCol w:w="211"/>
        <w:gridCol w:w="436"/>
        <w:gridCol w:w="346"/>
        <w:gridCol w:w="211"/>
        <w:gridCol w:w="541"/>
        <w:gridCol w:w="346"/>
        <w:gridCol w:w="285"/>
        <w:gridCol w:w="630"/>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791335" cy="175260"/>
                      <wp:effectExtent l="0" t="0" r="0" b="0"/>
                      <wp:wrapNone/>
                      <wp:docPr id="381" name="Frame38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76860" cy="175260"/>
                      <wp:effectExtent l="0" t="0" r="0" b="0"/>
                      <wp:wrapNone/>
                      <wp:docPr id="384" name="Frame38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43535" cy="175260"/>
                      <wp:effectExtent l="0" t="0" r="0" b="0"/>
                      <wp:wrapNone/>
                      <wp:docPr id="387" name="Frame38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80975" cy="175260"/>
                      <wp:effectExtent l="0" t="0" r="0" b="0"/>
                      <wp:wrapNone/>
                      <wp:docPr id="389" name="Frame38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00050" cy="175260"/>
                      <wp:effectExtent l="0" t="0" r="0" b="0"/>
                      <wp:wrapNone/>
                      <wp:docPr id="390" name="Frame390"/>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right"/>
              <w:rPr/>
            </w:pPr>
            <w:r>
              <w:rPr/>
              <w:t>​</w:t>
            </w:r>
          </w:p>
        </w:tc>
        <w:tc>
          <w:tcPr>
            <w:tcW w:w="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3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foreign exchange of $645 was primarily due to the fluctuation of the foreign exchange rate in Turkey, creating a remeasurement gain on our lease liability. The decrease in other non-operating expense of $5, net was primarily driven by a decrease in finance expenses related to bank fees and charges.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three months ended June 30, 2026 and 2025:</w:t>
      </w:r>
    </w:p>
    <w:tbl>
      <w:tblPr>
        <w:tblW w:w="5746" w:type="dxa"/>
        <w:jc w:val="left"/>
        <w:tblInd w:w="0" w:type="dxa"/>
        <w:tblLayout w:type="fixed"/>
        <w:tblCellMar>
          <w:top w:w="0" w:type="dxa"/>
          <w:left w:w="0" w:type="dxa"/>
          <w:bottom w:w="0" w:type="dxa"/>
          <w:right w:w="0" w:type="dxa"/>
        </w:tblCellMar>
      </w:tblPr>
      <w:tblGrid>
        <w:gridCol w:w="2746"/>
        <w:gridCol w:w="346"/>
        <w:gridCol w:w="332"/>
        <w:gridCol w:w="687"/>
        <w:gridCol w:w="545"/>
        <w:gridCol w:w="332"/>
        <w:gridCol w:w="75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743710" cy="175260"/>
                      <wp:effectExtent l="0" t="0" r="0" b="0"/>
                      <wp:wrapNone/>
                      <wp:docPr id="391" name="Frame39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0820" cy="175260"/>
                      <wp:effectExtent l="0" t="0" r="0" b="0"/>
                      <wp:wrapNone/>
                      <wp:docPr id="393" name="Frame39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36245" cy="175260"/>
                      <wp:effectExtent l="0" t="0" r="0" b="0"/>
                      <wp:wrapNone/>
                      <wp:docPr id="394" name="Frame39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46075" cy="175260"/>
                      <wp:effectExtent l="0" t="0" r="0" b="0"/>
                      <wp:wrapNone/>
                      <wp:docPr id="395" name="Frame395"/>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0820" cy="175260"/>
                      <wp:effectExtent l="0" t="0" r="0" b="0"/>
                      <wp:wrapNone/>
                      <wp:docPr id="396" name="Frame39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81330" cy="175260"/>
                      <wp:effectExtent l="0" t="0" r="0" b="0"/>
                      <wp:wrapNone/>
                      <wp:docPr id="397" name="Frame397"/>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45"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45"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45"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545"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 in other non-operating expense, net for the period was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and derivatives</w:t>
      </w:r>
    </w:p>
    <w:tbl>
      <w:tblPr>
        <w:tblW w:w="6554" w:type="dxa"/>
        <w:jc w:val="left"/>
        <w:tblInd w:w="0" w:type="dxa"/>
        <w:tblLayout w:type="fixed"/>
        <w:tblCellMar>
          <w:top w:w="0" w:type="dxa"/>
          <w:left w:w="0" w:type="dxa"/>
          <w:bottom w:w="0" w:type="dxa"/>
          <w:right w:w="0" w:type="dxa"/>
        </w:tblCellMar>
      </w:tblPr>
      <w:tblGrid>
        <w:gridCol w:w="3556"/>
        <w:gridCol w:w="346"/>
        <w:gridCol w:w="339"/>
        <w:gridCol w:w="556"/>
        <w:gridCol w:w="556"/>
        <w:gridCol w:w="339"/>
        <w:gridCol w:w="862"/>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58060" cy="175260"/>
                      <wp:effectExtent l="0" t="0" r="0" b="0"/>
                      <wp:wrapNone/>
                      <wp:docPr id="398" name="Frame398"/>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5265" cy="175260"/>
                      <wp:effectExtent l="0" t="0" r="0" b="0"/>
                      <wp:wrapNone/>
                      <wp:docPr id="400" name="Frame40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53060" cy="175260"/>
                      <wp:effectExtent l="0" t="0" r="0" b="0"/>
                      <wp:wrapNone/>
                      <wp:docPr id="401" name="Frame40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53060" cy="175260"/>
                      <wp:effectExtent l="0" t="0" r="0" b="0"/>
                      <wp:wrapNone/>
                      <wp:docPr id="402" name="Frame40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5265" cy="175260"/>
                      <wp:effectExtent l="0" t="0" r="0" b="0"/>
                      <wp:wrapNone/>
                      <wp:docPr id="403" name="Frame403"/>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47370" cy="175260"/>
                      <wp:effectExtent l="0" t="0" r="0" b="0"/>
                      <wp:wrapNone/>
                      <wp:docPr id="404" name="Frame40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5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55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55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625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repurchase of the Series G Preferred Stock during the first quarter of 2026, these liabilities were extinguished and no subsequent fair value adjustments were recognized during the three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(expense), net</w:t>
      </w:r>
    </w:p>
    <w:tbl>
      <w:tblPr>
        <w:tblW w:w="5651" w:type="dxa"/>
        <w:jc w:val="left"/>
        <w:tblInd w:w="0" w:type="dxa"/>
        <w:tblLayout w:type="fixed"/>
        <w:tblCellMar>
          <w:top w:w="0" w:type="dxa"/>
          <w:left w:w="0" w:type="dxa"/>
          <w:bottom w:w="0" w:type="dxa"/>
          <w:right w:w="0" w:type="dxa"/>
        </w:tblCellMar>
      </w:tblPr>
      <w:tblGrid>
        <w:gridCol w:w="2536"/>
        <w:gridCol w:w="346"/>
        <w:gridCol w:w="211"/>
        <w:gridCol w:w="316"/>
        <w:gridCol w:w="347"/>
        <w:gridCol w:w="211"/>
        <w:gridCol w:w="422"/>
        <w:gridCol w:w="347"/>
        <w:gridCol w:w="242"/>
        <w:gridCol w:w="673"/>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610360" cy="175260"/>
                      <wp:effectExtent l="0" t="0" r="0" b="0"/>
                      <wp:wrapNone/>
                      <wp:docPr id="405" name="Frame40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0660" cy="175260"/>
                      <wp:effectExtent l="0" t="0" r="0" b="0"/>
                      <wp:wrapNone/>
                      <wp:docPr id="408" name="Frame4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20345" cy="175260"/>
                      <wp:effectExtent l="0" t="0" r="0" b="0"/>
                      <wp:wrapNone/>
                      <wp:docPr id="409" name="Frame40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67970" cy="175260"/>
                      <wp:effectExtent l="0" t="0" r="0" b="0"/>
                      <wp:wrapNone/>
                      <wp:docPr id="411" name="Frame411"/>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20345" cy="175260"/>
                      <wp:effectExtent l="0" t="0" r="0" b="0"/>
                      <wp:wrapNone/>
                      <wp:docPr id="412" name="Frame41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3670" cy="175260"/>
                      <wp:effectExtent l="0" t="0" r="0" b="0"/>
                      <wp:wrapNone/>
                      <wp:docPr id="413" name="Frame41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27355" cy="175260"/>
                      <wp:effectExtent l="0" t="0" r="0" b="0"/>
                      <wp:wrapNone/>
                      <wp:docPr id="414" name="Frame414"/>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6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7" w:type="dxa"/>
            <w:tcBorders/>
            <w:vAlign w:val="center"/>
          </w:tcPr>
          <w:p>
            <w:pPr>
              <w:pStyle w:val="TableContents"/>
              <w:bidi w:val="0"/>
              <w:spacing w:before="0" w:after="1"/>
              <w:ind w:left="0" w:right="0" w:hanging="0"/>
              <w:jc w:val="left"/>
              <w:rPr/>
            </w:pPr>
            <w:r>
              <w:rPr/>
              <w:t>  ​ ​ ​</w:t>
            </w:r>
          </w:p>
        </w:tc>
        <w:tc>
          <w:tcPr>
            <w:tcW w:w="6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7"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7"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decrease of $136 for the three months ended June 30, 2026 was primarily driven by a reduction in interest income and the recognition of interest expense in the current period.</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Six months ended June 30, 2026, compared to the six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318" w:type="dxa"/>
        <w:jc w:val="left"/>
        <w:tblInd w:w="0" w:type="dxa"/>
        <w:tblLayout w:type="fixed"/>
        <w:tblCellMar>
          <w:top w:w="0" w:type="dxa"/>
          <w:left w:w="0" w:type="dxa"/>
          <w:bottom w:w="0" w:type="dxa"/>
          <w:right w:w="0" w:type="dxa"/>
        </w:tblCellMar>
      </w:tblPr>
      <w:tblGrid>
        <w:gridCol w:w="1591"/>
        <w:gridCol w:w="346"/>
        <w:gridCol w:w="211"/>
        <w:gridCol w:w="676"/>
        <w:gridCol w:w="346"/>
        <w:gridCol w:w="211"/>
        <w:gridCol w:w="676"/>
        <w:gridCol w:w="346"/>
        <w:gridCol w:w="242"/>
        <w:gridCol w:w="673"/>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010285" cy="175260"/>
                      <wp:effectExtent l="0" t="0" r="0" b="0"/>
                      <wp:wrapNone/>
                      <wp:docPr id="415" name="Frame41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29260" cy="175260"/>
                      <wp:effectExtent l="0" t="0" r="0" b="0"/>
                      <wp:wrapNone/>
                      <wp:docPr id="418" name="Frame4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9260" cy="175260"/>
                      <wp:effectExtent l="0" t="0" r="0" b="0"/>
                      <wp:wrapNone/>
                      <wp:docPr id="421" name="Frame4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53670" cy="175260"/>
                      <wp:effectExtent l="0" t="0" r="0" b="0"/>
                      <wp:wrapNone/>
                      <wp:docPr id="423" name="Frame42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27355" cy="175260"/>
                      <wp:effectExtent l="0" t="0" r="0" b="0"/>
                      <wp:wrapNone/>
                      <wp:docPr id="424" name="Frame424"/>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revenue of $928 or 6%, for the six months ended June 30, 2026, was primarily driven by the absence of revenues from the HyperPointe operations, which ceased operations as of December 31, 2025 and a slight decrease in Naples Wax revenue over the same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230" w:type="dxa"/>
        <w:jc w:val="left"/>
        <w:tblInd w:w="0" w:type="dxa"/>
        <w:tblLayout w:type="fixed"/>
        <w:tblCellMar>
          <w:top w:w="0" w:type="dxa"/>
          <w:left w:w="0" w:type="dxa"/>
          <w:bottom w:w="0" w:type="dxa"/>
          <w:right w:w="0" w:type="dxa"/>
        </w:tblCellMar>
      </w:tblPr>
      <w:tblGrid>
        <w:gridCol w:w="1576"/>
        <w:gridCol w:w="346"/>
        <w:gridCol w:w="211"/>
        <w:gridCol w:w="571"/>
        <w:gridCol w:w="346"/>
        <w:gridCol w:w="211"/>
        <w:gridCol w:w="676"/>
        <w:gridCol w:w="346"/>
        <w:gridCol w:w="211"/>
        <w:gridCol w:w="73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000760" cy="175260"/>
                      <wp:effectExtent l="0" t="0" r="0" b="0"/>
                      <wp:wrapNone/>
                      <wp:docPr id="425" name="Frame42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62585" cy="175260"/>
                      <wp:effectExtent l="0" t="0" r="0" b="0"/>
                      <wp:wrapNone/>
                      <wp:docPr id="428" name="Frame4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29260" cy="175260"/>
                      <wp:effectExtent l="0" t="0" r="0" b="0"/>
                      <wp:wrapNone/>
                      <wp:docPr id="431" name="Frame4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67360" cy="175260"/>
                      <wp:effectExtent l="0" t="0" r="0" b="0"/>
                      <wp:wrapNone/>
                      <wp:docPr id="434" name="Frame43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0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$3,136 or 27%, for the six months ended June 30, 2026, was primarily driven by the lower labor cost directly associated with the HyperPointe operations, which ceased operations as of December 31, 2025. Salaries also decreased across the remaining operations and a decrease in occupancy cost which is consistent with the decrease in revenues for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813" w:type="dxa"/>
        <w:jc w:val="left"/>
        <w:tblInd w:w="0" w:type="dxa"/>
        <w:tblLayout w:type="fixed"/>
        <w:tblCellMar>
          <w:top w:w="0" w:type="dxa"/>
          <w:left w:w="0" w:type="dxa"/>
          <w:bottom w:w="0" w:type="dxa"/>
          <w:right w:w="0" w:type="dxa"/>
        </w:tblCellMar>
      </w:tblPr>
      <w:tblGrid>
        <w:gridCol w:w="2596"/>
        <w:gridCol w:w="346"/>
        <w:gridCol w:w="211"/>
        <w:gridCol w:w="421"/>
        <w:gridCol w:w="346"/>
        <w:gridCol w:w="211"/>
        <w:gridCol w:w="421"/>
        <w:gridCol w:w="346"/>
        <w:gridCol w:w="279"/>
        <w:gridCol w:w="6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648460" cy="175260"/>
                      <wp:effectExtent l="0" t="0" r="0" b="0"/>
                      <wp:wrapNone/>
                      <wp:docPr id="435" name="Frame43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67335" cy="175260"/>
                      <wp:effectExtent l="0" t="0" r="0" b="0"/>
                      <wp:wrapNone/>
                      <wp:docPr id="438" name="Frame43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67335" cy="175260"/>
                      <wp:effectExtent l="0" t="0" r="0" b="0"/>
                      <wp:wrapNone/>
                      <wp:docPr id="441" name="Frame4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7165" cy="175260"/>
                      <wp:effectExtent l="0" t="0" r="0" b="0"/>
                      <wp:wrapNone/>
                      <wp:docPr id="443" name="Frame44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03860" cy="175260"/>
                      <wp:effectExtent l="0" t="0" r="0" b="0"/>
                      <wp:wrapNone/>
                      <wp:docPr id="444" name="Frame44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$18 or 5% for the six months ended June 30, 2026, was not individually significant and was primarily attributable to normal changes in the Company’s depreciable asset base compared to the six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933" w:type="dxa"/>
        <w:jc w:val="left"/>
        <w:tblInd w:w="0" w:type="dxa"/>
        <w:tblLayout w:type="fixed"/>
        <w:tblCellMar>
          <w:top w:w="0" w:type="dxa"/>
          <w:left w:w="0" w:type="dxa"/>
          <w:bottom w:w="0" w:type="dxa"/>
          <w:right w:w="0" w:type="dxa"/>
        </w:tblCellMar>
      </w:tblPr>
      <w:tblGrid>
        <w:gridCol w:w="2311"/>
        <w:gridCol w:w="346"/>
        <w:gridCol w:w="211"/>
        <w:gridCol w:w="676"/>
        <w:gridCol w:w="346"/>
        <w:gridCol w:w="211"/>
        <w:gridCol w:w="571"/>
        <w:gridCol w:w="346"/>
        <w:gridCol w:w="215"/>
        <w:gridCol w:w="700"/>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67485" cy="175260"/>
                      <wp:effectExtent l="0" t="0" r="0" b="0"/>
                      <wp:wrapNone/>
                      <wp:docPr id="445" name="Frame44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29260" cy="175260"/>
                      <wp:effectExtent l="0" t="0" r="0" b="0"/>
                      <wp:wrapNone/>
                      <wp:docPr id="448" name="Frame4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62585" cy="175260"/>
                      <wp:effectExtent l="0" t="0" r="0" b="0"/>
                      <wp:wrapNone/>
                      <wp:docPr id="451" name="Frame4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6525" cy="175260"/>
                      <wp:effectExtent l="0" t="0" r="0" b="0"/>
                      <wp:wrapNone/>
                      <wp:docPr id="453" name="Frame45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44500" cy="175260"/>
                      <wp:effectExtent l="0" t="0" r="0" b="0"/>
                      <wp:wrapNone/>
                      <wp:docPr id="454" name="Frame454"/>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3,655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approximately $3,655 for the six months ended June 30, 2026, was primarily attributable to increased legal cost related to the July 2026 Securities Purchase Agreement, increased franchise taxes, and increased public company administrative costs when compared to the six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expenses</w:t>
      </w:r>
    </w:p>
    <w:tbl>
      <w:tblPr>
        <w:tblW w:w="6173" w:type="dxa"/>
        <w:jc w:val="left"/>
        <w:tblInd w:w="0" w:type="dxa"/>
        <w:tblLayout w:type="fixed"/>
        <w:tblCellMar>
          <w:top w:w="0" w:type="dxa"/>
          <w:left w:w="0" w:type="dxa"/>
          <w:bottom w:w="0" w:type="dxa"/>
          <w:right w:w="0" w:type="dxa"/>
        </w:tblCellMar>
      </w:tblPr>
      <w:tblGrid>
        <w:gridCol w:w="2821"/>
        <w:gridCol w:w="346"/>
        <w:gridCol w:w="211"/>
        <w:gridCol w:w="436"/>
        <w:gridCol w:w="346"/>
        <w:gridCol w:w="211"/>
        <w:gridCol w:w="541"/>
        <w:gridCol w:w="346"/>
        <w:gridCol w:w="233"/>
        <w:gridCol w:w="682"/>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791335" cy="175260"/>
                      <wp:effectExtent l="0" t="0" r="0" b="0"/>
                      <wp:wrapNone/>
                      <wp:docPr id="455" name="Frame455"/>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76860" cy="175260"/>
                      <wp:effectExtent l="0" t="0" r="0" b="0"/>
                      <wp:wrapNone/>
                      <wp:docPr id="458" name="Frame45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43535" cy="175260"/>
                      <wp:effectExtent l="0" t="0" r="0" b="0"/>
                      <wp:wrapNone/>
                      <wp:docPr id="461" name="Frame46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47955" cy="175260"/>
                      <wp:effectExtent l="0" t="0" r="0" b="0"/>
                      <wp:wrapNone/>
                      <wp:docPr id="463" name="Frame46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33070" cy="175260"/>
                      <wp:effectExtent l="0" t="0" r="0" b="0"/>
                      <wp:wrapNone/>
                      <wp:docPr id="464" name="Frame46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foreign exchange of $1,177 was primarily due to the fluctuation of the foreign exchange rate in Turkey, creating a remeasurement loss on our lease liability. The increase in other non-operating expense of $12, net was primarily driven by a decrease in finance expenses related to bank fees and charges.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six months ended June 30, 2026 and 2025:</w:t>
      </w:r>
    </w:p>
    <w:tbl>
      <w:tblPr>
        <w:tblW w:w="5506" w:type="dxa"/>
        <w:jc w:val="left"/>
        <w:tblInd w:w="0" w:type="dxa"/>
        <w:tblLayout w:type="fixed"/>
        <w:tblCellMar>
          <w:top w:w="0" w:type="dxa"/>
          <w:left w:w="0" w:type="dxa"/>
          <w:bottom w:w="0" w:type="dxa"/>
          <w:right w:w="0" w:type="dxa"/>
        </w:tblCellMar>
      </w:tblPr>
      <w:tblGrid>
        <w:gridCol w:w="2746"/>
        <w:gridCol w:w="346"/>
        <w:gridCol w:w="302"/>
        <w:gridCol w:w="625"/>
        <w:gridCol w:w="496"/>
        <w:gridCol w:w="302"/>
        <w:gridCol w:w="689"/>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743710" cy="175260"/>
                      <wp:effectExtent l="0" t="0" r="0" b="0"/>
                      <wp:wrapNone/>
                      <wp:docPr id="465" name="Frame465"/>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91770" cy="175260"/>
                      <wp:effectExtent l="0" t="0" r="0" b="0"/>
                      <wp:wrapNone/>
                      <wp:docPr id="467" name="Frame467"/>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396875" cy="175260"/>
                      <wp:effectExtent l="0" t="0" r="0" b="0"/>
                      <wp:wrapNone/>
                      <wp:docPr id="468" name="Frame46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14960" cy="175260"/>
                      <wp:effectExtent l="0" t="0" r="0" b="0"/>
                      <wp:wrapNone/>
                      <wp:docPr id="469" name="Frame46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91770" cy="175260"/>
                      <wp:effectExtent l="0" t="0" r="0" b="0"/>
                      <wp:wrapNone/>
                      <wp:docPr id="470" name="Frame470"/>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37515" cy="175260"/>
                      <wp:effectExtent l="0" t="0" r="0" b="0"/>
                      <wp:wrapNone/>
                      <wp:docPr id="471" name="Frame47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9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9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9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 in other non-operating expense, net for the period was immaterial.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and derivatives</w:t>
      </w:r>
    </w:p>
    <w:tbl>
      <w:tblPr>
        <w:tblW w:w="6436" w:type="dxa"/>
        <w:jc w:val="left"/>
        <w:tblInd w:w="0" w:type="dxa"/>
        <w:tblLayout w:type="fixed"/>
        <w:tblCellMar>
          <w:top w:w="0" w:type="dxa"/>
          <w:left w:w="0" w:type="dxa"/>
          <w:bottom w:w="0" w:type="dxa"/>
          <w:right w:w="0" w:type="dxa"/>
        </w:tblCellMar>
      </w:tblPr>
      <w:tblGrid>
        <w:gridCol w:w="3676"/>
        <w:gridCol w:w="346"/>
        <w:gridCol w:w="232"/>
        <w:gridCol w:w="760"/>
        <w:gridCol w:w="380"/>
        <w:gridCol w:w="232"/>
        <w:gridCol w:w="810"/>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334260" cy="175260"/>
                      <wp:effectExtent l="0" t="0" r="0" b="0"/>
                      <wp:wrapNone/>
                      <wp:docPr id="472" name="Frame472"/>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47320" cy="175260"/>
                      <wp:effectExtent l="0" t="0" r="0" b="0"/>
                      <wp:wrapNone/>
                      <wp:docPr id="474" name="Frame47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82600" cy="175260"/>
                      <wp:effectExtent l="0" t="0" r="0" b="0"/>
                      <wp:wrapNone/>
                      <wp:docPr id="475" name="Frame475"/>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41300" cy="175260"/>
                      <wp:effectExtent l="0" t="0" r="0" b="0"/>
                      <wp:wrapNone/>
                      <wp:docPr id="476" name="Frame47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47320" cy="175260"/>
                      <wp:effectExtent l="0" t="0" r="0" b="0"/>
                      <wp:wrapNone/>
                      <wp:docPr id="477" name="Frame47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14350" cy="175260"/>
                      <wp:effectExtent l="0" t="0" r="0" b="0"/>
                      <wp:wrapNone/>
                      <wp:docPr id="478" name="Frame478"/>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80" w:type="dxa"/>
            <w:tcBorders/>
            <w:vAlign w:val="center"/>
          </w:tcPr>
          <w:p>
            <w:pPr>
              <w:pStyle w:val="TableContents"/>
              <w:bidi w:val="0"/>
              <w:spacing w:before="0" w:after="0"/>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w:t>
            </w:r>
          </w:p>
        </w:tc>
        <w:tc>
          <w:tcPr>
            <w:tcW w:w="38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8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Series G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derivative liability and warrant liability were associated with the Company's Series G Preferred Stock. During the first quarter of 2026, the Company repurchased the outstanding Series G Preferred Stock and extinguished the related derivative and warrant liabilities. As a result, no gain or loss related to the remeasurement of Series G derivative or warrant liabilities was recognized during the six months ended June 30, 2026. The loss on issuance of Series G Preferred Stock of $3.4 million recognized during the six months ended June 30, 2025 related to the January 2025 Securities Purchase Agreement and there was no comparable transaction during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(expense), net</w:t>
      </w:r>
    </w:p>
    <w:tbl>
      <w:tblPr>
        <w:tblW w:w="5768" w:type="dxa"/>
        <w:jc w:val="left"/>
        <w:tblInd w:w="0" w:type="dxa"/>
        <w:tblLayout w:type="fixed"/>
        <w:tblCellMar>
          <w:top w:w="0" w:type="dxa"/>
          <w:left w:w="0" w:type="dxa"/>
          <w:bottom w:w="0" w:type="dxa"/>
          <w:right w:w="0" w:type="dxa"/>
        </w:tblCellMar>
      </w:tblPr>
      <w:tblGrid>
        <w:gridCol w:w="2536"/>
        <w:gridCol w:w="346"/>
        <w:gridCol w:w="211"/>
        <w:gridCol w:w="436"/>
        <w:gridCol w:w="346"/>
        <w:gridCol w:w="211"/>
        <w:gridCol w:w="421"/>
        <w:gridCol w:w="346"/>
        <w:gridCol w:w="242"/>
        <w:gridCol w:w="673"/>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610360" cy="175260"/>
                      <wp:effectExtent l="0" t="0" r="0" b="0"/>
                      <wp:wrapNone/>
                      <wp:docPr id="479" name="Frame479"/>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76860" cy="175260"/>
                      <wp:effectExtent l="0" t="0" r="0" b="0"/>
                      <wp:wrapNone/>
                      <wp:docPr id="482" name="Frame48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67335" cy="175260"/>
                      <wp:effectExtent l="0" t="0" r="0" b="0"/>
                      <wp:wrapNone/>
                      <wp:docPr id="485" name="Frame48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53670" cy="175260"/>
                      <wp:effectExtent l="0" t="0" r="0" b="0"/>
                      <wp:wrapNone/>
                      <wp:docPr id="487" name="Frame48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7355" cy="175260"/>
                      <wp:effectExtent l="0" t="0" r="0" b="0"/>
                      <wp:wrapNone/>
                      <wp:docPr id="488" name="Frame48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8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decrease of $236 for the six months ended June 30, 2026 was primarily driven by a reduction in interest income and the recognition of interest expense in the current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Liquidity Analysis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cash and cash equivalents of $11,778 (excluding restricted cash), $0 in marketable securities, and total current assets of $15,139. The Company’s total current liabilities balance, which includes accounts payable, deferred revenue, accrued expenses, and operating lease liabilities was $6,668 as of June 30, 2026, and $12,892 as of December 31, 2025. The working capital surplus was $8,471 as of June 30, 2026, compared to a working capital deficit of $6,982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taken actions to improve its overall cash position, right sizing its corporate structure and streamlining its operations, while at the same time the Company is aggressively trying to get the company to profitability. The Company continues to pursue strategic partnerships that the Company expects will further strengthen the long-term profitability of the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liquidity during the period was primarily attributable to proceeds from a private placement of Series H Convertible Preferred Stock with accompanying warrants completed in February 2026 (the “February 2026 Private Placement”), which generated net proceeds of $28,269. During the six months ended June 30, 2026, the Company used approximately $9,000 of these proceeds to repurchase outstanding Series G Preferred Stock, certain convertible notes, and related warrants as part of a strategic effort to simplify its capital structure and reduce future financing obligations. The remaining proceeds were used to support general corporate purposes and working capital needs.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invest in any off-balance sheet vehicles that provide liquidity, capital resources, market or credit risk support, or engage in any activities that expose us to any liability that is not reflected in our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Quarterly Report on Form 10-Q, the Company believes it has sufficient liquidity to fund its operations and meet its obligations for at least the next twelve months.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have been no material changes to the Company’s critical accounting estimates from those disclosed in the Company’s Annual Report on Form 10-K for the year ended December 31, 2025. </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Known Trends, Events and Uncertainties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Ongoing conflicts in Russia and Ukraine, the Middle East,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 Additionally, the US government shutdown, recent changes to U.S. policy implemented by the U.S. Congress, the Trump administration or any new administration have impacted and may in the future impact, among other things, the U.S. and global economy, tariffs, international trade relations, unemployment, immigration, healthcare, taxation, the U.S. regulatory environment, inflation and other areas. Although we cannot predict the impact, if any, of these changes to our business, they could adversely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discussed above and elsewhere in this report, we are not aware of any trends, events or uncertainties that are likely to have a material effect on our financial condition.</w:t>
      </w:r>
    </w:p>
    <w:p>
      <w:pPr>
        <w:pStyle w:val="TextBody"/>
        <w:bidi w:val="0"/>
        <w:spacing w:before="0" w:after="240"/>
        <w:ind w:left="0" w:right="0" w:hanging="0"/>
        <w:jc w:val="left"/>
        <w:rPr>
          <w:rFonts w:ascii="Times New Roman;Times;serif" w:hAnsi="Times New Roman;Times;serif"/>
          <w:b/>
          <w:sz w:val="20"/>
        </w:rPr>
      </w:pPr>
      <w:bookmarkStart w:id="2078" w:name="Item3QuantitativeandQualitativeDisclosur"/>
      <w:bookmarkStart w:id="2079" w:name="_e7c632a9_1f7e_4fd0_9a79_53cfb30fc0ca"/>
      <w:bookmarkEnd w:id="2078"/>
      <w:bookmarkEnd w:id="207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2080" w:name="Item4ControlsandProcedures_603492"/>
      <w:bookmarkStart w:id="2081" w:name="_5dfe1bb3_1e7f_4554_bee6_4ec488b46820"/>
      <w:bookmarkEnd w:id="2080"/>
      <w:bookmarkEnd w:id="2081"/>
      <w:r>
        <w:rPr>
          <w:rFonts w:ascii="Times New Roman;Times;serif" w:hAnsi="Times New Roman;Times;serif"/>
          <w:b/>
          <w:sz w:val="20"/>
        </w:rPr>
        <w:t>Item 4.         Controls and Procedures.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Evaluation of Disclosure Controls and Procedures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carried out an evaluation, under the supervision and with the participation of our management, including our Chief Executive Officer and Chief Financial Officer, of the effectiveness of the design and operation of our disclosure controls and procedures.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June 30, 2026, due to the following material weaknesses:</w:t>
      </w:r>
    </w:p>
    <w:tbl>
      <w:tblPr>
        <w:tblW w:w="10205" w:type="dxa"/>
        <w:jc w:val="left"/>
        <w:tblInd w:w="0" w:type="dxa"/>
        <w:tblLayout w:type="fixed"/>
        <w:tblCellMar>
          <w:top w:w="0" w:type="dxa"/>
          <w:left w:w="0" w:type="dxa"/>
          <w:bottom w:w="0" w:type="dxa"/>
          <w:right w:w="0"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implement, and consistently operate effective controls over the completeness and accuracy of its accounting for leases under ASC 842. </w:t>
            </w:r>
          </w:p>
        </w:tc>
      </w:tr>
    </w:tbl>
    <w:tbl>
      <w:tblPr>
        <w:tblW w:w="10205" w:type="dxa"/>
        <w:jc w:val="left"/>
        <w:tblInd w:w="0" w:type="dxa"/>
        <w:tblLayout w:type="fixed"/>
        <w:tblCellMar>
          <w:top w:w="0" w:type="dxa"/>
          <w:left w:w="0" w:type="dxa"/>
          <w:bottom w:w="0" w:type="dxa"/>
          <w:right w:w="0"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or maintain effective entity level monitoring controls over the financial close and reporting process. </w:t>
            </w:r>
          </w:p>
        </w:tc>
      </w:tr>
    </w:tbl>
    <w:tbl>
      <w:tblPr>
        <w:tblW w:w="10205" w:type="dxa"/>
        <w:jc w:val="left"/>
        <w:tblInd w:w="0" w:type="dxa"/>
        <w:tblLayout w:type="fixed"/>
        <w:tblCellMar>
          <w:top w:w="0" w:type="dxa"/>
          <w:left w:w="0" w:type="dxa"/>
          <w:bottom w:w="0" w:type="dxa"/>
          <w:right w:w="0"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 </w:t>
            </w:r>
          </w:p>
        </w:tc>
      </w:tr>
    </w:tbl>
    <w:tbl>
      <w:tblPr>
        <w:tblW w:w="10205" w:type="dxa"/>
        <w:jc w:val="left"/>
        <w:tblInd w:w="0" w:type="dxa"/>
        <w:tblLayout w:type="fixed"/>
        <w:tblCellMar>
          <w:top w:w="0" w:type="dxa"/>
          <w:left w:w="0" w:type="dxa"/>
          <w:bottom w:w="0" w:type="dxa"/>
          <w:right w:w="0"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8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The Company did not design, implement, and consistently operate effective controls over its’ foreign subsidiaries.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June 30</w:t>
      </w:r>
      <w:r>
        <w:rPr>
          <w:rFonts w:ascii="Times New Roman;Times;serif" w:hAnsi="Times New Roman;Times;serif"/>
          <w:sz w:val="20"/>
        </w:rPr>
        <w:t>, 2026</w:t>
      </w:r>
      <w:r>
        <w:rPr>
          <w:rFonts w:ascii="Times New Roman;Times;serif" w:hAnsi="Times New Roman;Times;serif"/>
          <w:sz w:val="20"/>
          <w:shd w:fill="FFFFFF" w:val="clea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Management is committed to the remediation of the Company’s material weaknesses, as well as the continued improvement of the Company’s internal control over financial reporting. Management has implemented, and continues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 </w:t>
      </w:r>
    </w:p>
    <w:tbl>
      <w:tblPr>
        <w:tblW w:w="8826" w:type="dxa"/>
        <w:jc w:val="left"/>
        <w:tblInd w:w="0" w:type="dxa"/>
        <w:tblLayout w:type="fixed"/>
        <w:tblCellMar>
          <w:top w:w="28" w:type="dxa"/>
          <w:left w:w="28" w:type="dxa"/>
          <w:bottom w:w="28" w:type="dxa"/>
          <w:right w:w="28" w:type="dxa"/>
        </w:tblCellMar>
      </w:tblPr>
      <w:tblGrid>
        <w:gridCol w:w="124"/>
        <w:gridCol w:w="271"/>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turned on the multi-currency features related to its cloud-based accounting systems.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has engaged outside service providers</w:t>
            </w:r>
            <w:r>
              <w:rPr>
                <w:caps w:val="false"/>
                <w:smallCaps w:val="false"/>
                <w:shd w:fill="FFFFFF" w:val="clear"/>
              </w:rPr>
              <w:t xml:space="preserve"> </w:t>
            </w:r>
            <w:r>
              <w:rPr>
                <w:rFonts w:ascii="Times New Roman;Times;serif" w:hAnsi="Times New Roman;Times;serif"/>
                <w:b w:val="false"/>
                <w:i w:val="false"/>
                <w:caps w:val="false"/>
                <w:smallCaps w:val="false"/>
                <w:sz w:val="20"/>
              </w:rPr>
              <w:t xml:space="preserve">to review the applicable complementary user entity controls described in the service organizations’ reports for their potential impact on the Company’s financial reporting. </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set forth in the foregoing paragraph, there have been no changes in our internal control over financial reporting identified in connection with the evaluation required by Rule 13a-15(d) and 15d-15(d) of the Exchange Act that occurred during the three months ended June 30, 2026 that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082" w:name="PARTIIOTHERINFORMATION_90261"/>
      <w:bookmarkStart w:id="2083" w:name="_c0f95b5c_ae42_40ab_a598_b8d78d21e71e"/>
      <w:bookmarkEnd w:id="2082"/>
      <w:bookmarkEnd w:id="2083"/>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2084" w:name="Item1LegalProceedings_288324"/>
      <w:bookmarkEnd w:id="2084"/>
      <w:r>
        <w:rPr>
          <w:rFonts w:ascii="Times New Roman;Times;serif" w:hAnsi="Times New Roman;Times;serif"/>
          <w:b/>
          <w:sz w:val="20"/>
        </w:rPr>
        <w:t>Item 1.         Legal Proceedings.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certain claims and litigation arising out of the ordinary course and conduct of business. Management assesses such claims and, if it considers that it is probable that an asset had been impaired or a liability had been incurred and the amount of loss can be reasonably estimated, provisions for loss are made based on management’s assessment of the most likely outcome.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information set forth in Note 8 Commitments and Contingencies of the Notes to unaudited condensed consolidated financial statements of this Quarterly Report on Form 10-Q is incorporated by reference herein.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other material proceedings in which any of our directors, officers, affiliates, any registered or beneficial stockholder of more than 5% of our common stock, or any associate of any of the foregoing is an adverse party or has a material interest adverse to our interest.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2085" w:name="Item1ARiskFactors_714642"/>
      <w:bookmarkStart w:id="2086" w:name="_7b037f58_8a9e_4bbd_a49a_6007002cdfcd"/>
      <w:bookmarkEnd w:id="2085"/>
      <w:bookmarkEnd w:id="2086"/>
      <w:r>
        <w:rPr>
          <w:rFonts w:ascii="Times New Roman;Times;serif" w:hAnsi="Times New Roman;Times;serif"/>
          <w:b/>
          <w:sz w:val="20"/>
        </w:rPr>
        <w:t>Item 1A.      Risk Factors.</w:t>
      </w:r>
    </w:p>
    <w:p>
      <w:pPr>
        <w:pStyle w:val="TextBody"/>
        <w:bidi w:val="0"/>
        <w:spacing w:before="0" w:after="200"/>
        <w:ind w:left="0" w:right="0" w:hanging="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Investing in our common stock involves a high degree of risk. You should carefully consider the risks and uncertainties described in Part I, Item 1A under the heading “Risk Factors” in our Annual Report on Form 10-K for the year ended December 31, 2025, in addition to the risk factors incorporated by reference herein and other information included or incorporated by reference to this Quarterly Report on Form 10-Q before making an investment decision regarding our common stock. If any of these risks actually occur, our business, financial condition, or operating results would likely suffer, possibly materially, the trading price of our common stock could decline, and you could lose part or all of your investment.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Relating to the Sale Proposal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should carefully consider the risk factors related to our business described under the heading “Risks Relating to the Sale Proposal” beginning on page 32 of our preliminary proxy statement on PREM 14A, filed with the SEC on July 27, 2026, which such section and risk factors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Relating to Our Business Following the Sale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should carefully consider the risk factors related to our business described under the heading “Risks Relating to the Our Business Following the Sale” beginning on page 35 of our preliminary proxy statement on PREM 14A, filed with the SEC on July 27, 2026, which such section and risk factors incorporated herein by reference.</w:t>
      </w:r>
    </w:p>
    <w:p>
      <w:pPr>
        <w:pStyle w:val="TextBody"/>
        <w:bidi w:val="0"/>
        <w:spacing w:before="0" w:after="0"/>
        <w:ind w:left="0" w:right="0" w:hanging="0"/>
        <w:jc w:val="both"/>
        <w:rPr/>
      </w:pPr>
      <w:r>
        <w:rPr/>
        <w:t>​</w:t>
      </w:r>
    </w:p>
    <w:p>
      <w:pPr>
        <w:pStyle w:val="TextBody"/>
        <w:bidi w:val="0"/>
        <w:spacing w:before="0" w:after="180"/>
        <w:ind w:left="0" w:right="0" w:hanging="0"/>
        <w:jc w:val="left"/>
        <w:rPr>
          <w:rFonts w:ascii="Times New Roman;Times;serif" w:hAnsi="Times New Roman;Times;serif"/>
          <w:b/>
          <w:sz w:val="20"/>
        </w:rPr>
      </w:pPr>
      <w:bookmarkStart w:id="2087" w:name="Item_2_Unreg_Sales"/>
      <w:bookmarkStart w:id="2088" w:name="_eb0b7355_f69d_4570_8ab4_e22e04c6e80a"/>
      <w:bookmarkEnd w:id="2087"/>
      <w:bookmarkEnd w:id="2088"/>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were no unregistered sales of equity securities during the quarter ended June 30, 2026, other than as reported in our Current Reports on Form 8-K filed with the SEC. </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2089" w:name="Item3DefaultsUponSeniorSecurities_163017"/>
      <w:bookmarkStart w:id="2090" w:name="_d03bf830_c7a4_44e2_907c_d5006b635caa"/>
      <w:bookmarkEnd w:id="2089"/>
      <w:bookmarkEnd w:id="2090"/>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2091" w:name="Item4MineSafetyDisclosures_955432"/>
      <w:bookmarkStart w:id="2092" w:name="_6f9dfbf7_6ecd_4612_a9aa_c17c29f4e6dd"/>
      <w:bookmarkEnd w:id="2091"/>
      <w:bookmarkEnd w:id="2092"/>
      <w:r>
        <w:rPr>
          <w:rFonts w:ascii="Times New Roman;Times;serif" w:hAnsi="Times New Roman;Times;serif"/>
          <w:b/>
          <w:sz w:val="20"/>
        </w:rPr>
        <w:t>Item 4.         Mine Safety Disclosures.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80"/>
        <w:ind w:left="0" w:right="0" w:hanging="0"/>
        <w:jc w:val="left"/>
        <w:rPr>
          <w:rFonts w:ascii="Times New Roman;Times;serif" w:hAnsi="Times New Roman;Times;serif"/>
          <w:b/>
          <w:sz w:val="20"/>
        </w:rPr>
      </w:pPr>
      <w:bookmarkStart w:id="2093" w:name="Item5OtherInformation"/>
      <w:bookmarkStart w:id="2094" w:name="_40878719_baf5_4418_a3d3_896e0d8fe8c4"/>
      <w:bookmarkEnd w:id="2093"/>
      <w:bookmarkEnd w:id="2094"/>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 of the Company's officers or directors adopted, modified or terminated a Rule 10b5-1 trading arrangement or a non-Rule 10b5-1 trading arrangement during the Company's fiscal quarter ended June 30, 2026, as such terms are defined under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18"/>
        </w:rPr>
      </w:pPr>
      <w:bookmarkStart w:id="2095" w:name="Item6Exhibits_900445"/>
      <w:bookmarkStart w:id="2096" w:name="_d4a8c898_4556_41fb_a3bc_1ff6c748a204"/>
      <w:bookmarkEnd w:id="2095"/>
      <w:bookmarkEnd w:id="2096"/>
      <w:r>
        <w:rPr>
          <w:rFonts w:ascii="Times New Roman;Times;serif" w:hAnsi="Times New Roman;Times;serif"/>
          <w:b/>
          <w:sz w:val="18"/>
        </w:rPr>
        <w:t>Item 6.         Exhibits.</w:t>
      </w:r>
    </w:p>
    <w:tbl>
      <w:tblPr>
        <w:tblW w:w="10205" w:type="dxa"/>
        <w:jc w:val="left"/>
        <w:tblInd w:w="0" w:type="dxa"/>
        <w:tblLayout w:type="fixed"/>
        <w:tblCellMar>
          <w:top w:w="0" w:type="dxa"/>
          <w:left w:w="0" w:type="dxa"/>
          <w:bottom w:w="0" w:type="dxa"/>
          <w:right w:w="0" w:type="dxa"/>
        </w:tblCellMar>
      </w:tblPr>
      <w:tblGrid>
        <w:gridCol w:w="791"/>
        <w:gridCol w:w="346"/>
        <w:gridCol w:w="9068"/>
      </w:tblGrid>
      <w:tr>
        <w:trPr/>
        <w:tc>
          <w:tcPr>
            <w:tcW w:w="7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758180" cy="29210"/>
                      <wp:effectExtent l="0" t="0" r="0" b="0"/>
                      <wp:wrapNone/>
                      <wp:docPr id="489" name="Frame489"/>
                      <a:graphic xmlns:a="http://schemas.openxmlformats.org/drawingml/2006/main">
                        <a:graphicData uri="http://schemas.microsoft.com/office/word/2010/wordprocessingShape">
                          <wps:wsp>
                            <wps:cNvSpPr txBox="1"/>
                            <wps:spPr>
                              <a:xfrm>
                                <a:off x="0" y="0"/>
                                <a:ext cx="5758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Exhibit</w:t>
            </w:r>
            <w:r>
              <w:rPr>
                <w:rFonts w:ascii="Times New Roman;Times;serif" w:hAnsi="Times New Roman;Times;serif"/>
                <w:sz w:val="18"/>
              </w:rPr>
              <w:t> </w:t>
              <w:br/>
            </w:r>
            <w:r>
              <w:rPr>
                <w:rFonts w:ascii="Times New Roman;Times;serif" w:hAnsi="Times New Roman;Times;serif"/>
                <w:b/>
                <w:sz w:val="18"/>
              </w:rPr>
              <w:t>No.</w:t>
            </w:r>
          </w:p>
        </w:tc>
        <w:tc>
          <w:tcPr>
            <w:tcW w:w="346" w:type="dxa"/>
            <w:tcBorders/>
            <w:vAlign w:val="center"/>
          </w:tcPr>
          <w:p>
            <w:pPr>
              <w:pStyle w:val="TableContents"/>
              <w:bidi w:val="0"/>
              <w:spacing w:before="0" w:after="0"/>
              <w:ind w:left="0" w:right="0" w:hanging="0"/>
              <w:jc w:val="left"/>
              <w:rPr/>
            </w:pPr>
            <w:r>
              <w:rPr/>
              <w:t>  ​ ​ ​</w:t>
            </w:r>
          </w:p>
        </w:tc>
        <w:tc>
          <w:tcPr>
            <w:tcW w:w="906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r>
              <w:rPr/>
              <w:t>​</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Securities Purchase Agreement, dated as of July 6, 2026, by and among XWELL, Inc., XpresSpa Holdings, LLC, XpresTest, Inc. and Express Wellness Group, LLC (incorporated by reference to Exhibit 2.1 to the Company’s Current Report on Form 8-K filed on July 9, 2026).</w:t>
              </w:r>
            </w:hyperlink>
          </w:p>
        </w:tc>
      </w:tr>
      <w:tr>
        <w:trPr/>
        <w:tc>
          <w:tcPr>
            <w:tcW w:w="79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both"/>
              <w:rPr/>
            </w:pPr>
            <w:r>
              <w:rPr/>
              <w:t>​</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Limited Guaranty, dated as of July 6, 2026, by and between Face Haus LLC and XWELL, Inc. (incorporated by reference to Exhibit 10.1 to the Company’s Current Report on Form 8-K filed on July 9, 2026).</w:t>
              </w:r>
            </w:hyperlink>
          </w:p>
        </w:tc>
      </w:tr>
      <w:tr>
        <w:trPr/>
        <w:tc>
          <w:tcPr>
            <w:tcW w:w="79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both"/>
              <w:rPr/>
            </w:pPr>
            <w:r>
              <w:rPr/>
              <w:t>​</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both"/>
              <w:rPr/>
            </w:pPr>
            <w:hyperlink w:anchor="xwel-20260630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7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283"/>
              <w:ind w:left="0" w:right="0" w:hanging="0"/>
              <w:jc w:val="left"/>
              <w:rPr>
                <w:sz w:val="4"/>
                <w:szCs w:val="4"/>
              </w:rPr>
            </w:pPr>
            <w:r>
              <w:rPr>
                <w:sz w:val="4"/>
                <w:szCs w:val="4"/>
              </w:rPr>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both"/>
              <w:rPr/>
            </w:pPr>
            <w:hyperlink w:anchor="xwel-20260630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both"/>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both"/>
              <w:rPr/>
            </w:pPr>
            <w:hyperlink w:anchor="xwel-20260630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both"/>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r>
      <w:tr>
        <w:trPr/>
        <w:tc>
          <w:tcPr>
            <w:tcW w:w="79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pPr>
            <w:r>
              <w:rPr/>
              <w:t> </w:t>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46" w:type="dxa"/>
            <w:tcBorders/>
            <w:vAlign w:val="center"/>
          </w:tcPr>
          <w:p>
            <w:pPr>
              <w:pStyle w:val="TableContents"/>
              <w:bidi w:val="0"/>
              <w:spacing w:before="0" w:after="0"/>
              <w:ind w:left="0" w:right="0" w:hanging="0"/>
              <w:jc w:val="left"/>
              <w:rPr/>
            </w:pPr>
            <w:r>
              <w:rPr/>
              <w:t> </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r>
      <w:tr>
        <w:trPr/>
        <w:tc>
          <w:tcPr>
            <w:tcW w:w="7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283"/>
              <w:ind w:left="0" w:right="0" w:hanging="0"/>
              <w:jc w:val="left"/>
              <w:rPr>
                <w:sz w:val="4"/>
                <w:szCs w:val="4"/>
              </w:rPr>
            </w:pPr>
            <w:r>
              <w:rPr>
                <w:sz w:val="4"/>
                <w:szCs w:val="4"/>
              </w:rPr>
            </w:r>
          </w:p>
        </w:tc>
      </w:tr>
      <w:tr>
        <w:trPr/>
        <w:tc>
          <w:tcPr>
            <w:tcW w:w="79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4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bl>
    <w:tbl>
      <w:tblPr>
        <w:tblW w:w="1806" w:type="dxa"/>
        <w:jc w:val="left"/>
        <w:tblInd w:w="0" w:type="dxa"/>
        <w:tblLayout w:type="fixed"/>
        <w:tblCellMar>
          <w:top w:w="0" w:type="dxa"/>
          <w:left w:w="0" w:type="dxa"/>
          <w:bottom w:w="0" w:type="dxa"/>
          <w:right w:w="0" w:type="dxa"/>
        </w:tblCellMar>
      </w:tblPr>
      <w:tblGrid>
        <w:gridCol w:w="301"/>
        <w:gridCol w:w="109"/>
        <w:gridCol w:w="1396"/>
      </w:tblGrid>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Filed herewith.</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Furnished herein.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097" w:name="_8c21716c_6509_4adf_b304_2c5620c2b9f9"/>
      <w:bookmarkEnd w:id="2097"/>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695" w:type="dxa"/>
        <w:jc w:val="left"/>
        <w:tblInd w:w="0" w:type="dxa"/>
        <w:tblLayout w:type="fixed"/>
        <w:tblCellMar>
          <w:top w:w="0" w:type="dxa"/>
          <w:left w:w="0" w:type="dxa"/>
          <w:bottom w:w="0" w:type="dxa"/>
          <w:right w:w="0" w:type="dxa"/>
        </w:tblCellMar>
      </w:tblPr>
      <w:tblGrid>
        <w:gridCol w:w="556"/>
        <w:gridCol w:w="1456"/>
        <w:gridCol w:w="346"/>
        <w:gridCol w:w="406"/>
        <w:gridCol w:w="393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right"/>
        <w:rPr>
          <w:rFonts w:ascii="Times New Roman;Times;serif" w:hAnsi="Times New Roman;Times;serif"/>
          <w:b/>
          <w:sz w:val="20"/>
        </w:rPr>
      </w:pPr>
      <w:bookmarkStart w:id="2098" w:name="xwel-20260630xex31d1.htm"/>
      <w:bookmarkStart w:id="2099" w:name="ksxwel20260630xex31d1"/>
      <w:bookmarkEnd w:id="2098"/>
      <w:bookmarkEnd w:id="2099"/>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sz w:val="20"/>
        </w:rPr>
        <w:t>CERTIFICATION OF PRINCIPAL EXECUTIVE OFFICER</w:t>
      </w:r>
      <w:r>
        <w:rPr>
          <w:rFonts w:ascii="Times New Roman;Times;serif" w:hAnsi="Times New Roman;Times;serif"/>
          <w:sz w:val="20"/>
        </w:rPr>
        <w:br/>
      </w:r>
      <w:r>
        <w:rPr>
          <w:rFonts w:ascii="Times New Roman;Times;serif" w:hAnsi="Times New Roman;Times;serif"/>
          <w:b/>
          <w:sz w:val="20"/>
        </w:rPr>
        <w:t>PURSUANT TO SECTION 302 OF</w:t>
      </w:r>
      <w:r>
        <w:rPr>
          <w:rFonts w:ascii="Times New Roman;Times;serif" w:hAnsi="Times New Roman;Times;serif"/>
          <w:sz w:val="20"/>
        </w:rPr>
        <w:br/>
      </w:r>
      <w:r>
        <w:rPr>
          <w:rFonts w:ascii="Times New Roman;Times;serif" w:hAnsi="Times New Roman;Times;serif"/>
          <w:b/>
          <w:sz w:val="20"/>
        </w:rPr>
        <w:t>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Ezra T. Ernst,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Dated: August 14, 2026</w:t>
      </w:r>
    </w:p>
    <w:tbl>
      <w:tblPr>
        <w:tblW w:w="3573" w:type="dxa"/>
        <w:jc w:val="center"/>
        <w:tblInd w:w="0" w:type="dxa"/>
        <w:tblLayout w:type="fixed"/>
        <w:tblCellMar>
          <w:top w:w="0" w:type="dxa"/>
          <w:left w:w="0" w:type="dxa"/>
          <w:bottom w:w="0" w:type="dxa"/>
          <w:right w:w="0" w:type="dxa"/>
        </w:tblCellMar>
      </w:tblPr>
      <w:tblGrid>
        <w:gridCol w:w="124"/>
        <w:gridCol w:w="854"/>
        <w:gridCol w:w="2205"/>
        <w:gridCol w:w="39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059" w:type="dxa"/>
            <w:gridSpan w:val="2"/>
            <w:tcBorders/>
            <w:vAlign w:val="center"/>
          </w:tcPr>
          <w:p>
            <w:pPr>
              <w:pStyle w:val="TableContents"/>
              <w:bidi w:val="0"/>
              <w:spacing w:before="0" w:after="283"/>
              <w:ind w:left="0" w:right="0" w:hanging="0"/>
              <w:jc w:val="left"/>
              <w:rPr>
                <w:sz w:val="4"/>
                <w:szCs w:val="4"/>
              </w:rPr>
            </w:pPr>
            <w:r>
              <w:rPr>
                <w:sz w:val="4"/>
                <w:szCs w:val="4"/>
              </w:rPr>
            </w:r>
          </w:p>
        </w:tc>
        <w:tc>
          <w:tcPr>
            <w:tcW w:w="39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059" w:type="dxa"/>
            <w:gridSpan w:val="2"/>
            <w:tcBorders/>
            <w:vAlign w:val="center"/>
          </w:tcPr>
          <w:p>
            <w:pPr>
              <w:pStyle w:val="TableContents"/>
              <w:bidi w:val="0"/>
              <w:spacing w:before="0" w:after="283"/>
              <w:ind w:left="0" w:right="0" w:hanging="0"/>
              <w:jc w:val="left"/>
              <w:rPr>
                <w:sz w:val="4"/>
                <w:szCs w:val="4"/>
              </w:rPr>
            </w:pPr>
            <w:r>
              <w:rPr>
                <w:sz w:val="4"/>
                <w:szCs w:val="4"/>
              </w:rPr>
            </w:r>
          </w:p>
        </w:tc>
        <w:tc>
          <w:tcPr>
            <w:tcW w:w="39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059" w:type="dxa"/>
            <w:gridSpan w:val="2"/>
            <w:tcBorders>
              <w:bottom w:val="single" w:sz="8" w:space="0" w:color="000000"/>
            </w:tcBorders>
            <w:tcMar>
              <w:bottom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EZRA T. ERNST</w:t>
            </w:r>
          </w:p>
        </w:tc>
        <w:tc>
          <w:tcPr>
            <w:tcW w:w="390" w:type="dxa"/>
            <w:tcBorders/>
            <w:vAlign w:val="center"/>
          </w:tcPr>
          <w:p>
            <w:pPr>
              <w:pStyle w:val="TableContents"/>
              <w:bidi w:val="0"/>
              <w:spacing w:before="0" w:after="283"/>
              <w:jc w:val="left"/>
              <w:rPr>
                <w:sz w:val="4"/>
                <w:szCs w:val="4"/>
              </w:rPr>
            </w:pPr>
            <w:r>
              <w:rPr>
                <w:sz w:val="4"/>
                <w:szCs w:val="4"/>
              </w:rPr>
            </w:r>
          </w:p>
        </w:tc>
      </w:tr>
      <w:tr>
        <w:trPr/>
        <w:tc>
          <w:tcPr>
            <w:tcW w:w="3573"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978" w:type="dxa"/>
            <w:gridSpan w:val="2"/>
            <w:tcBorders/>
            <w:vAlign w:val="center"/>
          </w:tcPr>
          <w:p>
            <w:pPr>
              <w:pStyle w:val="TableContents"/>
              <w:bidi w:val="0"/>
              <w:spacing w:before="0" w:after="283"/>
              <w:ind w:left="0" w:right="0" w:hanging="0"/>
              <w:jc w:val="left"/>
              <w:rPr>
                <w:sz w:val="4"/>
                <w:szCs w:val="4"/>
              </w:rPr>
            </w:pPr>
            <w:r>
              <w:rPr>
                <w:sz w:val="4"/>
                <w:szCs w:val="4"/>
              </w:rPr>
            </w:r>
          </w:p>
        </w:tc>
        <w:tc>
          <w:tcPr>
            <w:tcW w:w="2595"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r>
      <w:tr>
        <w:trPr/>
        <w:tc>
          <w:tcPr>
            <w:tcW w:w="978" w:type="dxa"/>
            <w:gridSpan w:val="2"/>
            <w:tcBorders/>
            <w:vAlign w:val="center"/>
          </w:tcPr>
          <w:p>
            <w:pPr>
              <w:pStyle w:val="TableContents"/>
              <w:bidi w:val="0"/>
              <w:spacing w:before="0" w:after="283"/>
              <w:ind w:left="0" w:right="0" w:hanging="0"/>
              <w:jc w:val="left"/>
              <w:rPr>
                <w:sz w:val="4"/>
                <w:szCs w:val="4"/>
              </w:rPr>
            </w:pPr>
            <w:r>
              <w:rPr>
                <w:sz w:val="4"/>
                <w:szCs w:val="4"/>
              </w:rPr>
            </w:r>
          </w:p>
        </w:tc>
        <w:tc>
          <w:tcPr>
            <w:tcW w:w="2595" w:type="dxa"/>
            <w:gridSpan w:val="2"/>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00" w:name="xwel-20260630xex31d2.htm"/>
      <w:bookmarkStart w:id="2101" w:name="ksxwel20260630xex31d2"/>
      <w:bookmarkEnd w:id="2100"/>
      <w:bookmarkEnd w:id="2101"/>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sz w:val="20"/>
        </w:rPr>
        <w:t>CERTIFICATION OF PRINCIPAL FINANCIAL OFFICER</w:t>
      </w:r>
      <w:r>
        <w:rPr>
          <w:rFonts w:ascii="Times New Roman;Times;serif" w:hAnsi="Times New Roman;Times;serif"/>
          <w:sz w:val="20"/>
        </w:rPr>
        <w:br/>
      </w:r>
      <w:r>
        <w:rPr>
          <w:rFonts w:ascii="Times New Roman;Times;serif" w:hAnsi="Times New Roman;Times;serif"/>
          <w:b/>
          <w:sz w:val="20"/>
        </w:rPr>
        <w:t>PURSUANT TO SECTION 302 OF</w:t>
      </w:r>
      <w:r>
        <w:rPr>
          <w:rFonts w:ascii="Times New Roman;Times;serif" w:hAnsi="Times New Roman;Times;serif"/>
          <w:sz w:val="20"/>
        </w:rPr>
        <w:br/>
      </w:r>
      <w:r>
        <w:rPr>
          <w:rFonts w:ascii="Times New Roman;Times;serif" w:hAnsi="Times New Roman;Times;serif"/>
          <w:b/>
          <w:sz w:val="20"/>
        </w:rPr>
        <w:t>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Ian Brown,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Dated: August 14, 2026</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8" w:space="0" w:color="000000"/>
            </w:tcBorders>
            <w:tcMar>
              <w:bottom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02" w:name="xwel-20260630xex32.htm"/>
      <w:bookmarkStart w:id="2103" w:name="ksxwel20260630xex32"/>
      <w:bookmarkEnd w:id="2102"/>
      <w:bookmarkEnd w:id="2103"/>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CERTIFICATIONS OF PRINCIPAL EXECUTIVE OFFICER AND PRINCIPAL FINANCIAL OFFICER</w:t>
      </w:r>
      <w:r>
        <w:rPr>
          <w:rFonts w:ascii="Times New Roman;Times;serif" w:hAnsi="Times New Roman;Times;serif"/>
          <w:sz w:val="20"/>
        </w:rPr>
        <w:br/>
      </w:r>
      <w:r>
        <w:rPr>
          <w:rFonts w:ascii="Times New Roman;Times;serif" w:hAnsi="Times New Roman;Times;serif"/>
          <w:b/>
          <w:sz w:val="20"/>
        </w:rPr>
        <w:t>PURSUANT TO 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August 14, 2026</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2" w:space="0" w:color="000000"/>
            </w:tcBorders>
            <w:tcMar>
              <w:bottom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top w:val="single" w:sz="2" w:space="0" w:color="000000"/>
            </w:tcBorders>
            <w:tcMar>
              <w:top w:w="28" w:type="dxa"/>
            </w:tcMar>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2" w:space="0" w:color="000000"/>
            </w:tcBorders>
            <w:tcMar>
              <w:bottom w:w="28"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top w:val="single" w:sz="2" w:space="0" w:color="000000"/>
            </w:tcBorders>
            <w:tcMar>
              <w:top w:w="28" w:type="dxa"/>
            </w:tcMar>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Ian Brown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0465926082254/tm2619967d1_ex2-1.htm" TargetMode="External"/><Relationship Id="rId3" Type="http://schemas.openxmlformats.org/officeDocument/2006/relationships/hyperlink" Target="https://www.sec.gov/Archives/edgar/data/1410428/000110465926082254/tm2619967d1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18142</Words>
  <Characters>98381</Characters>
  <CharactersWithSpaces>119828</CharactersWithSpaces>
  <Paragraphs>7035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