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6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tabs>
          <w:tab w:leader="none" w:pos="220" w:val="left"/>
        </w:tabs>
        <w:rPr>
          <w:sz w:val="20"/>
          <w:szCs w:val="20"/>
          <w:color w:val="auto"/>
        </w:rPr>
      </w:pPr>
      <w:r>
        <w:rPr>
          <w:rFonts w:ascii="Arial" w:cs="Arial" w:eastAsia="Arial" w:hAnsi="Arial"/>
          <w:sz w:val="18"/>
          <w:szCs w:val="18"/>
          <w:b w:val="1"/>
          <w:bCs w:val="1"/>
          <w:color w:val="auto"/>
        </w:rPr>
        <w:t>(Amendment No.</w:t>
        <w:tab/>
        <w:t>)*</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Vringo,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$0.01 per share</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92911N104</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25, 2010</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13d-1(d)</w:t>
      </w:r>
    </w:p>
    <w:p>
      <w:pPr>
        <w:spacing w:after="0" w:line="279"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12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ind w:left="60"/>
              <w:spacing w:after="0"/>
              <w:rPr>
                <w:sz w:val="20"/>
                <w:szCs w:val="20"/>
                <w:color w:val="auto"/>
              </w:rPr>
            </w:pPr>
            <w:r>
              <w:rPr>
                <w:rFonts w:ascii="Arial" w:cs="Arial" w:eastAsia="Arial" w:hAnsi="Arial"/>
                <w:sz w:val="18"/>
                <w:szCs w:val="18"/>
                <w:color w:val="auto"/>
              </w:rPr>
              <w:t>CUSIP No. 92911N104</w:t>
            </w:r>
          </w:p>
        </w:tc>
        <w:tc>
          <w:tcPr>
            <w:tcW w:w="7740" w:type="dxa"/>
            <w:vAlign w:val="bottom"/>
          </w:tcPr>
          <w:p>
            <w:pPr>
              <w:ind w:left="1900"/>
              <w:spacing w:after="0"/>
              <w:rPr>
                <w:sz w:val="20"/>
                <w:szCs w:val="20"/>
                <w:color w:val="auto"/>
              </w:rPr>
            </w:pPr>
            <w:r>
              <w:rPr>
                <w:rFonts w:ascii="Arial" w:cs="Arial" w:eastAsia="Arial" w:hAnsi="Arial"/>
                <w:sz w:val="18"/>
                <w:szCs w:val="18"/>
                <w:color w:val="auto"/>
              </w:rPr>
              <w:t>13G</w:t>
            </w:r>
          </w:p>
        </w:tc>
      </w:tr>
      <w:tr>
        <w:trPr>
          <w:trHeight w:val="54"/>
        </w:trPr>
        <w:tc>
          <w:tcPr>
            <w:tcW w:w="3680" w:type="dxa"/>
            <w:vAlign w:val="bottom"/>
            <w:tcBorders>
              <w:bottom w:val="single" w:sz="8" w:color="auto"/>
            </w:tcBorders>
          </w:tcPr>
          <w:p>
            <w:pPr>
              <w:spacing w:after="0"/>
              <w:rPr>
                <w:sz w:val="4"/>
                <w:szCs w:val="4"/>
                <w:color w:val="auto"/>
              </w:rPr>
            </w:pPr>
          </w:p>
        </w:tc>
        <w:tc>
          <w:tcPr>
            <w:tcW w:w="7740" w:type="dxa"/>
            <w:vAlign w:val="bottom"/>
            <w:tcBorders>
              <w:bottom w:val="single" w:sz="8" w:color="auto"/>
            </w:tcBorders>
          </w:tcPr>
          <w:p>
            <w:pPr>
              <w:spacing w:after="0"/>
              <w:rPr>
                <w:sz w:val="4"/>
                <w:szCs w:val="4"/>
                <w:color w:val="auto"/>
              </w:rPr>
            </w:pPr>
          </w:p>
        </w:tc>
      </w:tr>
    </w:tbl>
    <w:p>
      <w:pPr>
        <w:spacing w:after="0" w:line="364"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60" w:right="6240"/>
        <w:spacing w:after="0" w:line="250" w:lineRule="auto"/>
        <w:rPr>
          <w:rFonts w:ascii="Arial" w:cs="Arial" w:eastAsia="Arial" w:hAnsi="Arial"/>
          <w:sz w:val="18"/>
          <w:szCs w:val="18"/>
          <w:color w:val="auto"/>
        </w:rPr>
      </w:pPr>
      <w:r>
        <w:rPr>
          <w:rFonts w:ascii="Arial" w:cs="Arial" w:eastAsia="Arial" w:hAnsi="Arial"/>
          <w:sz w:val="18"/>
          <w:szCs w:val="18"/>
          <w:color w:val="auto"/>
        </w:rPr>
        <w:t>I.R.S. Identification No. of Above Person (Entities Only) Warburg Pincus Private Equity IX, L.P.</w:t>
      </w:r>
    </w:p>
    <w:p>
      <w:pPr>
        <w:ind w:left="1060"/>
        <w:spacing w:after="0"/>
        <w:rPr>
          <w:rFonts w:ascii="Arial" w:cs="Arial" w:eastAsia="Arial" w:hAnsi="Arial"/>
          <w:sz w:val="18"/>
          <w:szCs w:val="18"/>
          <w:color w:val="auto"/>
        </w:rPr>
      </w:pPr>
      <w:r>
        <w:rPr>
          <w:rFonts w:ascii="Arial" w:cs="Arial" w:eastAsia="Arial" w:hAnsi="Arial"/>
          <w:sz w:val="18"/>
          <w:szCs w:val="18"/>
          <w:color w:val="auto"/>
        </w:rPr>
        <w:t>I.R.S. #20-2976029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left="1060" w:hanging="62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-164465</wp:posOffset>
            </wp:positionV>
            <wp:extent cx="62090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left="1060" w:hanging="62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left="1060" w:right="7740" w:hanging="620"/>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20"/>
          </w:cols>
          <w:pgMar w:left="240" w:top="436" w:right="239" w:bottom="0" w:gutter="0" w:footer="0" w:header="0"/>
        </w:sectPr>
      </w:pPr>
    </w:p>
    <w:p>
      <w:pPr>
        <w:spacing w:after="0" w:line="400"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840,116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840,116</w:t>
      </w:r>
    </w:p>
    <w:p>
      <w:pPr>
        <w:spacing w:after="0" w:line="20" w:lineRule="exact"/>
        <w:rPr>
          <w:sz w:val="24"/>
          <w:szCs w:val="24"/>
          <w:color w:val="auto"/>
        </w:rPr>
      </w:pPr>
    </w:p>
    <w:p>
      <w:pPr>
        <w:sectPr>
          <w:pgSz w:w="11900" w:h="16838" w:orient="portrait"/>
          <w:cols w:equalWidth="0" w:num="2">
            <w:col w:w="1760" w:space="480"/>
            <w:col w:w="9180"/>
          </w:cols>
          <w:pgMar w:left="240" w:top="436" w:right="239" w:bottom="0" w:gutter="0" w:footer="0" w:header="0"/>
          <w:type w:val="continuous"/>
        </w:sectPr>
      </w:pPr>
    </w:p>
    <w:bookmarkStart w:id="1" w:name="page2"/>
    <w:bookmarkEnd w:id="1"/>
    <w:p>
      <w:pPr>
        <w:ind w:left="1060" w:right="5560" w:hanging="620"/>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840,116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right="4980" w:hanging="620"/>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386"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16.5%</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-1057275</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 BEFORE FILLING OUT!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ind w:left="60"/>
              <w:spacing w:after="0"/>
              <w:rPr>
                <w:sz w:val="20"/>
                <w:szCs w:val="20"/>
                <w:color w:val="auto"/>
              </w:rPr>
            </w:pPr>
            <w:r>
              <w:rPr>
                <w:rFonts w:ascii="Arial" w:cs="Arial" w:eastAsia="Arial" w:hAnsi="Arial"/>
                <w:sz w:val="18"/>
                <w:szCs w:val="18"/>
                <w:color w:val="auto"/>
              </w:rPr>
              <w:t>CUSIP No. 92911N104</w:t>
            </w:r>
          </w:p>
        </w:tc>
        <w:tc>
          <w:tcPr>
            <w:tcW w:w="7740" w:type="dxa"/>
            <w:vAlign w:val="bottom"/>
          </w:tcPr>
          <w:p>
            <w:pPr>
              <w:ind w:left="1900"/>
              <w:spacing w:after="0"/>
              <w:rPr>
                <w:sz w:val="20"/>
                <w:szCs w:val="20"/>
                <w:color w:val="auto"/>
              </w:rPr>
            </w:pPr>
            <w:r>
              <w:rPr>
                <w:rFonts w:ascii="Arial" w:cs="Arial" w:eastAsia="Arial" w:hAnsi="Arial"/>
                <w:sz w:val="18"/>
                <w:szCs w:val="18"/>
                <w:color w:val="auto"/>
              </w:rPr>
              <w:t>13G</w:t>
            </w:r>
          </w:p>
        </w:tc>
      </w:tr>
      <w:tr>
        <w:trPr>
          <w:trHeight w:val="54"/>
        </w:trPr>
        <w:tc>
          <w:tcPr>
            <w:tcW w:w="3680" w:type="dxa"/>
            <w:vAlign w:val="bottom"/>
            <w:tcBorders>
              <w:bottom w:val="single" w:sz="8" w:color="auto"/>
            </w:tcBorders>
          </w:tcPr>
          <w:p>
            <w:pPr>
              <w:spacing w:after="0"/>
              <w:rPr>
                <w:sz w:val="4"/>
                <w:szCs w:val="4"/>
                <w:color w:val="auto"/>
              </w:rPr>
            </w:pPr>
          </w:p>
        </w:tc>
        <w:tc>
          <w:tcPr>
            <w:tcW w:w="774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hanging="620"/>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60" w:right="6240"/>
        <w:spacing w:after="0" w:line="250" w:lineRule="auto"/>
        <w:rPr>
          <w:rFonts w:ascii="Arial" w:cs="Arial" w:eastAsia="Arial" w:hAnsi="Arial"/>
          <w:sz w:val="18"/>
          <w:szCs w:val="18"/>
          <w:color w:val="auto"/>
        </w:rPr>
      </w:pPr>
      <w:r>
        <w:rPr>
          <w:rFonts w:ascii="Arial" w:cs="Arial" w:eastAsia="Arial" w:hAnsi="Arial"/>
          <w:sz w:val="18"/>
          <w:szCs w:val="18"/>
          <w:color w:val="auto"/>
        </w:rPr>
        <w:t>I.R.S. Identification No. of Above Person (Entities Only) Warburg Pincus IX, LLC</w:t>
      </w:r>
    </w:p>
    <w:p>
      <w:pPr>
        <w:ind w:left="1060"/>
        <w:spacing w:after="0"/>
        <w:rPr>
          <w:rFonts w:ascii="Arial" w:cs="Arial" w:eastAsia="Arial" w:hAnsi="Arial"/>
          <w:sz w:val="18"/>
          <w:szCs w:val="18"/>
          <w:color w:val="auto"/>
        </w:rPr>
      </w:pPr>
      <w:r>
        <w:rPr>
          <w:rFonts w:ascii="Arial" w:cs="Arial" w:eastAsia="Arial" w:hAnsi="Arial"/>
          <w:sz w:val="18"/>
          <w:szCs w:val="18"/>
          <w:color w:val="auto"/>
        </w:rPr>
        <w:t>I.R.S. #20-2975945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60" w:hanging="620"/>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9"/>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9"/>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-164465</wp:posOffset>
            </wp:positionV>
            <wp:extent cx="62090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20"/>
          </w:cols>
          <w:pgMar w:left="240" w:top="490" w:right="239" w:bottom="0" w:gutter="0" w:footer="0" w:header="0"/>
        </w:sectPr>
      </w:pPr>
    </w:p>
    <w:p>
      <w:pPr>
        <w:spacing w:after="0" w:line="40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840,116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840,116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60" w:space="480"/>
            <w:col w:w="9180"/>
          </w:cols>
          <w:pgMar w:left="240" w:top="490" w:right="239" w:bottom="0" w:gutter="0" w:footer="0" w:header="0"/>
          <w:type w:val="continuous"/>
        </w:sectPr>
      </w:pPr>
    </w:p>
    <w:p>
      <w:pPr>
        <w:spacing w:after="0" w:line="227" w:lineRule="exact"/>
        <w:rPr>
          <w:sz w:val="20"/>
          <w:szCs w:val="20"/>
          <w:color w:val="auto"/>
        </w:rPr>
      </w:pPr>
    </w:p>
    <w:p>
      <w:pPr>
        <w:ind w:left="1060" w:right="5560" w:hanging="620"/>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840,116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right="4980" w:hanging="620"/>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386"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16.5%</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-361950</wp:posOffset>
            </wp:positionV>
            <wp:extent cx="6612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-910590</wp:posOffset>
            </wp:positionV>
            <wp:extent cx="6612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20"/>
          </w:cols>
          <w:pgMar w:left="240" w:top="490" w:right="239" w:bottom="0" w:gutter="0" w:footer="0" w:header="0"/>
          <w:type w:val="continuous"/>
        </w:sectPr>
      </w:pPr>
    </w:p>
    <w:bookmarkStart w:id="2" w:name="page3"/>
    <w:bookmarkEnd w:id="2"/>
    <w:p>
      <w:pPr>
        <w:ind w:left="1060"/>
        <w:spacing w:after="0"/>
        <w:rPr>
          <w:sz w:val="20"/>
          <w:szCs w:val="20"/>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1826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 BEFORE FILLING OUT!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ind w:left="60"/>
              <w:spacing w:after="0"/>
              <w:rPr>
                <w:sz w:val="20"/>
                <w:szCs w:val="20"/>
                <w:color w:val="auto"/>
              </w:rPr>
            </w:pPr>
            <w:r>
              <w:rPr>
                <w:rFonts w:ascii="Arial" w:cs="Arial" w:eastAsia="Arial" w:hAnsi="Arial"/>
                <w:sz w:val="18"/>
                <w:szCs w:val="18"/>
                <w:color w:val="auto"/>
              </w:rPr>
              <w:t>CUSIP No. 92911N104</w:t>
            </w:r>
          </w:p>
        </w:tc>
        <w:tc>
          <w:tcPr>
            <w:tcW w:w="7740" w:type="dxa"/>
            <w:vAlign w:val="bottom"/>
          </w:tcPr>
          <w:p>
            <w:pPr>
              <w:ind w:left="1900"/>
              <w:spacing w:after="0"/>
              <w:rPr>
                <w:sz w:val="20"/>
                <w:szCs w:val="20"/>
                <w:color w:val="auto"/>
              </w:rPr>
            </w:pPr>
            <w:r>
              <w:rPr>
                <w:rFonts w:ascii="Arial" w:cs="Arial" w:eastAsia="Arial" w:hAnsi="Arial"/>
                <w:sz w:val="18"/>
                <w:szCs w:val="18"/>
                <w:color w:val="auto"/>
              </w:rPr>
              <w:t>13G</w:t>
            </w:r>
          </w:p>
        </w:tc>
      </w:tr>
      <w:tr>
        <w:trPr>
          <w:trHeight w:val="54"/>
        </w:trPr>
        <w:tc>
          <w:tcPr>
            <w:tcW w:w="3680" w:type="dxa"/>
            <w:vAlign w:val="bottom"/>
            <w:tcBorders>
              <w:bottom w:val="single" w:sz="8" w:color="auto"/>
            </w:tcBorders>
          </w:tcPr>
          <w:p>
            <w:pPr>
              <w:spacing w:after="0"/>
              <w:rPr>
                <w:sz w:val="4"/>
                <w:szCs w:val="4"/>
                <w:color w:val="auto"/>
              </w:rPr>
            </w:pPr>
          </w:p>
        </w:tc>
        <w:tc>
          <w:tcPr>
            <w:tcW w:w="774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hanging="620"/>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60" w:right="6240"/>
        <w:spacing w:after="0" w:line="250" w:lineRule="auto"/>
        <w:rPr>
          <w:rFonts w:ascii="Arial" w:cs="Arial" w:eastAsia="Arial" w:hAnsi="Arial"/>
          <w:sz w:val="18"/>
          <w:szCs w:val="18"/>
          <w:color w:val="auto"/>
        </w:rPr>
      </w:pPr>
      <w:r>
        <w:rPr>
          <w:rFonts w:ascii="Arial" w:cs="Arial" w:eastAsia="Arial" w:hAnsi="Arial"/>
          <w:sz w:val="18"/>
          <w:szCs w:val="18"/>
          <w:color w:val="auto"/>
        </w:rPr>
        <w:t>I.R.S. Identification No. of Above Person (Entities Only) Warburg Pincus &amp; Co.</w:t>
      </w:r>
    </w:p>
    <w:p>
      <w:pPr>
        <w:ind w:left="1060"/>
        <w:spacing w:after="0"/>
        <w:rPr>
          <w:rFonts w:ascii="Arial" w:cs="Arial" w:eastAsia="Arial" w:hAnsi="Arial"/>
          <w:sz w:val="18"/>
          <w:szCs w:val="18"/>
          <w:color w:val="auto"/>
        </w:rPr>
      </w:pPr>
      <w:r>
        <w:rPr>
          <w:rFonts w:ascii="Arial" w:cs="Arial" w:eastAsia="Arial" w:hAnsi="Arial"/>
          <w:sz w:val="18"/>
          <w:szCs w:val="18"/>
          <w:color w:val="auto"/>
        </w:rPr>
        <w:t>I.R.S. #13-6358475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60" w:hanging="620"/>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-164465</wp:posOffset>
            </wp:positionV>
            <wp:extent cx="62090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 or Place of Organization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40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840,116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840,116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60" w:space="480"/>
            <w:col w:w="9180"/>
          </w:cols>
          <w:pgMar w:left="240" w:top="125" w:right="239" w:bottom="0" w:gutter="0" w:footer="0" w:header="0"/>
          <w:type w:val="continuous"/>
        </w:sectPr>
      </w:pPr>
    </w:p>
    <w:p>
      <w:pPr>
        <w:spacing w:after="0" w:line="227" w:lineRule="exact"/>
        <w:rPr>
          <w:sz w:val="20"/>
          <w:szCs w:val="20"/>
          <w:color w:val="auto"/>
        </w:rPr>
      </w:pPr>
    </w:p>
    <w:p>
      <w:pPr>
        <w:ind w:left="1060" w:right="5560" w:hanging="620"/>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840,116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right="4980" w:hanging="620"/>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386"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 of Class Represented by Amount in Row 9 16.5%</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-1057275</wp:posOffset>
            </wp:positionV>
            <wp:extent cx="6612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 BEFORE FILLING OUT!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ind w:left="60"/>
              <w:spacing w:after="0"/>
              <w:rPr>
                <w:sz w:val="20"/>
                <w:szCs w:val="20"/>
                <w:color w:val="auto"/>
              </w:rPr>
            </w:pPr>
            <w:r>
              <w:rPr>
                <w:rFonts w:ascii="Arial" w:cs="Arial" w:eastAsia="Arial" w:hAnsi="Arial"/>
                <w:sz w:val="18"/>
                <w:szCs w:val="18"/>
                <w:color w:val="auto"/>
              </w:rPr>
              <w:t>CUSIP No. 92911N104</w:t>
            </w:r>
          </w:p>
        </w:tc>
        <w:tc>
          <w:tcPr>
            <w:tcW w:w="7740" w:type="dxa"/>
            <w:vAlign w:val="bottom"/>
          </w:tcPr>
          <w:p>
            <w:pPr>
              <w:ind w:left="1900"/>
              <w:spacing w:after="0"/>
              <w:rPr>
                <w:sz w:val="20"/>
                <w:szCs w:val="20"/>
                <w:color w:val="auto"/>
              </w:rPr>
            </w:pPr>
            <w:r>
              <w:rPr>
                <w:rFonts w:ascii="Arial" w:cs="Arial" w:eastAsia="Arial" w:hAnsi="Arial"/>
                <w:sz w:val="18"/>
                <w:szCs w:val="18"/>
                <w:color w:val="auto"/>
              </w:rPr>
              <w:t>13G</w:t>
            </w:r>
          </w:p>
        </w:tc>
      </w:tr>
      <w:tr>
        <w:trPr>
          <w:trHeight w:val="54"/>
        </w:trPr>
        <w:tc>
          <w:tcPr>
            <w:tcW w:w="3680" w:type="dxa"/>
            <w:vAlign w:val="bottom"/>
            <w:tcBorders>
              <w:bottom w:val="single" w:sz="8" w:color="auto"/>
            </w:tcBorders>
          </w:tcPr>
          <w:p>
            <w:pPr>
              <w:spacing w:after="0"/>
              <w:rPr>
                <w:sz w:val="4"/>
                <w:szCs w:val="4"/>
                <w:color w:val="auto"/>
              </w:rPr>
            </w:pPr>
          </w:p>
        </w:tc>
        <w:tc>
          <w:tcPr>
            <w:tcW w:w="774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hanging="620"/>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I.R.S. Identification No. of Above Person (Entities Only)</w:t>
      </w:r>
    </w:p>
    <w:p>
      <w:pPr>
        <w:sectPr>
          <w:pgSz w:w="11900" w:h="16838" w:orient="portrait"/>
          <w:cols w:equalWidth="0" w:num="1">
            <w:col w:w="11420"/>
          </w:cols>
          <w:pgMar w:left="240" w:top="125" w:right="239" w:bottom="0" w:gutter="0" w:footer="0" w:header="0"/>
          <w:type w:val="continuous"/>
        </w:sectPr>
      </w:pPr>
    </w:p>
    <w:bookmarkStart w:id="3" w:name="page4"/>
    <w:bookmarkEnd w:id="3"/>
    <w:p>
      <w:pPr>
        <w:ind w:left="1060"/>
        <w:spacing w:after="0"/>
        <w:rPr>
          <w:sz w:val="20"/>
          <w:szCs w:val="20"/>
          <w:color w:val="auto"/>
        </w:rPr>
      </w:pPr>
      <w:r>
        <w:rPr>
          <w:rFonts w:ascii="Arial" w:cs="Arial" w:eastAsia="Arial" w:hAnsi="Arial"/>
          <w:sz w:val="18"/>
          <w:szCs w:val="18"/>
          <w:color w:val="auto"/>
        </w:rPr>
        <w:t>Warburg Pincus LLC</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I.R.S. #13-3536050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60" w:hanging="620"/>
        <w:spacing w:after="0"/>
        <w:tabs>
          <w:tab w:leader="none" w:pos="10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Check the Appropriate Box if a Member of a Group*</w:t>
      </w:r>
    </w:p>
    <w:p>
      <w:pPr>
        <w:spacing w:after="0" w:line="140" w:lineRule="exact"/>
        <w:rPr>
          <w:rFonts w:ascii="Arial" w:cs="Arial" w:eastAsia="Arial" w:hAnsi="Arial"/>
          <w:sz w:val="16"/>
          <w:szCs w:val="16"/>
          <w:color w:val="auto"/>
        </w:rPr>
      </w:pPr>
    </w:p>
    <w:p>
      <w:pPr>
        <w:ind w:left="1700" w:hanging="639"/>
        <w:spacing w:after="0"/>
        <w:tabs>
          <w:tab w:leader="none" w:pos="1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-164465</wp:posOffset>
            </wp:positionV>
            <wp:extent cx="62090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40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840,116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840,116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60" w:space="480"/>
            <w:col w:w="9180"/>
          </w:cols>
          <w:pgMar w:left="240" w:top="125" w:right="239" w:bottom="0" w:gutter="0" w:footer="0" w:header="0"/>
          <w:type w:val="continuous"/>
        </w:sectPr>
      </w:pPr>
    </w:p>
    <w:p>
      <w:pPr>
        <w:spacing w:after="0" w:line="227" w:lineRule="exact"/>
        <w:rPr>
          <w:sz w:val="20"/>
          <w:szCs w:val="20"/>
          <w:color w:val="auto"/>
        </w:rPr>
      </w:pPr>
    </w:p>
    <w:p>
      <w:pPr>
        <w:ind w:left="1060" w:right="5560" w:hanging="620"/>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840,116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right="4980" w:hanging="620"/>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386"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9 16.5%</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-1057275</wp:posOffset>
            </wp:positionV>
            <wp:extent cx="6612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 BEFORE FILLING OUT!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ind w:left="60"/>
              <w:spacing w:after="0"/>
              <w:rPr>
                <w:sz w:val="20"/>
                <w:szCs w:val="20"/>
                <w:color w:val="auto"/>
              </w:rPr>
            </w:pPr>
            <w:r>
              <w:rPr>
                <w:rFonts w:ascii="Arial" w:cs="Arial" w:eastAsia="Arial" w:hAnsi="Arial"/>
                <w:sz w:val="18"/>
                <w:szCs w:val="18"/>
                <w:color w:val="auto"/>
              </w:rPr>
              <w:t>CUSIP No. 92911N104</w:t>
            </w:r>
          </w:p>
        </w:tc>
        <w:tc>
          <w:tcPr>
            <w:tcW w:w="7740" w:type="dxa"/>
            <w:vAlign w:val="bottom"/>
          </w:tcPr>
          <w:p>
            <w:pPr>
              <w:ind w:left="1900"/>
              <w:spacing w:after="0"/>
              <w:rPr>
                <w:sz w:val="20"/>
                <w:szCs w:val="20"/>
                <w:color w:val="auto"/>
              </w:rPr>
            </w:pPr>
            <w:r>
              <w:rPr>
                <w:rFonts w:ascii="Arial" w:cs="Arial" w:eastAsia="Arial" w:hAnsi="Arial"/>
                <w:sz w:val="18"/>
                <w:szCs w:val="18"/>
                <w:color w:val="auto"/>
              </w:rPr>
              <w:t>13G</w:t>
            </w:r>
          </w:p>
        </w:tc>
      </w:tr>
      <w:tr>
        <w:trPr>
          <w:trHeight w:val="54"/>
        </w:trPr>
        <w:tc>
          <w:tcPr>
            <w:tcW w:w="3680" w:type="dxa"/>
            <w:vAlign w:val="bottom"/>
            <w:tcBorders>
              <w:bottom w:val="single" w:sz="8" w:color="auto"/>
            </w:tcBorders>
          </w:tcPr>
          <w:p>
            <w:pPr>
              <w:spacing w:after="0"/>
              <w:rPr>
                <w:sz w:val="4"/>
                <w:szCs w:val="4"/>
                <w:color w:val="auto"/>
              </w:rPr>
            </w:pPr>
          </w:p>
        </w:tc>
        <w:tc>
          <w:tcPr>
            <w:tcW w:w="774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hanging="620"/>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60" w:right="6240"/>
        <w:spacing w:after="0" w:line="250" w:lineRule="auto"/>
        <w:rPr>
          <w:rFonts w:ascii="Arial" w:cs="Arial" w:eastAsia="Arial" w:hAnsi="Arial"/>
          <w:sz w:val="18"/>
          <w:szCs w:val="18"/>
          <w:color w:val="auto"/>
        </w:rPr>
      </w:pPr>
      <w:r>
        <w:rPr>
          <w:rFonts w:ascii="Arial" w:cs="Arial" w:eastAsia="Arial" w:hAnsi="Arial"/>
          <w:sz w:val="18"/>
          <w:szCs w:val="18"/>
          <w:color w:val="auto"/>
        </w:rPr>
        <w:t>I.R.S. Identification No. of Above Person (Entities Only) Warburg Pincus Partners, LLC</w:t>
      </w:r>
    </w:p>
    <w:p>
      <w:pPr>
        <w:ind w:left="1060"/>
        <w:spacing w:after="0"/>
        <w:rPr>
          <w:rFonts w:ascii="Arial" w:cs="Arial" w:eastAsia="Arial" w:hAnsi="Arial"/>
          <w:sz w:val="18"/>
          <w:szCs w:val="18"/>
          <w:color w:val="auto"/>
        </w:rPr>
      </w:pPr>
      <w:r>
        <w:rPr>
          <w:rFonts w:ascii="Arial" w:cs="Arial" w:eastAsia="Arial" w:hAnsi="Arial"/>
          <w:sz w:val="18"/>
          <w:szCs w:val="18"/>
          <w:color w:val="auto"/>
        </w:rPr>
        <w:t>I.R.S. #13-4069737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60" w:hanging="620"/>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-164465</wp:posOffset>
            </wp:positionV>
            <wp:extent cx="62090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 or Place of Organization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4" w:name="page5"/>
    <w:bookmarkEnd w:id="4"/>
    <w:tbl>
      <w:tblPr>
        <w:tblLayout w:type="fixed"/>
        <w:tblInd w:w="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840,116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840,116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60" w:space="480"/>
            <w:col w:w="9180"/>
          </w:cols>
          <w:pgMar w:left="240" w:top="463" w:right="239" w:bottom="436" w:gutter="0" w:footer="0" w:header="0"/>
        </w:sectPr>
      </w:pPr>
    </w:p>
    <w:p>
      <w:pPr>
        <w:spacing w:after="0" w:line="227" w:lineRule="exact"/>
        <w:rPr>
          <w:sz w:val="20"/>
          <w:szCs w:val="20"/>
          <w:color w:val="auto"/>
        </w:rPr>
      </w:pPr>
    </w:p>
    <w:p>
      <w:pPr>
        <w:ind w:left="1060" w:right="5560" w:hanging="620"/>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840,116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right="4980" w:hanging="620"/>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386"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Percent of Class Represented by Amount in Row 9 16.5%</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-1057275</wp:posOffset>
            </wp:positionV>
            <wp:extent cx="66122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18268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 BEFORE FILLING OUT!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ind w:left="60"/>
              <w:spacing w:after="0"/>
              <w:rPr>
                <w:sz w:val="20"/>
                <w:szCs w:val="20"/>
                <w:color w:val="auto"/>
              </w:rPr>
            </w:pPr>
            <w:r>
              <w:rPr>
                <w:rFonts w:ascii="Arial" w:cs="Arial" w:eastAsia="Arial" w:hAnsi="Arial"/>
                <w:sz w:val="18"/>
                <w:szCs w:val="18"/>
                <w:color w:val="auto"/>
              </w:rPr>
              <w:t>CUSIP No. 92911N104</w:t>
            </w:r>
          </w:p>
        </w:tc>
        <w:tc>
          <w:tcPr>
            <w:tcW w:w="7740" w:type="dxa"/>
            <w:vAlign w:val="bottom"/>
          </w:tcPr>
          <w:p>
            <w:pPr>
              <w:ind w:left="1900"/>
              <w:spacing w:after="0"/>
              <w:rPr>
                <w:sz w:val="20"/>
                <w:szCs w:val="20"/>
                <w:color w:val="auto"/>
              </w:rPr>
            </w:pPr>
            <w:r>
              <w:rPr>
                <w:rFonts w:ascii="Arial" w:cs="Arial" w:eastAsia="Arial" w:hAnsi="Arial"/>
                <w:sz w:val="18"/>
                <w:szCs w:val="18"/>
                <w:color w:val="auto"/>
              </w:rPr>
              <w:t>13G</w:t>
            </w:r>
          </w:p>
        </w:tc>
      </w:tr>
      <w:tr>
        <w:trPr>
          <w:trHeight w:val="54"/>
        </w:trPr>
        <w:tc>
          <w:tcPr>
            <w:tcW w:w="3680" w:type="dxa"/>
            <w:vAlign w:val="bottom"/>
            <w:tcBorders>
              <w:bottom w:val="single" w:sz="8" w:color="auto"/>
            </w:tcBorders>
          </w:tcPr>
          <w:p>
            <w:pPr>
              <w:spacing w:after="0"/>
              <w:rPr>
                <w:sz w:val="4"/>
                <w:szCs w:val="4"/>
                <w:color w:val="auto"/>
              </w:rPr>
            </w:pPr>
          </w:p>
        </w:tc>
        <w:tc>
          <w:tcPr>
            <w:tcW w:w="774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hanging="620"/>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60" w:right="6240"/>
        <w:spacing w:after="0" w:line="250" w:lineRule="auto"/>
        <w:rPr>
          <w:rFonts w:ascii="Arial" w:cs="Arial" w:eastAsia="Arial" w:hAnsi="Arial"/>
          <w:sz w:val="18"/>
          <w:szCs w:val="18"/>
          <w:color w:val="auto"/>
        </w:rPr>
      </w:pPr>
      <w:r>
        <w:rPr>
          <w:rFonts w:ascii="Arial" w:cs="Arial" w:eastAsia="Arial" w:hAnsi="Arial"/>
          <w:sz w:val="18"/>
          <w:szCs w:val="18"/>
          <w:color w:val="auto"/>
        </w:rPr>
        <w:t>I.R.S. Identification No. of Above Person (Entities Only) Charles R. Kaye</w:t>
      </w:r>
    </w:p>
    <w:p>
      <w:pPr>
        <w:ind w:left="1060"/>
        <w:spacing w:after="0"/>
        <w:rPr>
          <w:rFonts w:ascii="Arial" w:cs="Arial" w:eastAsia="Arial" w:hAnsi="Arial"/>
          <w:sz w:val="18"/>
          <w:szCs w:val="18"/>
          <w:color w:val="auto"/>
        </w:rPr>
      </w:pPr>
      <w:r>
        <w:rPr>
          <w:rFonts w:ascii="Arial" w:cs="Arial" w:eastAsia="Arial" w:hAnsi="Arial"/>
          <w:sz w:val="18"/>
          <w:szCs w:val="18"/>
          <w:color w:val="auto"/>
        </w:rPr>
        <w:t>I.R.S.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60" w:hanging="620"/>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-164465</wp:posOffset>
            </wp:positionV>
            <wp:extent cx="62090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Citizenship or Place of Organization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20"/>
          </w:cols>
          <w:pgMar w:left="240" w:top="463" w:right="239" w:bottom="436" w:gutter="0" w:footer="0" w:header="0"/>
          <w:type w:val="continuous"/>
        </w:sectPr>
      </w:pPr>
    </w:p>
    <w:p>
      <w:pPr>
        <w:spacing w:after="0" w:line="40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Shares</w:t>
            </w:r>
          </w:p>
        </w:tc>
        <w:tc>
          <w:tcPr>
            <w:tcW w:w="42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2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2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Reporting</w:t>
            </w:r>
          </w:p>
        </w:tc>
        <w:tc>
          <w:tcPr>
            <w:tcW w:w="42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2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840,116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ectPr>
          <w:pgSz w:w="11900" w:h="16838" w:orient="portrait"/>
          <w:cols w:equalWidth="0" w:num="2">
            <w:col w:w="1760" w:space="480"/>
            <w:col w:w="9180"/>
          </w:cols>
          <w:pgMar w:left="240" w:top="463" w:right="239" w:bottom="436" w:gutter="0" w:footer="0" w:header="0"/>
          <w:type w:val="continuous"/>
        </w:sectPr>
      </w:pPr>
    </w:p>
    <w:bookmarkStart w:id="5" w:name="page6"/>
    <w:bookmarkEnd w:id="5"/>
    <w:p>
      <w:pPr>
        <w:ind w:left="2240" w:right="7320" w:hanging="571"/>
        <w:spacing w:after="0" w:line="277" w:lineRule="auto"/>
        <w:tabs>
          <w:tab w:leader="none" w:pos="2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Shared Dispositive Power 840,116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14605</wp:posOffset>
            </wp:positionV>
            <wp:extent cx="58661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367" w:lineRule="exact"/>
        <w:rPr>
          <w:sz w:val="20"/>
          <w:szCs w:val="20"/>
          <w:color w:val="auto"/>
        </w:rPr>
      </w:pPr>
    </w:p>
    <w:p>
      <w:pPr>
        <w:ind w:left="1060" w:right="5560" w:hanging="620"/>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840,116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right="4980" w:hanging="620"/>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386"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Percent of Class Represented by Amount in Row 9 16.5%</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-1057275</wp:posOffset>
            </wp:positionV>
            <wp:extent cx="66122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18268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 BEFORE FILLING OUT!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ind w:left="60"/>
              <w:spacing w:after="0"/>
              <w:rPr>
                <w:sz w:val="20"/>
                <w:szCs w:val="20"/>
                <w:color w:val="auto"/>
              </w:rPr>
            </w:pPr>
            <w:r>
              <w:rPr>
                <w:rFonts w:ascii="Arial" w:cs="Arial" w:eastAsia="Arial" w:hAnsi="Arial"/>
                <w:sz w:val="18"/>
                <w:szCs w:val="18"/>
                <w:color w:val="auto"/>
              </w:rPr>
              <w:t>CUSIP No. 92911N104</w:t>
            </w:r>
          </w:p>
        </w:tc>
        <w:tc>
          <w:tcPr>
            <w:tcW w:w="7740" w:type="dxa"/>
            <w:vAlign w:val="bottom"/>
          </w:tcPr>
          <w:p>
            <w:pPr>
              <w:ind w:left="1900"/>
              <w:spacing w:after="0"/>
              <w:rPr>
                <w:sz w:val="20"/>
                <w:szCs w:val="20"/>
                <w:color w:val="auto"/>
              </w:rPr>
            </w:pPr>
            <w:r>
              <w:rPr>
                <w:rFonts w:ascii="Arial" w:cs="Arial" w:eastAsia="Arial" w:hAnsi="Arial"/>
                <w:sz w:val="18"/>
                <w:szCs w:val="18"/>
                <w:color w:val="auto"/>
              </w:rPr>
              <w:t>13G</w:t>
            </w:r>
          </w:p>
        </w:tc>
      </w:tr>
      <w:tr>
        <w:trPr>
          <w:trHeight w:val="54"/>
        </w:trPr>
        <w:tc>
          <w:tcPr>
            <w:tcW w:w="3680" w:type="dxa"/>
            <w:vAlign w:val="bottom"/>
            <w:tcBorders>
              <w:bottom w:val="single" w:sz="8" w:color="auto"/>
            </w:tcBorders>
          </w:tcPr>
          <w:p>
            <w:pPr>
              <w:spacing w:after="0"/>
              <w:rPr>
                <w:sz w:val="4"/>
                <w:szCs w:val="4"/>
                <w:color w:val="auto"/>
              </w:rPr>
            </w:pPr>
          </w:p>
        </w:tc>
        <w:tc>
          <w:tcPr>
            <w:tcW w:w="774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60" w:hanging="620"/>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60" w:right="6240"/>
        <w:spacing w:after="0" w:line="250" w:lineRule="auto"/>
        <w:rPr>
          <w:rFonts w:ascii="Arial" w:cs="Arial" w:eastAsia="Arial" w:hAnsi="Arial"/>
          <w:sz w:val="18"/>
          <w:szCs w:val="18"/>
          <w:color w:val="auto"/>
        </w:rPr>
      </w:pPr>
      <w:r>
        <w:rPr>
          <w:rFonts w:ascii="Arial" w:cs="Arial" w:eastAsia="Arial" w:hAnsi="Arial"/>
          <w:sz w:val="18"/>
          <w:szCs w:val="18"/>
          <w:color w:val="auto"/>
        </w:rPr>
        <w:t>I.R.S. Identification No. of Above Person (Entities Only) Joseph P. Landy</w:t>
      </w:r>
    </w:p>
    <w:p>
      <w:pPr>
        <w:ind w:left="1060"/>
        <w:spacing w:after="0"/>
        <w:rPr>
          <w:rFonts w:ascii="Arial" w:cs="Arial" w:eastAsia="Arial" w:hAnsi="Arial"/>
          <w:sz w:val="18"/>
          <w:szCs w:val="18"/>
          <w:color w:val="auto"/>
        </w:rPr>
      </w:pPr>
      <w:r>
        <w:rPr>
          <w:rFonts w:ascii="Arial" w:cs="Arial" w:eastAsia="Arial" w:hAnsi="Arial"/>
          <w:sz w:val="18"/>
          <w:szCs w:val="18"/>
          <w:color w:val="auto"/>
        </w:rPr>
        <w:t>I.R.S.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60" w:hanging="620"/>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48895</wp:posOffset>
            </wp:positionV>
            <wp:extent cx="62090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-164465</wp:posOffset>
            </wp:positionV>
            <wp:extent cx="62090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277"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Citizenship or Place of Organization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20"/>
          </w:cols>
          <w:pgMar w:left="240" w:top="179" w:right="239" w:bottom="0" w:gutter="0" w:footer="0" w:header="0"/>
        </w:sectPr>
      </w:pPr>
    </w:p>
    <w:p>
      <w:pPr>
        <w:spacing w:after="0" w:line="40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840,116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840,116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40005</wp:posOffset>
            </wp:positionV>
            <wp:extent cx="58661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60" w:space="480"/>
            <w:col w:w="9180"/>
          </w:cols>
          <w:pgMar w:left="240" w:top="179" w:right="239" w:bottom="0" w:gutter="0" w:footer="0" w:header="0"/>
          <w:type w:val="continuous"/>
        </w:sectPr>
      </w:pPr>
    </w:p>
    <w:p>
      <w:pPr>
        <w:spacing w:after="0" w:line="227" w:lineRule="exact"/>
        <w:rPr>
          <w:sz w:val="20"/>
          <w:szCs w:val="20"/>
          <w:color w:val="auto"/>
        </w:rPr>
      </w:pPr>
    </w:p>
    <w:p>
      <w:pPr>
        <w:ind w:left="1060" w:right="5560" w:hanging="620"/>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840,116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right="4980" w:hanging="620"/>
        <w:spacing w:after="0" w:line="277"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386" w:lineRule="exact"/>
        <w:rPr>
          <w:rFonts w:ascii="Arial" w:cs="Arial" w:eastAsia="Arial" w:hAnsi="Arial"/>
          <w:sz w:val="18"/>
          <w:szCs w:val="18"/>
          <w:color w:val="auto"/>
        </w:rPr>
      </w:pPr>
    </w:p>
    <w:p>
      <w:pPr>
        <w:ind w:left="1060" w:right="6680" w:hanging="620"/>
        <w:spacing w:after="0" w:line="277"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Percent of Class Represented by Amount in Row 9 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20"/>
          </w:cols>
          <w:pgMar w:left="240" w:top="179" w:right="239" w:bottom="0" w:gutter="0" w:footer="0" w:header="0"/>
          <w:type w:val="continuous"/>
        </w:sectPr>
      </w:pPr>
    </w:p>
    <w:bookmarkStart w:id="6" w:name="page7"/>
    <w:bookmarkEnd w:id="6"/>
    <w:p>
      <w:pPr>
        <w:ind w:left="1000" w:hanging="620"/>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254635</wp:posOffset>
            </wp:positionV>
            <wp:extent cx="182689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INSTRUCTION BEFORE FILLING OUT!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940"/>
        <w:spacing w:after="0"/>
        <w:tabs>
          <w:tab w:leader="none" w:pos="1420" w:val="left"/>
        </w:tabs>
        <w:rPr>
          <w:sz w:val="20"/>
          <w:szCs w:val="20"/>
          <w:color w:val="auto"/>
        </w:rPr>
      </w:pPr>
      <w:r>
        <w:rPr>
          <w:rFonts w:ascii="Arial" w:cs="Arial" w:eastAsia="Arial" w:hAnsi="Arial"/>
          <w:sz w:val="18"/>
          <w:szCs w:val="18"/>
          <w:color w:val="auto"/>
        </w:rPr>
        <w:t>(a):</w:t>
        <w:tab/>
        <w:t>Name of Issuer:</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Vringo, Inc.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40005</wp:posOffset>
            </wp:positionV>
            <wp:extent cx="63290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83" w:lineRule="exact"/>
        <w:rPr>
          <w:sz w:val="20"/>
          <w:szCs w:val="20"/>
          <w:color w:val="auto"/>
        </w:rPr>
      </w:pPr>
    </w:p>
    <w:p>
      <w:pPr>
        <w:ind w:left="940"/>
        <w:spacing w:after="0"/>
        <w:tabs>
          <w:tab w:leader="none" w:pos="1420" w:val="left"/>
        </w:tabs>
        <w:rPr>
          <w:sz w:val="20"/>
          <w:szCs w:val="20"/>
          <w:color w:val="auto"/>
        </w:rPr>
      </w:pPr>
      <w:r>
        <w:rPr>
          <w:rFonts w:ascii="Arial" w:cs="Arial" w:eastAsia="Arial" w:hAnsi="Arial"/>
          <w:sz w:val="18"/>
          <w:szCs w:val="18"/>
          <w:color w:val="auto"/>
        </w:rPr>
        <w:t>(b):</w:t>
        <w:tab/>
        <w:t>Address of Issuer’s Principal Executive Offices:</w:t>
      </w:r>
    </w:p>
    <w:p>
      <w:pPr>
        <w:spacing w:after="0" w:line="3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18 East 16th Street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New York 10003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40005</wp:posOffset>
            </wp:positionV>
            <wp:extent cx="63290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940"/>
        <w:spacing w:after="0"/>
        <w:tabs>
          <w:tab w:leader="none" w:pos="1420" w:val="left"/>
        </w:tabs>
        <w:rPr>
          <w:sz w:val="20"/>
          <w:szCs w:val="20"/>
          <w:color w:val="auto"/>
        </w:rPr>
      </w:pPr>
      <w:r>
        <w:rPr>
          <w:rFonts w:ascii="Arial" w:cs="Arial" w:eastAsia="Arial" w:hAnsi="Arial"/>
          <w:sz w:val="18"/>
          <w:szCs w:val="18"/>
          <w:color w:val="auto"/>
        </w:rPr>
        <w:t>(a):</w:t>
        <w:tab/>
        <w:t>Name of Person Filing:</w:t>
      </w:r>
    </w:p>
    <w:p>
      <w:pPr>
        <w:spacing w:after="0" w:line="23" w:lineRule="exact"/>
        <w:rPr>
          <w:sz w:val="20"/>
          <w:szCs w:val="20"/>
          <w:color w:val="auto"/>
        </w:rPr>
      </w:pPr>
    </w:p>
    <w:p>
      <w:pPr>
        <w:ind w:left="1440"/>
        <w:spacing w:after="0" w:line="268" w:lineRule="auto"/>
        <w:rPr>
          <w:sz w:val="20"/>
          <w:szCs w:val="20"/>
          <w:color w:val="auto"/>
        </w:rPr>
      </w:pPr>
      <w:r>
        <w:rPr>
          <w:rFonts w:ascii="Arial" w:cs="Arial" w:eastAsia="Arial" w:hAnsi="Arial"/>
          <w:sz w:val="17"/>
          <w:szCs w:val="17"/>
          <w:color w:val="auto"/>
        </w:rPr>
        <w:t>This Schedule 13G is filed by Warburg Pincus Private Equity IX, L.P. (“</w:t>
      </w:r>
      <w:r>
        <w:rPr>
          <w:rFonts w:ascii="Arial" w:cs="Arial" w:eastAsia="Arial" w:hAnsi="Arial"/>
          <w:sz w:val="17"/>
          <w:szCs w:val="17"/>
          <w:u w:val="single" w:color="auto"/>
          <w:color w:val="auto"/>
        </w:rPr>
        <w:t>WP IX</w:t>
      </w:r>
      <w:r>
        <w:rPr>
          <w:rFonts w:ascii="Arial" w:cs="Arial" w:eastAsia="Arial" w:hAnsi="Arial"/>
          <w:sz w:val="17"/>
          <w:szCs w:val="17"/>
          <w:color w:val="auto"/>
        </w:rPr>
        <w:t>”) and the other entities and individuals referenced in this paragraph. The sole general partner of WP IX is Warburg Pincus IX, LLC (“</w:t>
      </w:r>
      <w:r>
        <w:rPr>
          <w:rFonts w:ascii="Arial" w:cs="Arial" w:eastAsia="Arial" w:hAnsi="Arial"/>
          <w:sz w:val="17"/>
          <w:szCs w:val="17"/>
          <w:u w:val="single" w:color="auto"/>
          <w:color w:val="auto"/>
        </w:rPr>
        <w:t>WP IX LLC</w:t>
      </w:r>
      <w:r>
        <w:rPr>
          <w:rFonts w:ascii="Arial" w:cs="Arial" w:eastAsia="Arial" w:hAnsi="Arial"/>
          <w:sz w:val="17"/>
          <w:szCs w:val="17"/>
          <w:color w:val="auto"/>
        </w:rPr>
        <w:t>”). The sole member of WP IX LLC is Warburg Pincus Partners, LLC (“</w:t>
      </w:r>
      <w:r>
        <w:rPr>
          <w:rFonts w:ascii="Arial" w:cs="Arial" w:eastAsia="Arial" w:hAnsi="Arial"/>
          <w:sz w:val="17"/>
          <w:szCs w:val="17"/>
          <w:u w:val="single" w:color="auto"/>
          <w:color w:val="auto"/>
        </w:rPr>
        <w:t>WPP LLC</w:t>
      </w:r>
      <w:r>
        <w:rPr>
          <w:rFonts w:ascii="Arial" w:cs="Arial" w:eastAsia="Arial" w:hAnsi="Arial"/>
          <w:sz w:val="17"/>
          <w:szCs w:val="17"/>
          <w:color w:val="auto"/>
        </w:rPr>
        <w:t>”). The managing member of WPP LLC is Warburg Pincus &amp; Co. (“</w:t>
      </w:r>
      <w:r>
        <w:rPr>
          <w:rFonts w:ascii="Arial" w:cs="Arial" w:eastAsia="Arial" w:hAnsi="Arial"/>
          <w:sz w:val="17"/>
          <w:szCs w:val="17"/>
          <w:u w:val="single" w:color="auto"/>
          <w:color w:val="auto"/>
        </w:rPr>
        <w:t>WP</w:t>
      </w:r>
      <w:r>
        <w:rPr>
          <w:rFonts w:ascii="Arial" w:cs="Arial" w:eastAsia="Arial" w:hAnsi="Arial"/>
          <w:sz w:val="17"/>
          <w:szCs w:val="17"/>
          <w:color w:val="auto"/>
        </w:rPr>
        <w:t>”). Warburg Pincus LLC (“</w:t>
      </w:r>
      <w:r>
        <w:rPr>
          <w:rFonts w:ascii="Arial" w:cs="Arial" w:eastAsia="Arial" w:hAnsi="Arial"/>
          <w:sz w:val="17"/>
          <w:szCs w:val="17"/>
          <w:u w:val="single" w:color="auto"/>
          <w:color w:val="auto"/>
        </w:rPr>
        <w:t>WP LLC</w:t>
      </w:r>
      <w:r>
        <w:rPr>
          <w:rFonts w:ascii="Arial" w:cs="Arial" w:eastAsia="Arial" w:hAnsi="Arial"/>
          <w:sz w:val="17"/>
          <w:szCs w:val="17"/>
          <w:color w:val="auto"/>
        </w:rPr>
        <w:t>”), manages WP IX. Charles R. Kaye (“</w:t>
      </w:r>
      <w:r>
        <w:rPr>
          <w:rFonts w:ascii="Arial" w:cs="Arial" w:eastAsia="Arial" w:hAnsi="Arial"/>
          <w:sz w:val="17"/>
          <w:szCs w:val="17"/>
          <w:u w:val="single" w:color="auto"/>
          <w:color w:val="auto"/>
        </w:rPr>
        <w:t>Mr. Kaye</w:t>
      </w:r>
      <w:r>
        <w:rPr>
          <w:rFonts w:ascii="Arial" w:cs="Arial" w:eastAsia="Arial" w:hAnsi="Arial"/>
          <w:sz w:val="17"/>
          <w:szCs w:val="17"/>
          <w:color w:val="auto"/>
        </w:rPr>
        <w:t>”) and Joseph P. Landy (“</w:t>
      </w:r>
      <w:r>
        <w:rPr>
          <w:rFonts w:ascii="Arial" w:cs="Arial" w:eastAsia="Arial" w:hAnsi="Arial"/>
          <w:sz w:val="17"/>
          <w:szCs w:val="17"/>
          <w:u w:val="single" w:color="auto"/>
          <w:color w:val="auto"/>
        </w:rPr>
        <w:t>Mr. Landy</w:t>
      </w:r>
      <w:r>
        <w:rPr>
          <w:rFonts w:ascii="Arial" w:cs="Arial" w:eastAsia="Arial" w:hAnsi="Arial"/>
          <w:sz w:val="17"/>
          <w:szCs w:val="17"/>
          <w:color w:val="auto"/>
        </w:rPr>
        <w:t>”) are each Managing General Partners of WP and Co-Presidents and Managing Members of WP LLC. Mr. Kaye and Mr. Landy may be deemed to control WP IX, WP IX LLC, WPP LLC, WP and WP LLC. WP IX, WP IX LLC, WPP LLC, WP, WP LLC, Mr. Kaye and Mr. Landy are sometimes collectively referred to herein as the “</w:t>
      </w:r>
      <w:r>
        <w:rPr>
          <w:rFonts w:ascii="Arial" w:cs="Arial" w:eastAsia="Arial" w:hAnsi="Arial"/>
          <w:sz w:val="17"/>
          <w:szCs w:val="17"/>
          <w:u w:val="single" w:color="auto"/>
          <w:color w:val="auto"/>
        </w:rPr>
        <w:t>Warburg Pincus Reporting Persons</w:t>
      </w:r>
      <w:r>
        <w:rPr>
          <w:rFonts w:ascii="Arial" w:cs="Arial" w:eastAsia="Arial" w:hAnsi="Arial"/>
          <w:sz w:val="17"/>
          <w:szCs w:val="17"/>
          <w:color w:val="auto"/>
        </w:rPr>
        <w:t>.” Each of the Warburg Pincus Reporting Persons disclaims beneficial ownership of the Common Stock except to the extent of any indirect pecuniary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22860</wp:posOffset>
            </wp:positionV>
            <wp:extent cx="632904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56" w:lineRule="exact"/>
        <w:rPr>
          <w:sz w:val="20"/>
          <w:szCs w:val="20"/>
          <w:color w:val="auto"/>
        </w:rPr>
      </w:pPr>
    </w:p>
    <w:p>
      <w:pPr>
        <w:ind w:left="940"/>
        <w:spacing w:after="0"/>
        <w:tabs>
          <w:tab w:leader="none" w:pos="1420" w:val="left"/>
        </w:tabs>
        <w:rPr>
          <w:sz w:val="20"/>
          <w:szCs w:val="20"/>
          <w:color w:val="auto"/>
        </w:rPr>
      </w:pPr>
      <w:r>
        <w:rPr>
          <w:rFonts w:ascii="Arial" w:cs="Arial" w:eastAsia="Arial" w:hAnsi="Arial"/>
          <w:sz w:val="18"/>
          <w:szCs w:val="18"/>
          <w:color w:val="auto"/>
        </w:rPr>
        <w:t>(b):</w:t>
        <w:tab/>
        <w:t>Address of Principal Business Office or, if none, Residence:</w:t>
      </w:r>
    </w:p>
    <w:p>
      <w:pPr>
        <w:spacing w:after="0" w:line="37" w:lineRule="exact"/>
        <w:rPr>
          <w:sz w:val="20"/>
          <w:szCs w:val="20"/>
          <w:color w:val="auto"/>
        </w:rPr>
      </w:pPr>
    </w:p>
    <w:p>
      <w:pPr>
        <w:ind w:left="1440" w:right="560"/>
        <w:spacing w:after="0" w:line="261" w:lineRule="auto"/>
        <w:rPr>
          <w:sz w:val="20"/>
          <w:szCs w:val="20"/>
          <w:color w:val="auto"/>
        </w:rPr>
      </w:pPr>
      <w:r>
        <w:rPr>
          <w:rFonts w:ascii="Arial" w:cs="Arial" w:eastAsia="Arial" w:hAnsi="Arial"/>
          <w:sz w:val="18"/>
          <w:szCs w:val="18"/>
          <w:color w:val="auto"/>
        </w:rPr>
        <w:t>The address of the principal business office of the Warburg Pincus Reporting Persons is c/o Warburg Pincus LLC, 450 Lexington Avenue, New York, New York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22860</wp:posOffset>
            </wp:positionV>
            <wp:extent cx="63290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56" w:lineRule="exact"/>
        <w:rPr>
          <w:sz w:val="20"/>
          <w:szCs w:val="20"/>
          <w:color w:val="auto"/>
        </w:rPr>
      </w:pPr>
    </w:p>
    <w:p>
      <w:pPr>
        <w:ind w:left="940"/>
        <w:spacing w:after="0"/>
        <w:tabs>
          <w:tab w:leader="none" w:pos="1420" w:val="left"/>
        </w:tabs>
        <w:rPr>
          <w:sz w:val="20"/>
          <w:szCs w:val="20"/>
          <w:color w:val="auto"/>
        </w:rPr>
      </w:pPr>
      <w:r>
        <w:rPr>
          <w:rFonts w:ascii="Arial" w:cs="Arial" w:eastAsia="Arial" w:hAnsi="Arial"/>
          <w:sz w:val="18"/>
          <w:szCs w:val="18"/>
          <w:color w:val="auto"/>
        </w:rPr>
        <w:t>(c):</w:t>
        <w:tab/>
        <w:t>Citizenship:</w:t>
      </w:r>
    </w:p>
    <w:p>
      <w:pPr>
        <w:spacing w:after="0" w:line="37" w:lineRule="exact"/>
        <w:rPr>
          <w:sz w:val="20"/>
          <w:szCs w:val="20"/>
          <w:color w:val="auto"/>
        </w:rPr>
      </w:pPr>
    </w:p>
    <w:p>
      <w:pPr>
        <w:ind w:left="1440" w:right="540"/>
        <w:spacing w:after="0" w:line="255" w:lineRule="auto"/>
        <w:rPr>
          <w:sz w:val="20"/>
          <w:szCs w:val="20"/>
          <w:color w:val="auto"/>
        </w:rPr>
      </w:pPr>
      <w:r>
        <w:rPr>
          <w:rFonts w:ascii="Arial" w:cs="Arial" w:eastAsia="Arial" w:hAnsi="Arial"/>
          <w:sz w:val="18"/>
          <w:szCs w:val="18"/>
          <w:color w:val="auto"/>
        </w:rPr>
        <w:t>WP IX is a Delaware limited partnership, WP IX LLC is a New York limited liability company, WPP LLC is a New York limited liability company, WP is a New York general partnership and WP LLC is a New York limited liability company. Mr. Kaye and Mr. Landy are both citizens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27305</wp:posOffset>
            </wp:positionV>
            <wp:extent cx="632904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62" w:lineRule="exact"/>
        <w:rPr>
          <w:sz w:val="20"/>
          <w:szCs w:val="20"/>
          <w:color w:val="auto"/>
        </w:rPr>
      </w:pPr>
    </w:p>
    <w:p>
      <w:pPr>
        <w:ind w:left="940"/>
        <w:spacing w:after="0"/>
        <w:tabs>
          <w:tab w:leader="none" w:pos="1420" w:val="left"/>
        </w:tabs>
        <w:rPr>
          <w:sz w:val="20"/>
          <w:szCs w:val="20"/>
          <w:color w:val="auto"/>
        </w:rPr>
      </w:pPr>
      <w:r>
        <w:rPr>
          <w:rFonts w:ascii="Arial" w:cs="Arial" w:eastAsia="Arial" w:hAnsi="Arial"/>
          <w:sz w:val="18"/>
          <w:szCs w:val="18"/>
          <w:color w:val="auto"/>
        </w:rPr>
        <w:t>(d):</w:t>
        <w:tab/>
        <w:t>Title of Class of Securities:</w:t>
      </w:r>
    </w:p>
    <w:p>
      <w:pPr>
        <w:spacing w:after="0" w:line="3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Common Stock, par value $0.01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40005</wp:posOffset>
            </wp:positionV>
            <wp:extent cx="63290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83" w:lineRule="exact"/>
        <w:rPr>
          <w:sz w:val="20"/>
          <w:szCs w:val="20"/>
          <w:color w:val="auto"/>
        </w:rPr>
      </w:pPr>
    </w:p>
    <w:p>
      <w:pPr>
        <w:ind w:left="940"/>
        <w:spacing w:after="0"/>
        <w:tabs>
          <w:tab w:leader="none" w:pos="1420" w:val="left"/>
        </w:tabs>
        <w:rPr>
          <w:sz w:val="20"/>
          <w:szCs w:val="20"/>
          <w:color w:val="auto"/>
        </w:rPr>
      </w:pPr>
      <w:r>
        <w:rPr>
          <w:rFonts w:ascii="Arial" w:cs="Arial" w:eastAsia="Arial" w:hAnsi="Arial"/>
          <w:sz w:val="18"/>
          <w:szCs w:val="18"/>
          <w:color w:val="auto"/>
        </w:rPr>
        <w:t>(e):</w:t>
        <w:tab/>
        <w:t>CUSIP Number</w:t>
      </w:r>
    </w:p>
    <w:p>
      <w:pPr>
        <w:spacing w:after="0" w:line="3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92911N104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40005</wp:posOffset>
            </wp:positionV>
            <wp:extent cx="632904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Adviser in accordance with Rule 13d-1 (b)(1)(ii)(E),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Employee Benefit Plan or endowment fund in accordance with 13d-1 (b)(1)(ii)(F),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Parent holding company or control person in accordance with Rule 13d-1 (b)(1)(ii)(G),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Savings association as defined in section 3(b) of the Federal Deposit Insurance Act,</w:t>
      </w:r>
    </w:p>
    <w:p>
      <w:pPr>
        <w:spacing w:after="0" w:line="225" w:lineRule="exact"/>
        <w:rPr>
          <w:rFonts w:ascii="Arial" w:cs="Arial" w:eastAsia="Arial" w:hAnsi="Arial"/>
          <w:sz w:val="18"/>
          <w:szCs w:val="18"/>
          <w:color w:val="auto"/>
        </w:rPr>
      </w:pPr>
    </w:p>
    <w:p>
      <w:pPr>
        <w:ind w:left="1960" w:right="240" w:hanging="1013"/>
        <w:spacing w:after="0" w:line="277" w:lineRule="auto"/>
        <w:tabs>
          <w:tab w:leader="none" w:pos="1447" w:val="left"/>
        </w:tabs>
        <w:numPr>
          <w:ilvl w:val="0"/>
          <w:numId w:val="46"/>
        </w:numPr>
        <w:rPr>
          <w:rFonts w:ascii="Arial" w:cs="Arial" w:eastAsia="Arial" w:hAnsi="Arial"/>
          <w:sz w:val="18"/>
          <w:szCs w:val="18"/>
          <w:color w:val="auto"/>
        </w:rPr>
      </w:pPr>
      <w:r>
        <w:rPr>
          <w:rFonts w:ascii="Arial" w:cs="Arial" w:eastAsia="Arial" w:hAnsi="Arial"/>
          <w:sz w:val="18"/>
          <w:szCs w:val="18"/>
          <w:color w:val="auto"/>
        </w:rPr>
        <w:t>oChurch plan that is excluded from the definition of an investment company under section 3(c)(14) of the Investment Company Act of 1940,</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Rule 13d-1(b)(1)(ii)(J)</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Rule 13d-1(b)(1)(ii)(K)</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300" w:top="449" w:right="299" w:bottom="275" w:gutter="0" w:footer="0" w:header="0"/>
        </w:sectPr>
      </w:pPr>
    </w:p>
    <w:bookmarkStart w:id="7" w:name="page8"/>
    <w:bookmarkEnd w:id="7"/>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720" w:right="260"/>
        <w:spacing w:after="0" w:line="277" w:lineRule="auto"/>
        <w:rPr>
          <w:sz w:val="20"/>
          <w:szCs w:val="20"/>
          <w:color w:val="auto"/>
        </w:rPr>
      </w:pPr>
      <w:r>
        <w:rPr>
          <w:rFonts w:ascii="Arial" w:cs="Arial" w:eastAsia="Arial" w:hAnsi="Arial"/>
          <w:sz w:val="18"/>
          <w:szCs w:val="18"/>
          <w:color w:val="auto"/>
        </w:rPr>
        <w:t>The information required by Items 4(a) - (c) is set forth in Rows 5 - 11 of the cover page hereto for each Warburg Pincus Reporting Person and is incorporated herein by reference for each such Warburg Pincus Reporting Person.</w:t>
      </w:r>
    </w:p>
    <w:p>
      <w:pPr>
        <w:spacing w:after="0" w:line="383"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60" w:right="8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383"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60" w:right="300"/>
        <w:spacing w:after="0" w:line="277" w:lineRule="auto"/>
        <w:rPr>
          <w:sz w:val="20"/>
          <w:szCs w:val="20"/>
          <w:color w:val="auto"/>
        </w:rPr>
      </w:pPr>
      <w:r>
        <w:rPr>
          <w:rFonts w:ascii="Arial" w:cs="Arial" w:eastAsia="Arial" w:hAnsi="Arial"/>
          <w:sz w:val="18"/>
          <w:szCs w:val="18"/>
          <w:color w:val="auto"/>
        </w:rPr>
        <w:t>Other than as set forth herein, no other person has the right to receive or the power to direct the receipt of dividends from, or proceeds from the sale of, in excess of 5% of the total outstanding Common Stock.</w:t>
      </w:r>
    </w:p>
    <w:p>
      <w:pPr>
        <w:spacing w:after="0" w:line="383"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60" w:right="120" w:firstLine="648"/>
        <w:spacing w:after="0" w:line="259" w:lineRule="auto"/>
        <w:rPr>
          <w:sz w:val="20"/>
          <w:szCs w:val="20"/>
          <w:color w:val="auto"/>
        </w:rPr>
      </w:pPr>
      <w:r>
        <w:rPr>
          <w:rFonts w:ascii="Arial" w:cs="Arial" w:eastAsia="Arial" w:hAnsi="Arial"/>
          <w:sz w:val="18"/>
          <w:szCs w:val="18"/>
          <w:color w:val="auto"/>
        </w:rPr>
        <w:t xml:space="preserve">The Warburg Pincus Reporting Persons are making this single, joint filing because they may be deemed to constitute a “group” within the meaning of Section 13(d)(3) of the Securities Exchange Act of 1934, as amended. The agreement among the Warburg Pincus Reporting Persons to file jointly is attached hereto as </w:t>
      </w:r>
      <w:r>
        <w:rPr>
          <w:rFonts w:ascii="Arial" w:cs="Arial" w:eastAsia="Arial" w:hAnsi="Arial"/>
          <w:sz w:val="18"/>
          <w:szCs w:val="18"/>
          <w:u w:val="single" w:color="auto"/>
          <w:color w:val="auto"/>
        </w:rPr>
        <w:t>Exhibit 99.1</w:t>
      </w:r>
      <w:r>
        <w:rPr>
          <w:rFonts w:ascii="Arial" w:cs="Arial" w:eastAsia="Arial" w:hAnsi="Arial"/>
          <w:sz w:val="18"/>
          <w:szCs w:val="18"/>
          <w:color w:val="auto"/>
        </w:rPr>
        <w:t>. Each of the Warburg Pincus Reporting Persons disclaims beneficial ownership of all of the shares of Common Stock, except to the extent of any pecuniary interest therein.</w:t>
      </w:r>
    </w:p>
    <w:p>
      <w:pPr>
        <w:spacing w:after="0" w:line="399"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N/A</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correct.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Dated: June 29, 2010</w:t>
            </w:r>
          </w:p>
        </w:tc>
        <w:tc>
          <w:tcPr>
            <w:tcW w:w="7800" w:type="dxa"/>
            <w:vAlign w:val="bottom"/>
            <w:gridSpan w:val="2"/>
          </w:tcPr>
          <w:p>
            <w:pPr>
              <w:ind w:left="2080"/>
              <w:spacing w:after="0"/>
              <w:rPr>
                <w:sz w:val="20"/>
                <w:szCs w:val="20"/>
                <w:color w:val="auto"/>
              </w:rPr>
            </w:pPr>
            <w:r>
              <w:rPr>
                <w:rFonts w:ascii="Arial" w:cs="Arial" w:eastAsia="Arial" w:hAnsi="Arial"/>
                <w:sz w:val="18"/>
                <w:szCs w:val="18"/>
                <w:color w:val="auto"/>
              </w:rPr>
              <w:t>WARBURG PINCUS PRIVATE EQUITY IX, L.P.</w:t>
            </w:r>
          </w:p>
        </w:tc>
      </w:tr>
      <w:tr>
        <w:trPr>
          <w:trHeight w:val="216"/>
        </w:trPr>
        <w:tc>
          <w:tcPr>
            <w:tcW w:w="36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00" w:type="dxa"/>
            <w:vAlign w:val="bottom"/>
          </w:tcPr>
          <w:p>
            <w:pPr>
              <w:ind w:left="240"/>
              <w:spacing w:after="0"/>
              <w:rPr>
                <w:sz w:val="20"/>
                <w:szCs w:val="20"/>
                <w:color w:val="auto"/>
              </w:rPr>
            </w:pPr>
            <w:r>
              <w:rPr>
                <w:rFonts w:ascii="Arial" w:cs="Arial" w:eastAsia="Arial" w:hAnsi="Arial"/>
                <w:sz w:val="18"/>
                <w:szCs w:val="18"/>
                <w:color w:val="auto"/>
              </w:rPr>
              <w:t>By:  Warburg Pincus IX, LLC,</w:t>
            </w:r>
          </w:p>
        </w:tc>
      </w:tr>
      <w:tr>
        <w:trPr>
          <w:trHeight w:val="230"/>
        </w:trPr>
        <w:tc>
          <w:tcPr>
            <w:tcW w:w="36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00" w:type="dxa"/>
            <w:vAlign w:val="bottom"/>
          </w:tcPr>
          <w:p>
            <w:pPr>
              <w:ind w:left="680"/>
              <w:spacing w:after="0"/>
              <w:rPr>
                <w:sz w:val="20"/>
                <w:szCs w:val="20"/>
                <w:color w:val="auto"/>
              </w:rPr>
            </w:pPr>
            <w:r>
              <w:rPr>
                <w:rFonts w:ascii="Arial" w:cs="Arial" w:eastAsia="Arial" w:hAnsi="Arial"/>
                <w:sz w:val="18"/>
                <w:szCs w:val="18"/>
                <w:color w:val="auto"/>
              </w:rPr>
              <w:t>its General Partner</w:t>
            </w:r>
          </w:p>
        </w:tc>
      </w:tr>
      <w:tr>
        <w:trPr>
          <w:trHeight w:val="418"/>
        </w:trPr>
        <w:tc>
          <w:tcPr>
            <w:tcW w:w="3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300" w:type="dxa"/>
            <w:vAlign w:val="bottom"/>
          </w:tcPr>
          <w:p>
            <w:pPr>
              <w:ind w:left="240"/>
              <w:spacing w:after="0"/>
              <w:rPr>
                <w:sz w:val="20"/>
                <w:szCs w:val="20"/>
                <w:color w:val="auto"/>
              </w:rPr>
            </w:pPr>
            <w:r>
              <w:rPr>
                <w:rFonts w:ascii="Arial" w:cs="Arial" w:eastAsia="Arial" w:hAnsi="Arial"/>
                <w:sz w:val="18"/>
                <w:szCs w:val="18"/>
                <w:color w:val="auto"/>
              </w:rPr>
              <w:t>By:  Warburg Pincus Partners, LLC,</w:t>
            </w:r>
          </w:p>
        </w:tc>
      </w:tr>
      <w:tr>
        <w:trPr>
          <w:trHeight w:val="230"/>
        </w:trPr>
        <w:tc>
          <w:tcPr>
            <w:tcW w:w="36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00" w:type="dxa"/>
            <w:vAlign w:val="bottom"/>
          </w:tcPr>
          <w:p>
            <w:pPr>
              <w:ind w:left="680"/>
              <w:spacing w:after="0"/>
              <w:rPr>
                <w:sz w:val="20"/>
                <w:szCs w:val="20"/>
                <w:color w:val="auto"/>
              </w:rPr>
            </w:pPr>
            <w:r>
              <w:rPr>
                <w:rFonts w:ascii="Arial" w:cs="Arial" w:eastAsia="Arial" w:hAnsi="Arial"/>
                <w:sz w:val="18"/>
                <w:szCs w:val="18"/>
                <w:color w:val="auto"/>
              </w:rPr>
              <w:t>its Sole Member</w:t>
            </w:r>
          </w:p>
        </w:tc>
      </w:tr>
      <w:tr>
        <w:trPr>
          <w:trHeight w:val="418"/>
        </w:trPr>
        <w:tc>
          <w:tcPr>
            <w:tcW w:w="3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300" w:type="dxa"/>
            <w:vAlign w:val="bottom"/>
          </w:tcPr>
          <w:p>
            <w:pPr>
              <w:ind w:left="240"/>
              <w:spacing w:after="0"/>
              <w:rPr>
                <w:sz w:val="20"/>
                <w:szCs w:val="20"/>
                <w:color w:val="auto"/>
              </w:rPr>
            </w:pPr>
            <w:r>
              <w:rPr>
                <w:rFonts w:ascii="Arial" w:cs="Arial" w:eastAsia="Arial" w:hAnsi="Arial"/>
                <w:sz w:val="18"/>
                <w:szCs w:val="18"/>
                <w:color w:val="auto"/>
              </w:rPr>
              <w:t>By:  Warburg Pincus &amp; Co.,</w:t>
            </w:r>
          </w:p>
        </w:tc>
      </w:tr>
      <w:tr>
        <w:trPr>
          <w:trHeight w:val="230"/>
        </w:trPr>
        <w:tc>
          <w:tcPr>
            <w:tcW w:w="36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00" w:type="dxa"/>
            <w:vAlign w:val="bottom"/>
          </w:tcPr>
          <w:p>
            <w:pPr>
              <w:ind w:left="680"/>
              <w:spacing w:after="0"/>
              <w:rPr>
                <w:sz w:val="20"/>
                <w:szCs w:val="20"/>
                <w:color w:val="auto"/>
              </w:rPr>
            </w:pPr>
            <w:r>
              <w:rPr>
                <w:rFonts w:ascii="Arial" w:cs="Arial" w:eastAsia="Arial" w:hAnsi="Arial"/>
                <w:sz w:val="18"/>
                <w:szCs w:val="18"/>
                <w:color w:val="auto"/>
              </w:rPr>
              <w:t>its Managing Member</w:t>
            </w:r>
          </w:p>
        </w:tc>
      </w:tr>
      <w:tr>
        <w:trPr>
          <w:trHeight w:val="648"/>
        </w:trPr>
        <w:tc>
          <w:tcPr>
            <w:tcW w:w="3620" w:type="dxa"/>
            <w:vAlign w:val="bottom"/>
          </w:tcPr>
          <w:p>
            <w:pPr>
              <w:spacing w:after="0"/>
              <w:rPr>
                <w:sz w:val="24"/>
                <w:szCs w:val="24"/>
                <w:color w:val="auto"/>
              </w:rPr>
            </w:pPr>
          </w:p>
        </w:tc>
        <w:tc>
          <w:tcPr>
            <w:tcW w:w="7800" w:type="dxa"/>
            <w:vAlign w:val="bottom"/>
            <w:gridSpan w:val="2"/>
          </w:tcPr>
          <w:p>
            <w:pPr>
              <w:ind w:left="2080"/>
              <w:spacing w:after="0"/>
              <w:rPr>
                <w:sz w:val="20"/>
                <w:szCs w:val="20"/>
                <w:color w:val="auto"/>
              </w:rPr>
            </w:pPr>
            <w:r>
              <w:rPr>
                <w:rFonts w:ascii="Arial" w:cs="Arial" w:eastAsia="Arial" w:hAnsi="Arial"/>
                <w:sz w:val="18"/>
                <w:szCs w:val="18"/>
                <w:color w:val="auto"/>
              </w:rPr>
              <w:t>By:  /s/ Scott A. Arenare</w:t>
            </w:r>
          </w:p>
        </w:tc>
      </w:tr>
      <w:tr>
        <w:trPr>
          <w:trHeight w:val="195"/>
        </w:trPr>
        <w:tc>
          <w:tcPr>
            <w:tcW w:w="36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Scott A. Arenare</w:t>
            </w:r>
          </w:p>
        </w:tc>
      </w:tr>
      <w:tr>
        <w:trPr>
          <w:trHeight w:val="230"/>
        </w:trPr>
        <w:tc>
          <w:tcPr>
            <w:tcW w:w="36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Title: Partner</w:t>
            </w:r>
          </w:p>
        </w:tc>
      </w:tr>
      <w:tr>
        <w:trPr>
          <w:trHeight w:val="418"/>
        </w:trPr>
        <w:tc>
          <w:tcPr>
            <w:tcW w:w="3620" w:type="dxa"/>
            <w:vAlign w:val="bottom"/>
          </w:tcPr>
          <w:p>
            <w:pPr>
              <w:spacing w:after="0"/>
              <w:rPr>
                <w:sz w:val="20"/>
                <w:szCs w:val="20"/>
                <w:color w:val="auto"/>
              </w:rPr>
            </w:pPr>
            <w:r>
              <w:rPr>
                <w:rFonts w:ascii="Arial" w:cs="Arial" w:eastAsia="Arial" w:hAnsi="Arial"/>
                <w:sz w:val="18"/>
                <w:szCs w:val="18"/>
                <w:color w:val="auto"/>
              </w:rPr>
              <w:t>Dated: June 29, 2010</w:t>
            </w:r>
          </w:p>
        </w:tc>
        <w:tc>
          <w:tcPr>
            <w:tcW w:w="7800" w:type="dxa"/>
            <w:vAlign w:val="bottom"/>
            <w:gridSpan w:val="2"/>
          </w:tcPr>
          <w:p>
            <w:pPr>
              <w:ind w:left="2080"/>
              <w:spacing w:after="0"/>
              <w:rPr>
                <w:sz w:val="20"/>
                <w:szCs w:val="20"/>
                <w:color w:val="auto"/>
              </w:rPr>
            </w:pPr>
            <w:r>
              <w:rPr>
                <w:rFonts w:ascii="Arial" w:cs="Arial" w:eastAsia="Arial" w:hAnsi="Arial"/>
                <w:sz w:val="18"/>
                <w:szCs w:val="18"/>
                <w:color w:val="auto"/>
              </w:rPr>
              <w:t>WARBURG PINCUS IX, LLC</w:t>
            </w:r>
          </w:p>
        </w:tc>
      </w:tr>
      <w:tr>
        <w:trPr>
          <w:trHeight w:val="216"/>
        </w:trPr>
        <w:tc>
          <w:tcPr>
            <w:tcW w:w="36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00" w:type="dxa"/>
            <w:vAlign w:val="bottom"/>
          </w:tcPr>
          <w:p>
            <w:pPr>
              <w:ind w:left="240"/>
              <w:spacing w:after="0"/>
              <w:rPr>
                <w:sz w:val="20"/>
                <w:szCs w:val="20"/>
                <w:color w:val="auto"/>
              </w:rPr>
            </w:pPr>
            <w:r>
              <w:rPr>
                <w:rFonts w:ascii="Arial" w:cs="Arial" w:eastAsia="Arial" w:hAnsi="Arial"/>
                <w:sz w:val="18"/>
                <w:szCs w:val="18"/>
                <w:color w:val="auto"/>
              </w:rPr>
              <w:t>By:  Warburg Pincus Partners, LLC,</w:t>
            </w:r>
          </w:p>
        </w:tc>
      </w:tr>
      <w:tr>
        <w:trPr>
          <w:trHeight w:val="230"/>
        </w:trPr>
        <w:tc>
          <w:tcPr>
            <w:tcW w:w="36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00" w:type="dxa"/>
            <w:vAlign w:val="bottom"/>
          </w:tcPr>
          <w:p>
            <w:pPr>
              <w:ind w:left="680"/>
              <w:spacing w:after="0"/>
              <w:rPr>
                <w:sz w:val="20"/>
                <w:szCs w:val="20"/>
                <w:color w:val="auto"/>
              </w:rPr>
            </w:pPr>
            <w:r>
              <w:rPr>
                <w:rFonts w:ascii="Arial" w:cs="Arial" w:eastAsia="Arial" w:hAnsi="Arial"/>
                <w:sz w:val="18"/>
                <w:szCs w:val="18"/>
                <w:color w:val="auto"/>
              </w:rPr>
              <w:t>its Sole Member</w:t>
            </w:r>
          </w:p>
        </w:tc>
      </w:tr>
      <w:tr>
        <w:trPr>
          <w:trHeight w:val="418"/>
        </w:trPr>
        <w:tc>
          <w:tcPr>
            <w:tcW w:w="3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300" w:type="dxa"/>
            <w:vAlign w:val="bottom"/>
          </w:tcPr>
          <w:p>
            <w:pPr>
              <w:ind w:left="240"/>
              <w:spacing w:after="0"/>
              <w:rPr>
                <w:sz w:val="20"/>
                <w:szCs w:val="20"/>
                <w:color w:val="auto"/>
              </w:rPr>
            </w:pPr>
            <w:r>
              <w:rPr>
                <w:rFonts w:ascii="Arial" w:cs="Arial" w:eastAsia="Arial" w:hAnsi="Arial"/>
                <w:sz w:val="18"/>
                <w:szCs w:val="18"/>
                <w:color w:val="auto"/>
              </w:rPr>
              <w:t>By:  Warburg Pincus &amp; Co.,</w:t>
            </w:r>
          </w:p>
        </w:tc>
      </w:tr>
      <w:tr>
        <w:trPr>
          <w:trHeight w:val="230"/>
        </w:trPr>
        <w:tc>
          <w:tcPr>
            <w:tcW w:w="36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00" w:type="dxa"/>
            <w:vAlign w:val="bottom"/>
          </w:tcPr>
          <w:p>
            <w:pPr>
              <w:ind w:left="680"/>
              <w:spacing w:after="0"/>
              <w:rPr>
                <w:sz w:val="20"/>
                <w:szCs w:val="20"/>
                <w:color w:val="auto"/>
              </w:rPr>
            </w:pPr>
            <w:r>
              <w:rPr>
                <w:rFonts w:ascii="Arial" w:cs="Arial" w:eastAsia="Arial" w:hAnsi="Arial"/>
                <w:sz w:val="18"/>
                <w:szCs w:val="18"/>
                <w:color w:val="auto"/>
              </w:rPr>
              <w:t>its Managing Member</w:t>
            </w:r>
          </w:p>
        </w:tc>
      </w:tr>
      <w:tr>
        <w:trPr>
          <w:trHeight w:val="432"/>
        </w:trPr>
        <w:tc>
          <w:tcPr>
            <w:tcW w:w="3620" w:type="dxa"/>
            <w:vAlign w:val="bottom"/>
          </w:tcPr>
          <w:p>
            <w:pPr>
              <w:spacing w:after="0"/>
              <w:rPr>
                <w:sz w:val="24"/>
                <w:szCs w:val="24"/>
                <w:color w:val="auto"/>
              </w:rPr>
            </w:pPr>
          </w:p>
        </w:tc>
        <w:tc>
          <w:tcPr>
            <w:tcW w:w="7800" w:type="dxa"/>
            <w:vAlign w:val="bottom"/>
            <w:gridSpan w:val="2"/>
          </w:tcPr>
          <w:p>
            <w:pPr>
              <w:ind w:left="2080"/>
              <w:spacing w:after="0"/>
              <w:rPr>
                <w:sz w:val="20"/>
                <w:szCs w:val="20"/>
                <w:color w:val="auto"/>
              </w:rPr>
            </w:pPr>
            <w:r>
              <w:rPr>
                <w:rFonts w:ascii="Arial" w:cs="Arial" w:eastAsia="Arial" w:hAnsi="Arial"/>
                <w:sz w:val="18"/>
                <w:szCs w:val="18"/>
                <w:color w:val="auto"/>
              </w:rPr>
              <w:t>By:  /s/ Scott A. Arenare</w:t>
            </w:r>
          </w:p>
        </w:tc>
      </w:tr>
      <w:tr>
        <w:trPr>
          <w:trHeight w:val="195"/>
        </w:trPr>
        <w:tc>
          <w:tcPr>
            <w:tcW w:w="36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Scott A. Arenare</w:t>
            </w:r>
          </w:p>
        </w:tc>
      </w:tr>
      <w:tr>
        <w:trPr>
          <w:trHeight w:val="230"/>
        </w:trPr>
        <w:tc>
          <w:tcPr>
            <w:tcW w:w="36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Title: Partner</w:t>
            </w:r>
          </w:p>
        </w:tc>
      </w:tr>
      <w:tr>
        <w:trPr>
          <w:trHeight w:val="418"/>
        </w:trPr>
        <w:tc>
          <w:tcPr>
            <w:tcW w:w="3620" w:type="dxa"/>
            <w:vAlign w:val="bottom"/>
          </w:tcPr>
          <w:p>
            <w:pPr>
              <w:spacing w:after="0"/>
              <w:rPr>
                <w:sz w:val="20"/>
                <w:szCs w:val="20"/>
                <w:color w:val="auto"/>
              </w:rPr>
            </w:pPr>
            <w:r>
              <w:rPr>
                <w:rFonts w:ascii="Arial" w:cs="Arial" w:eastAsia="Arial" w:hAnsi="Arial"/>
                <w:sz w:val="18"/>
                <w:szCs w:val="18"/>
                <w:color w:val="auto"/>
              </w:rPr>
              <w:t>Dated: June 29, 2010</w:t>
            </w:r>
          </w:p>
        </w:tc>
        <w:tc>
          <w:tcPr>
            <w:tcW w:w="7800" w:type="dxa"/>
            <w:vAlign w:val="bottom"/>
            <w:gridSpan w:val="2"/>
          </w:tcPr>
          <w:p>
            <w:pPr>
              <w:ind w:left="2080"/>
              <w:spacing w:after="0"/>
              <w:rPr>
                <w:sz w:val="20"/>
                <w:szCs w:val="20"/>
                <w:color w:val="auto"/>
              </w:rPr>
            </w:pPr>
            <w:r>
              <w:rPr>
                <w:rFonts w:ascii="Arial" w:cs="Arial" w:eastAsia="Arial" w:hAnsi="Arial"/>
                <w:sz w:val="18"/>
                <w:szCs w:val="18"/>
                <w:color w:val="auto"/>
              </w:rPr>
              <w:t>WARBURG PINCUS PARTNERS, LLC</w:t>
            </w:r>
          </w:p>
        </w:tc>
      </w:tr>
      <w:tr>
        <w:trPr>
          <w:trHeight w:val="216"/>
        </w:trPr>
        <w:tc>
          <w:tcPr>
            <w:tcW w:w="36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00" w:type="dxa"/>
            <w:vAlign w:val="bottom"/>
          </w:tcPr>
          <w:p>
            <w:pPr>
              <w:ind w:left="240"/>
              <w:spacing w:after="0"/>
              <w:rPr>
                <w:sz w:val="20"/>
                <w:szCs w:val="20"/>
                <w:color w:val="auto"/>
              </w:rPr>
            </w:pPr>
            <w:r>
              <w:rPr>
                <w:rFonts w:ascii="Arial" w:cs="Arial" w:eastAsia="Arial" w:hAnsi="Arial"/>
                <w:sz w:val="18"/>
                <w:szCs w:val="18"/>
                <w:color w:val="auto"/>
              </w:rPr>
              <w:t>By:  Warburg Pincus &amp; Co.,</w:t>
            </w:r>
          </w:p>
        </w:tc>
      </w:tr>
      <w:tr>
        <w:trPr>
          <w:trHeight w:val="230"/>
        </w:trPr>
        <w:tc>
          <w:tcPr>
            <w:tcW w:w="36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00" w:type="dxa"/>
            <w:vAlign w:val="bottom"/>
          </w:tcPr>
          <w:p>
            <w:pPr>
              <w:ind w:left="680"/>
              <w:spacing w:after="0"/>
              <w:rPr>
                <w:sz w:val="20"/>
                <w:szCs w:val="20"/>
                <w:color w:val="auto"/>
              </w:rPr>
            </w:pPr>
            <w:r>
              <w:rPr>
                <w:rFonts w:ascii="Arial" w:cs="Arial" w:eastAsia="Arial" w:hAnsi="Arial"/>
                <w:sz w:val="18"/>
                <w:szCs w:val="18"/>
                <w:color w:val="auto"/>
              </w:rPr>
              <w:t>its Managing Member</w:t>
            </w:r>
          </w:p>
        </w:tc>
      </w:tr>
    </w:tbl>
    <w:p>
      <w:pPr>
        <w:sectPr>
          <w:pgSz w:w="11900" w:h="16838" w:orient="portrait"/>
          <w:cols w:equalWidth="0" w:num="1">
            <w:col w:w="11420"/>
          </w:cols>
          <w:pgMar w:left="240" w:top="391" w:right="239" w:bottom="0" w:gutter="0" w:footer="0" w:header="0"/>
        </w:sectPr>
      </w:pPr>
    </w:p>
    <w:bookmarkStart w:id="8" w:name="page9"/>
    <w:bookmarkEnd w:id="8"/>
    <w:p>
      <w:pPr>
        <w:ind w:left="570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A. Arenare</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Scott A. Arenare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-130810</wp:posOffset>
            </wp:positionV>
            <wp:extent cx="3370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Partner</w:t>
      </w:r>
    </w:p>
    <w:p>
      <w:pPr>
        <w:spacing w:after="0" w:line="211"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Dated: June 29, 2010</w:t>
      </w:r>
      <w:r>
        <w:rPr>
          <w:sz w:val="20"/>
          <w:szCs w:val="20"/>
          <w:color w:val="auto"/>
        </w:rPr>
        <w:tab/>
      </w:r>
      <w:r>
        <w:rPr>
          <w:rFonts w:ascii="Arial" w:cs="Arial" w:eastAsia="Arial" w:hAnsi="Arial"/>
          <w:sz w:val="17"/>
          <w:szCs w:val="17"/>
          <w:color w:val="auto"/>
        </w:rPr>
        <w:t>WARBURG PINCUS &amp; CO.</w:t>
      </w:r>
    </w:p>
    <w:p>
      <w:pPr>
        <w:spacing w:after="0" w:line="200" w:lineRule="exact"/>
        <w:rPr>
          <w:sz w:val="20"/>
          <w:szCs w:val="20"/>
          <w:color w:val="auto"/>
        </w:rPr>
      </w:pPr>
    </w:p>
    <w:p>
      <w:pPr>
        <w:spacing w:after="0" w:line="241" w:lineRule="exact"/>
        <w:rPr>
          <w:sz w:val="20"/>
          <w:szCs w:val="20"/>
          <w:color w:val="auto"/>
        </w:rPr>
      </w:pPr>
    </w:p>
    <w:p>
      <w:pPr>
        <w:ind w:left="570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A. Arenare</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Scott A. Arenare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-130810</wp:posOffset>
            </wp:positionV>
            <wp:extent cx="3370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Partner</w:t>
      </w:r>
    </w:p>
    <w:p>
      <w:pPr>
        <w:spacing w:after="0" w:line="21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Dated: June 29, 2010</w:t>
      </w:r>
      <w:r>
        <w:rPr>
          <w:sz w:val="20"/>
          <w:szCs w:val="20"/>
          <w:color w:val="auto"/>
        </w:rPr>
        <w:tab/>
      </w:r>
      <w:r>
        <w:rPr>
          <w:rFonts w:ascii="Arial" w:cs="Arial" w:eastAsia="Arial" w:hAnsi="Arial"/>
          <w:sz w:val="17"/>
          <w:szCs w:val="17"/>
          <w:color w:val="auto"/>
        </w:rPr>
        <w:t>WARBURG PINCUS LLC</w:t>
      </w:r>
    </w:p>
    <w:p>
      <w:pPr>
        <w:spacing w:after="0" w:line="200" w:lineRule="exact"/>
        <w:rPr>
          <w:sz w:val="20"/>
          <w:szCs w:val="20"/>
          <w:color w:val="auto"/>
        </w:rPr>
      </w:pPr>
    </w:p>
    <w:p>
      <w:pPr>
        <w:spacing w:after="0" w:line="241" w:lineRule="exact"/>
        <w:rPr>
          <w:sz w:val="20"/>
          <w:szCs w:val="20"/>
          <w:color w:val="auto"/>
        </w:rPr>
      </w:pPr>
    </w:p>
    <w:p>
      <w:pPr>
        <w:ind w:left="570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A. Arenare</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Scott A. Arenare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-130810</wp:posOffset>
            </wp:positionV>
            <wp:extent cx="3370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June 29, 2010</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Scott A. Arenare</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Charles R. Kaye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-130810</wp:posOffset>
            </wp:positionV>
            <wp:extent cx="363601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3" w:lineRule="exact"/>
        <w:rPr>
          <w:sz w:val="20"/>
          <w:szCs w:val="20"/>
          <w:color w:val="auto"/>
        </w:rPr>
      </w:pPr>
    </w:p>
    <w:p>
      <w:pPr>
        <w:ind w:left="570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Scott A. Arenare</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as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June 29, 2010</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Scott A. Arenare</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Joseph P. Landy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-130810</wp:posOffset>
            </wp:positionV>
            <wp:extent cx="363601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3" w:lineRule="exact"/>
        <w:rPr>
          <w:sz w:val="20"/>
          <w:szCs w:val="20"/>
          <w:color w:val="auto"/>
        </w:rPr>
      </w:pPr>
    </w:p>
    <w:p>
      <w:pPr>
        <w:ind w:left="5700"/>
        <w:spacing w:after="0"/>
        <w:tabs>
          <w:tab w:leader="none" w:pos="6140" w:val="left"/>
        </w:tabs>
        <w:rPr>
          <w:sz w:val="20"/>
          <w:szCs w:val="20"/>
          <w:color w:val="auto"/>
        </w:rPr>
      </w:pPr>
      <w:r>
        <w:rPr>
          <w:rFonts w:ascii="Arial" w:cs="Arial" w:eastAsia="Arial" w:hAnsi="Arial"/>
          <w:sz w:val="18"/>
          <w:szCs w:val="18"/>
          <w:color w:val="auto"/>
        </w:rPr>
        <w:t>By:</w:t>
        <w:tab/>
        <w:t>Scott A. Arenare</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Power of Attorney given by Mr.Kaye was previously filed as Exhibit 24.2 with the Warburg Pincus Private Equity IX, L.P. Form 3 for Builders FirstSource, Inc., on March 3, 2006, and is hereby incorporated by reference.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Power of Attorney given by Mr. Landy was previously filed as Exhibit 24.1 with the Warburg Pincus Private Equity IX, L.P. Form 3 for Builders FirstSource, Inc., on March 3, 2006, and is hereby incorporated by reference.</w:t>
      </w:r>
    </w:p>
    <w:p>
      <w:pPr>
        <w:spacing w:after="0" w:line="17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00" w:lineRule="exact"/>
        <w:rPr>
          <w:sz w:val="20"/>
          <w:szCs w:val="20"/>
          <w:color w:val="auto"/>
        </w:rPr>
      </w:pPr>
    </w:p>
    <w:p>
      <w:pPr>
        <w:spacing w:after="0" w:line="241"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b w:val="1"/>
          <w:bCs w:val="1"/>
          <w:color w:val="auto"/>
        </w:rPr>
        <w:t>Exhibit 99.1:</w:t>
      </w:r>
      <w:r>
        <w:rPr>
          <w:sz w:val="20"/>
          <w:szCs w:val="20"/>
          <w:color w:val="auto"/>
        </w:rPr>
        <w:tab/>
      </w:r>
      <w:r>
        <w:rPr>
          <w:rFonts w:ascii="Arial" w:cs="Arial" w:eastAsia="Arial" w:hAnsi="Arial"/>
          <w:sz w:val="16"/>
          <w:szCs w:val="16"/>
          <w:color w:val="auto"/>
        </w:rPr>
        <w:t>Joint Filing Agreement, dated June 29, 2010, by and among the Warburg Pincus Reporting Persons.</w:t>
      </w:r>
    </w:p>
    <w:p>
      <w:pPr>
        <w:spacing w:after="0" w:line="22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40"/>
          </w:cols>
          <w:pgMar w:left="240" w:top="341" w:right="719" w:bottom="1440" w:gutter="0" w:footer="0" w:header="0"/>
        </w:sectPr>
      </w:pPr>
    </w:p>
    <w:bookmarkStart w:id="9" w:name="page10"/>
    <w:bookmarkEnd w:id="9"/>
    <w:p>
      <w:pPr>
        <w:ind w:left="10480"/>
        <w:spacing w:after="0"/>
        <w:rPr>
          <w:sz w:val="20"/>
          <w:szCs w:val="20"/>
          <w:color w:val="auto"/>
        </w:rPr>
      </w:pPr>
      <w:r>
        <w:rPr>
          <w:rFonts w:ascii="Arial" w:cs="Arial" w:eastAsia="Arial" w:hAnsi="Arial"/>
          <w:sz w:val="17"/>
          <w:szCs w:val="17"/>
          <w:b w:val="1"/>
          <w:bCs w:val="1"/>
          <w:color w:val="auto"/>
        </w:rPr>
        <w:t>Exhibit 99.1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JOINT FILING AGREEMENT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PURSUANT TO RULE 13d-1(k)(1)</w:t>
      </w:r>
    </w:p>
    <w:p>
      <w:pPr>
        <w:spacing w:after="0" w:line="211"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others, except to the extent that it knows or has reason to believe that such information is inaccurate. This Agreement may be executed in any number of counterparts and all of such counterparts taken together shall constitute one and the same instrument.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Dated: June 29, 2010</w:t>
            </w:r>
          </w:p>
        </w:tc>
        <w:tc>
          <w:tcPr>
            <w:tcW w:w="7840" w:type="dxa"/>
            <w:vAlign w:val="bottom"/>
            <w:gridSpan w:val="3"/>
          </w:tcPr>
          <w:p>
            <w:pPr>
              <w:ind w:left="2040"/>
              <w:spacing w:after="0"/>
              <w:rPr>
                <w:sz w:val="20"/>
                <w:szCs w:val="20"/>
                <w:color w:val="auto"/>
              </w:rPr>
            </w:pPr>
            <w:r>
              <w:rPr>
                <w:rFonts w:ascii="Arial" w:cs="Arial" w:eastAsia="Arial" w:hAnsi="Arial"/>
                <w:sz w:val="18"/>
                <w:szCs w:val="18"/>
                <w:color w:val="auto"/>
              </w:rPr>
              <w:t>WARBURG PINCUS PRIVATE EQUITY IX, L.P.</w:t>
            </w:r>
          </w:p>
        </w:tc>
        <w:tc>
          <w:tcPr>
            <w:tcW w:w="4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By:</w:t>
            </w:r>
          </w:p>
        </w:tc>
        <w:tc>
          <w:tcPr>
            <w:tcW w:w="4780" w:type="dxa"/>
            <w:vAlign w:val="bottom"/>
          </w:tcPr>
          <w:p>
            <w:pPr>
              <w:ind w:left="100"/>
              <w:spacing w:after="0"/>
              <w:rPr>
                <w:sz w:val="20"/>
                <w:szCs w:val="20"/>
                <w:color w:val="auto"/>
              </w:rPr>
            </w:pPr>
            <w:r>
              <w:rPr>
                <w:rFonts w:ascii="Arial" w:cs="Arial" w:eastAsia="Arial" w:hAnsi="Arial"/>
                <w:sz w:val="18"/>
                <w:szCs w:val="18"/>
                <w:color w:val="auto"/>
              </w:rPr>
              <w:t>Warburg Pincus IX, LLC,</w:t>
            </w:r>
          </w:p>
        </w:tc>
        <w:tc>
          <w:tcPr>
            <w:tcW w:w="4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its General Partner</w:t>
            </w:r>
          </w:p>
        </w:tc>
        <w:tc>
          <w:tcPr>
            <w:tcW w:w="40" w:type="dxa"/>
            <w:vAlign w:val="bottom"/>
          </w:tcPr>
          <w:p>
            <w:pPr>
              <w:spacing w:after="0"/>
              <w:rPr>
                <w:sz w:val="20"/>
                <w:szCs w:val="20"/>
                <w:color w:val="auto"/>
              </w:rPr>
            </w:pPr>
          </w:p>
        </w:tc>
      </w:tr>
      <w:tr>
        <w:trPr>
          <w:trHeight w:val="418"/>
        </w:trPr>
        <w:tc>
          <w:tcPr>
            <w:tcW w:w="35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By:</w:t>
            </w:r>
          </w:p>
        </w:tc>
        <w:tc>
          <w:tcPr>
            <w:tcW w:w="4780" w:type="dxa"/>
            <w:vAlign w:val="bottom"/>
          </w:tcPr>
          <w:p>
            <w:pPr>
              <w:ind w:left="100"/>
              <w:spacing w:after="0"/>
              <w:rPr>
                <w:sz w:val="20"/>
                <w:szCs w:val="20"/>
                <w:color w:val="auto"/>
              </w:rPr>
            </w:pPr>
            <w:r>
              <w:rPr>
                <w:rFonts w:ascii="Arial" w:cs="Arial" w:eastAsia="Arial" w:hAnsi="Arial"/>
                <w:sz w:val="18"/>
                <w:szCs w:val="18"/>
                <w:color w:val="auto"/>
              </w:rPr>
              <w:t>Warburg Pincus Partners, LLC,</w:t>
            </w:r>
          </w:p>
        </w:tc>
        <w:tc>
          <w:tcPr>
            <w:tcW w:w="40" w:type="dxa"/>
            <w:vAlign w:val="bottom"/>
          </w:tcPr>
          <w:p>
            <w:pPr>
              <w:spacing w:after="0"/>
              <w:rPr>
                <w:sz w:val="24"/>
                <w:szCs w:val="24"/>
                <w:color w:val="auto"/>
              </w:rPr>
            </w:pPr>
          </w:p>
        </w:tc>
      </w:tr>
      <w:tr>
        <w:trPr>
          <w:trHeight w:val="230"/>
        </w:trPr>
        <w:tc>
          <w:tcPr>
            <w:tcW w:w="35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its Sole Member</w:t>
            </w:r>
          </w:p>
        </w:tc>
        <w:tc>
          <w:tcPr>
            <w:tcW w:w="40" w:type="dxa"/>
            <w:vAlign w:val="bottom"/>
          </w:tcPr>
          <w:p>
            <w:pPr>
              <w:spacing w:after="0"/>
              <w:rPr>
                <w:sz w:val="20"/>
                <w:szCs w:val="20"/>
                <w:color w:val="auto"/>
              </w:rPr>
            </w:pPr>
          </w:p>
        </w:tc>
      </w:tr>
      <w:tr>
        <w:trPr>
          <w:trHeight w:val="418"/>
        </w:trPr>
        <w:tc>
          <w:tcPr>
            <w:tcW w:w="35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By:</w:t>
            </w:r>
          </w:p>
        </w:tc>
        <w:tc>
          <w:tcPr>
            <w:tcW w:w="4780" w:type="dxa"/>
            <w:vAlign w:val="bottom"/>
          </w:tcPr>
          <w:p>
            <w:pPr>
              <w:ind w:left="100"/>
              <w:spacing w:after="0"/>
              <w:rPr>
                <w:sz w:val="20"/>
                <w:szCs w:val="20"/>
                <w:color w:val="auto"/>
              </w:rPr>
            </w:pPr>
            <w:r>
              <w:rPr>
                <w:rFonts w:ascii="Arial" w:cs="Arial" w:eastAsia="Arial" w:hAnsi="Arial"/>
                <w:sz w:val="18"/>
                <w:szCs w:val="18"/>
                <w:color w:val="auto"/>
              </w:rPr>
              <w:t>Warburg Pincus &amp; Co.,</w:t>
            </w:r>
          </w:p>
        </w:tc>
        <w:tc>
          <w:tcPr>
            <w:tcW w:w="40" w:type="dxa"/>
            <w:vAlign w:val="bottom"/>
          </w:tcPr>
          <w:p>
            <w:pPr>
              <w:spacing w:after="0"/>
              <w:rPr>
                <w:sz w:val="24"/>
                <w:szCs w:val="24"/>
                <w:color w:val="auto"/>
              </w:rPr>
            </w:pPr>
          </w:p>
        </w:tc>
      </w:tr>
      <w:tr>
        <w:trPr>
          <w:trHeight w:val="230"/>
        </w:trPr>
        <w:tc>
          <w:tcPr>
            <w:tcW w:w="35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its Managing Member</w:t>
            </w:r>
          </w:p>
        </w:tc>
        <w:tc>
          <w:tcPr>
            <w:tcW w:w="40" w:type="dxa"/>
            <w:vAlign w:val="bottom"/>
          </w:tcPr>
          <w:p>
            <w:pPr>
              <w:spacing w:after="0"/>
              <w:rPr>
                <w:sz w:val="20"/>
                <w:szCs w:val="20"/>
                <w:color w:val="auto"/>
              </w:rPr>
            </w:pPr>
          </w:p>
        </w:tc>
      </w:tr>
      <w:tr>
        <w:trPr>
          <w:trHeight w:val="648"/>
        </w:trPr>
        <w:tc>
          <w:tcPr>
            <w:tcW w:w="3580" w:type="dxa"/>
            <w:vAlign w:val="bottom"/>
          </w:tcPr>
          <w:p>
            <w:pPr>
              <w:spacing w:after="0"/>
              <w:rPr>
                <w:sz w:val="24"/>
                <w:szCs w:val="24"/>
                <w:color w:val="auto"/>
              </w:rPr>
            </w:pPr>
          </w:p>
        </w:tc>
        <w:tc>
          <w:tcPr>
            <w:tcW w:w="7840" w:type="dxa"/>
            <w:vAlign w:val="bottom"/>
            <w:gridSpan w:val="3"/>
          </w:tcPr>
          <w:p>
            <w:pPr>
              <w:ind w:left="2040"/>
              <w:spacing w:after="0"/>
              <w:rPr>
                <w:sz w:val="20"/>
                <w:szCs w:val="20"/>
                <w:color w:val="auto"/>
              </w:rPr>
            </w:pPr>
            <w:r>
              <w:rPr>
                <w:rFonts w:ascii="Arial" w:cs="Arial" w:eastAsia="Arial" w:hAnsi="Arial"/>
                <w:sz w:val="18"/>
                <w:szCs w:val="18"/>
                <w:color w:val="auto"/>
              </w:rPr>
              <w:t>By:  /s/ Scott A. Arenare</w:t>
            </w:r>
          </w:p>
        </w:tc>
        <w:tc>
          <w:tcPr>
            <w:tcW w:w="4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Scott A. Arenare</w:t>
            </w:r>
          </w:p>
        </w:tc>
        <w:tc>
          <w:tcPr>
            <w:tcW w:w="40" w:type="dxa"/>
            <w:vAlign w:val="bottom"/>
          </w:tcPr>
          <w:p>
            <w:pPr>
              <w:spacing w:after="0"/>
              <w:rPr>
                <w:sz w:val="16"/>
                <w:szCs w:val="16"/>
                <w:color w:val="auto"/>
              </w:rPr>
            </w:pPr>
          </w:p>
        </w:tc>
      </w:tr>
      <w:tr>
        <w:trPr>
          <w:trHeight w:val="230"/>
        </w:trPr>
        <w:tc>
          <w:tcPr>
            <w:tcW w:w="35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ind w:left="100"/>
              <w:spacing w:after="0"/>
              <w:rPr>
                <w:sz w:val="20"/>
                <w:szCs w:val="20"/>
                <w:color w:val="auto"/>
              </w:rPr>
            </w:pPr>
            <w:r>
              <w:rPr>
                <w:rFonts w:ascii="Arial" w:cs="Arial" w:eastAsia="Arial" w:hAnsi="Arial"/>
                <w:sz w:val="18"/>
                <w:szCs w:val="18"/>
                <w:color w:val="auto"/>
              </w:rPr>
              <w:t>Partner</w:t>
            </w:r>
          </w:p>
        </w:tc>
        <w:tc>
          <w:tcPr>
            <w:tcW w:w="40" w:type="dxa"/>
            <w:vAlign w:val="bottom"/>
          </w:tcPr>
          <w:p>
            <w:pPr>
              <w:spacing w:after="0"/>
              <w:rPr>
                <w:sz w:val="20"/>
                <w:szCs w:val="20"/>
                <w:color w:val="auto"/>
              </w:rPr>
            </w:pPr>
          </w:p>
        </w:tc>
      </w:tr>
      <w:tr>
        <w:trPr>
          <w:trHeight w:val="418"/>
        </w:trPr>
        <w:tc>
          <w:tcPr>
            <w:tcW w:w="3580" w:type="dxa"/>
            <w:vAlign w:val="bottom"/>
          </w:tcPr>
          <w:p>
            <w:pPr>
              <w:spacing w:after="0"/>
              <w:rPr>
                <w:sz w:val="20"/>
                <w:szCs w:val="20"/>
                <w:color w:val="auto"/>
              </w:rPr>
            </w:pPr>
            <w:r>
              <w:rPr>
                <w:rFonts w:ascii="Arial" w:cs="Arial" w:eastAsia="Arial" w:hAnsi="Arial"/>
                <w:sz w:val="18"/>
                <w:szCs w:val="18"/>
                <w:color w:val="auto"/>
              </w:rPr>
              <w:t>Dated: June 29, 2010</w:t>
            </w:r>
          </w:p>
        </w:tc>
        <w:tc>
          <w:tcPr>
            <w:tcW w:w="7840" w:type="dxa"/>
            <w:vAlign w:val="bottom"/>
            <w:gridSpan w:val="3"/>
          </w:tcPr>
          <w:p>
            <w:pPr>
              <w:ind w:left="2040"/>
              <w:spacing w:after="0"/>
              <w:rPr>
                <w:sz w:val="20"/>
                <w:szCs w:val="20"/>
                <w:color w:val="auto"/>
              </w:rPr>
            </w:pPr>
            <w:r>
              <w:rPr>
                <w:rFonts w:ascii="Arial" w:cs="Arial" w:eastAsia="Arial" w:hAnsi="Arial"/>
                <w:sz w:val="18"/>
                <w:szCs w:val="18"/>
                <w:color w:val="auto"/>
              </w:rPr>
              <w:t>WARBURG PINCUS IX, LLC</w:t>
            </w:r>
          </w:p>
        </w:tc>
        <w:tc>
          <w:tcPr>
            <w:tcW w:w="40" w:type="dxa"/>
            <w:vAlign w:val="bottom"/>
          </w:tcPr>
          <w:p>
            <w:pPr>
              <w:spacing w:after="0"/>
              <w:rPr>
                <w:sz w:val="24"/>
                <w:szCs w:val="24"/>
                <w:color w:val="auto"/>
              </w:rPr>
            </w:pPr>
          </w:p>
        </w:tc>
      </w:tr>
      <w:tr>
        <w:trPr>
          <w:trHeight w:val="216"/>
        </w:trPr>
        <w:tc>
          <w:tcPr>
            <w:tcW w:w="35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By:</w:t>
            </w:r>
          </w:p>
        </w:tc>
        <w:tc>
          <w:tcPr>
            <w:tcW w:w="4780" w:type="dxa"/>
            <w:vAlign w:val="bottom"/>
          </w:tcPr>
          <w:p>
            <w:pPr>
              <w:ind w:left="100"/>
              <w:spacing w:after="0"/>
              <w:rPr>
                <w:sz w:val="20"/>
                <w:szCs w:val="20"/>
                <w:color w:val="auto"/>
              </w:rPr>
            </w:pPr>
            <w:r>
              <w:rPr>
                <w:rFonts w:ascii="Arial" w:cs="Arial" w:eastAsia="Arial" w:hAnsi="Arial"/>
                <w:sz w:val="18"/>
                <w:szCs w:val="18"/>
                <w:color w:val="auto"/>
              </w:rPr>
              <w:t>Warburg Pincus Partners, LLC,</w:t>
            </w:r>
          </w:p>
        </w:tc>
        <w:tc>
          <w:tcPr>
            <w:tcW w:w="4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its Sole Member</w:t>
            </w:r>
          </w:p>
        </w:tc>
        <w:tc>
          <w:tcPr>
            <w:tcW w:w="40" w:type="dxa"/>
            <w:vAlign w:val="bottom"/>
          </w:tcPr>
          <w:p>
            <w:pPr>
              <w:spacing w:after="0"/>
              <w:rPr>
                <w:sz w:val="20"/>
                <w:szCs w:val="20"/>
                <w:color w:val="auto"/>
              </w:rPr>
            </w:pPr>
          </w:p>
        </w:tc>
      </w:tr>
      <w:tr>
        <w:trPr>
          <w:trHeight w:val="418"/>
        </w:trPr>
        <w:tc>
          <w:tcPr>
            <w:tcW w:w="35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By:</w:t>
            </w:r>
          </w:p>
        </w:tc>
        <w:tc>
          <w:tcPr>
            <w:tcW w:w="4780" w:type="dxa"/>
            <w:vAlign w:val="bottom"/>
          </w:tcPr>
          <w:p>
            <w:pPr>
              <w:ind w:left="100"/>
              <w:spacing w:after="0"/>
              <w:rPr>
                <w:sz w:val="20"/>
                <w:szCs w:val="20"/>
                <w:color w:val="auto"/>
              </w:rPr>
            </w:pPr>
            <w:r>
              <w:rPr>
                <w:rFonts w:ascii="Arial" w:cs="Arial" w:eastAsia="Arial" w:hAnsi="Arial"/>
                <w:sz w:val="18"/>
                <w:szCs w:val="18"/>
                <w:color w:val="auto"/>
              </w:rPr>
              <w:t>Warburg Pincus &amp; Co.,</w:t>
            </w:r>
          </w:p>
        </w:tc>
        <w:tc>
          <w:tcPr>
            <w:tcW w:w="40" w:type="dxa"/>
            <w:vAlign w:val="bottom"/>
          </w:tcPr>
          <w:p>
            <w:pPr>
              <w:spacing w:after="0"/>
              <w:rPr>
                <w:sz w:val="24"/>
                <w:szCs w:val="24"/>
                <w:color w:val="auto"/>
              </w:rPr>
            </w:pPr>
          </w:p>
        </w:tc>
      </w:tr>
      <w:tr>
        <w:trPr>
          <w:trHeight w:val="230"/>
        </w:trPr>
        <w:tc>
          <w:tcPr>
            <w:tcW w:w="35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its Managing Member</w:t>
            </w:r>
          </w:p>
        </w:tc>
        <w:tc>
          <w:tcPr>
            <w:tcW w:w="40" w:type="dxa"/>
            <w:vAlign w:val="bottom"/>
          </w:tcPr>
          <w:p>
            <w:pPr>
              <w:spacing w:after="0"/>
              <w:rPr>
                <w:sz w:val="20"/>
                <w:szCs w:val="20"/>
                <w:color w:val="auto"/>
              </w:rPr>
            </w:pPr>
          </w:p>
        </w:tc>
      </w:tr>
      <w:tr>
        <w:trPr>
          <w:trHeight w:val="648"/>
        </w:trPr>
        <w:tc>
          <w:tcPr>
            <w:tcW w:w="3580" w:type="dxa"/>
            <w:vAlign w:val="bottom"/>
          </w:tcPr>
          <w:p>
            <w:pPr>
              <w:spacing w:after="0"/>
              <w:rPr>
                <w:sz w:val="24"/>
                <w:szCs w:val="24"/>
                <w:color w:val="auto"/>
              </w:rPr>
            </w:pPr>
          </w:p>
        </w:tc>
        <w:tc>
          <w:tcPr>
            <w:tcW w:w="7840" w:type="dxa"/>
            <w:vAlign w:val="bottom"/>
            <w:gridSpan w:val="3"/>
          </w:tcPr>
          <w:p>
            <w:pPr>
              <w:ind w:left="2040"/>
              <w:spacing w:after="0"/>
              <w:rPr>
                <w:sz w:val="20"/>
                <w:szCs w:val="20"/>
                <w:color w:val="auto"/>
              </w:rPr>
            </w:pPr>
            <w:r>
              <w:rPr>
                <w:rFonts w:ascii="Arial" w:cs="Arial" w:eastAsia="Arial" w:hAnsi="Arial"/>
                <w:sz w:val="18"/>
                <w:szCs w:val="18"/>
                <w:color w:val="auto"/>
              </w:rPr>
              <w:t>By:  /s/ Scott A. Arenare</w:t>
            </w:r>
          </w:p>
        </w:tc>
        <w:tc>
          <w:tcPr>
            <w:tcW w:w="4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Scott A. Arenare</w:t>
            </w:r>
          </w:p>
        </w:tc>
        <w:tc>
          <w:tcPr>
            <w:tcW w:w="40" w:type="dxa"/>
            <w:vAlign w:val="bottom"/>
          </w:tcPr>
          <w:p>
            <w:pPr>
              <w:spacing w:after="0"/>
              <w:rPr>
                <w:sz w:val="16"/>
                <w:szCs w:val="16"/>
                <w:color w:val="auto"/>
              </w:rPr>
            </w:pPr>
          </w:p>
        </w:tc>
      </w:tr>
      <w:tr>
        <w:trPr>
          <w:trHeight w:val="230"/>
        </w:trPr>
        <w:tc>
          <w:tcPr>
            <w:tcW w:w="35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ind w:left="100"/>
              <w:spacing w:after="0"/>
              <w:rPr>
                <w:sz w:val="20"/>
                <w:szCs w:val="20"/>
                <w:color w:val="auto"/>
              </w:rPr>
            </w:pPr>
            <w:r>
              <w:rPr>
                <w:rFonts w:ascii="Arial" w:cs="Arial" w:eastAsia="Arial" w:hAnsi="Arial"/>
                <w:sz w:val="18"/>
                <w:szCs w:val="18"/>
                <w:color w:val="auto"/>
              </w:rPr>
              <w:t>Partner</w:t>
            </w:r>
          </w:p>
        </w:tc>
        <w:tc>
          <w:tcPr>
            <w:tcW w:w="40" w:type="dxa"/>
            <w:vAlign w:val="bottom"/>
          </w:tcPr>
          <w:p>
            <w:pPr>
              <w:spacing w:after="0"/>
              <w:rPr>
                <w:sz w:val="20"/>
                <w:szCs w:val="20"/>
                <w:color w:val="auto"/>
              </w:rPr>
            </w:pPr>
          </w:p>
        </w:tc>
      </w:tr>
      <w:tr>
        <w:trPr>
          <w:trHeight w:val="348"/>
        </w:trPr>
        <w:tc>
          <w:tcPr>
            <w:tcW w:w="3580" w:type="dxa"/>
            <w:vAlign w:val="bottom"/>
            <w:tcBorders>
              <w:bottom w:val="single" w:sz="8" w:color="010101"/>
            </w:tcBorders>
          </w:tcPr>
          <w:p>
            <w:pPr>
              <w:spacing w:after="0"/>
              <w:rPr>
                <w:sz w:val="24"/>
                <w:szCs w:val="24"/>
                <w:color w:val="auto"/>
              </w:rPr>
            </w:pPr>
          </w:p>
        </w:tc>
        <w:tc>
          <w:tcPr>
            <w:tcW w:w="248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47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Dated: June 29, 2010</w:t>
            </w:r>
          </w:p>
        </w:tc>
        <w:tc>
          <w:tcPr>
            <w:tcW w:w="7840" w:type="dxa"/>
            <w:vAlign w:val="bottom"/>
            <w:gridSpan w:val="4"/>
          </w:tcPr>
          <w:p>
            <w:pPr>
              <w:ind w:left="2040"/>
              <w:spacing w:after="0"/>
              <w:rPr>
                <w:sz w:val="20"/>
                <w:szCs w:val="20"/>
                <w:color w:val="auto"/>
              </w:rPr>
            </w:pPr>
            <w:r>
              <w:rPr>
                <w:rFonts w:ascii="Arial" w:cs="Arial" w:eastAsia="Arial" w:hAnsi="Arial"/>
                <w:sz w:val="18"/>
                <w:szCs w:val="18"/>
                <w:color w:val="auto"/>
              </w:rPr>
              <w:t>WARBURG PINCUS PARTNERS, LLC</w:t>
            </w:r>
          </w:p>
        </w:tc>
      </w:tr>
      <w:tr>
        <w:trPr>
          <w:trHeight w:val="216"/>
        </w:trPr>
        <w:tc>
          <w:tcPr>
            <w:tcW w:w="35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auto"/>
              </w:rPr>
              <w:t>By:</w:t>
            </w:r>
          </w:p>
        </w:tc>
        <w:tc>
          <w:tcPr>
            <w:tcW w:w="4780" w:type="dxa"/>
            <w:vAlign w:val="bottom"/>
          </w:tcPr>
          <w:p>
            <w:pPr>
              <w:ind w:left="100"/>
              <w:spacing w:after="0"/>
              <w:rPr>
                <w:sz w:val="20"/>
                <w:szCs w:val="20"/>
                <w:color w:val="auto"/>
              </w:rPr>
            </w:pPr>
            <w:r>
              <w:rPr>
                <w:rFonts w:ascii="Arial" w:cs="Arial" w:eastAsia="Arial" w:hAnsi="Arial"/>
                <w:sz w:val="18"/>
                <w:szCs w:val="18"/>
                <w:color w:val="auto"/>
              </w:rPr>
              <w:t>Warburg Pincus &amp; Co.,</w:t>
            </w:r>
          </w:p>
        </w:tc>
      </w:tr>
      <w:tr>
        <w:trPr>
          <w:trHeight w:val="230"/>
        </w:trPr>
        <w:tc>
          <w:tcPr>
            <w:tcW w:w="35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its Managing Member</w:t>
            </w:r>
          </w:p>
        </w:tc>
      </w:tr>
      <w:tr>
        <w:trPr>
          <w:trHeight w:val="648"/>
        </w:trPr>
        <w:tc>
          <w:tcPr>
            <w:tcW w:w="3580" w:type="dxa"/>
            <w:vAlign w:val="bottom"/>
          </w:tcPr>
          <w:p>
            <w:pPr>
              <w:spacing w:after="0"/>
              <w:rPr>
                <w:sz w:val="24"/>
                <w:szCs w:val="24"/>
                <w:color w:val="auto"/>
              </w:rPr>
            </w:pPr>
          </w:p>
        </w:tc>
        <w:tc>
          <w:tcPr>
            <w:tcW w:w="7840" w:type="dxa"/>
            <w:vAlign w:val="bottom"/>
            <w:gridSpan w:val="4"/>
          </w:tcPr>
          <w:p>
            <w:pPr>
              <w:ind w:left="2040"/>
              <w:spacing w:after="0"/>
              <w:rPr>
                <w:sz w:val="20"/>
                <w:szCs w:val="20"/>
                <w:color w:val="auto"/>
              </w:rPr>
            </w:pPr>
            <w:r>
              <w:rPr>
                <w:rFonts w:ascii="Arial" w:cs="Arial" w:eastAsia="Arial" w:hAnsi="Arial"/>
                <w:sz w:val="18"/>
                <w:szCs w:val="18"/>
                <w:color w:val="auto"/>
              </w:rPr>
              <w:t>By:  /s/ Scott A. Arenare</w:t>
            </w:r>
          </w:p>
        </w:tc>
      </w:tr>
      <w:tr>
        <w:trPr>
          <w:trHeight w:val="195"/>
        </w:trPr>
        <w:tc>
          <w:tcPr>
            <w:tcW w:w="35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Scott A. Arenare</w:t>
            </w:r>
          </w:p>
        </w:tc>
      </w:tr>
      <w:tr>
        <w:trPr>
          <w:trHeight w:val="230"/>
        </w:trPr>
        <w:tc>
          <w:tcPr>
            <w:tcW w:w="35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ind w:left="100"/>
              <w:spacing w:after="0"/>
              <w:rPr>
                <w:sz w:val="20"/>
                <w:szCs w:val="20"/>
                <w:color w:val="auto"/>
              </w:rPr>
            </w:pPr>
            <w:r>
              <w:rPr>
                <w:rFonts w:ascii="Arial" w:cs="Arial" w:eastAsia="Arial" w:hAnsi="Arial"/>
                <w:sz w:val="18"/>
                <w:szCs w:val="18"/>
                <w:color w:val="auto"/>
              </w:rPr>
              <w:t>Partner</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Dated: June 29, 2010</w:t>
            </w:r>
          </w:p>
        </w:tc>
        <w:tc>
          <w:tcPr>
            <w:tcW w:w="7840" w:type="dxa"/>
            <w:vAlign w:val="bottom"/>
            <w:gridSpan w:val="4"/>
          </w:tcPr>
          <w:p>
            <w:pPr>
              <w:ind w:left="2040"/>
              <w:spacing w:after="0"/>
              <w:rPr>
                <w:sz w:val="20"/>
                <w:szCs w:val="20"/>
                <w:color w:val="auto"/>
              </w:rPr>
            </w:pPr>
            <w:r>
              <w:rPr>
                <w:rFonts w:ascii="Arial" w:cs="Arial" w:eastAsia="Arial" w:hAnsi="Arial"/>
                <w:sz w:val="18"/>
                <w:szCs w:val="18"/>
                <w:color w:val="auto"/>
              </w:rPr>
              <w:t>WARBURG PINCUS &amp; CO.</w:t>
            </w:r>
          </w:p>
        </w:tc>
      </w:tr>
      <w:tr>
        <w:trPr>
          <w:trHeight w:val="648"/>
        </w:trPr>
        <w:tc>
          <w:tcPr>
            <w:tcW w:w="3580" w:type="dxa"/>
            <w:vAlign w:val="bottom"/>
          </w:tcPr>
          <w:p>
            <w:pPr>
              <w:spacing w:after="0"/>
              <w:rPr>
                <w:sz w:val="24"/>
                <w:szCs w:val="24"/>
                <w:color w:val="auto"/>
              </w:rPr>
            </w:pPr>
          </w:p>
        </w:tc>
        <w:tc>
          <w:tcPr>
            <w:tcW w:w="7840" w:type="dxa"/>
            <w:vAlign w:val="bottom"/>
            <w:gridSpan w:val="4"/>
          </w:tcPr>
          <w:p>
            <w:pPr>
              <w:ind w:left="2040"/>
              <w:spacing w:after="0"/>
              <w:rPr>
                <w:sz w:val="20"/>
                <w:szCs w:val="20"/>
                <w:color w:val="auto"/>
              </w:rPr>
            </w:pPr>
            <w:r>
              <w:rPr>
                <w:rFonts w:ascii="Arial" w:cs="Arial" w:eastAsia="Arial" w:hAnsi="Arial"/>
                <w:sz w:val="18"/>
                <w:szCs w:val="18"/>
                <w:color w:val="auto"/>
              </w:rPr>
              <w:t>By:  /s/ Scott A. Arenare</w:t>
            </w:r>
          </w:p>
        </w:tc>
      </w:tr>
      <w:tr>
        <w:trPr>
          <w:trHeight w:val="195"/>
        </w:trPr>
        <w:tc>
          <w:tcPr>
            <w:tcW w:w="35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Scott A. Arenare</w:t>
            </w:r>
          </w:p>
        </w:tc>
      </w:tr>
      <w:tr>
        <w:trPr>
          <w:trHeight w:val="230"/>
        </w:trPr>
        <w:tc>
          <w:tcPr>
            <w:tcW w:w="35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ind w:left="160"/>
              <w:spacing w:after="0"/>
              <w:rPr>
                <w:sz w:val="20"/>
                <w:szCs w:val="20"/>
                <w:color w:val="auto"/>
              </w:rPr>
            </w:pPr>
            <w:r>
              <w:rPr>
                <w:rFonts w:ascii="Arial" w:cs="Arial" w:eastAsia="Arial" w:hAnsi="Arial"/>
                <w:sz w:val="18"/>
                <w:szCs w:val="18"/>
                <w:color w:val="auto"/>
              </w:rPr>
              <w:t>Partner</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Dated: June 29, 2010</w:t>
            </w:r>
          </w:p>
        </w:tc>
        <w:tc>
          <w:tcPr>
            <w:tcW w:w="7840" w:type="dxa"/>
            <w:vAlign w:val="bottom"/>
            <w:gridSpan w:val="4"/>
          </w:tcPr>
          <w:p>
            <w:pPr>
              <w:ind w:left="2040"/>
              <w:spacing w:after="0"/>
              <w:rPr>
                <w:sz w:val="20"/>
                <w:szCs w:val="20"/>
                <w:color w:val="auto"/>
              </w:rPr>
            </w:pPr>
            <w:r>
              <w:rPr>
                <w:rFonts w:ascii="Arial" w:cs="Arial" w:eastAsia="Arial" w:hAnsi="Arial"/>
                <w:sz w:val="18"/>
                <w:szCs w:val="18"/>
                <w:color w:val="auto"/>
              </w:rPr>
              <w:t>WARBURG PINCUS LLC</w:t>
            </w:r>
          </w:p>
        </w:tc>
      </w:tr>
      <w:tr>
        <w:trPr>
          <w:trHeight w:val="648"/>
        </w:trPr>
        <w:tc>
          <w:tcPr>
            <w:tcW w:w="3580" w:type="dxa"/>
            <w:vAlign w:val="bottom"/>
          </w:tcPr>
          <w:p>
            <w:pPr>
              <w:spacing w:after="0"/>
              <w:rPr>
                <w:sz w:val="24"/>
                <w:szCs w:val="24"/>
                <w:color w:val="auto"/>
              </w:rPr>
            </w:pPr>
          </w:p>
        </w:tc>
        <w:tc>
          <w:tcPr>
            <w:tcW w:w="7840" w:type="dxa"/>
            <w:vAlign w:val="bottom"/>
            <w:gridSpan w:val="4"/>
          </w:tcPr>
          <w:p>
            <w:pPr>
              <w:ind w:left="2040"/>
              <w:spacing w:after="0"/>
              <w:rPr>
                <w:sz w:val="20"/>
                <w:szCs w:val="20"/>
                <w:color w:val="auto"/>
              </w:rPr>
            </w:pPr>
            <w:r>
              <w:rPr>
                <w:rFonts w:ascii="Arial" w:cs="Arial" w:eastAsia="Arial" w:hAnsi="Arial"/>
                <w:sz w:val="18"/>
                <w:szCs w:val="18"/>
                <w:color w:val="auto"/>
              </w:rPr>
              <w:t>By:  /s/ Scott A. Arenare</w:t>
            </w:r>
          </w:p>
        </w:tc>
      </w:tr>
      <w:tr>
        <w:trPr>
          <w:trHeight w:val="195"/>
        </w:trPr>
        <w:tc>
          <w:tcPr>
            <w:tcW w:w="35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Scott A. Arenare</w:t>
            </w:r>
          </w:p>
        </w:tc>
      </w:tr>
      <w:tr>
        <w:trPr>
          <w:trHeight w:val="230"/>
        </w:trPr>
        <w:tc>
          <w:tcPr>
            <w:tcW w:w="35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ind w:left="160"/>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June 29, 2010</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Scott A. Arenare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Charles R. Kaye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-130810</wp:posOffset>
            </wp:positionV>
            <wp:extent cx="368744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Scott A. Arenare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as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June 29, 2010</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Scott A. Arenare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368744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10" w:name="page11"/>
    <w:bookmarkEnd w:id="10"/>
    <w:p>
      <w:pPr>
        <w:ind w:left="5620"/>
        <w:spacing w:after="0"/>
        <w:rPr>
          <w:sz w:val="20"/>
          <w:szCs w:val="20"/>
          <w:color w:val="auto"/>
        </w:rPr>
      </w:pPr>
      <w:r>
        <w:rPr>
          <w:rFonts w:ascii="Arial" w:cs="Arial" w:eastAsia="Arial" w:hAnsi="Arial"/>
          <w:sz w:val="18"/>
          <w:szCs w:val="18"/>
          <w:color w:val="auto"/>
        </w:rPr>
        <w:t>Joseph P. Landy</w:t>
      </w:r>
    </w:p>
    <w:p>
      <w:pPr>
        <w:spacing w:after="0" w:line="23"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Scott A. Arenare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Power of Attorney given by Mr.Kaye was previously filed as Exhibit 24.2 with the Warburg Pincus Private Equity IX, L.P. Form 3 for Builders FirstSource, Inc., on March 3, 2006, and is hereby incorporated by reference.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Power of Attorney given by Mr. Landy was previously filed as Exhibit 24.1 with the Warburg Pincus Private Equity IX, L.P. Form 3 for Builders FirstSource, Inc., on March 3, 2006, and is hereby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940"/>
      </w:cols>
      <w:pgMar w:left="240" w:top="125"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o"/>
      <w:numFmt w:val="bullet"/>
      <w:start w:val="1"/>
    </w:lvl>
  </w:abstractNum>
  <w:abstractNum w:abstractNumId="1">
    <w:nsid w:val="75A2A8D4"/>
    <w:multiLevelType w:val="hybridMultilevel"/>
    <w:lvl w:ilvl="0">
      <w:lvlJc w:val="left"/>
      <w:lvlText w:val="1"/>
      <w:numFmt w:val="bullet"/>
      <w:start w:val="1"/>
    </w:lvl>
  </w:abstractNum>
  <w:abstractNum w:abstractNumId="2">
    <w:nsid w:val="8EDBDAB"/>
    <w:multiLevelType w:val="hybridMultilevel"/>
    <w:lvl w:ilvl="0">
      <w:lvlJc w:val="left"/>
      <w:lvlText w:val="2"/>
      <w:numFmt w:val="bullet"/>
      <w:start w:val="1"/>
    </w:lvl>
    <w:lvl w:ilvl="1">
      <w:lvlJc w:val="left"/>
      <w:lvlText w:val="(%2)"/>
      <w:numFmt w:val="lowerLetter"/>
      <w:start w:val="1"/>
    </w:lvl>
  </w:abstractNum>
  <w:abstractNum w:abstractNumId="3">
    <w:nsid w:val="79838CB2"/>
    <w:multiLevelType w:val="hybridMultilevel"/>
    <w:lvl w:ilvl="0">
      <w:lvlJc w:val="left"/>
      <w:lvlText w:val="3"/>
      <w:numFmt w:val="bullet"/>
      <w:start w:val="1"/>
    </w:lvl>
  </w:abstractNum>
  <w:abstractNum w:abstractNumId="4">
    <w:nsid w:val="4353D0CD"/>
    <w:multiLevelType w:val="hybridMultilevel"/>
    <w:lvl w:ilvl="0">
      <w:lvlJc w:val="left"/>
      <w:lvlText w:val="4"/>
      <w:numFmt w:val="bullet"/>
      <w:start w:val="1"/>
    </w:lvl>
  </w:abstractNum>
  <w:abstractNum w:abstractNumId="5">
    <w:nsid w:val="B03E0C6"/>
    <w:multiLevelType w:val="hybridMultilevel"/>
    <w:lvl w:ilvl="0">
      <w:lvlJc w:val="left"/>
      <w:lvlText w:val="9"/>
      <w:numFmt w:val="bullet"/>
      <w:start w:val="1"/>
    </w:lvl>
  </w:abstractNum>
  <w:abstractNum w:abstractNumId="6">
    <w:nsid w:val="189A769B"/>
    <w:multiLevelType w:val="hybridMultilevel"/>
    <w:lvl w:ilvl="0">
      <w:lvlJc w:val="left"/>
      <w:lvlText w:val="%1"/>
      <w:numFmt w:val="decimal"/>
      <w:start w:val="10"/>
    </w:lvl>
  </w:abstractNum>
  <w:abstractNum w:abstractNumId="7">
    <w:nsid w:val="54E49EB4"/>
    <w:multiLevelType w:val="hybridMultilevel"/>
    <w:lvl w:ilvl="0">
      <w:lvlJc w:val="left"/>
      <w:lvlText w:val="1"/>
      <w:numFmt w:val="bullet"/>
      <w:start w:val="1"/>
    </w:lvl>
  </w:abstractNum>
  <w:abstractNum w:abstractNumId="8">
    <w:nsid w:val="71F32454"/>
    <w:multiLevelType w:val="hybridMultilevel"/>
    <w:lvl w:ilvl="0">
      <w:lvlJc w:val="left"/>
      <w:lvlText w:val="2"/>
      <w:numFmt w:val="bullet"/>
      <w:start w:val="1"/>
    </w:lvl>
    <w:lvl w:ilvl="1">
      <w:lvlJc w:val="left"/>
      <w:lvlText w:val="(%2)"/>
      <w:numFmt w:val="lowerLetter"/>
      <w:start w:val="1"/>
    </w:lvl>
  </w:abstractNum>
  <w:abstractNum w:abstractNumId="9">
    <w:nsid w:val="2CA88611"/>
    <w:multiLevelType w:val="hybridMultilevel"/>
    <w:lvl w:ilvl="0">
      <w:lvlJc w:val="left"/>
      <w:lvlText w:val="3"/>
      <w:numFmt w:val="bullet"/>
      <w:start w:val="1"/>
    </w:lvl>
  </w:abstractNum>
  <w:abstractNum w:abstractNumId="10">
    <w:nsid w:val="836C40E"/>
    <w:multiLevelType w:val="hybridMultilevel"/>
    <w:lvl w:ilvl="0">
      <w:lvlJc w:val="left"/>
      <w:lvlText w:val="4"/>
      <w:numFmt w:val="bullet"/>
      <w:start w:val="1"/>
    </w:lvl>
  </w:abstractNum>
  <w:abstractNum w:abstractNumId="11">
    <w:nsid w:val="2901D82"/>
    <w:multiLevelType w:val="hybridMultilevel"/>
    <w:lvl w:ilvl="0">
      <w:lvlJc w:val="left"/>
      <w:lvlText w:val="9"/>
      <w:numFmt w:val="bullet"/>
      <w:start w:val="1"/>
    </w:lvl>
  </w:abstractNum>
  <w:abstractNum w:abstractNumId="12">
    <w:nsid w:val="3A95F874"/>
    <w:multiLevelType w:val="hybridMultilevel"/>
    <w:lvl w:ilvl="0">
      <w:lvlJc w:val="left"/>
      <w:lvlText w:val="%1"/>
      <w:numFmt w:val="decimal"/>
      <w:start w:val="10"/>
    </w:lvl>
  </w:abstractNum>
  <w:abstractNum w:abstractNumId="13">
    <w:nsid w:val="8138641"/>
    <w:multiLevelType w:val="hybridMultilevel"/>
    <w:lvl w:ilvl="0">
      <w:lvlJc w:val="left"/>
      <w:lvlText w:val="1"/>
      <w:numFmt w:val="bullet"/>
      <w:start w:val="1"/>
    </w:lvl>
  </w:abstractNum>
  <w:abstractNum w:abstractNumId="14">
    <w:nsid w:val="1E7FF521"/>
    <w:multiLevelType w:val="hybridMultilevel"/>
    <w:lvl w:ilvl="0">
      <w:lvlJc w:val="left"/>
      <w:lvlText w:val="2"/>
      <w:numFmt w:val="bullet"/>
      <w:start w:val="1"/>
    </w:lvl>
    <w:lvl w:ilvl="1">
      <w:lvlJc w:val="left"/>
      <w:lvlText w:val="(%2)"/>
      <w:numFmt w:val="lowerLetter"/>
      <w:start w:val="1"/>
    </w:lvl>
  </w:abstractNum>
  <w:abstractNum w:abstractNumId="15">
    <w:nsid w:val="7C3DBD3D"/>
    <w:multiLevelType w:val="hybridMultilevel"/>
    <w:lvl w:ilvl="0">
      <w:lvlJc w:val="left"/>
      <w:lvlText w:val="3"/>
      <w:numFmt w:val="bullet"/>
      <w:start w:val="1"/>
    </w:lvl>
  </w:abstractNum>
  <w:abstractNum w:abstractNumId="16">
    <w:nsid w:val="737B8DDC"/>
    <w:multiLevelType w:val="hybridMultilevel"/>
    <w:lvl w:ilvl="0">
      <w:lvlJc w:val="left"/>
      <w:lvlText w:val="4"/>
      <w:numFmt w:val="bullet"/>
      <w:start w:val="1"/>
    </w:lvl>
  </w:abstractNum>
  <w:abstractNum w:abstractNumId="17">
    <w:nsid w:val="6CEAF087"/>
    <w:multiLevelType w:val="hybridMultilevel"/>
    <w:lvl w:ilvl="0">
      <w:lvlJc w:val="left"/>
      <w:lvlText w:val="9"/>
      <w:numFmt w:val="bullet"/>
      <w:start w:val="1"/>
    </w:lvl>
  </w:abstractNum>
  <w:abstractNum w:abstractNumId="18">
    <w:nsid w:val="22221A70"/>
    <w:multiLevelType w:val="hybridMultilevel"/>
    <w:lvl w:ilvl="0">
      <w:lvlJc w:val="left"/>
      <w:lvlText w:val="%1"/>
      <w:numFmt w:val="decimal"/>
      <w:start w:val="10"/>
    </w:lvl>
  </w:abstractNum>
  <w:abstractNum w:abstractNumId="19">
    <w:nsid w:val="4516DDE9"/>
    <w:multiLevelType w:val="hybridMultilevel"/>
    <w:lvl w:ilvl="0">
      <w:lvlJc w:val="left"/>
      <w:lvlText w:val="1"/>
      <w:numFmt w:val="bullet"/>
      <w:start w:val="1"/>
    </w:lvl>
  </w:abstractNum>
  <w:abstractNum w:abstractNumId="20">
    <w:nsid w:val="3006C83E"/>
    <w:multiLevelType w:val="hybridMultilevel"/>
    <w:lvl w:ilvl="0">
      <w:lvlJc w:val="left"/>
      <w:lvlText w:val="2"/>
      <w:numFmt w:val="bullet"/>
      <w:start w:val="1"/>
    </w:lvl>
    <w:lvl w:ilvl="1">
      <w:lvlJc w:val="left"/>
      <w:lvlText w:val="(%2)"/>
      <w:numFmt w:val="lowerLetter"/>
      <w:start w:val="1"/>
    </w:lvl>
  </w:abstractNum>
  <w:abstractNum w:abstractNumId="21">
    <w:nsid w:val="614FD4A1"/>
    <w:multiLevelType w:val="hybridMultilevel"/>
    <w:lvl w:ilvl="0">
      <w:lvlJc w:val="left"/>
      <w:lvlText w:val="3"/>
      <w:numFmt w:val="bullet"/>
      <w:start w:val="1"/>
    </w:lvl>
  </w:abstractNum>
  <w:abstractNum w:abstractNumId="22">
    <w:nsid w:val="419AC241"/>
    <w:multiLevelType w:val="hybridMultilevel"/>
    <w:lvl w:ilvl="0">
      <w:lvlJc w:val="left"/>
      <w:lvlText w:val="4"/>
      <w:numFmt w:val="bullet"/>
      <w:start w:val="1"/>
    </w:lvl>
  </w:abstractNum>
  <w:abstractNum w:abstractNumId="23">
    <w:nsid w:val="5577F8E1"/>
    <w:multiLevelType w:val="hybridMultilevel"/>
    <w:lvl w:ilvl="0">
      <w:lvlJc w:val="left"/>
      <w:lvlText w:val="9"/>
      <w:numFmt w:val="bullet"/>
      <w:start w:val="1"/>
    </w:lvl>
  </w:abstractNum>
  <w:abstractNum w:abstractNumId="24">
    <w:nsid w:val="440BADFC"/>
    <w:multiLevelType w:val="hybridMultilevel"/>
    <w:lvl w:ilvl="0">
      <w:lvlJc w:val="left"/>
      <w:lvlText w:val="%1"/>
      <w:numFmt w:val="decimal"/>
      <w:start w:val="10"/>
    </w:lvl>
  </w:abstractNum>
  <w:abstractNum w:abstractNumId="25">
    <w:nsid w:val="5072367"/>
    <w:multiLevelType w:val="hybridMultilevel"/>
    <w:lvl w:ilvl="0">
      <w:lvlJc w:val="left"/>
      <w:lvlText w:val="1"/>
      <w:numFmt w:val="bullet"/>
      <w:start w:val="1"/>
    </w:lvl>
  </w:abstractNum>
  <w:abstractNum w:abstractNumId="26">
    <w:nsid w:val="3804823E"/>
    <w:multiLevelType w:val="hybridMultilevel"/>
    <w:lvl w:ilvl="0">
      <w:lvlJc w:val="left"/>
      <w:lvlText w:val="2"/>
      <w:numFmt w:val="bullet"/>
      <w:start w:val="1"/>
    </w:lvl>
    <w:lvl w:ilvl="1">
      <w:lvlJc w:val="left"/>
      <w:lvlText w:val="(%2)"/>
      <w:numFmt w:val="lowerLetter"/>
      <w:start w:val="1"/>
    </w:lvl>
  </w:abstractNum>
  <w:abstractNum w:abstractNumId="27">
    <w:nsid w:val="77465F01"/>
    <w:multiLevelType w:val="hybridMultilevel"/>
    <w:lvl w:ilvl="0">
      <w:lvlJc w:val="left"/>
      <w:lvlText w:val="3"/>
      <w:numFmt w:val="bullet"/>
      <w:start w:val="1"/>
    </w:lvl>
  </w:abstractNum>
  <w:abstractNum w:abstractNumId="28">
    <w:nsid w:val="7724C67E"/>
    <w:multiLevelType w:val="hybridMultilevel"/>
    <w:lvl w:ilvl="0">
      <w:lvlJc w:val="left"/>
      <w:lvlText w:val="4"/>
      <w:numFmt w:val="bullet"/>
      <w:start w:val="1"/>
    </w:lvl>
  </w:abstractNum>
  <w:abstractNum w:abstractNumId="29">
    <w:nsid w:val="5C482A97"/>
    <w:multiLevelType w:val="hybridMultilevel"/>
    <w:lvl w:ilvl="0">
      <w:lvlJc w:val="left"/>
      <w:lvlText w:val="9"/>
      <w:numFmt w:val="bullet"/>
      <w:start w:val="1"/>
    </w:lvl>
  </w:abstractNum>
  <w:abstractNum w:abstractNumId="30">
    <w:nsid w:val="2463B9EA"/>
    <w:multiLevelType w:val="hybridMultilevel"/>
    <w:lvl w:ilvl="0">
      <w:lvlJc w:val="left"/>
      <w:lvlText w:val="%1"/>
      <w:numFmt w:val="decimal"/>
      <w:start w:val="10"/>
    </w:lvl>
  </w:abstractNum>
  <w:abstractNum w:abstractNumId="31">
    <w:nsid w:val="5E884ADC"/>
    <w:multiLevelType w:val="hybridMultilevel"/>
    <w:lvl w:ilvl="0">
      <w:lvlJc w:val="left"/>
      <w:lvlText w:val="1"/>
      <w:numFmt w:val="bullet"/>
      <w:start w:val="1"/>
    </w:lvl>
  </w:abstractNum>
  <w:abstractNum w:abstractNumId="32">
    <w:nsid w:val="51EAD36B"/>
    <w:multiLevelType w:val="hybridMultilevel"/>
    <w:lvl w:ilvl="0">
      <w:lvlJc w:val="left"/>
      <w:lvlText w:val="2"/>
      <w:numFmt w:val="bullet"/>
      <w:start w:val="1"/>
    </w:lvl>
    <w:lvl w:ilvl="1">
      <w:lvlJc w:val="left"/>
      <w:lvlText w:val="(%2)"/>
      <w:numFmt w:val="lowerLetter"/>
      <w:start w:val="1"/>
    </w:lvl>
  </w:abstractNum>
  <w:abstractNum w:abstractNumId="33">
    <w:nsid w:val="2D517796"/>
    <w:multiLevelType w:val="hybridMultilevel"/>
    <w:lvl w:ilvl="0">
      <w:lvlJc w:val="left"/>
      <w:lvlText w:val="3"/>
      <w:numFmt w:val="bullet"/>
      <w:start w:val="1"/>
    </w:lvl>
  </w:abstractNum>
  <w:abstractNum w:abstractNumId="34">
    <w:nsid w:val="580BD78F"/>
    <w:multiLevelType w:val="hybridMultilevel"/>
    <w:lvl w:ilvl="0">
      <w:lvlJc w:val="left"/>
      <w:lvlText w:val="4"/>
      <w:numFmt w:val="bullet"/>
      <w:start w:val="1"/>
    </w:lvl>
  </w:abstractNum>
  <w:abstractNum w:abstractNumId="35">
    <w:nsid w:val="153EA438"/>
    <w:multiLevelType w:val="hybridMultilevel"/>
    <w:lvl w:ilvl="0">
      <w:lvlJc w:val="left"/>
      <w:lvlText w:val="8"/>
      <w:numFmt w:val="bullet"/>
      <w:start w:val="1"/>
    </w:lvl>
  </w:abstractNum>
  <w:abstractNum w:abstractNumId="36">
    <w:nsid w:val="3855585C"/>
    <w:multiLevelType w:val="hybridMultilevel"/>
    <w:lvl w:ilvl="0">
      <w:lvlJc w:val="left"/>
      <w:lvlText w:val="9"/>
      <w:numFmt w:val="bullet"/>
      <w:start w:val="1"/>
    </w:lvl>
  </w:abstractNum>
  <w:abstractNum w:abstractNumId="37">
    <w:nsid w:val="70A64E2A"/>
    <w:multiLevelType w:val="hybridMultilevel"/>
    <w:lvl w:ilvl="0">
      <w:lvlJc w:val="left"/>
      <w:lvlText w:val="%1"/>
      <w:numFmt w:val="decimal"/>
      <w:start w:val="10"/>
    </w:lvl>
  </w:abstractNum>
  <w:abstractNum w:abstractNumId="38">
    <w:nsid w:val="6A2342EC"/>
    <w:multiLevelType w:val="hybridMultilevel"/>
    <w:lvl w:ilvl="0">
      <w:lvlJc w:val="left"/>
      <w:lvlText w:val="1"/>
      <w:numFmt w:val="bullet"/>
      <w:start w:val="1"/>
    </w:lvl>
  </w:abstractNum>
  <w:abstractNum w:abstractNumId="39">
    <w:nsid w:val="2A487CB0"/>
    <w:multiLevelType w:val="hybridMultilevel"/>
    <w:lvl w:ilvl="0">
      <w:lvlJc w:val="left"/>
      <w:lvlText w:val="2"/>
      <w:numFmt w:val="bullet"/>
      <w:start w:val="1"/>
    </w:lvl>
    <w:lvl w:ilvl="1">
      <w:lvlJc w:val="left"/>
      <w:lvlText w:val="(%2)"/>
      <w:numFmt w:val="lowerLetter"/>
      <w:start w:val="1"/>
    </w:lvl>
  </w:abstractNum>
  <w:abstractNum w:abstractNumId="40">
    <w:nsid w:val="1D4ED43B"/>
    <w:multiLevelType w:val="hybridMultilevel"/>
    <w:lvl w:ilvl="0">
      <w:lvlJc w:val="left"/>
      <w:lvlText w:val="3"/>
      <w:numFmt w:val="bullet"/>
      <w:start w:val="1"/>
    </w:lvl>
  </w:abstractNum>
  <w:abstractNum w:abstractNumId="41">
    <w:nsid w:val="725A06FB"/>
    <w:multiLevelType w:val="hybridMultilevel"/>
    <w:lvl w:ilvl="0">
      <w:lvlJc w:val="left"/>
      <w:lvlText w:val="4"/>
      <w:numFmt w:val="bullet"/>
      <w:start w:val="1"/>
    </w:lvl>
  </w:abstractNum>
  <w:abstractNum w:abstractNumId="42">
    <w:nsid w:val="2CD89A32"/>
    <w:multiLevelType w:val="hybridMultilevel"/>
    <w:lvl w:ilvl="0">
      <w:lvlJc w:val="left"/>
      <w:lvlText w:val="9"/>
      <w:numFmt w:val="bullet"/>
      <w:start w:val="1"/>
    </w:lvl>
  </w:abstractNum>
  <w:abstractNum w:abstractNumId="43">
    <w:nsid w:val="57E4CCAF"/>
    <w:multiLevelType w:val="hybridMultilevel"/>
    <w:lvl w:ilvl="0">
      <w:lvlJc w:val="left"/>
      <w:lvlText w:val="%1"/>
      <w:numFmt w:val="decimal"/>
      <w:start w:val="10"/>
    </w:lvl>
  </w:abstractNum>
  <w:abstractNum w:abstractNumId="44">
    <w:nsid w:val="7A6D8D3C"/>
    <w:multiLevelType w:val="hybridMultilevel"/>
    <w:lvl w:ilvl="0">
      <w:lvlJc w:val="left"/>
      <w:lvlText w:val="%1"/>
      <w:numFmt w:val="decimal"/>
      <w:start w:val="12"/>
    </w:lvl>
  </w:abstractNum>
  <w:abstractNum w:abstractNumId="45">
    <w:nsid w:val="4B588F5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2019-12-11T04:44:33Z</dcterms:created>
  <dcterms:modified xsi:type="dcterms:W3CDTF">2019-12-11T04:44:33Z</dcterms:modified>
</cp:coreProperties>
</file>