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5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3740" w:right="2820" w:hanging="3655"/>
        <w:spacing w:after="0" w:line="223" w:lineRule="auto"/>
        <w:tabs>
          <w:tab w:leader="none" w:pos="376"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00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OR</w:t>
      </w:r>
    </w:p>
    <w:p>
      <w:pPr>
        <w:spacing w:after="0" w:line="132" w:lineRule="exact"/>
        <w:rPr>
          <w:sz w:val="24"/>
          <w:szCs w:val="24"/>
          <w:color w:val="auto"/>
        </w:rPr>
      </w:pPr>
    </w:p>
    <w:p>
      <w:pPr>
        <w:ind w:left="3840" w:right="2520" w:hanging="3755"/>
        <w:spacing w:after="0" w:line="260" w:lineRule="auto"/>
        <w:tabs>
          <w:tab w:leader="none" w:pos="377"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 to ___</w:t>
      </w:r>
    </w:p>
    <w:p>
      <w:pPr>
        <w:ind w:left="402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Commission file number 001-34785</w:t>
      </w:r>
    </w:p>
    <w:p>
      <w:pPr>
        <w:spacing w:after="0" w:line="41" w:lineRule="exact"/>
        <w:rPr>
          <w:rFonts w:ascii="Arial" w:cs="Arial" w:eastAsia="Arial" w:hAnsi="Arial"/>
          <w:sz w:val="14"/>
          <w:szCs w:val="14"/>
          <w:color w:val="auto"/>
        </w:rPr>
      </w:pPr>
    </w:p>
    <w:p>
      <w:pPr>
        <w:ind w:left="468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XWELL,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39" w:lineRule="exact"/>
        <w:rPr>
          <w:sz w:val="24"/>
          <w:szCs w:val="24"/>
          <w:color w:val="auto"/>
        </w:rPr>
      </w:pPr>
    </w:p>
    <w:tbl>
      <w:tblPr>
        <w:tblLayout w:type="fixed"/>
        <w:tblInd w:w="1240" w:type="dxa"/>
        <w:tblCellMar>
          <w:top w:w="0" w:type="dxa"/>
          <w:left w:w="0" w:type="dxa"/>
          <w:bottom w:w="0" w:type="dxa"/>
          <w:right w:w="0" w:type="dxa"/>
        </w:tblCellMar>
      </w:tblPr>
      <w:tr>
        <w:trPr>
          <w:trHeight w:val="161"/>
        </w:trPr>
        <w:tc>
          <w:tcPr>
            <w:tcW w:w="400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20-4988129</w:t>
            </w:r>
          </w:p>
        </w:tc>
        <w:tc>
          <w:tcPr>
            <w:tcW w:w="0" w:type="dxa"/>
            <w:vAlign w:val="bottom"/>
          </w:tcPr>
          <w:p>
            <w:pPr>
              <w:spacing w:after="0"/>
              <w:rPr>
                <w:sz w:val="1"/>
                <w:szCs w:val="1"/>
                <w:color w:val="auto"/>
              </w:rPr>
            </w:pPr>
          </w:p>
        </w:tc>
      </w:tr>
      <w:tr>
        <w:trPr>
          <w:trHeight w:val="148"/>
        </w:trPr>
        <w:tc>
          <w:tcPr>
            <w:tcW w:w="4000" w:type="dxa"/>
            <w:vAlign w:val="bottom"/>
          </w:tcPr>
          <w:p>
            <w:pPr>
              <w:jc w:val="center"/>
              <w:ind w:right="13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460" w:type="dxa"/>
            <w:vAlign w:val="bottom"/>
          </w:tcPr>
          <w:p>
            <w:pPr>
              <w:jc w:val="center"/>
              <w:ind w:left="1308"/>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000" w:type="dxa"/>
            <w:vAlign w:val="bottom"/>
          </w:tcPr>
          <w:p>
            <w:pPr>
              <w:jc w:val="center"/>
              <w:ind w:right="1308"/>
              <w:spacing w:after="0"/>
              <w:rPr>
                <w:sz w:val="20"/>
                <w:szCs w:val="20"/>
                <w:color w:val="auto"/>
              </w:rPr>
            </w:pPr>
            <w:r>
              <w:rPr>
                <w:rFonts w:ascii="Times New Roman" w:cs="Times New Roman" w:eastAsia="Times New Roman" w:hAnsi="Times New Roman"/>
                <w:sz w:val="14"/>
                <w:szCs w:val="14"/>
                <w:color w:val="auto"/>
              </w:rPr>
              <w:t>organization)</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Pr>
          <w:p>
            <w:pPr>
              <w:jc w:val="center"/>
              <w:ind w:right="1328"/>
              <w:spacing w:after="0"/>
              <w:rPr>
                <w:sz w:val="20"/>
                <w:szCs w:val="20"/>
                <w:color w:val="auto"/>
              </w:rPr>
            </w:pPr>
            <w:r>
              <w:rPr>
                <w:rFonts w:ascii="Times New Roman" w:cs="Times New Roman" w:eastAsia="Times New Roman" w:hAnsi="Times New Roman"/>
                <w:sz w:val="14"/>
                <w:szCs w:val="14"/>
                <w:b w:val="1"/>
                <w:bCs w:val="1"/>
                <w:color w:val="auto"/>
                <w:w w:val="98"/>
              </w:rPr>
              <w:t>254 West 31</w:t>
            </w:r>
            <w:r>
              <w:rPr>
                <w:rFonts w:ascii="Times New Roman" w:cs="Times New Roman" w:eastAsia="Times New Roman" w:hAnsi="Times New Roman"/>
                <w:sz w:val="21"/>
                <w:szCs w:val="21"/>
                <w:b w:val="1"/>
                <w:bCs w:val="1"/>
                <w:color w:val="auto"/>
                <w:w w:val="98"/>
                <w:vertAlign w:val="superscript"/>
              </w:rPr>
              <w:t>st</w:t>
            </w:r>
            <w:r>
              <w:rPr>
                <w:rFonts w:ascii="Times New Roman" w:cs="Times New Roman" w:eastAsia="Times New Roman" w:hAnsi="Times New Roman"/>
                <w:sz w:val="14"/>
                <w:szCs w:val="14"/>
                <w:b w:val="1"/>
                <w:bCs w:val="1"/>
                <w:color w:val="auto"/>
                <w:w w:val="98"/>
              </w:rPr>
              <w:t xml:space="preserve"> Street, 11</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4"/>
                <w:szCs w:val="14"/>
                <w:b w:val="1"/>
                <w:bCs w:val="1"/>
                <w:color w:val="auto"/>
                <w:w w:val="98"/>
              </w:rPr>
              <w:t xml:space="preserve"> Floor</w:t>
            </w:r>
          </w:p>
        </w:tc>
        <w:tc>
          <w:tcPr>
            <w:tcW w:w="34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10001</w:t>
            </w:r>
          </w:p>
        </w:tc>
        <w:tc>
          <w:tcPr>
            <w:tcW w:w="0" w:type="dxa"/>
            <w:vAlign w:val="bottom"/>
          </w:tcPr>
          <w:p>
            <w:pPr>
              <w:spacing w:after="0"/>
              <w:rPr>
                <w:sz w:val="1"/>
                <w:szCs w:val="1"/>
                <w:color w:val="auto"/>
              </w:rPr>
            </w:pPr>
          </w:p>
        </w:tc>
      </w:tr>
      <w:tr>
        <w:trPr>
          <w:trHeight w:val="151"/>
        </w:trPr>
        <w:tc>
          <w:tcPr>
            <w:tcW w:w="4000" w:type="dxa"/>
            <w:vAlign w:val="bottom"/>
          </w:tcPr>
          <w:p>
            <w:pPr>
              <w:jc w:val="center"/>
              <w:ind w:right="1308"/>
              <w:spacing w:after="0" w:line="151" w:lineRule="exact"/>
              <w:rPr>
                <w:sz w:val="20"/>
                <w:szCs w:val="20"/>
                <w:color w:val="auto"/>
              </w:rPr>
            </w:pPr>
            <w:r>
              <w:rPr>
                <w:rFonts w:ascii="Times New Roman" w:cs="Times New Roman" w:eastAsia="Times New Roman" w:hAnsi="Times New Roman"/>
                <w:sz w:val="14"/>
                <w:szCs w:val="14"/>
                <w:b w:val="1"/>
                <w:bCs w:val="1"/>
                <w:color w:val="auto"/>
              </w:rPr>
              <w:t>New York, NY</w:t>
            </w:r>
          </w:p>
        </w:tc>
        <w:tc>
          <w:tcPr>
            <w:tcW w:w="3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jc w:val="center"/>
              <w:ind w:right="13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60" w:type="dxa"/>
            <w:vAlign w:val="bottom"/>
          </w:tcPr>
          <w:p>
            <w:pPr>
              <w:jc w:val="center"/>
              <w:ind w:left="13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(212)-750-9595</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60" w:type="dxa"/>
            <w:vAlign w:val="bottom"/>
          </w:tcPr>
          <w:p>
            <w:pPr>
              <w:spacing w:after="0"/>
              <w:rPr>
                <w:sz w:val="15"/>
                <w:szCs w:val="15"/>
                <w:color w:val="auto"/>
              </w:rPr>
            </w:pPr>
          </w:p>
        </w:tc>
        <w:tc>
          <w:tcPr>
            <w:tcW w:w="37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6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XWEL</w:t>
            </w:r>
          </w:p>
        </w:tc>
        <w:tc>
          <w:tcPr>
            <w:tcW w:w="160" w:type="dxa"/>
            <w:vAlign w:val="bottom"/>
          </w:tcPr>
          <w:p>
            <w:pPr>
              <w:spacing w:after="0"/>
              <w:rPr>
                <w:sz w:val="15"/>
                <w:szCs w:val="15"/>
                <w:color w:val="auto"/>
              </w:rPr>
            </w:pPr>
          </w:p>
        </w:tc>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9" w:lineRule="exact"/>
        <w:rPr>
          <w:sz w:val="24"/>
          <w:szCs w:val="24"/>
          <w:color w:val="auto"/>
        </w:rPr>
      </w:pPr>
    </w:p>
    <w:p>
      <w:pPr>
        <w:ind w:right="228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0"/>
        <w:spacing w:after="0" w:line="188" w:lineRule="exact"/>
        <w:tabs>
          <w:tab w:leader="none" w:pos="600" w:val="left"/>
        </w:tabs>
        <w:rPr>
          <w:sz w:val="20"/>
          <w:szCs w:val="20"/>
          <w:color w:val="auto"/>
        </w:rPr>
      </w:pPr>
      <w:r>
        <w:rPr>
          <w:rFonts w:ascii="Times New Roman" w:cs="Times New Roman" w:eastAsia="Times New Roman" w:hAnsi="Times New Roman"/>
          <w:sz w:val="14"/>
          <w:szCs w:val="14"/>
          <w:color w:val="auto"/>
        </w:rPr>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i w:val="1"/>
          <w:iCs w:val="1"/>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smaller reporting company,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emerging growth company</w:t>
      </w:r>
      <w:r>
        <w:rPr>
          <w:rFonts w:ascii="Times New Roman" w:cs="Times New Roman" w:eastAsia="Times New Roman" w:hAnsi="Times New Roman"/>
          <w:sz w:val="14"/>
          <w:szCs w:val="14"/>
          <w:color w:val="auto"/>
        </w:rPr>
        <w:t>”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64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75"/>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64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76" w:lineRule="exact"/>
              <w:rPr>
                <w:sz w:val="20"/>
                <w:szCs w:val="20"/>
                <w:color w:val="auto"/>
              </w:rPr>
            </w:pPr>
            <w:r>
              <w:rPr>
                <w:rFonts w:ascii="Arial Unicode MS" w:cs="Arial Unicode MS" w:eastAsia="Arial Unicode MS" w:hAnsi="Arial Unicode MS"/>
                <w:sz w:val="14"/>
                <w:szCs w:val="14"/>
                <w:color w:val="auto"/>
              </w:rPr>
              <w:t>☒</w:t>
            </w:r>
          </w:p>
        </w:tc>
      </w:tr>
      <w:tr>
        <w:trPr>
          <w:trHeight w:val="242"/>
        </w:trPr>
        <w:tc>
          <w:tcPr>
            <w:tcW w:w="19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04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4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65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5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registrant’s voting common stock held by non-affiliates of the registrant, as of June 30, 2024, the last business day of the registrant’s most recently completed second quarter, was $7,526,594 computed by reference to the closing sale price of $1.80 per share on the Nasdaq Stock Market LLC on June 30, 2024. The registrant does not have any non-voting common stock.</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11, 2025, 5,261,024 shares of the registrant’s common stock are outstanding.</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DOCUMENTS INCORPORATED BY REFERENCE</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Certain information required by Part III will be included in an amendment to this Annual Report on Form 10-K within 120 days of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54610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88900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r>
      <w:tr>
        <w:trPr>
          <w:trHeight w:val="405"/>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64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36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ITEM 1B. UNRESOLVED STAFF COMMENTS</w:t>
            </w:r>
          </w:p>
        </w:tc>
        <w:tc>
          <w:tcPr>
            <w:tcW w:w="486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22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ITEM 1C. CYBERSECURITY</w:t>
            </w:r>
          </w:p>
        </w:tc>
        <w:tc>
          <w:tcPr>
            <w:tcW w:w="6200" w:type="dxa"/>
            <w:vAlign w:val="bottom"/>
            <w:gridSpan w:val="18"/>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1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2. PROPERTIES</w:t>
            </w:r>
          </w:p>
        </w:tc>
        <w:tc>
          <w:tcPr>
            <w:tcW w:w="6740" w:type="dxa"/>
            <w:vAlign w:val="bottom"/>
            <w:gridSpan w:val="21"/>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3.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36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2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ITEM 5. MARKET FOR THE REGISTRANT’S COMMON EQUITY, RELATED STOCKHOLDER MATTERS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AND ISSUER PURCHASES OF EQUITY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7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ITEM 6. [RESERVED]</w:t>
            </w:r>
          </w:p>
        </w:tc>
        <w:tc>
          <w:tcPr>
            <w:tcW w:w="2480" w:type="dxa"/>
            <w:vAlign w:val="bottom"/>
            <w:tcBorders>
              <w:top w:val="single" w:sz="8" w:color="0000EE"/>
            </w:tcBorders>
            <w:gridSpan w:val="11"/>
          </w:tcPr>
          <w:p>
            <w:pPr>
              <w:spacing w:after="0"/>
              <w:rPr>
                <w:sz w:val="18"/>
                <w:szCs w:val="18"/>
                <w:color w:val="auto"/>
              </w:rPr>
            </w:pPr>
          </w:p>
        </w:tc>
        <w:tc>
          <w:tcPr>
            <w:tcW w:w="4280" w:type="dxa"/>
            <w:vAlign w:val="bottom"/>
            <w:gridSpan w:val="11"/>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w:t>
            </w:r>
          </w:p>
        </w:tc>
        <w:tc>
          <w:tcPr>
            <w:tcW w:w="420" w:type="dxa"/>
            <w:vAlign w:val="bottom"/>
          </w:tcPr>
          <w:p>
            <w:pPr>
              <w:spacing w:after="0"/>
              <w:rPr>
                <w:sz w:val="18"/>
                <w:szCs w:val="18"/>
                <w:color w:val="auto"/>
              </w:rPr>
            </w:pPr>
          </w:p>
        </w:tc>
      </w:tr>
      <w:tr>
        <w:trPr>
          <w:trHeight w:val="209"/>
        </w:trPr>
        <w:tc>
          <w:tcPr>
            <w:tcW w:w="13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OF OPERATIONS</w:t>
            </w:r>
          </w:p>
        </w:tc>
        <w:tc>
          <w:tcPr>
            <w:tcW w:w="6760" w:type="dxa"/>
            <w:vAlign w:val="bottom"/>
            <w:tcBorders>
              <w:top w:val="single" w:sz="8" w:color="0000EE"/>
            </w:tcBorders>
            <w:gridSpan w:val="22"/>
          </w:tcPr>
          <w:p>
            <w:pPr>
              <w:spacing w:after="0"/>
              <w:rPr>
                <w:sz w:val="18"/>
                <w:szCs w:val="18"/>
                <w:color w:val="auto"/>
              </w:rPr>
            </w:pPr>
          </w:p>
        </w:tc>
        <w:tc>
          <w:tcPr>
            <w:tcW w:w="320" w:type="dxa"/>
            <w:vAlign w:val="bottom"/>
            <w:gridSpan w:val="2"/>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5320" w:type="dxa"/>
            <w:vAlign w:val="bottom"/>
            <w:tcBorders>
              <w:top w:val="single" w:sz="8" w:color="0000EE"/>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7"/>
              </w:rPr>
              <w:t>ITEM 8. FINANCIAL STATEMENTS AND SUPPLEMENTARY DATA</w:t>
            </w:r>
          </w:p>
        </w:tc>
        <w:tc>
          <w:tcPr>
            <w:tcW w:w="1600" w:type="dxa"/>
            <w:vAlign w:val="bottom"/>
            <w:tcBorders>
              <w:top w:val="single" w:sz="8" w:color="0000EE"/>
            </w:tcBorders>
            <w:gridSpan w:val="2"/>
          </w:tcPr>
          <w:p>
            <w:pPr>
              <w:spacing w:after="0"/>
              <w:rPr>
                <w:sz w:val="18"/>
                <w:szCs w:val="18"/>
                <w:color w:val="auto"/>
              </w:rPr>
            </w:pPr>
          </w:p>
        </w:tc>
        <w:tc>
          <w:tcPr>
            <w:tcW w:w="1540" w:type="dxa"/>
            <w:vAlign w:val="bottom"/>
            <w:gridSpan w:val="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75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w:t>
            </w:r>
          </w:p>
        </w:tc>
        <w:tc>
          <w:tcPr>
            <w:tcW w:w="880" w:type="dxa"/>
            <w:vAlign w:val="bottom"/>
            <w:gridSpan w:val="4"/>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2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FINANCIAL DISCLOSURE</w:t>
            </w:r>
          </w:p>
        </w:tc>
        <w:tc>
          <w:tcPr>
            <w:tcW w:w="6340" w:type="dxa"/>
            <w:vAlign w:val="bottom"/>
            <w:gridSpan w:val="19"/>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PART III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658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1880" w:type="dxa"/>
            <w:vAlign w:val="bottom"/>
            <w:gridSpan w:val="7"/>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w:t>
            </w:r>
          </w:p>
        </w:tc>
        <w:tc>
          <w:tcPr>
            <w:tcW w:w="420" w:type="dxa"/>
            <w:vAlign w:val="bottom"/>
          </w:tcPr>
          <w:p>
            <w:pPr>
              <w:spacing w:after="0"/>
              <w:rPr>
                <w:sz w:val="18"/>
                <w:szCs w:val="18"/>
                <w:color w:val="auto"/>
              </w:rPr>
            </w:pPr>
          </w:p>
        </w:tc>
      </w:tr>
      <w:tr>
        <w:trPr>
          <w:trHeight w:val="210"/>
        </w:trPr>
        <w:tc>
          <w:tcPr>
            <w:tcW w:w="30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RELATED STOCKHOLDER MATTERS</w:t>
            </w:r>
          </w:p>
        </w:tc>
        <w:tc>
          <w:tcPr>
            <w:tcW w:w="4880" w:type="dxa"/>
            <w:vAlign w:val="bottom"/>
            <w:tcBorders>
              <w:top w:val="single" w:sz="8" w:color="0000EE"/>
            </w:tcBorders>
            <w:gridSpan w:val="12"/>
          </w:tcPr>
          <w:p>
            <w:pPr>
              <w:spacing w:after="0"/>
              <w:rPr>
                <w:sz w:val="18"/>
                <w:szCs w:val="18"/>
                <w:color w:val="auto"/>
              </w:rPr>
            </w:pPr>
          </w:p>
        </w:tc>
        <w:tc>
          <w:tcPr>
            <w:tcW w:w="56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13. CERTAIN RELATIONSHIPS AND RELATED TRANSACTIONS, AND DIRECTOR</w:t>
            </w:r>
          </w:p>
        </w:tc>
        <w:tc>
          <w:tcPr>
            <w:tcW w:w="420" w:type="dxa"/>
            <w:vAlign w:val="bottom"/>
          </w:tcPr>
          <w:p>
            <w:pPr>
              <w:spacing w:after="0"/>
              <w:rPr>
                <w:sz w:val="18"/>
                <w:szCs w:val="18"/>
                <w:color w:val="auto"/>
              </w:rPr>
            </w:pPr>
          </w:p>
        </w:tc>
      </w:tr>
      <w:tr>
        <w:trPr>
          <w:trHeight w:val="210"/>
        </w:trPr>
        <w:tc>
          <w:tcPr>
            <w:tcW w:w="13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INDEPENDENCE</w:t>
            </w:r>
          </w:p>
        </w:tc>
        <w:tc>
          <w:tcPr>
            <w:tcW w:w="5660" w:type="dxa"/>
            <w:vAlign w:val="bottom"/>
            <w:tcBorders>
              <w:top w:val="single" w:sz="8" w:color="0000EE"/>
            </w:tcBorders>
            <w:gridSpan w:val="20"/>
          </w:tcPr>
          <w:p>
            <w:pPr>
              <w:spacing w:after="0"/>
              <w:rPr>
                <w:sz w:val="18"/>
                <w:szCs w:val="18"/>
                <w:color w:val="auto"/>
              </w:rPr>
            </w:pPr>
          </w:p>
        </w:tc>
        <w:tc>
          <w:tcPr>
            <w:tcW w:w="14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4040" w:type="dxa"/>
            <w:vAlign w:val="bottom"/>
            <w:tcBorders>
              <w:top w:val="single" w:sz="8" w:color="0000EE"/>
            </w:tcBorders>
            <w:gridSpan w:val="17"/>
          </w:tcPr>
          <w:p>
            <w:pPr>
              <w:spacing w:after="0"/>
              <w:rPr>
                <w:sz w:val="18"/>
                <w:szCs w:val="18"/>
                <w:color w:val="auto"/>
              </w:rPr>
            </w:pPr>
          </w:p>
        </w:tc>
        <w:tc>
          <w:tcPr>
            <w:tcW w:w="3760" w:type="dxa"/>
            <w:vAlign w:val="bottom"/>
            <w:gridSpan w:val="10"/>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1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ITEM 15. EXHIBITS AND FINANCIAL STATEMENT SCHEDULES</w:t>
            </w:r>
          </w:p>
        </w:tc>
        <w:tc>
          <w:tcPr>
            <w:tcW w:w="328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26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16. FORM 10-K SUMMARY</w:t>
            </w:r>
          </w:p>
        </w:tc>
        <w:tc>
          <w:tcPr>
            <w:tcW w:w="582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6"/>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public health epidemics, similar to the coronavirus outbreak,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material weaknesses we identified in our internal control over financial reporting, our efforts to remediate such material weaknesses and the timing of remediation;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offer new products and services;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deploy our available cash resources, as well as our ability raise additional capital to fund our operations and business plan, to the extent necessary;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level of consumer and corporate spending on health, wellness and travel;</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locations, maintain XpresSpa, Naples Wax, Treat and Centers for Disease Control and Prevention (“CDC”) bio surveillance testing locations, and ensure continued customer traffic at those locations;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 with that labor;</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the costs associated with opening new retail locations and maintaining or converting existing ones, and the revenue derived from our retail locations;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our Airport Concession Disadvantaged Business Enterprise partners on obligations set forth in our joint venture agreements;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information and customers’ financial data and other personal information;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disruption to our information technology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management team;</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an adverse change with regard to, one or more of our significant suppliers, distributors, vendors or other business relationships;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events and trends in the health, wellness and travel industries;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within our industries;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 the jurisdictions in which we do business and any new laws and regulations or changes in existing laws and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regulatory actions in the healthcare sector that could impact our ability to continue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discontinuance of emergency use authorization (“EUA”) policies that could impact our business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Capital Market’s (“Nasdaq”) listing standards;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maintain our intellectual property.</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All references in this Annual Report on Form 10-K to “we,” “us” and “our” refer to XWELL, Inc. (prior to October 25, 2022 known as “XpresSpa Group, Inc.” and prior to January 5, 2018, known as “FORM Holdings Corp.”),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amounts are in thousands, except share, per share, or as otherwise specifically noted.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XpresSpa</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XpresTest</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HyperPointe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reporting purposes, the former HyperPointe segment has been consolidated into the XpresTest segment.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Treat</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location at JFK International Airport in New York City to an XWELL location. Following the conversion of the JFK Treat location, in mid-2025, we will no longer have any Treat locations.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Naples Wax Center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will be looking to further expand internationally. We believe a strategy for international expansion further advances our ability to expand our other brands including bio surveillance outside of the US.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Our Strategy and Outlook</w:t>
      </w:r>
    </w:p>
    <w:p>
      <w:pPr>
        <w:spacing w:after="0" w:line="22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our company is strategically positioned to capitalize on the growing consumer interest in travel, health, and wellness, as well as the increasing demand for related products and services. Our forward-looking plan focuses on expanding and integrating offerings across our brands, with a key emphasis on unifying airport and off-airport locations under the XWELL brand. This strategic alignment will enable the development of membership programs that provide seamless access to XWELL locations, fostering deeper customer relationships and enhancing brand loyalty. Additionally, a strong customer community will support targeted marketing initiatives and cross-promotional opportunities, strengthened by advanced technology and customer relationship management capabilities from the HyperPointe unit.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part of our strategy, we will optimize our airport portfolio to create a leaner, more profitable business while leveraging the high foot traffic of airport locations to build brand recognition. Simultaneously, we will pursue an off-airport growth strategy through acquisitions, particularly in the expanding med spa sector, which includes health, wellness, and beauty services. Our plan includes both developing new locations and acquiring established med spas, strategically expanding XWELL’s presence in key metropolitan areas that align with our existing airport locations. This approach will enhance membership accessibility and strengthen our brand’s reach.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our expertise from the XpresTest unit will allow us to expand bio-security services beyond the U.S. through partnerships with government clients. Domestically, we will continue growing our bio-security initiatives in collaboration with government agencies. These strategic efforts will serve as catalysts for future growth, support our international expansion goals, and ensure scalable, long-term success. By optimizing our cost structure, refining our existing operations, and pursuing strategic acquisitions, XWELL is positioning itself for sustainable financial and operational growth while maximizing shareholder value.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Competition</w:t>
      </w:r>
    </w:p>
    <w:p>
      <w:pPr>
        <w:spacing w:after="0" w:line="22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domestic units operate within many of the largest and most heavily trafficked airports in the United States. The balance of the domestic market is highly fragmented and is represented largely by small, privately-owned entities. The largest domestic competitor operated 15 locations in 11 airports in the United States.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Our Market</w:t>
      </w:r>
    </w:p>
    <w:p>
      <w:pPr>
        <w:spacing w:after="0" w:line="22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Airport retailers differ significantly from traditional retailers. Unlike traditional retailers, airport retailers benefit from a steady and predictable flow of traffic from a constantly changing customer base. Airport retailers also benefit from “dwell time,” the period after travelers have passed through airport security and before they board an aircraft. For over 21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XWELL is uniquely positioned to address this gap focusing on an expedient experience that still allows its customers to escape the hectic confines of the airport.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take advantage of growing demand for unique travel wellness products, XWELL has made significant investments in a new retail offering that addresses this growing consumer demand. Further, as more and more airports exchange services for more traditional food and beverage providers, XWELL is positioned to take advantage of passenger demand for healthier and bio-nutrient rich snack and food offerings as part of its grab and go strategy.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Equally as important to the industry growth is XWELL’s flexible, valuable, and desirable retail format and footprint within the airport retail segment. XWELL historically opened multiple locations annually, which have ranged in size from 200 square feet to 2,600 square feet, with a typical size of approximately 800 square feet. XWELL has been able to adapt its operating model to almost any size location available in space constrained airports. This increased flexibility compared to other retail concepts has allowed and will continue to allow XWELL to operate multiple stores within an airport, including in some cases for different concepts.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Additionally, we believe that our acquisition of Naples Wax Center is an important first step to creating and growing our out of airport locations, which will enable us to diversify our portfolio and have less dependance on our in-airport locations.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have historically focused our growth on the airport space, our strategy continues to shift with further emphasis on growth outside the airport—in and out of travel focused centers. This shift includes taking our XpresSpa brand out of the airport and into other transit centers such as rail terminals. It also includes growth through acquisition such as Naples Wax Centers where we can apply our wellness pedigree to expand that business from both a location standpoint and from a diversification of products and services standpoint.</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goal continues to be opportunistic expansion outside the airport and we believe our family of brands will help to serve that growth strategy.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Regulation</w:t>
      </w:r>
    </w:p>
    <w:p>
      <w:pPr>
        <w:spacing w:after="0" w:line="22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the Fair Labor Standards Act, the Immigration Reform and Control Act of 1986, the Occupational Safety and Health Act, the Family and Medical Leave Act, the Affordable Care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Employees</w:t>
      </w:r>
    </w:p>
    <w:p>
      <w:pPr>
        <w:spacing w:after="0" w:line="22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181818"/>
        </w:rPr>
        <w:t>As of December 31, 2024, we had approximately 246 full-time and 66 part-time employees of XWELL. We consider our relationships with our employees to be good.</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Corporate Information</w:t>
      </w:r>
    </w:p>
    <w:p>
      <w:pPr>
        <w:spacing w:after="0" w:line="224" w:lineRule="exact"/>
        <w:rPr>
          <w:sz w:val="20"/>
          <w:szCs w:val="20"/>
          <w:color w:val="auto"/>
        </w:rPr>
      </w:pPr>
    </w:p>
    <w:p>
      <w:pPr>
        <w:jc w:val="both"/>
        <w:ind w:left="60" w:right="79"/>
        <w:spacing w:after="0" w:line="233" w:lineRule="auto"/>
        <w:rPr>
          <w:sz w:val="20"/>
          <w:szCs w:val="20"/>
          <w:color w:val="auto"/>
        </w:rPr>
      </w:pPr>
      <w:r>
        <w:rPr>
          <w:rFonts w:ascii="Times New Roman" w:cs="Times New Roman" w:eastAsia="Times New Roman" w:hAnsi="Times New Roman"/>
          <w:sz w:val="18"/>
          <w:szCs w:val="18"/>
          <w:color w:val="auto"/>
        </w:rPr>
        <w:t>Our common stock, par value $0.01 per share, which was previously listed since January 8, 2018 under the trading symbol “XSPA” on Nasdaq, has been listed under the trading symbol “XWELL” since October 25, 2022. Our principal executive offices are located at 254 West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10001. Our telephone number is (212) 309-7549 and our website address is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 xml:space="preserve">. We also operate the websites </w:t>
      </w:r>
      <w:r>
        <w:rPr>
          <w:rFonts w:ascii="Times New Roman" w:cs="Times New Roman" w:eastAsia="Times New Roman" w:hAnsi="Times New Roman"/>
          <w:sz w:val="18"/>
          <w:szCs w:val="18"/>
          <w:i w:val="1"/>
          <w:iCs w:val="1"/>
          <w:color w:val="auto"/>
        </w:rPr>
        <w:t>www.xpresspa.com, www.xprescheck.com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www.hyperpointe.com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www.napleswaxcenter.com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References in this Annual Report on Form 10-K to our website address and websites we operate do not constitute incorporation by reference of the information contained on the websites. We make our filings with the Securities and Exchange Commission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89"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code of conduct and our insider trading compliance manual;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We are subject to various risks that may materially harm our business, prospects, financial condition and results of operations. An investment in our common stock is speculative and involves a high degree of risk, and you should carefully consider the risks described below, together with the other information included in this Annual Report on Form 10-K, including the consolidated financial statements and related notes before making an investment decision regarding our common stock. Our business, financial condition, results of operations and the trading price of our common stock could be materially adversely affected by any of the following risks as well as the other risks highlighted elsewhere in this Annual Report on Form 10-K. Although this section discusses all of the material risks currently known to us, additional risks and uncertainties not presently known to us or that we currently deem immaterial also may materially affect our business, financial condition and results of operations.</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2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the risks that we face. Additional discussion of the risks summarized in this risk factor summary, and other risks that we face, can be found below following this summary, and should be carefully considered, together with other information in this Annual Report on Form 10-K, including the consolidated financial statements and related notes thereto, and our other filings with the SEC, before making an investment decision regarding our common stock.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229" w:lineRule="exact"/>
        <w:rPr>
          <w:sz w:val="20"/>
          <w:szCs w:val="20"/>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have been prepared on a going concern basis; we must raise additional capital to fund our operations in order to continue as a going concern;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market conditions may adversely affect our business, financial condition, and operating results.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inflation could adversely affect our business, financial condition, results of operations or cash flows.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substantial capital expenditures, and we may not have access to the capital required to maintain and grow our operations.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bio surveillance monitoring activities conducted by XpresTest are funded partially by government contracts awards, which may not be available to us in the future, and such contracts awards are subject to guidelines regulating certain aspects of our operations.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bio surveillance monitoring activities from the CDC may be impacted by possible reductions in federal spending.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may be materially impaired if we do not comply with privacy laws or information security policies.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complex and overlapping laws protecting the privacy and security of personal data.</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in Naples Wax Center locations may not generate a positive return and we will incur significant additional costs.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due to certain factors, some of which are beyond our control.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airports or off-airport locations may present increased risks due to our unfamiliarity with those areas.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89"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execute our growth strategy to expand and integrate new concessions or future acquisitions into our business or remodel existing concessions, our recently acquired entity or future acquisitions into our business or remodel existing concessions. Any new concessions, future acquisitions or remodeling of existing</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concessions may divert management resources, result in unanticipated costs, or dilute the ownership of our stockholders.</w:t>
      </w:r>
    </w:p>
    <w:p>
      <w:pPr>
        <w:spacing w:after="0" w:line="162" w:lineRule="exact"/>
        <w:rPr>
          <w:sz w:val="20"/>
          <w:szCs w:val="20"/>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estimates and assumptions we use to determine the size of our market are inaccurate, our future growth rate may be impacted. If we cannot hire adequate staff for our locations, we will not be able to operate.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labor force could unionize, putting upward pressure on labor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predict accurately or fulfill customer preferences or demands.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leases may be terminated, either for convenience by the landlord or because of a XpresSpa or Naples Wax event of default.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depends on the traffic patterns of the terminals in which we operate, and the cessation or disruption of air traveler traffic in these terminals would negatively impact XpresSpa and XpresTest’s addressable market.</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minimum airport concession disadvantaged business enterprise participation goals and requirements could lead to lost business opportunities or the loss of existing business.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customers’ credit card data and other personal information, we could be exposed to data loss, litigation and liability, and our reputation could be significantly harmed.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social media regarding XWELL, XpresSpa, Treat, XpresTest, Naples Wax Center or HyperPointe could result in decreased revenues and impact our ability to recruit worker.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source, develop, and sell products that may result in product liability defense costs and product liability payments.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have been, are, and may become involved in litigation that could divert management’s attention and harm our businesses.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or business opportunities could involve unknown risks that could harm our business and adversely affect our financial condition and the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Capital Stock</w:t>
      </w:r>
    </w:p>
    <w:p>
      <w:pPr>
        <w:spacing w:after="0" w:line="229"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prices can be volatile, and this volatility may depress the price of our common stock.</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Series G Preferred Stock are entitled to certain payments under the applicable Certificate of Designations that may be paid in cash, in shares of common stock or in additional shares of Series G Preferred Stock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G Preferred Stock and certain of our outstanding warrants contain certain anti-dilution provisions, which may dilute the interests of our stockholders, depress the price of our common stock, and make it difficult for us to raise additional capital.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G Certificate of Designations contains restrictive covenants and terms that may make it difficult to procure additional financing and that may affect our financial condition and results of operations.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current plans to pay dividends on our common stock, and our investors may not receive funds without selling their stock.</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publish negative evaluations, the price of our common stock could decline.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availed ourselves of scaled disclosure available to smaller reporting companies, we cannot be certain if such reduced disclosure will make our common stock less attractive to investors.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Risk Factors</w:t>
      </w:r>
    </w:p>
    <w:p>
      <w:pPr>
        <w:spacing w:after="0" w:line="229"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confidential information may be disclosed by other parties.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publicly announced financial guidance or other expectations about our business, which would cause our stock to decline in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Capital Requirements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consolidated financial statements have been prepared on a going concern basis; we must raise additional capital to fund our operations in order to continue as a going concern.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its report dated April 15, 2025, our independent registered public accounting firm expressed substantial doubt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December 31, 2024, we had approximately $4,550 of cash and cash equivalents on hand. 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2024, our estimated aggregate total gross net operating loss carryforwards (“NOLs”) were $150,926 for U.S. federal purposes, expiring 20 years from the respective tax years to which they relate, and $114,321 for U.S. federal purposes with an indefinite life due to new regulations in the Tax Cuts and Jobs Act of 2017. Our ability to utilize our NOLs may be limited under Section 382 of the Internal Revenue Code (“Section 382”).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market conditions may adversely affect our business, financial condition, and operating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plan depends significantly on worldwide economic conditions and our success is dependent on consumer spending, which is sensitive to, among others, trade disputes, the imposition of tariffs, and other protectionist policies enacted by various governments, economic downturns, inflation and any associated rise in unemployment, declines in consumer confidence, adverse changes in exchange rates, increases in interest rates, the impact of high energy, fuel, food and healthcare costs, deflation, direct or indirect taxes, increases in consumer debt levels; fears of war or actual conflicts, such as the Russian invasion of Ukraine and the armed conflict between Israel and Palestine, civil unrest, terrorism or violence, and increased stock market volatility.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Increasing inflation could adversely affect our business, financial condition, results of operations or cash flows.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Inflation and some of the measures taken by or that may be taken by the governments in countries where we operate to curb inflation may have negative effects on the economies of those countries generally. If the United States or other 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substantial capital expenditures, and we may not have access to the capital required to maintain and grow our operations.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development of our new branding concept in the travel health and wellness space, as well as maintaining and expanding our operations in our existing and new locations, are all capital-intensive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the foregoing, we will require significant capital to fund our operations and respond to potential strategic opportunities, such as investments, acquisitions and expansions.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Since mid-2020, we generally have been able to obtain additional capital through access to the equity markets and the sale of our securities. We have mitigated the cash crisis we faced in the first half of 2020. However, throughout our operating history prior to the successful launch of our XpresCheck business, we did not generate sufficient cash from operations to fund new store development. Accordingly, we will be dependent upon managing and effectively deploying our existing cash resources and may require additional funding to fully realize the design and implementation of our travel health and wellness concept. If and to the extent we determine whether it is necessary or desirable, we may not be able to obtain such additional financing through equity capital when needed, on acceptable terms to us, or at all. In addition, the terms of our financings may be dilutive to, or otherwise adversely affect, holders of our common stock. Moreover, our ability to raise additional equity capital may be constrained because of our relatively low stock price, and we may need to undertake a reverse stock split in the near future to maintain compliance with the Nasdaq listing rules and to maintain flexibility in access to the equity capital markets. If we are unable to obtain additional funding on a timely basis, on terms acceptable to us, or at all, we may be required to curtail or terminate some or all our business plans. Any such financing that we undertake will likely be dilutive to our current stockholders.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bio surveillance monitoring activities conducted by XpresTest are funded partially by government contract awards, which may not be available to us in the future, and such contract awards are subject to guidelines regulating certain aspects of our operations.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received and intend to continue to seek funding for the bio surveillance monitoring activities conducted by XpresTest under contract with Ginkgo Bioworks. However, funding by the CDC or other governmental agencies may be significantly reduced or eliminated in the future for several reasons. For example, some programs are subject to a yearly appropriations process overseen by the U.S. Congress. In addition, we may not receive full funding under current or future contracts because of the budgeting constraints of the CDC or the unsatisfactory performance of past contracts. Therefore, we cannot provide any assurance that we will receive any future funding under contracts from any government agencies, or, if received, we will realize the full value of the contract. Any such reductions failure to realize expected funds could delay the development of our business.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operations conducted under such federal contracts are subject to certain federal regulations regarding how we conduct our business, and we will be obligated to abide by the agreement terms relating to those contracts. Failure to follow the regulations and agreement terms could jeopardize our ability to realize the value of our government contracts and our ability to obtain future government contracts, which could have a material adverse effect on our results of operations and financial condition. In addition, any failure to comply with applicable laws or regulations affecting such contracts could harm our business and divert our management’s attention.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funding for our bio surveillance monitoring activities from the CDC may be impacted by possible reductions in federal spending.</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U.S. federal government agencies currently face potentially significant spending reductions. The U.S. federal budget remains in flux, however, which could, among other things, result in budget cuts to the CDC and otherwise affect federal spending on public health surveillance. Changing attitudes may lead to a decrease in funding available for bio surveillance monitoring activities. The full impact on our business and financial condition of any future budget cuts to the CDC or other programs is uncertain. In addition, we cannot predict any impact which the actions of President Trump’s administration and the U.S. Congress may have on the federal budget, which may in turn affect federal funding on public health surveillance, which may have a negative impact on our business and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globally and changes in tax laws could adversely affect our results.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operate globally and changes in tax laws could adversely affect our results. We have international operations and generate substantial revenues and profits in foreign jurisdictions. The domestic and international tax environments continue to evolve because of tax changes in various jurisdictions in which we operate and changes in the tax laws in certain countries, including the United States, could impact our future operating results. A significant increase in the U.S. corporate tax rate could negatively impact our financial results. The OECD’s framework implements a global minimum corporate tax of 15% for companies with global revenues and profits above certain thresholds (referred to as “Pillar Two”). Certain jurisdictions in which the Company operates have enacted their respective tax laws to comply with Pillar Two. Starting in 2025, we have come within the scope of the Pillar Two rules. As of now, we do not expect Pillar Two to have a material impact on our effective tax rate or our consolidated results of operation, financial position, and cash flows. We will continue to monitor pending legislation and implementation by individual countries.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potentially hazardous materials, chemicals, and patient samples in our XpresTest diagnostic testing and bio surveillance business and any disputes relating to improper handling, storage or disposal of these materials could be time consuming and costly.</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expenses or restrict operations.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federal, state, local and foreign laws and regulations that apply to our businesses, we could suffer severe consequences that could materially and adversely affect our operating results and financial condition.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XpresTest operations may be subject to extensive federal, state, local and foreign laws and regulations, all of which are subject to change. These laws and regulations currently include, among other things:</w:t>
      </w:r>
    </w:p>
    <w:p>
      <w:pPr>
        <w:spacing w:after="0" w:line="162"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which requires that laboratories obtain certification from the federal government, and state licensure laws;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laws and regulations, including fraud and abuse laws such as the anti-kickback laws and false claims acts;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regulating genetic testing and protecting the privacy of genetic test results, as well as state laws protecting the privacy and security of personal data and mandating reporting of breaches to affected individuals and state regulators;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reporting and other compliance-related requirements;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w:t>
      </w:r>
    </w:p>
    <w:p>
      <w:pPr>
        <w:spacing w:after="0" w:line="18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Sarbanes-Oxley Act and the rules and regulations of Nasdaq. The Sarbanes-Oxley Act requires, among other things, that we maintain effective disclosure controls and procedures and internal control over financial reporting. As required by Section 404 of the Sarbanes-Oxley Act, we must perform system and process evaluation and testing of our internal control over financial reporting to allow management to report on the effectiveness of our internal control over financial reporting in our Form 10-K filing for each fiscal year. This requires us to incur substantial additional professional fees and internal costs to expand our accounting and finance functions and we expend significant management efforts.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the fiscal year ended December 31, 2024, our management evaluated, with the participation of our chief executive officer and chief financial officer, the effectiveness of our disclosure controls and procedures, pursuant to Rule 13a-15(b) under the Exchange Act.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December 31, 2024, due to the following material weaknesses:</w:t>
      </w:r>
    </w:p>
    <w:p>
      <w:pPr>
        <w:spacing w:after="0" w:line="189" w:lineRule="exact"/>
        <w:rPr>
          <w:sz w:val="20"/>
          <w:szCs w:val="20"/>
          <w:color w:val="auto"/>
        </w:rPr>
      </w:pPr>
    </w:p>
    <w:p>
      <w:pPr>
        <w:ind w:left="700" w:right="7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implement, and consistently operate effective controls over the completeness and accuracy of its accounting for leases under ASC 842.</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or maintain effective entity level monitoring controls over the financial close and reporting process.</w:t>
      </w:r>
    </w:p>
    <w:p>
      <w:pPr>
        <w:spacing w:after="0" w:line="161" w:lineRule="exact"/>
        <w:rPr>
          <w:rFonts w:ascii="Times New Roman" w:cs="Times New Roman" w:eastAsia="Times New Roman" w:hAnsi="Times New Roman"/>
          <w:sz w:val="18"/>
          <w:szCs w:val="18"/>
          <w:color w:val="auto"/>
        </w:rPr>
      </w:pPr>
    </w:p>
    <w:p>
      <w:pPr>
        <w:jc w:val="both"/>
        <w:ind w:left="700" w:right="79" w:hanging="326"/>
        <w:spacing w:after="0" w:line="261"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79"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its’ foreign subsidiaries.</w:t>
      </w:r>
    </w:p>
    <w:p>
      <w:pPr>
        <w:spacing w:after="0" w:line="200" w:lineRule="exact"/>
        <w:rPr>
          <w:sz w:val="20"/>
          <w:szCs w:val="20"/>
          <w:color w:val="auto"/>
        </w:rPr>
      </w:pPr>
    </w:p>
    <w:p>
      <w:pPr>
        <w:spacing w:after="0" w:line="24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any of our remedial measures will be effective in resolving our material weaknesses.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any of our remedial measures will be effective in resolving our material weaknesses.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or remediate our material weaknesses, we may not be able to produce timely and or accurate financial statements, which may lead to material misstatements in our financial statements. This could result in a restatement of our consolidated financial statements, cause us to fail to meet our reporting obligations, reduce our ability to obtain financing or cause investors to lose confidence in our reported financial information. If that were to happen, the market price of our common stock could decline and we could be subject to sanctions or investigations by Nasdaq, the SEC, or other regulatory authorities.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depend on third parties to provide services critical to our XpresTest bio surveillance business, including supplies, ground and air transport of clinical and diagnostic testing supplies and specimens,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reputation may be materially impaired if we do not comply with privacy laws or information security policies.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collect, generate, process, or maintain sensitive information, such as patient data and other personal information. If we do not use or adequately safeguard that information in compliance with applicable requirements under federal, state, and international laws, or if it were disclosed to persons or entities that should not have access to it, our business could be materially impaired, our reputation could suffer, and we could be subject to fines, penalties, and litigation. In the event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data security breach, we may be subject to notification obligations, litigation and governmental investigation or sanctions, and may suffer reputational damage, which could have an adverse impact on our business.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regarding protecting the security and privacy of certain personal information, including state laws, including, among others, the California Consumer Privacy Act.</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IT systems are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because of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complex and overlapping laws protecting the privacy and security of personal data.</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comply with all applicable privacy and data security laws to operate our business and may be required to expend significant capital and other resources to ensure ongoing compliance, to protect against security breaches and hackers or to alleviate problems caused by such breaches. Breaches of personal data may be extremely expensive to remediate, may prompt federal or state investigation, fines, civil and/or criminal sanctions, and significant reputational damage.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expenditures in Naples Wax locations may not generate a positive return and we will incur significant additional costs.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Our capital expenditures may not generate a positive return. Significant capital expenditures will be required to construct Naples Wax centers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our competitive position could be harmed. </w:t>
      </w:r>
      <w:r>
        <w:rPr>
          <w:rFonts w:ascii="Times New Roman" w:cs="Times New Roman" w:eastAsia="Times New Roman" w:hAnsi="Times New Roman"/>
          <w:sz w:val="18"/>
          <w:szCs w:val="18"/>
          <w:color w:val="212529"/>
        </w:rPr>
        <w:t>These developments, and others that are difficult or impossible to predict,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materially impact our business, financial results, cash flows, and financial position.</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depend upon a large number of airplane travelers with the propensity for health and wellness, and in particular spa treatments and products, spending significant time post-security clearance check points at airports. The number of airline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travelers at any given time is volatile and subject to change. If the time that these travelers spend post-security clearance at airports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80" w:lineRule="exact"/>
        <w:rPr>
          <w:sz w:val="20"/>
          <w:szCs w:val="20"/>
          <w:color w:val="auto"/>
        </w:rPr>
      </w:pPr>
    </w:p>
    <w:p>
      <w:pPr>
        <w:jc w:val="both"/>
        <w:ind w:left="720" w:right="79" w:hanging="319"/>
        <w:spacing w:after="0" w:line="258"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 (including cyber-attacks) impacting either domestic or international travel through airports where we operate, causing fear of flying, flight cancellations, or an economic downturn, fears of war or actual conflicts, such as the Russian invasion of Ukraine, the armed conflict between Israel and Palestine, civil unrest, terrorism or violence or any other events of a similar nature, even if not directly affecting the airline industry, may lead to a significant reduction in the number of airline passengers;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business spending that impacts business travel, such as a recession;</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airfare prices that impacts the willingness of air travelers to fly, such as an increase in oil prices or heightened taxation from federal or other aviation authorities;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our spa business, scientific studies that malign the use of spa services or the products used in spa services, such as the impact of certain chemicals and procedures on health and wellness;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streamlined security screening checkpoints, which could decrease the wait time at checkpoints and therefore the time air travelers’ budget for spending time at the airport; or</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preferences for services in general at the airport could change as dwell times in US airports continue to go down and more airports are focusing available concession space on quicker service food and beverage concepts.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any disruption to, or suspension of services provided by airlines and the travel industry because of financial difficulties, labor disputes, construction work, increased security, changes to regulations governing airlines, mergers and acquisitions in the airline industry, higher fuel prices and challenging economic conditions causing airlines to reduce flight schedules or increase the price of airline tickets could negatively affect the number of airline passengers.</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on a small number of suppliers for our products. As a result, these suppliers may have increased bargaining power, and we may be required to accept less favorable purchasing terms. In the event of a dispute with a supplier,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We have publicized our sale of certain brands of products in our stores – our failure to sell these brands may adversely affect our business.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and the armed conflict between Israel and Palestine),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due to certain factors, some of which are beyond our control.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results may fluctuate from period to period significantly because of numerous factors, including:</w:t>
      </w:r>
    </w:p>
    <w:p>
      <w:pPr>
        <w:spacing w:after="0" w:line="22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unit openings, particularly the launch of new terminals;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traffic and seasonality of air travel;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and availability of supplies;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nationally, locally and internationally;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 and new locations;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infrastructure costs, including those costs associated with the build-out of new concession locations and renovating existing concession locations.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operating results may fluctuate significantly because of the factors discussed above. Accordingly, results for any period are not necessarily indicative of results to be expected for any other period or for any year.</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airports or off-airport locations may present increased risks due to unfamiliarity with those areas.</w:t>
      </w:r>
    </w:p>
    <w:p>
      <w:pPr>
        <w:spacing w:after="0" w:line="15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8"/>
          <w:szCs w:val="18"/>
          <w:color w:val="auto"/>
        </w:rPr>
        <w:t>Our growth strategy depends upon developing our off-airport locations which will include travel health and wellness mini locations and the expansion of Naples Wax.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our vision, passion, and culture. We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8"/>
          <w:szCs w:val="18"/>
          <w:color w:val="auto"/>
        </w:rPr>
        <w:t>Operations in new markets may also have lower average revenues or enplanements than in the markets where we currently operate. Operations in new markets may also take longer to ramp up and reach expected sales and profit levels, and may never do so, thereby negatively affecting the results of operations.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is dependent in part on our ability to successfully identify and open new locations.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growth strategy is, among others, dependent in part on our ability to successfully identify and open new locations. We will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number of airline passengers that visit the terminals in which we have concessions is dependent in part on decisions made by airlines and airport authorities relating to flight arrivals and departures. A decrease in the number of flights and a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most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 of our growth strategy is to expand and remodel our existing facilities and to seek new concessions through tenders, direct negotiations, or other acquisition opportunities. In this regard, our future growth will depend upon several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New concessions and acquisitions, and in some cases future expansions and remodeling of existing concessions, could pose numerous risks to our operations, including that we may:</w:t>
      </w:r>
    </w:p>
    <w:p>
      <w:pPr>
        <w:spacing w:after="0" w:line="162"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integrating operations or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unanticipated integration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unexpected construction and development costs and project delays;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challenges identifying and engaging local business partners to meet ACDBE requirements in concession agreements;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construction materials or labor at acceptable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engineering or environmental problems associated with our new and existing facilities;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key employees, particularly with respect to acquired or new operations;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difficulty retaining or developing acquired or new business customers;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existing business relationships with suppliers or other third parties as a result of acquisitions;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realize the potential cost savings or other financial benefits and/or the strategic benefits of acquisitions, new concessions, or remodeling;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liabilities from the acquired businesses and we may not be successful in seeking indemnification for such liabilities.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our market are inaccurate, our future growth rate may be impacted.</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skilled, licensed labor force to provide our services, and the supply of this labor force is finite. If we cannot hire adequate staff for our locations, we will not be able to operate.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246 full-time and 66 part-time employees. Excluding some dedicated retail staff, most of our employees in our locations are licensed to perform spa services, and hold such licenses as masseuses, nail technicians, and aestheticians. The demand for these licensed technicians has been increasing as more consumers gravitate to health and wellness treatments such as spa services. We compete not only with other airport-based spa companies but also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our ability to operate in such locations, and our business and financial condition will be impacted negatively.</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Netherlands, Turkey,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to comply with applicable standards. Compliance with such laws and regulations can be costly and can increase our exposure to litigation or governmental investigations or proceedings.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labor force could unionize, putting upward pressure on labor costs.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Major players in labor organizations could target our locations for its unionization efforts. In the event of the successful unionization of all our labor force, we would likely incur additional costs in the form of higher wages, more benefits such as vacation and sick leave, and potentially also higher health care insurance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new locations in airports and may not be able to secure new locations.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predict accurately or fulfill customer preferences or demands.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leases may be terminated, either for convenience by the landlord or because of a XpresSpa or Naples Wax default.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stores and kiosks in several airports and off airport locations in which the landlord, with prior written notice to us, can terminate our lease, including for convenience or as necessary for operations. If a landlord elects to terminate a lease, we may have to shut down one or more affected locations.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operate depends on the traffic patterns of the terminals in which we operate, and the cessation or disruption of air traveler traffic in these terminals would negatively impact XpresSpa’s and XpresTest’s addressable market.</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depend on a high volume of air travelers in its terminals. It is possible that a terminal in which we operate could become subject to a lower volume of air travelers, which would significantly impact traffic near and around our locations and therefore its total addressable market. Lower volume in a terminal could be caused by:</w:t>
      </w:r>
    </w:p>
    <w:p>
      <w:pPr>
        <w:spacing w:after="0" w:line="176" w:lineRule="exact"/>
        <w:rPr>
          <w:sz w:val="20"/>
          <w:szCs w:val="20"/>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construction that results in the temporary or permanent closure of a unit, or adversely impacts the volume or pattern of traffic flows within an airport;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airline utilizing an airport in which we operate could abandon that airport or an individual terminal in favor of other airports or terminals, or because it is contracting operations;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could cause damage to the terminal or airport in which we operate, resulting in the temporary or permanent closure of a unit.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local partners.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89" w:lineRule="exact"/>
        <w:rPr>
          <w:sz w:val="20"/>
          <w:szCs w:val="20"/>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a position to take action contrary to our instructions, our requests, our policies, our objectives or applicable laws;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that reduce our return on investment;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bankrupt or are otherwise unable to meet their capital contribution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economic or business interests or goals that are or become inconsistent with our business interests or goals; 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actions that harm our reputation or restrict our ability to run our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59"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several of our existing leases contain minimum ACDBE participation requirements which require the ACDBE to own a significant portion of the business being operated under those leases. The level of ACDBE participation requirements may affect our profitability and/or its ability to meet financial forecasts.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on our business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Continued minimum wage increases could negatively impact our cost of labor.</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 increase in the minimum wage could increase our cost of labor and have an adverse impact on our business, financial condition, and results of operations.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Our sales are by credit or debit cards. Additionally, we collect and store personal information from individuals, including our customers and employees.</w:t>
      </w:r>
    </w:p>
    <w:p>
      <w:pPr>
        <w:spacing w:after="0" w:line="180"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its security measures to misappropriate such information and may purposefully or inadvertently cause a breach involving such information. If a person can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its business or results of operations. Further, adverse publicity resulting from these allegations could significantly harm its reputation and may have a material adverse effect on it. Although we carry cyber liability insurance to protect against these risks, there can be no assurance that such insurance will provide adequate levels of coverage against all potential claims.</w:t>
      </w:r>
    </w:p>
    <w:p>
      <w:pPr>
        <w:spacing w:after="0" w:line="18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social media regarding XWELL, XpresSpa, XpresTest, Naples Wax Center or HyperPointe could result in decreased revenues and impact our ability to recruit workers.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affinity among consumers is highly dependent on their positive feelings about our brands, our customer service and the range and quality of services and products that we offer. A negative customer experience that is posted to social media outlets and is distributed virally could tarnish each of the XpresSpa, XpresTest, Naples Wax Center, or HyperPointe brands and our customers may opt to no longer engage with that particular brand, or any of our brands.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must comply with a variety of employment and business practices laws across the United States, Netherlands, Turkey,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source, develop, and sell products that may result in product liability defense costs and product liability payments.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products contain ingredients that are deemed to be safe by the FDA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public or that we use in our services. Product liability claims, regardless of their merits, could be costly and divert management’s attention, and adversely affect our reputation and the demand for our products and services. To date, we have not been named as a defendant in any product liability action.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have been, are, and may again become involved in litigation that could divert management’s attention and harm our businesses.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Litigation is often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have the right to be indemnified against such costs, the indemnifying party may be unable to uphold its contractual obligations.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harm our business and operating results.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way we conduct our business and negatively impact our business, prospects, financial condition, and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inability to protect the trademarks or other proprietary rights we use or claims of infringement by us of the rights of third parties, could adversely affect our competitive position or the value of our brands.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acquisitions or business opportunities could involve unknown risks that could harm our business and adversely affect our financial condition and the results of operations.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our due diligence investigations may not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operations could result in additional costs and inefficiencies.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many of the risks we face in our U.S. operations, international operations present a unique set of risks and challenges, including local laws and customs, various and potentially complex international tax regulations and compliance requirements, U.S. laws applicable to foreign operations, and political and socio-economic conditions. Our ability to operate effectively and grow in international markets could be impacted by these risks resulting in legal liabilities, additional costs, and the distraction of management’s attention. Compliance with the Foreign Corrupt Practices Act and protection of intellectual property rights surrounding items such as trade names and trademarks in foreign jurisdictions can pose significant challenges.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our operations in international markets are conducted primarily in the local currency of those countries. Given that our Consolidated Financial Statements are denominated in U.S. dollars, amounts of assets, liabilities, net sales, and other revenues and expenses denominated in local currencies must be translated into U.S. dollars using exchange rates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current period. As a result, foreign currency exchange rates and fluctuations in those rates may adversely impact our financial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prices can be volatile, and this volatility may depress the price of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7"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personnel, or our overall ability to retain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innovations by us or our competitors;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capital commitments, or new technologies;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intellectual property rights generally;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claims, and investigations that may be filed against us, and other events that may adversely affect our reputation;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introduce new products and services;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 and business plan and the effects that such financing may have on the value of the equity instruments held by our stockholders;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 skilled labor force and the costs associated;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new retail locations, maintain existing ones, and ensure continued customer traffic at those locations;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significant suppliers;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trends in the health and wellness and travel industries and potential technology and service obsolescence;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quality, pricing, availability, and useful life of our products and/or services, as well as the mix of our products and services sold.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current plans to pay dividends on our common stock, and our investors may not receive funds without selling their stock.</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Additionally, so long as any shares of our Series G Preferred Stock are outstanding, as they are at this time, we are not able to, without the prior written consent of the Required Holders (as defined in the Series G Certificate of Designations), directly or indirectly, redeem, repurchase or declare or pay any cash dividend or distribution on any of our capital stock (other than as required by the Series G Certificate of Designations). Investors seeking cash dividends should not invest in our common stock for that purpose. We currently intend to retain any additional future earnings to finance our operations and growth and, therefore, we have no plans to pay cash dividends on our common stock currently.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Accordingly, our investors may have to sell some or all of their common stock to generate cash from their investment. You may not receive a gain on your investment when you sell our common stock and may lose the entire amount of your investment.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$2,500,000. While we are currently in compliance, we have in the past been, and may in the future be, unable to comply with certain of the listing standards that we are required to meet to maintain the listing of our common stock on Nasdaq. For example, on October 28, 2022, we received a deficiency letter from Nasdaq which indicated that we were not in compliance with the minimum bid price requirement, which such deficiency we addressed by effectuating a reverse stock split of our common stock on September 23, 2023. If in the future we seek to implement a reverse stock split to remain listed on Nasdaq, the announcement and/or implementation of a reverse stock split could significantly negatively affect the price of our common stock.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1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212529"/>
        </w:rPr>
        <w:t>Holders of our Series G Preferred Stock are entitled to certain payments under the applicable Certificate of Designations that may be paid in cash, in shares of common stock or in additional shares of Series G Preferred Stock depending on the circumstances. If we make these payments in cash, it may require the expenditure of a substantial portion of our cash resources. If we make these payments in common stock, it may result in substantial dilution to the holders of our common stock.</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Under the Certificate of Designations of the Series G Convertible Preferred Stock (the “Series G Certificate of Designations”) and, we are required to redeem the shares of the shares of the Series G Preferred Stock in six equal quarterly installments, commencing on February 1, 2025. The amortization payments due upon such redemption are payable, at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election, in cash at 107% of the applicable Installment Redemption Amount (as defined in the Series G Certificate of Designations), or subject to certain limitations, in shares of common stock valued at the lower of (i) the conversion price then in effect and (ii) the greater of (A) 80% of the average of the three lowest closing prices of the our common stock during the thirty consecutive trading day period ending and including the trading day immediately prior to the date the amortization payment is due or (B) the Floor Price (as defined in the Series G Certificate of Designations), and in each case subject to adjustment for stock splits, stock dividends, stock combinations, recapitalizations or other similar events. Holders of our Series G Preferred Stock are also entitled to receive dividends of 8% per annum, compounded each calendar quarter, which are payable in arrears monthly in cash or shares of our common stock, at our option, in accordance with the terms of the Series G Certificate of Designations.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Our ability to make payments due to the holders of our Series G Preferred Stock using shares of common stock is subject to certain limitations set forth in the applicable Certificate of Designations. We will not be permitted to pay the amortization in cash unless we are legally permitted to do so under Delaware law. As such, we may rely on having available shares of common stock to pay such amortization, which will result in dilution to our shareholders. If we do not have such available shares, we may not be able to satisfy our amortization obligations, or we may be forced to make such payments in cash. If we do not have sufficient cash resources to make these payments, we may need to raise additional equity or debt capital, and we cannot provide any assurance that we will be successful in doing so. If are unable to raise sufficient capital to meet our payment obligations, we may need to delay, reduce or eliminate certain research and development programs or other operations, sell some or all of our assets or merge with another entity.</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212529"/>
        </w:rPr>
        <w:t>Our ability to make payments due to the holders of our Series G Preferred Stock using cash is also limited by the amount of cash we have on hand at the time such payments are due as well as certain provisions of the Delaware General Corporation Law (the “DGCL”). Further, we intend to make the installment payments due to holders of Series G Preferred Stock in the form of common stock to the extent allowed under the applicable Certificate of Designation and applicable law in order to preserve our cash resources. The issuance of shares of common stock to the holders of our Series G Preferred Stock with increase the number of shares of common stock outstanding and could result in substantial dilution to the existing holders of our common stock.</w:t>
      </w:r>
    </w:p>
    <w:p>
      <w:pPr>
        <w:spacing w:after="0" w:line="18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The Series G Preferred Stock and certain of our outstanding warrants contain certain anti-dilution provisions, which may dilute the interests of our stockholders, depress the price of our common stock, and make it difficult for us to raise additional capital.</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12529"/>
        </w:rPr>
        <w:t>Certain events, for example, a Stock Combination Event (as defined in the Series G Certificate of Designations) may reduce the conversion price of the Series G Preferred Stock, which in turn may lead to further dilution to the holders of our common stock. The January 2025 Warrants (as defined herein) additionally contain anti-dilution provisions applicable to the exercise price. If in the future, while any of the January 2025 Warrants are outstanding, we may be required upon the occurrence of certain events, to adjust the exercise price of the January 2025 Warrants, and simultaneously with any adjustment to the exercise price, the number of shares of common stock that may be purchased upon exercise of the January 2025 Warrants shall be increased or decreased proportionately, so that after such adjustment the aggregate exercise price payable thereunder for the adjusted number of shares of common stock issuable upon exercise of the January 2025 Warrants shall be the same as the aggregate exercise price in effect immediately prior to such adjustment. Such adjustments can dilute the book value per common share and reduce any proceeds we may receive from the exercise of the January 2025 Warrants. In addition, the perceived risk of dilution may cause our shareholders to be more inclined to sell their common shares, which may in turn depress the price of common shares regardless of our business performance. We may also find it more difficult to raise additional equity capital while any of the January 2025 Warrants and the Series G Preferred Stock remain outstanding.</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Series G Certificate of Designations contains restrictive covenants and terms that may make it difficult to procure additional financing and that may affect our financial condition and results of operations.</w:t>
      </w:r>
    </w:p>
    <w:p>
      <w:pPr>
        <w:spacing w:after="0" w:line="15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212529"/>
        </w:rPr>
        <w:t>The Series G Certificate of Designations contains certain restrictive covenants including but not limited to, maintaining a Cash Minimum (as defined in the Series G Certificate of Designations), restrictions on incurring any indebtedness until the date on which at least 80% of the shares of Series G Preferred Stock have been converted to common stock and/or redeemed by us, subject to certain exceptions, restrictions on directly or indirectly, redeeming, repurchasing or declaring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or paying any cash dividend or distribution on any of our capital stock (other than as required by the Series G Certificate of Designations), and restrictions on directly or indirectly, permitting any of our indebtedness to mature or accelerate prior to the Maturity Date (as defined in the Series G Certificate of Designations). Additionally, the Series G Preferred Stock also contains certain purchase rights (the “Purchase Rights”) permitting the holders of the Series G Preferred Stock to acquire upon the terms applicable to such Purchase Rights, the aggregate Purchase Rights which such holder could have acquired if such holder had held the number of shares of common stock acquirable upon complete conversion of all of its shares of Series G Preferred Stock. These restrictive covenants may may limit our flexibility in raising capital or incurring any indebtedness, which may have an adverse effect on our financial condition.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The holders of the Series G Preferred Stock are entitled to dividends of 8% per annum, compounded each calendar quarter, which are payable in arrears monthly in cash or shares of common stock at our option, in accordance with the terms of the Series G Certificate of Designations. Upon the occurrence and during the continuance of a Triggering Event (as defined in the Series G Certificate of Designations), the Series G Preferred Stock accrue dividends at the rate of 15% per annum (the “Default Rate”). In connection with a Triggering Event, each holder of the Series G Preferred Stock will be able to require us to redeem in cash any or all of the holder’s Series G Preferred Stock at a premium set forth in the Series G Certificate of Designations. If such Triggering Event occurs, our financial condition and results of operations could be materially affected.</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Under the January 2025 Purchase Agreement, we are subject to certain restrictive covenants that may make it difficult to procure additional financing.</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The securities purchase agreement, dated as of January 14, 2025, by and among us and the investors named therein (the “January 2025 Purchase Agreement”), pursuant to which we issued in a private placement (the “January 2025 Private Placement”) the shares of Series G Preferred Stock, Series A Warrants to purchase shares of common stock (the “Series A Warrants”) and Series B Warrants to purchase shares of common stock (the “Series B Warrants” and together with the Series A Warrants, the “January 2025 Warrants”), contains, among others, the following restrictive covenants: (A) until all of shares of Series G Preferred Stock are no longer outstanding (or until no Series A Warrants and Series B Warrants remain outstanding if the stockholder approval for the issuance of the shares of common stock upon conversion or exercise of the Series G Preferred Stock, Series A Warrants and Series B Warrants, as applicable, is not obtained) we shall be prohibited from effecting or entering into an agreement to effect any subsequent placement involving a variable rate transaction and (B) until the earlier of (i) the second anniversary of the closing date of the January 2025 Private Placement, and (ii) the date in which no shares of Series G Preferred Stock remain outstanding, the opportunity to participate in any subsequent securities offerings by us.</w:t>
      </w:r>
    </w:p>
    <w:p>
      <w:pPr>
        <w:spacing w:after="0" w:line="19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212529"/>
        </w:rPr>
        <w:t>If we require additional funding while these restrictive covenants remain in effect, we may be unable to effect a financing transaction on terms acceptable to us, or at all, while also remaining in compliance with the terms of the January 2025 Purchase Agreements, or we may be forced to seek a waiver from the investors party to the January 2025 Purchase Agreement, which such investors are not obligated to grant to us.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Substantial future sales or other issuances of our common stock could depress the market for our common stock.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Sales of a substantial number of shares of our common stock and any future sales of a substantial number of shares of common stock in the public market, including the issuance of shares or any shares issuable upon conversion of the shares of Series G Preferred Stock or exercise of the Series A Warrants and Series B Warrants, among others, or the perception by the market that those sales could occur, could cause the market price of our common stock to decline or could make it more difficult for us to raise funds through the sale of equity and equity-related securities in the future at a time and price that our management deems acceptable, or at all. In addition, as opportunities present themselves, we may enter into financing or similar arrangements in the future, including the issuance of debt securities, preferred stock or common stock, which could also depress the market for our common stock. We cannot predict the effect, if any, that market sales of those shares of common stock or the availability of those shares for sale will have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You may experience future dilution as a result of future equity offerings and other issuances of our securities.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12529"/>
        </w:rPr>
        <w:t>In order to raise additional capital, we may in the future offer additional shares of common stock or other securities convertible into or exchangeable for our common stock prices that may not be the same as the price per share paid by the investors in this offering. We may not be able to sell shares or other securities in any other offering at a price per share that is equal to or greater than the price per share paid by the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paid to the selling stockholders. Our stockholders will incur dilution upon exercise of any outstanding stock options, warrants or other convertible securities or upon the issuance of shares of common stock under our stock incentive programs.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Future issuances of preferred stock may adversely affect the market price for our 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Additional issuances and sales of preferred stock, or the perception that such issuances and sales could occur, may cause prevailing market prices for common stock to decline and may adversely affect our ability to raise additional capital in the financial markets at times and prices favorable to us.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Any additional capital raised through the sale of equity or equity-backed securities may dilute our stockholders’ ownership percentages and could also result in a decrease in the market value of our equity securities.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12529"/>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12529"/>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75" w:lineRule="exact"/>
        <w:rPr>
          <w:sz w:val="20"/>
          <w:szCs w:val="20"/>
          <w:color w:val="auto"/>
        </w:rPr>
      </w:pPr>
    </w:p>
    <w:p>
      <w:pPr>
        <w:jc w:val="both"/>
        <w:ind w:left="60" w:right="59"/>
        <w:spacing w:after="0" w:line="243" w:lineRule="auto"/>
        <w:rPr>
          <w:sz w:val="20"/>
          <w:szCs w:val="20"/>
          <w:color w:val="auto"/>
        </w:rPr>
      </w:pPr>
      <w:r>
        <w:rPr>
          <w:rFonts w:ascii="Times New Roman" w:cs="Times New Roman" w:eastAsia="Times New Roman" w:hAnsi="Times New Roman"/>
          <w:sz w:val="18"/>
          <w:szCs w:val="18"/>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xml:space="preserve"> percent vote of our stockholders other than the “interested stockholder,” each as specifically provided in Section 203.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our bylaws, each as currently in effect, also contain certain provisions that may delay, discourage, or make it more difficult for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its purpose, the Section 382 Rights Plan could have the effect of making it uneconomical for a third party to acquire us on a hostile basis.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the price of our common stock could decline.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availability of research and reports that third-party industry or financial analysts publish about us. There are many large, publicly traded companies active in the life sciences and biopharmaceutical industries, which may mean it will be less likely that we receive widespread analyst coverage. Furthermore, if one or more of the analysts who do cover our company (if any) downgrades our stock, our stock price would likely decline. If one or more of these analysts cease coverage of our company, we could lose visibility in the market, which in turn could cause our stock price to decline. Additionally, if securities analysts publish negative evaluations of competitors in the life sciences and biopharmaceutical industries, the comparative effect could cause our stock price to decline.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Section 12b-2 of the Exchange Act, a “smaller reporting company” is a company that is not an investment company, an asset-backed issuer, or a majority-owned subsidiary of a parent company that is not a smaller reporting company, and (i) has a public float of less than $250 million as measured on the last business day of our second fiscal quarter, or (ii) has annual revenues of less than $100 million during the most recently completed fiscal year and whose value of common stock held by non-affiliates is less than $700 million as measured on the last business day of the second fiscal quarter.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because of our having availed ourselves of scaled disclosure may make it harder for investors to analyze our results of operations and financial prospects.</w:t>
      </w:r>
    </w:p>
    <w:p>
      <w:pPr>
        <w:spacing w:after="0" w:line="19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Furthermore, we are a non-accelerated filer as defined by Rule 12b-2 of the Exchange Act, and, as such, are not required to provide an auditor attestation of management’s assessment of internal control over financial reporting, which is generally required for SEC reporting companies under Section 404(b) of the Sarbanes-Oxley Act. Because we are not required to, and have not, had our auditor provide an attestation of our management’s assessment of internal control over financial reporting, a material weakness in internal controls may remain undetected for a longer period.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 Factors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confidential information may be disclosed by other parties.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publicly announced financial guidance or other expectations about our business, which would cause our stock to decline in value.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the health and wellness sector, which faces various cybersecurity risks that could adversely impact our business, financial condition, and operations. These risks include, but are not limited to, potential attacks to steal intellectual property, commit fraud or extortion, harm employees or customers, violate privacy laws, or damage our reputation. Recognizing the importance of cybersecurity, we have measures in place to protect sensitive information and prevent data loss or other security breaches. Management is actively involved in continuously assessing and addressing privacy and compliance cybersecurity threats through prevention, detection, and response.</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current program was established in 2022 and is based on the NIST Cybersecurity Framework (“NIST CSF”), outlining governance, policies, procedures, and technologies to identify and manage cyber risks. Our Director of Data Privacy &amp; Security and the Privacy &amp; Compliance Committee (“Committee”) oversee day-to-day cybersecurity activities, supported by our managed service provider (“MSP”) partner. The Director of Data Privacy &amp; Security is a highly qualified cybersecurity governance practitioner with industry credentials such as Certified Information Systems Security Professional (CISSP), Certified Cloud Security Professional (CCSP), Project Management Professional (PMP), and Certified Secure Software Lifecycle Professional (CSSLP) amongst others. The Committee provides oversight and receives regular updates on program status, capabilities, objectives, and evolving threats. The Committee members include our Director of Data Privacy &amp; Security and Director of Technology Operations. In the event of a cybersecurity incident, the Committee would then be expanded to include our General Counsel. Data is collected and reviewed as needed and reviewed weekly by our Director of Technology Operations. The Committee reviews all potential incidents as well as all remediation and future mitigation measures. Formal updates regarding potential incidents and/or other cybersecurity initiatives are provided to our CEO on an as-needed basis, and our CEO communicates such incidents and/or cybersecurity initiatives to the Audit Committee of the Board of Directors (the “Audit Committee”). Depending on the materiality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potential incident and/or cybersecurity initiatives, the Committee will present all information directly to the Audit Committee.</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cybersecurity program implements a defense-in-depth strategy, ensuring comprehensive safeguards are in place across various security domains. These include Intrusion Detection Firewalls (IPS/IDS) with Advanced malware prevention (AMP), Azure Conditional Access Policies, Multi-Factor Authentication (MFA), Identity and Access Management (IAM), Vulnerability Management, Endpoint Detection and Response (EDR) using CrowdStrike Falcon Complete with Managed Detection and Response (MDR), Data Loss Prevention (DLP), Barracuda XDR for Security Information Event Management (SIEM) and ongoing Security Awareness and Phishing Simulation exercises via KnowBe4 aimed at mitigating the risk of social engineering attacks, and Mobile Device Security Management. A robust incident response system is in place via our MSP partner to handle all security incidents including email (malware, phishing, etc.), cloud, endpoint, data loss prevention alerts and incidents across the organization. Our information security governance is underpinned by standards and policies documents that are reviewed by the Committee and updated annually by the Director of Data Privacy &amp; Security.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Selection of domain areas for monitoring was based on a risk-based approach aligned with the NIST CSF and accounted for the current threat landscape. Through risk assessments evaluating threats, vulnerabilities, and potential impacts, domains are prioritized by severity and likelihood. This allows us to focus our monitoring strategy and resources on the highest risk areas while adapting to the evolving cybersecurity environment.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When a security threat is detected, we follow an established process of threat identification and validation: assessment of the severity based on affected assets and potential impacts; evaluation of overall risk as it relates to our risk tolerance; planning and executing a response plan with mitigating actions; continuous monitoring and adjustment of the response; and conducting a post-incident review to identify lessons learned from such event and preventative measures.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Key risks that have been deemed material include, but are not limited to, the potential for data exfiltration from unmanaged devices, insufficient staffing, and tools due to recent budgetary reductions, increased risk of managing of personal information, potentially ineffective cybersecurity governance due to singular reporting structure, and lack of visibility and protection for the remote workforce.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no major incident has significantly impacted our business, operations or financial condition, a breach could damage our reputation, disrupt operations, and trigger legal or regulatory actions, among others. We currently have cyber insurance to help cover potential impacts. Our disclosure outlines program highlights while summarizing key risks and plans to continue maturing cybersecurity capabilities to safeguard the business.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oversight of risks from cybersecurity threats in conjunction with the Committee. The Audit Committee receives quarterly reports and updates from the Committee with respect to the management of risks from cybersecurity threats. Such reports cover our information technology security program, including its status, capabilities, objectives, and plans, as well as the evolving cybersecurity threat landscape. Additionally, the Audit Committee considers risks from cybersecurity threats as part of its oversight of our business strategy, risk management, and financial oversight by reviewing our incident and response matrix, as well as unmediated threats. In addition, The Committee will provide a mitigation and remediation roadmap based on threat criticality for review by the Audit Committee.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leverage the advice of our MSP partner to actively monitor our networks and software through their dedicated security operations center. We also have policies and procedures to oversee and identify the risks from cybersecurity threats associated with our use of third-party service providers.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third-party risk management program was established in 2022, defining four vendor risk tiers based on data sensitivity, regulatory requirements, and service criticality. All vendors undergo risk assessments, with Tier 1 and 2 high-risk vendors facing more rigorous reviews during onboarding, offboarding, and annual recertifications. Vendors complete risk control surveys, with additional documentation like SOC reports requested from Tier 1 and 2 vendors depending on their risk profile. Each vendor is scored based on service type and data and their responses to the questionnaire. This risk-based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approach ensures proper oversight of vendor relationships and informs decisions on both who and how we choose to partner.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besides our Global Support Center at 254 West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Street in New York City, XWELL had 33 spas and wellness centers in 18 airport and off-airport locations, in the United States, Netherlands, Turkey, and the United Arab Emirates. All of the locations as of that date were leased, typically with one or two renewal options after the initial term. Economic terms vary by type and location of store, and on average, the lease terms are 5-10 years with several locations operating on a month-to-month basis. We believe that our facility and our leases are adequate to accommodate our business needs.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our outstanding legal matters include speculative claims for substantial or indeterminate amounts of damages. We regularly evaluate developments in our legal matters that could affect the amount of any potential liability and adjust as appropriate. Significant judgment is required to determine both the likelihood of there being any potential liability and the estimated amount of a loss related to our legal matters.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did not record a liability for all outstanding legal matters as of December 31, 2024. Related legal fees are recorded in the period in which they are incurred.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XpresSpa Holdings, LLC (“XpresSpa”) v. Cordial Endeavor Concessions of Atlanta, LLC (“Cordial”), et al., Arbitration Case No. 2126399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6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dispute arises out of the alleged breaches of varies contracts between the parties as well as other improper conduct relating to the Operating Agreements. The Arbitration has recently commenced, and the parties are awaiting a scheduling order to be issued by the Arbitrator. No substantive proceedings have taken place and there have been no substantive rulings.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Market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25, 2022, the Company changed its name to XWELL, Inc.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reflecting the name change. Rebranding to XWELL aligned the Company’s corporate strategy to build a pure-play wellness services company, in both the airport and off-airport marketplaces.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11, 2025, we had 90 stockholders of record of the 5,261,024 outstanding shares of our common stock and 2 stockholders of record of the 4,000 outstanding shares of our Series G Preferred Stock. This does not reflect persons or entities that hold their stock in nominee or “street” name through various brokerage firms</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on our capital stock in the foreseeable future. Additionally, so long as any shares of our Series G Preferred Stock are outstanding, as they are at this time, we are not able to, without the prior written consent of the Required Holders (as defined in the Series G Certificate of Designations), directly or indirectly, redeem, repurchase or declare or pay any cash dividend or distribution on any of our capital stock (other than as required by the Series G Certificate of Designations).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sales of unregistered securities during the year ended December 31, 2024, were previously disclosed in a Quarterly Report on Form 10-Q or a Current Report on Form 8-K.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Unless otherwise stated, dollar amounts are provided in thousands, except share and per share data.</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 and Outlook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brands; the right-sizing of our existing airport portfolio to a leaner and more profitable business; the execution of an ‘off-airport’ strategy through acquisition to deliver more products and services, which will serve as a catalyst for our future growth; the implementation of an international expansion plan; and ensuring we can scale our growth in a responsible way that drives shareholder value. Through right sizing our existing business, optimizing our cost structure, and making acquisitions that further leverage the strength of our brand portfolio, XWELL is positioning itself for both financial and operational growth now and in the future. However, these plans are not finalized or fully within the Company’s control, and there is uncertainty regarding their execution and effectiveness. As noted previously in these financial statements, management has concluded that substantial doubt exists about the Company’s ability to continue as a going concern for at least one year from the date these financial statements are issued. The consolidated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2025 Private Placement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14, 2025, we entered into a securities purchase agreement (the “January 2025 Purchase Agreement”) with certain accredited investors thereto, pursuant to which it agreed to sell to such investors (i) an aggregate of 4,000 shares of our newly-designated Series G Convertible Preferred Stock, par value of $0.01 per share and a stated value of $1,000 per share, initially convertible into up to 2,673,797 shares of our common stock at a conversion price of $1.496 per share, (ii) Series A Warrants to acquire up to an aggregate of 2,673,797 shares of common stock at an exercise price of $1.496 per share, and (iii) Series B Warrants to acquire up to an aggregate of 2,673,797 shares of common stock at an exercise price of $1.7952 per share (the “January 2025 Private Placement”), each for a term of five years following the date of issuance. In connection with the January 2025 Private Placement, we also entered into that certain registration rights agreement, dated as of January 14, 2025, with the investors in the January 2025 Private Placement. The January 2025 Private Placement closed on January 14, 2025.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5"/>
        </w:trPr>
        <w:tc>
          <w:tcPr>
            <w:tcW w:w="5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10"/>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3,788</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total revenues increased $3,788, or 13%. The increase in revenue was primarily due to a full year service revenue generated from the acquired Naples Wax business and an increase in service revenue in the XpresSpa new touchless locations.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tc>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3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4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358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Inc/(Dec)</w:t>
            </w:r>
          </w:p>
        </w:tc>
      </w:tr>
      <w:tr>
        <w:trPr>
          <w:trHeight w:val="210"/>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24,978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26,428</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(1,450)</w:t>
            </w:r>
          </w:p>
        </w:tc>
      </w:tr>
      <w:tr>
        <w:trPr>
          <w:trHeight w:val="20"/>
        </w:trPr>
        <w:tc>
          <w:tcPr>
            <w:tcW w:w="3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decrease in total cost of sales during the year ended December 31, 2024, was primarily driven by the closure of XpresSpa locations that were under performing. The largest components in the cost of sales for that segment are labor costs at the location-level. Total cost of sales also includes rent and related occupancy costs, which primarily includes rent based on percentage of sales, as well as other product costs directly associated with the procurement of retail inventory, and other operating costs.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Inc/(Dec)</w:t>
            </w:r>
          </w:p>
        </w:tc>
      </w:tr>
      <w:tr>
        <w:trPr>
          <w:trHeight w:val="209"/>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depreciation and amortization expense decreased $1,127, or 55%, compared to the depreciation and amortization expense recorded during the year ended December 31, 2023. The decrease was primarily due to fewer long-lived assets available for depreciation and amortization in 2024 as compared to 2023 due the impairment of long-lived assets which occurred in the latter half of fiscal year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disposal of assets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impairment charges the years ended December 31, 2024 and 2023, recorded on the consolidated statement of operations and comprehensive loss: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Inc/(Dec)</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operating lease right-of-use assets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identified triggering events and completed an assessment of the Company’s property and equipment, intangible assets and right of use lease assets for impairment as of December 31, 2024 and 2023. As of December 31, 2024, the Company recorded an impairment of property and equipment, intangible assets, and right of use lease assets of approximately $1,706, $5 and $2,805, respectively, as compared to December 31, 2023 of approximately $1,159, $2,768, and $926 impairment of property and equipment, intangible assets, and right of use lease assets, respectively.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completed an assessment of goodwill for impairment as of December 31, 2024. The year-over-year decrease is based upon the results of the 2024 impairment assessment whereby the Company identified a triggering event for goodwill but deemed that the reporting unit’s fair value is greater than its carrying value, therefore no impairment for goodwill was recognized as of December 31, 2024. During the year ended December 31, 2023 the Company identified a triggering event, related to the Goodwill associated with XpresTest’s HyperPointe business, and as a result recognized an impairment charge of $4,024.</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80" w:type="dxa"/>
            <w:vAlign w:val="bottom"/>
            <w:tcBorders>
              <w:bottom w:val="single" w:sz="8" w:color="auto"/>
            </w:tcBorders>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60" w:type="dxa"/>
            <w:vAlign w:val="bottom"/>
            <w:tcBorders>
              <w:bottom w:val="single" w:sz="8" w:color="auto"/>
            </w:tcBorders>
          </w:tcPr>
          <w:p>
            <w:pPr>
              <w:spacing w:after="0"/>
              <w:rPr>
                <w:sz w:val="24"/>
                <w:szCs w:val="24"/>
                <w:color w:val="auto"/>
              </w:rPr>
            </w:pPr>
          </w:p>
        </w:tc>
      </w:tr>
      <w:tr>
        <w:trPr>
          <w:trHeight w:val="209"/>
        </w:trPr>
        <w:tc>
          <w:tcPr>
            <w:tcW w:w="4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12,957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4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general and administrative expenses decreased by $415 or 3%, which was primarily due to rightsizing our existing business and optimizing our cost structure. We have significantly reduced operating and overhead expenses while we continue to focus on returning to overall profitability. The decrease in general and administrative expenses were partially offset by an increase in one-time legal fees of approximately $2.1 million related to the defense of the CPC lawsuit.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salaries and benefits expenses decreased by $414 or 5%, primarily due to the closing of unprofitable or poorly performing spas, optimization of systems and processes that support the business, headcount reductions and elimination of infrastructure no longer necessary to support our future growth.</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 on investments, realized and unrealized</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realized and unrealized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the decrease is primarily driven by the decrease in marketable securities balance in 2024 as compared to 2023. Gain on investments is affected by the adjustments to the fair value of our equity investment, which could fluctuate materially from period to period. The fair value of these instruments depends on a variety of assumptions.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expenses, net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(211)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summary of the transactions included in other non-operating expenses, net for the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440" w:type="dxa"/>
            <w:vAlign w:val="bottom"/>
            <w:tcBorders>
              <w:bottom w:val="single" w:sz="8" w:color="auto"/>
            </w:tcBorders>
            <w:gridSpan w:val="4"/>
          </w:tcPr>
          <w:p>
            <w:pPr>
              <w:jc w:val="center"/>
              <w:ind w:left="313"/>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40" w:type="dxa"/>
            <w:vAlign w:val="bottom"/>
            <w:tcBorders>
              <w:bottom w:val="single" w:sz="8" w:color="auto"/>
            </w:tcBorders>
          </w:tcPr>
          <w:p>
            <w:pPr>
              <w:spacing w:after="0"/>
              <w:rPr>
                <w:sz w:val="20"/>
                <w:szCs w:val="20"/>
                <w:color w:val="auto"/>
              </w:rPr>
            </w:pPr>
          </w:p>
        </w:tc>
      </w:tr>
      <w:tr>
        <w:trPr>
          <w:trHeight w:val="209"/>
        </w:trPr>
        <w:tc>
          <w:tcPr>
            <w:tcW w:w="60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fees and financing charges</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6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2024, our estimated aggregate total gross NOLs were $150,926 for U.S. federal purposes, expiring 20 years from the respective tax years to which they relate, and $114,321 for U.S. federal purposes with an indefinite life due to new regulations in the Tax Act of 2017. The NOL amounts are presented before Internal Revenue Code, Section 382 limitations (“Section 382”).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laws for businesses impacted by COVID-19. However, we do not anticipate the income tax law changes will materially benefit us.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did not have any material unrecognized tax benefits as of December 31, 2024. We do not expect to record any additional material provisions for unrecognized tax benefits within the next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has expressed substantial doubt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December 31, 2024, we had approximately $4,550 of cash and cash equivalents, $7,247 in marketable securities, and total current assets of approximately $15,337. Our total current liabilities balance, which includes accounts payable, deferred revenue, accrued expenses, and operating lease liabilities was approximately $9,224 as of December 31, 2024. The working capital surplus was $6,113 as of December 31, 2024, compared to a working capital surplus of $17,236 as of December 31, 2023.</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significantly reduced operating and overhead expenses in the 2023 and 2024, while it continues to focus on returning to overall profitability.</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2025 and beyond. The Company is aggressively pursuing strategic partnerships that the Company expects will further strengthen the long-term profitability of the business, which puts the Company in a position of strength as the Company raises more capital.</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primary liquidity and capital requirements are for the maintenance of our current XpresSpa locations and brand, as well as the expansion outside the airports. During the year ended December 31, 2024, we used net cash of $11,005 to fund our operating activities.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do not currently have sufficient available liquidity to fund its operations for at least the next 12 months. These conditions and events raise substantial doubt about our ability to continue as a going concern within one year after the date that these audited annual consolidated financial statements are issued.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6"/>
        </w:trPr>
        <w:tc>
          <w:tcPr>
            <w:tcW w:w="4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43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$11,005 compared to net cash used in operating activities during the year ended December 31, 2023 of $16,074. The decrease in net cash used in operating activities was primarily due the Company’s reduction of operating and overhead expenses such as lower occupancy costs in 2024 as compared to 2023. In addition, there has been higher cash flows from full year operations of the acquired Naples Wax business in 2024 as compared to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was $5,895 compared to net cash provided by investing activities during the year ended December 31, 2023 of $5,650. Cash provided in 2024 came primarily from the sale of marketable securities of approximately $7,986. Cash provided in 2023 came primarily from the sale of marketable securities of approximately $9,417.</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increased by $1,351 primarily due to the net proceeds received from the August 2024 Registered Direct Offering (as defined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we entered into a securities purchase agreement with certain institutional and accredited investors, pursuant to which we agreed to sell and issue in a registered direct offering (the “August 2024 Registered Direct Offering”), an aggregate of 652,705 shares (the “August 2024 Shares”) of our common stock. The gross proceeds to us from the August 2024 Registered Direct Offering, prior to deducting estimated fees and expenses of $0.1 million, were approximately $1.4 million. The August 2024 Registered Direct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pursuant to a shelf registration statement on Form S-3 (File No. 333-273726), previously filed with the SEC on August 4, 2023, and declared effective by the SEC on September 29, 2023, and the base prospectus included therein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estimates to be the most critical estimates we used in preparing our consolidated financial statements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accounts for goodwill under FASB ASC 350-30, Intangibles-Goodwill and Other. Goodwill represents the cost of a business acquisition in excess of the fair value of the net assets acquired and liabilities assumed. Goodwill is not amortized and is reviewed for impairment annually, or more frequently if facts and circumstances indicate that it is more likely than not that the fair value of a reporting unit is less than its carrying amount.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identified a triggering event for goodwill but deemed that the fair value of the reporting unit is greater than its carrying value; therefore, no impairment loss was recognized. During the year ended December 31, 2023, the Company identified a triggering event and as a result recognized an impairment charge of $4,024, which is recorded in goodwill impairment on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Long-lived assets are tested for impairment at the lowest level at which there are identifiable operating cash flows. The Company’s long-lived assets consist primarily of leasehold improvements and the right to use lease assets for each of its locations (considered the asset group). The Company monitors the carrying value of long-lived assets for potential impairment and tests the recoverability of such assets whenever events or changes in circumstances indicate that the carrying amounts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the present value income approach. Future cash flows are calculated based on forecasts over the estimated remaining useful life of the asset group, which for each of the Company’s locations, is the remaining term of the operating lease.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locations long-lived asset group. But if these estimates or related assumptions were to change materially, the Company may be required to record an impairment charge.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identified triggering events and completed an impairment assessment of long-lived assets for impairment and recognized an impairment charge of $1,706 and $2,805, which is recorded in Impairment of long-lived assets and Impairment of operating lease right-of-use assets, respectively, on the consolidated statements of operations and comprehensive loss. During the year ended December 31, 2023, the Company recognized an impairment charge of $1,159 and $926, which is recorded in Impairment of long-lived assets and Impairment of operating lease right-of-use assets, respectively, on the consolidated statements of operations and comprehensive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 ended December 31, 2024, the Company recorded $5 of intangible impairment loss. During the year ended December 31, 2023, the Company recorded $2,768 of intangible impairment loss.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Please refer Note 2 to Consolidated Financial Statements in Item 8 of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Known Trends, Events and Uncertainties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Ongoing conflicts in Russia and Ukraine,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Additionally,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than as discussed above and elsewhere in this report, we are not aware of any trends, events or uncertainties that are likely to have a material effect on our financial condition.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required as we are a smaller reporting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required by this Item are set forth in Item 15 beginning on page F-1 of this Annual Report on Form 10-K.</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the end of the period covered by this Report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described below.</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Internal control over financial reporting is a process designed by, or under the supervision of, our principal executive officer and principal financial officer, or persons performing similar functions, and effected by our board of directors to provide reasonable assurance regarding the reliability of financial reporting and the preparation of financial statements in accordance with generally accepted accounting principles. Our management evaluated, with the participation of our chief executive officer and chief financial officer (our “Certifying Officers”), the effectiveness of our disclosure controls and procedures as of December 31, 2024, pursuant to Rule 13a-15(b) under the Exchange Act. Based upon that evaluation, management, including our Chief Executive Officer and Chief Financial Officer, our Certifying Officers concluded that, as of December 31, 2024, the evaluation date, our disclosure controls and procedures were not effective due to the following material weaknesses:</w:t>
      </w:r>
    </w:p>
    <w:p>
      <w:pPr>
        <w:spacing w:after="0" w:line="194"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implement, and consistently operate effective controls over the completeness and accuracy of its accounting for leases under ASC 842.</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properly design or maintain effective entity level monitoring controls over the financial close and reporting process.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implement, and consistently operate effective controls over its’ foreign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Remediation Plan for Material Weaknesses in Internal Control over Financial Reporting</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remediation efforts below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192"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turned on the multi-currency features related to its cloud-based accounting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assist with the valuation, accounting, and recording of key reporting areas such as leases, revenue recognition and stock compensation expense.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contracted an independent consulting firm to assist with the preparation of the Financial Statements and U.S. GAAP accounting research.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than as set forth in the foregoing paragraph, there have been no changes in our internal control over financial reporting that occurred during the year ended December 31, 2024, that has materially affected, or is reasonably likely to materially affect, our internal control over financial reporting. Notwithstanding the material weaknesses in our internal control over financial reporting, our management has determined that the consolidated financial statements for the periods covered by and included in this Annual Report fairly present, in all material respects, our financial position, results of operations and cash flows for the periods presented in conformity with U.S. GAAP.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12.</w:t>
      </w:r>
    </w:p>
    <w:p>
      <w:pPr>
        <w:spacing w:after="0" w:line="15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called for by this Item will be included in an amendment to this Annual Report on Form 10-K to be filed with the SEC and is incorporated by reference in this Item 14.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7"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the financial statements included in this Annual Report on Form 10-K, see “Index to the Financial Statements” on page F-1.</w:t>
      </w:r>
    </w:p>
    <w:p>
      <w:pPr>
        <w:spacing w:after="0" w:line="158"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Consolidated Financial Statement Schedules.</w:t>
      </w:r>
      <w:r>
        <w:rPr>
          <w:rFonts w:ascii="Times New Roman" w:cs="Times New Roman" w:eastAsia="Times New Roman" w:hAnsi="Times New Roman"/>
          <w:sz w:val="18"/>
          <w:szCs w:val="18"/>
          <w:color w:val="auto"/>
        </w:rPr>
        <w:t xml:space="preserve"> All schedules are omitted because they are not applicable or because the required information is included in the financial statements or notes thereto.</w:t>
      </w:r>
    </w:p>
    <w:p>
      <w:pPr>
        <w:spacing w:after="0" w:line="158" w:lineRule="exact"/>
        <w:rPr>
          <w:sz w:val="20"/>
          <w:szCs w:val="20"/>
          <w:color w:val="auto"/>
        </w:rPr>
      </w:pPr>
    </w:p>
    <w:p>
      <w:pPr>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as part of, or incorporated by reference into, this Annual Report on Form 10-K.</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Exhibits Index</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80" w:type="dxa"/>
            <w:vAlign w:val="bottom"/>
            <w:gridSpan w:val="5"/>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7980" w:type="dxa"/>
            <w:vAlign w:val="bottom"/>
            <w:tcBorders>
              <w:top w:val="single" w:sz="8" w:color="auto"/>
              <w:bottom w:val="single" w:sz="8" w:color="0000EE"/>
            </w:tcBorders>
            <w:gridSpan w:val="9"/>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Agreement and Plan of Merger by and among FORM Holdings Corp., FHXMS, LLC, XpresSpa Holdings,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LLC, the unitholders of XpresSpa who are parties thereto and Mistral XH Representative, LLC, as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representative of the unitholders, dated as of August 8, 2016 (incorporated by reference to Exhibit 2.1 to our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Current Report on Form 8-K filed with the SEC on August 8, 2016)</w:t>
              </w:r>
            </w:hyperlink>
          </w:p>
        </w:tc>
        <w:tc>
          <w:tcPr>
            <w:tcW w:w="3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Amendment No. 1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XpresSpa Holdings, LLC and Mistral XH Representative, LLC, as representative of the unitholders, dated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September 8, 2016 (incorporated by reference to Exhibit 2.1 to our Current Report on Form 8-K filed with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SEC on September 9, 2016)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Amendment No. 2 to Agreement and Plan of Merger by and among FORM Holdings Corp., FHXMS, LLC,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XpresSpa Holdings, LLC and Mistral XH Representative, LLC, as representative of the unitholders, dated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October 25, 2016 (incorporated by reference to Exhibit 2.1 to our Current Report on Form 8-K filed with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 on October 25, 2016)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Amendment No. 3 to Agreement and Plan of Merger, dated October 1, 2019, by and between the Company,</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XpresSpa Holdings, LLC, and Mistral XH Representative LLC (incorporated by reference to Exhibit 10.1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the Current Report on Form 8-K filed with the SEC on October 3, 2019).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Certificate of Elimination of Series A Convertible Preferred Stock, Series D Convertible Preferred Stock,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Series E Convertible Preferred Stock and Series F Convertible Preferred Stock, as filed with Secretary of State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of Delaware, effective on October 24, 2022 (incorporated by reference to Exhibit 3.1 to our Current Report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8-K filed with the SEC on October 24, 2022).</w:t>
              </w:r>
            </w:hyperlink>
          </w:p>
        </w:tc>
        <w:tc>
          <w:tcPr>
            <w:tcW w:w="4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Certificate of Incorporation of XWELL, Inc., effective on October 25, 2022</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(incorporated by reference to Exhibit 3.2 to our Current Report on Form 8-K filed with the SEC on October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64">
              <w:r>
                <w:rPr>
                  <w:rFonts w:ascii="Times New Roman" w:cs="Times New Roman" w:eastAsia="Times New Roman" w:hAnsi="Times New Roman"/>
                  <w:sz w:val="18"/>
                  <w:szCs w:val="18"/>
                  <w:color w:val="0000EE"/>
                  <w:w w:val="94"/>
                </w:rPr>
                <w:t>24, 2022.</w:t>
              </w:r>
            </w:hyperlink>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Third Amended and Restated Bylaws of XWELL, Inc., (incorporated by reference to Exhibit 3.1 to our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Current Report on Form 8-K filed with the SEC on May 21, 2024).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7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Amendment to the Amended and Restated Certificate of Incorporation, effective as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September 27, 2023 (incorporated by reference to Exhibit 3.1 to our Current Report on Form 8-K filed with</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the SEC on September 27, 2023).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80" w:type="dxa"/>
            <w:vAlign w:val="bottom"/>
            <w:gridSpan w:val="10"/>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7980" w:type="dxa"/>
            <w:vAlign w:val="bottom"/>
            <w:tcBorders>
              <w:top w:val="single" w:sz="8" w:color="auto"/>
              <w:bottom w:val="single" w:sz="8" w:color="0000EE"/>
            </w:tcBorders>
            <w:gridSpan w:val="15"/>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Certificate of Designation of Series A Junior Participating Preferred Stock, filed with the Secretary of State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the State of Delaware on August 16, 2024 (incorporated by reference to Exhibit 3.1 to our Current Report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8-K filed with the SEC on August 16, 2024).</w:t>
              </w:r>
            </w:hyperlink>
          </w:p>
        </w:tc>
        <w:tc>
          <w:tcPr>
            <w:tcW w:w="4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Certificate of Designations of Series G Convertible Preferred Stock (incorporated by reference to Exhibit 3.1</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to our Current Report on Form 8-K filed 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Description of the Registrant’s Securities (incorporated by reference from Exhibit 4.22 to our Annual Report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on Form 10-K filed with the SEC on April 20, 2020)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Tax Benefits Preservation Plan, dated as of August 16, 2024, between XWELL, Inc. and Equiniti Trust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Company, LLC, as Rights Agent (incorporated by reference to Exhibit 4.1 to our Current Report on Form 8-K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filed with the SEC on August 16, 2024).</w:t>
              </w:r>
            </w:hyperlink>
          </w:p>
        </w:tc>
        <w:tc>
          <w:tcPr>
            <w:tcW w:w="50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Series A Warrant issued on January 14, 2025 (incorporated by reference to Exhibit 4.1 to our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Report on Form 8-K filed with the SEC on January 15, 2025).</w:t>
              </w:r>
            </w:hyperlink>
          </w:p>
        </w:tc>
        <w:tc>
          <w:tcPr>
            <w:tcW w:w="3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Series B Warrant issued on January 14, 2025 (incorporated by reference to Exhibit 4.2 to our Current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Report on Form 8-K filed with the SEC on January 15, 2025).</w:t>
              </w:r>
            </w:hyperlink>
          </w:p>
        </w:tc>
        <w:tc>
          <w:tcPr>
            <w:tcW w:w="3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Management Option Agreement (incorporated by reference from our Registration Statement on Form</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S-1 filed on March 29, 2010)</w:t>
              </w:r>
            </w:hyperlink>
          </w:p>
        </w:tc>
        <w:tc>
          <w:tcPr>
            <w:tcW w:w="5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Stock Option Agreement (incorporated by reference from our Registration Statement on Form S-8</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filed on July 26, 2012)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Restricted Stock Unit Agreement (incorporated by reference from our Registration Statement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S-8 filed on July 26, 2012)</w:t>
              </w:r>
            </w:hyperlink>
          </w:p>
        </w:tc>
        <w:tc>
          <w:tcPr>
            <w:tcW w:w="5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Indemnification Agreement, dated January 31, 2013, by and between Vringo, Inc. and each of its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Directors and Executive Officer (incorporated by reference from our Annual Report on Form 10-K for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period ended December 31, 2012, filed on March 21, 2013)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Stock Option Grant under the XpresSpa Group Inc. 2020 Equity Incentive Plan (incorporated by reference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Exhibit 10.35 to the Company’s Annual Report on Form 10-K filed with the SEC on March 31, 2021)</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32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Notice of Restricted Stock Unit Award under the XpresSpa Group Inc. 2020 Equity Incentive Plan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(incorporated by reference to Exhibit 10.36 to the Company’s Annual Report on Form 10-K filed with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SEC on March 31, 2021)</w:t>
              </w:r>
            </w:hyperlink>
          </w:p>
        </w:tc>
        <w:tc>
          <w:tcPr>
            <w:tcW w:w="61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XpresTest, Inc. 2020 Equity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Current Report on Form 8-K filed with the SEC on September 28, 2020)</w:t>
              </w:r>
            </w:hyperlink>
          </w:p>
        </w:tc>
        <w:tc>
          <w:tcPr>
            <w:tcW w:w="27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XpresSpa Group, Inc. 2020 Equity Incentive Plan (incorporated by reference to Exhibit 10.1 to the Company’s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Current Report on Form 8-K filed with the SEC on October 30, 2020)</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020" w:type="dxa"/>
            <w:vAlign w:val="bottom"/>
            <w:gridSpan w:val="10"/>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XpresTest, Inc. Restricted Stock Award Agreement (incorporated by reference to Exhibit 10.45 to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Company’s Amendment No. 1 to Annual Report on Form 10-K/A filed with the SEC on April 30, 2021)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40" w:type="dxa"/>
            <w:vAlign w:val="bottom"/>
            <w:gridSpan w:val="6"/>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Executive Employment Agreement dated January 9, 2022, between the Company and Ezra T. Ernst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from Exhibit 10.2 to our Quarterly Report on Form 10-Q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November 14,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Stock Option Agreement between XpresSpa Group, Inc. and Ezra Ernst dated January 14, 2022 (incorporated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by reference from Exhibit 10.1 to our Registration Statement on Form S-8 filed on March 31, 2022).</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Executive Employment Agreement dated March 28, 2022, between the Company and Scott Milford.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from Exhibit 10.48 to our Annual Report on Form 10-K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March 31, 2022)</w:t>
              </w:r>
            </w:hyperlink>
          </w:p>
        </w:tc>
        <w:tc>
          <w:tcPr>
            <w:tcW w:w="67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XWELL, Inc. (formerly known as XpresSpa Group, Inc.) 2020 Equity Incentive Plan, as amended October 4,</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2022 (incorporated by reference to Exhibit 10.1 to our Registration Statement on Form S-8 filed with the SEC</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on October 25, 2022).</w:t>
              </w:r>
            </w:hyperlink>
          </w:p>
        </w:tc>
        <w:tc>
          <w:tcPr>
            <w:tcW w:w="6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Offer letter dated June 26, 2023, between the Company and Suzanne A. Scrabis (incorporated by reference 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Exhibit 10.1 to our Current Report on Form 8-K filed with the SEC on June 28, 2023).</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Executive Employment Agreement by and between XWELL, Inc. and Ezra T. Ernst, effective as of September</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4, 2024 (incorporated by reference to Exhibit 10.1 to our Current Report on Form 8-K filed with the SEC on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9">
              <w:r>
                <w:rPr>
                  <w:rFonts w:ascii="Times New Roman" w:cs="Times New Roman" w:eastAsia="Times New Roman" w:hAnsi="Times New Roman"/>
                  <w:sz w:val="18"/>
                  <w:szCs w:val="18"/>
                  <w:color w:val="0000EE"/>
                  <w:w w:val="98"/>
                </w:rPr>
                <w:t>September 5, 2025).</w:t>
              </w:r>
            </w:hyperlink>
          </w:p>
        </w:tc>
        <w:tc>
          <w:tcPr>
            <w:tcW w:w="6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Transition and Severance Agreement, by and between XWELL, Inc. and Scott R. Milford, effective as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September 4, 2024 (incorporated by reference to Exhibit 10.2 to our Current Report on Form 8-K filed with</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90">
              <w:r>
                <w:rPr>
                  <w:rFonts w:ascii="Times New Roman" w:cs="Times New Roman" w:eastAsia="Times New Roman" w:hAnsi="Times New Roman"/>
                  <w:sz w:val="18"/>
                  <w:szCs w:val="18"/>
                  <w:color w:val="0000EE"/>
                  <w:w w:val="98"/>
                </w:rPr>
                <w:t>the SEC on September 5, 2025).</w:t>
              </w:r>
            </w:hyperlink>
          </w:p>
        </w:tc>
        <w:tc>
          <w:tcPr>
            <w:tcW w:w="5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Resignation, Separation Agreement and Release with Suzanne A. Scrabis, effective as of January 8, 2025</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(incorporated by reference to Exhibit 10.1 our Current Report on Form 8-K filed with the SEC on January 7,</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1">
              <w:r>
                <w:rPr>
                  <w:rFonts w:ascii="Times New Roman" w:cs="Times New Roman" w:eastAsia="Times New Roman" w:hAnsi="Times New Roman"/>
                  <w:sz w:val="18"/>
                  <w:szCs w:val="18"/>
                  <w:color w:val="0000EE"/>
                  <w:w w:val="95"/>
                </w:rPr>
                <w:t>2025)</w:t>
              </w:r>
            </w:hyperlink>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Executive Employment Agreement with Thomas Ian Brown, effective as of January 6, 2025 (incorporated by</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reference to Exhibit 10.2 our Current Report on Form 8-K filed with the SEC on January 7,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Securities Purchase Agreement, dated as of August 6, 2024,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purchasers signatory thereto (incorporated by reference to Exhibit 10.1 our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with the SEC on August 7, 2024).</w:t>
              </w:r>
            </w:hyperlink>
          </w:p>
        </w:tc>
        <w:tc>
          <w:tcPr>
            <w:tcW w:w="5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Securities Purchase Agreement, dated as of January 14, 2025,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purchasers signatory thereto (incorporated by reference to Exhibit 10.1 to our Current Report on Form 8-K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filed with the SEC on January 15, 2025).</w:t>
              </w:r>
            </w:hyperlink>
          </w:p>
        </w:tc>
        <w:tc>
          <w:tcPr>
            <w:tcW w:w="50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Registration Rights Agreement dated as of January 14, 2025, by and among the Company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investors signatory thereto (incorporated by reference to Exhibit 10.2 to our Current Report on Form 8-K filed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80" w:type="dxa"/>
            <w:vAlign w:val="bottom"/>
            <w:gridSpan w:val="1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with the SEC on January 15, 2025).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4"/>
                <w:szCs w:val="24"/>
                <w:color w:val="auto"/>
              </w:rPr>
            </w:pPr>
          </w:p>
        </w:tc>
        <w:tc>
          <w:tcPr>
            <w:tcW w:w="7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Insider Trading Policy of XWELL, Inc.</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gridSpan w:val="8"/>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7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List of Subsidiaries of XWELL, Inc. (incorporated by reference to Exhibit 21.1 to the Company's Annual</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Report on Form 10 - K filed with the SEC on April 16, 2024).</w:t>
              </w:r>
            </w:hyperlink>
          </w:p>
        </w:tc>
        <w:tc>
          <w:tcPr>
            <w:tcW w:w="35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7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80" w:type="dxa"/>
            <w:vAlign w:val="bottom"/>
            <w:gridSpan w:val="3"/>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79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79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Power of Attorney (attached to the signature page hereto).</w:t>
            </w:r>
          </w:p>
        </w:tc>
        <w:tc>
          <w:tcPr>
            <w:tcW w:w="0" w:type="dxa"/>
            <w:vAlign w:val="bottom"/>
          </w:tcPr>
          <w:p>
            <w:pPr>
              <w:spacing w:after="0"/>
              <w:rPr>
                <w:sz w:val="1"/>
                <w:szCs w:val="1"/>
                <w:color w:val="auto"/>
              </w:rPr>
            </w:pPr>
          </w:p>
        </w:tc>
      </w:tr>
      <w:tr>
        <w:trPr>
          <w:trHeight w:val="41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7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Exchange Act, Rules 13a – 14(a) and 15d – 14(a), as</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7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Exchange Act, Rules 13a – 14(a) and 15d – 14(a), as</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3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7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 of 2002</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60" w:right="79" w:hanging="910"/>
        <w:spacing w:after="0" w:line="282" w:lineRule="auto"/>
        <w:tabs>
          <w:tab w:leader="none" w:pos="960" w:val="left"/>
        </w:tabs>
        <w:numPr>
          <w:ilvl w:val="0"/>
          <w:numId w:val="24"/>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XWELL, INC Incentive Compensation Recovery Policy (incorporated by reference to Exhibit 97 to the</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Company’s Annual Report on Form 10 - K filed with the SEC on April 16, 2024).</w:t>
        </w:r>
      </w:hyperlink>
    </w:p>
    <w:p>
      <w:pPr>
        <w:spacing w:after="0" w:line="162" w:lineRule="exact"/>
        <w:rPr>
          <w:rFonts w:ascii="Times New Roman" w:cs="Times New Roman" w:eastAsia="Times New Roman" w:hAnsi="Times New Roman"/>
          <w:sz w:val="18"/>
          <w:szCs w:val="18"/>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documents)</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4"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left="460" w:hanging="410"/>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rFonts w:ascii="Times New Roman" w:cs="Times New Roman" w:eastAsia="Times New Roman" w:hAnsi="Times New Roman"/>
          <w:sz w:val="18"/>
          <w:szCs w:val="18"/>
          <w:color w:val="auto"/>
        </w:rPr>
      </w:pPr>
    </w:p>
    <w:p>
      <w:pPr>
        <w:ind w:left="60" w:right="79" w:hanging="10"/>
        <w:spacing w:after="0" w:line="282" w:lineRule="auto"/>
        <w:tabs>
          <w:tab w:leader="none" w:pos="52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w:t>
      </w:r>
    </w:p>
    <w:p>
      <w:pPr>
        <w:spacing w:after="0" w:line="162"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4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176"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33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4"/>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630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(Marcum LLP PCAOB ID #688)</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8380" w:type="dxa"/>
            <w:vAlign w:val="bottom"/>
            <w:gridSpan w:val="6"/>
            <w:vMerge w:val="continue"/>
          </w:tcPr>
          <w:p>
            <w:pPr>
              <w:spacing w:after="0"/>
              <w:rPr>
                <w:sz w:val="13"/>
                <w:szCs w:val="13"/>
                <w:color w:val="auto"/>
              </w:rPr>
            </w:pPr>
          </w:p>
        </w:tc>
        <w:tc>
          <w:tcPr>
            <w:tcW w:w="5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9"/>
        </w:trPr>
        <w:tc>
          <w:tcPr>
            <w:tcW w:w="2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2200" w:type="dxa"/>
            <w:vAlign w:val="bottom"/>
            <w:tcBorders>
              <w:top w:val="single" w:sz="8" w:color="0000EE"/>
            </w:tcBorders>
            <w:gridSpan w:val="3"/>
          </w:tcPr>
          <w:p>
            <w:pPr>
              <w:spacing w:after="0"/>
              <w:rPr>
                <w:sz w:val="18"/>
                <w:szCs w:val="18"/>
                <w:color w:val="auto"/>
              </w:rPr>
            </w:pPr>
          </w:p>
        </w:tc>
        <w:tc>
          <w:tcPr>
            <w:tcW w:w="4100" w:type="dxa"/>
            <w:vAlign w:val="bottom"/>
            <w:gridSpan w:val="2"/>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37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40" w:type="dxa"/>
            <w:vAlign w:val="bottom"/>
            <w:tcBorders>
              <w:top w:val="single" w:sz="8" w:color="0000EE"/>
            </w:tcBorders>
          </w:tcPr>
          <w:p>
            <w:pPr>
              <w:spacing w:after="0"/>
              <w:rPr>
                <w:sz w:val="17"/>
                <w:szCs w:val="17"/>
                <w:color w:val="auto"/>
              </w:rPr>
            </w:pPr>
          </w:p>
        </w:tc>
        <w:tc>
          <w:tcPr>
            <w:tcW w:w="4980" w:type="dxa"/>
            <w:vAlign w:val="bottom"/>
            <w:gridSpan w:val="3"/>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8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XWELL,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XWELL, Inc. (the “Company”) as of December 31, 2024 and 2023, the related consolidated statements of operations and comprehensive loss, changes in equity and cash flows for each of the two years in the period ended December 31, 2024, and the related notes (collectively referred to as the “financial statements”). In our opinion, based on our audits,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w:t>
      </w:r>
    </w:p>
    <w:p>
      <w:pPr>
        <w:spacing w:after="0" w:line="3" w:lineRule="exact"/>
        <w:rPr>
          <w:sz w:val="20"/>
          <w:szCs w:val="20"/>
          <w:color w:val="auto"/>
        </w:rPr>
      </w:pPr>
    </w:p>
    <w:p>
      <w:pPr>
        <w:ind w:left="60" w:right="59" w:hanging="10"/>
        <w:spacing w:after="0" w:line="260" w:lineRule="auto"/>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do not include any adjustments that might result from the outcome of this uncertainty.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15,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4,550</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 net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4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9,330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8,386</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(see Note 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150,000,000 shares authorized; 5,261,024 and 4,179,631 shares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 and outstanding as of December 31, 2024 and December 31, 2023, respectively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(472,706)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(455,853)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(deficit) equity attributable to XWELL, Inc.</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25,352</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net</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w:t>
            </w:r>
          </w:p>
        </w:tc>
        <w:tc>
          <w:tcPr>
            <w:tcW w:w="1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Labor</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Products and other operating costs</w:t>
            </w:r>
          </w:p>
        </w:tc>
        <w:tc>
          <w:tcPr>
            <w:tcW w:w="1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cost of sales</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 impairment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on disposal of assets, net</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operating lease right-of-use assets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Salaries and Benefits</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25,626</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Foreign exchange loss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Gain on investments, realized and unrealized</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non-operating expense, net</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XWELL, Inc.</w:t>
            </w: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comprehensive loss from operations</w:t>
            </w:r>
          </w:p>
        </w:tc>
        <w:tc>
          <w:tcPr>
            <w:tcW w:w="10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20" w:type="dxa"/>
            <w:vAlign w:val="bottom"/>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Loss per share</w:t>
            </w:r>
          </w:p>
        </w:tc>
        <w:tc>
          <w:tcPr>
            <w:tcW w:w="10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Weighted-average number of shares outstanding during the year</w:t>
            </w:r>
          </w:p>
        </w:tc>
        <w:tc>
          <w:tcPr>
            <w:tcW w:w="10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4,610,940</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4,175,220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4,610,940</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paid-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Pr>
          <w:p>
            <w:pPr>
              <w:spacing w:after="0"/>
              <w:rPr>
                <w:sz w:val="12"/>
                <w:szCs w:val="12"/>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Company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80" w:type="dxa"/>
            <w:vAlign w:val="bottom"/>
          </w:tcPr>
          <w:p>
            <w:pPr>
              <w:spacing w:after="0"/>
              <w:rPr>
                <w:sz w:val="12"/>
                <w:szCs w:val="12"/>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9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 capital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2"/>
                <w:szCs w:val="12"/>
                <w:b w:val="1"/>
                <w:bCs w:val="1"/>
                <w:color w:val="auto"/>
                <w:w w:val="99"/>
              </w:rPr>
              <w:t>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interests</w:t>
            </w:r>
          </w:p>
        </w:tc>
        <w:tc>
          <w:tcPr>
            <w:tcW w:w="180" w:type="dxa"/>
            <w:vAlign w:val="bottom"/>
          </w:tcPr>
          <w:p>
            <w:pPr>
              <w:spacing w:after="0"/>
              <w:rPr>
                <w:sz w:val="11"/>
                <w:szCs w:val="11"/>
                <w:color w:val="auto"/>
              </w:rPr>
            </w:pPr>
          </w:p>
        </w:tc>
        <w:tc>
          <w:tcPr>
            <w:tcW w:w="680" w:type="dxa"/>
            <w:vAlign w:val="bottom"/>
          </w:tcPr>
          <w:p>
            <w:pPr>
              <w:jc w:val="right"/>
              <w:ind w:right="190"/>
              <w:spacing w:after="0" w:line="12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4,161,613</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468,530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(428,112)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39,926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8,023</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47,949</w:t>
            </w: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18,018</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acquisition</w:t>
            </w: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 of stock options for services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Value of Shares Withheld to fund</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taxes</w:t>
            </w:r>
          </w:p>
        </w:tc>
        <w:tc>
          <w:tcPr>
            <w:tcW w:w="9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Contributions from noncontrolling</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Distributions to noncontrolling</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interests</w:t>
            </w:r>
          </w:p>
        </w:tc>
        <w:tc>
          <w:tcPr>
            <w:tcW w:w="9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(27,741)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(28,029)</w:t>
            </w:r>
          </w:p>
        </w:tc>
        <w:tc>
          <w:tcPr>
            <w:tcW w:w="0" w:type="dxa"/>
            <w:vAlign w:val="bottom"/>
          </w:tcPr>
          <w:p>
            <w:pPr>
              <w:spacing w:after="0"/>
              <w:rPr>
                <w:sz w:val="1"/>
                <w:szCs w:val="1"/>
                <w:color w:val="auto"/>
              </w:rPr>
            </w:pPr>
          </w:p>
        </w:tc>
      </w:tr>
      <w:tr>
        <w:trPr>
          <w:trHeight w:val="142"/>
        </w:trPr>
        <w:tc>
          <w:tcPr>
            <w:tcW w:w="2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4,179,631</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(455,853)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91"/>
              <w:spacing w:after="0"/>
              <w:rPr>
                <w:sz w:val="20"/>
                <w:szCs w:val="20"/>
                <w:color w:val="auto"/>
              </w:rPr>
            </w:pPr>
            <w:r>
              <w:rPr>
                <w:rFonts w:ascii="Times New Roman" w:cs="Times New Roman" w:eastAsia="Times New Roman" w:hAnsi="Times New Roman"/>
                <w:sz w:val="12"/>
                <w:szCs w:val="12"/>
                <w:b w:val="1"/>
                <w:bCs w:val="1"/>
                <w:color w:val="auto"/>
                <w:w w:val="97"/>
              </w:rPr>
              <w:t>paid-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0" w:type="dxa"/>
            <w:vAlign w:val="bottom"/>
          </w:tcPr>
          <w:p>
            <w:pPr>
              <w:spacing w:after="0"/>
              <w:rPr>
                <w:sz w:val="12"/>
                <w:szCs w:val="12"/>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160" w:type="dxa"/>
            <w:vAlign w:val="bottom"/>
          </w:tcPr>
          <w:p>
            <w:pPr>
              <w:spacing w:after="0"/>
              <w:rPr>
                <w:sz w:val="12"/>
                <w:szCs w:val="12"/>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90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 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6"/>
              </w:rPr>
              <w:t>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interests</w:t>
            </w:r>
          </w:p>
        </w:tc>
        <w:tc>
          <w:tcPr>
            <w:tcW w:w="160" w:type="dxa"/>
            <w:vAlign w:val="bottom"/>
          </w:tcPr>
          <w:p>
            <w:pPr>
              <w:spacing w:after="0"/>
              <w:rPr>
                <w:sz w:val="11"/>
                <w:szCs w:val="11"/>
                <w:color w:val="auto"/>
              </w:rPr>
            </w:pPr>
          </w:p>
        </w:tc>
        <w:tc>
          <w:tcPr>
            <w:tcW w:w="700" w:type="dxa"/>
            <w:vAlign w:val="bottom"/>
          </w:tcPr>
          <w:p>
            <w:pPr>
              <w:jc w:val="right"/>
              <w:ind w:right="210"/>
              <w:spacing w:after="0" w:line="12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4,179,631</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470,737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(455,853)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7,969</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20,971</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units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6"/>
        </w:trPr>
        <w:tc>
          <w:tcPr>
            <w:tcW w:w="23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 issued related to legal</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416,000</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registered offering</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652,705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(16,490)</w:t>
            </w: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5,261,024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473,824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(472,706)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8,530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(16,490)</w:t>
            </w:r>
          </w:p>
        </w:tc>
        <w:tc>
          <w:tcPr>
            <w:tcW w:w="4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(28,029)</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1,706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4,024</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2,768</w:t>
            </w: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operating lease right-of-use assets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remeasurement loss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Lease Termination</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assets, net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right of use asset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1,335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of Common Stock for services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loss on equity investment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9"/>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Decrease in inventory</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accounts receivable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deferred revenue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other assets, current and non-current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(Decrease) in other liabilities, current and non-current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49"/>
        </w:trPr>
        <w:tc>
          <w:tcPr>
            <w:tcW w:w="6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accounts payable</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(11,005)</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(16,074)</w:t>
            </w:r>
          </w:p>
        </w:tc>
        <w:tc>
          <w:tcPr>
            <w:tcW w:w="0" w:type="dxa"/>
            <w:vAlign w:val="bottom"/>
          </w:tcPr>
          <w:p>
            <w:pPr>
              <w:spacing w:after="0"/>
              <w:rPr>
                <w:sz w:val="1"/>
                <w:szCs w:val="1"/>
                <w:color w:val="auto"/>
              </w:rPr>
            </w:pPr>
          </w:p>
        </w:tc>
      </w:tr>
      <w:tr>
        <w:trPr>
          <w:trHeight w:val="142"/>
        </w:trPr>
        <w:tc>
          <w:tcPr>
            <w:tcW w:w="6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 in marketable securities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Sale of marketable securities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7,986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9,417</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Naples Wax net of cash assumed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5,895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5,650</w:t>
            </w: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option exercised</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for shares withheld on vesting</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proceeds from stock sale</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1,355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1,359</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2"/>
        </w:trPr>
        <w:tc>
          <w:tcPr>
            <w:tcW w:w="6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(3,887)</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(10,601)</w:t>
            </w:r>
          </w:p>
        </w:tc>
        <w:tc>
          <w:tcPr>
            <w:tcW w:w="0" w:type="dxa"/>
            <w:vAlign w:val="bottom"/>
          </w:tcPr>
          <w:p>
            <w:pPr>
              <w:spacing w:after="0"/>
              <w:rPr>
                <w:sz w:val="1"/>
                <w:szCs w:val="1"/>
                <w:color w:val="auto"/>
              </w:rPr>
            </w:pPr>
          </w:p>
        </w:tc>
      </w:tr>
      <w:tr>
        <w:trPr>
          <w:trHeight w:val="149"/>
        </w:trPr>
        <w:tc>
          <w:tcPr>
            <w:tcW w:w="6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the year</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9,188</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19,789</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the year</w:t>
            </w: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5,301</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9,188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for</w:t>
            </w: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8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6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4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9"/>
        </w:trPr>
        <w:tc>
          <w:tcPr>
            <w:tcW w:w="6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transactions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 accrued expenses and other current liabilities</w:t>
            </w:r>
          </w:p>
        </w:tc>
        <w:tc>
          <w:tcPr>
            <w:tcW w:w="6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4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61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of Common Stock for legal settlement</w:t>
            </w:r>
          </w:p>
        </w:tc>
        <w:tc>
          <w:tcPr>
            <w:tcW w:w="6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6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4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XWELL, Inc. and Subsidiaries NOTES TO CONSOLIDATED FINANCIAL STATEMENTS (In thousands, except for share and per share data)</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Inc. (“XWELL” or the “Company”) is a global wellness company operating multiple brands and focused on bringing restorative, regenerative and reinvigorating products and services to travelers. As of the date of this Annual Report on Form 10-K, XWELL currently has four reportable operating segments: XpresSpa®, XpresTest®, Naples Wax Center® and Treat®.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there were 18 domestic XpresSpa locations in total, comprised of 17 Company-owned locations and one franchise. The Company also had 10 international locations operating as of December 31, 2024, including two XpresSpa locations in the Dubai International Airport in the United Arab Emirates, one XpresSpa location in the Zayad International Airport in Abu Dhabi, United Arab Emirates, three XpresSpa locations in the Schiphol Amsterdam Airport in the Netherlands and four XpresSpa locations in the Istanbul Airport in Turkey.</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XWELL’s subsidiary, XpresTest, in partnership with certain COVID-19 testing partners, successfully launched its XpresCheck Wellness Centers through its XpresTest, Inc. subsidiary (“XpresTest”), which offered COVID-19 and other medical diagnostic testing services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XWELL’s subsidiary Treat, Inc. (“Treat”) will be converting its final remaining location in the JFK International Airport in New York City into an XWELL location.</w:t>
      </w:r>
    </w:p>
    <w:p>
      <w:pPr>
        <w:spacing w:after="0" w:line="162"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XWELL’s subsidiary Naples Wax Center, LLC, which was acquired on September 12, 2023, for a purchase price of $1,624 operates a group of upscale hair removal boutiques in Florida. There are currently four Naples Wax Center locations with core products and service offerings from face and body waxing to a range of skincare and cosmetic products.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However, as discussed below, the Company has concluded that substantial doubt exists about its ability to continue as a going concern within one year after the date the financial statements are issued.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$4,550 (excluding restricted cash), $7,247 in marketable securities, and total current assets of $15,337. The Company’s total current liabilities balance, which includes accounts payable, deferred revenue, accrued expenses, and operating lease liabilities was $9,224 as of December 31, 2024, and $9,330 as of December 31, 2023. The working capital surplus was $6,113 as of December 31, 2024, compared to a working capital surplus of $17,236 as of December 31, 2023. The Company expects to continue incurring losses and negative cash flows from operations through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significantly reduced operating and overhead expenses, while it continues to focus on returning to overall profitability.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Management is implementing various strategic initiatives to reduce operating expenses, improve working capital, and enhance cash flow. These include cost reduction efforts, capital spending controls, and exploration of additional financing options. Subsequent to December 31, 2024, on January 14, 2025, the Company entered into a securities purchase agreement with the investors named therein, pursuant to which the Company issued and sold on January 14, 2025, in a private placement (the “January 2025 Private Placement”), (i) an aggregate of 4,000 shares of the Company’s newly-designated Series G Convertible Preferred Stock, par value $0.01 per share (the “Series G Preferred Stock”), initially convertible into up to 2,673,797 shares of common stock at a conversion price of $1.496 per share, (ii) Series A warrants to acquire up to an aggregate of 2,673,797 shares of common stock at an exercise price of $1.496 per share, and (iii) Series B warrants to acquire up to an aggregate of 2,673,797 shares of common stock at an exercise price of $1.7952 per share. Each share of Series G Preferred Stock and accompanying Warrants were sold together at a combined offering price of $1,000. The January 2025 Private Placement closed on January 14, 2025. The aggregate gross proceeds from the Private Placement were $4 million. However, other strategic plans are not finalized or fully within the Company’s control, and there is uncertainty regarding their execution and effectiveness.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management has concluded that substantial doubt exists about the Company’s ability to continue as a going concern for at least one year from the date these financial statements are issued. The consolidated financial statements do not include any adjustments that might result from the outcome of this uncertainty.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and Reporting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into United States dollars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conducts certain transactions in foreign currencies, such as the Euro, Turkish Lira and United Arab Emirates Dirham,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years ended December 31, 2024 and 2023, the Company recorded $259 and $738, respectively, in exchange losses occurring from the remeasurement of monetary balance sheet items denominated in non-dollar currencies.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maintains cash in checking and money market accounts with financial institutions. The Company has established guidelines relating to the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$11 and $4,025 of such investments as of December 31,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years ended December 31, 2024 and 2023, the Company recorded write-offs of accounts receivable totaling $50 and $0, respectively. Recoveries of amounts previously written off were $0 for both period.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allowance for credit losses on accounts receivable was $13 and $0 as of December 31, 2024 and 2023, respectively.</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a historical loss rate approach, adjusted for current economic conditions and forward-looking information when relevant. The methodology considers the aging of receivables, the creditworthiness of customers, and macroeconomic trends. There were no significant changes to estimation techniques or assumptions during the periods presented.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inventory, which are all finished goods, is valued at the lower of cost or net realizable value. Cost is determined using a weighted-average cost method.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have a significant impact on whether an impairment charge is recognized and the magnitude of any such charge. Fair value estimates are made at a specific point in time, based on relevant information. During the years ended December 31, 2024 and 2023, the Company recognized impairment of intangible assets of $5 and $2,768,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Long-lived assets are tested for impairment at the lowest level at which there are identifiable operating cash flows, which is at the individual airport location for the XpresSpa and XpresTest businesses. The Company’s long-lived assets consist primarily of leasehold improvements and the right to use lease assets for each of its airport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airport locations is the remaining term of the operating lease.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identified triggering events and completed an assessment of long-lived assets for impairment. Based upon the results of the impairment test, the Company recorded an impairment expense related to property and equipment and intangibles and right of use lease assets during the year ended December 31, 2024 of $1,711, and $2,805, respectively, which is recorded in Impairment of long-lived assets and Impairment of operating lease right-of-use assets, respectively, on the consolidated statements of operations and comprehensive loss related to the Company’s Spa locations.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recorded impairment expense related to property and equipment of $1,159 and intangibles of $2,768 during the year ended December 31, 2023. Additionally, the Company recorded an impairment expense related to operating lease right of use assets of $926 during the year ended December 31, 2023. The impairment charges are recorded in Impairment of long-lived assets and Impairment of operating lease right-of-use assets, respectively, on the consolidated statements of operations and comprehensive loss. The expense was primarily related to the impairment of leasehold improvements made to the Company’s Treat and Spa locations and its operating lease right of use assets where management determined that the locations discounted future cash flows were not sufficient to recover the carrying value of these assets over the remaining lease term.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right of use asset (“ROU”) on the Company’s consolidated balance sheets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term. The Company has elected to exclude all short-term leases (i.e. leases with terms of 12 months or less) from recognition on the balance sheet.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cannot be readily determined.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cash, which is listed as a separate line item in the consolidated balance sheets, represents balances at financial institutions to secure bonds and letters of credit as required by the Company’s various lease agreements.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Equity investments are carried at fair value with the changes in fair value recorded in the consolidated statement of operations and other comprehensive loss in accordance with ASU 2016-01. The Company performs a qualitative assessment on an annual basis and recognizes impairment if there are sufficient indicators that the fair value of the investment is less than the carrying value. As of the year ended December 31, 2024 and 2023, there were no indicators of impairment.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XpresSpa, Treat and Naples Wax Center</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which represents the amount of consideration that we are entitled. The Company recognizes revenue over time for the diagnostic testing services, using the input method based on time elapsed to measure progress towards satisfying the performance obligation. The Company recognizes revenue ratably (straight line basis) over the term of the contract (three years).</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recorded $11,123 and $7,521, in revenue for the years ended December 31, 2024 and 2023, respectively, related to sample collection performance obligations because the Company’s efforts towards satisfying each of the performance obligations are expended evenly throughout the period of performance.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HyperPointe</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HyperPointe business provides a broad range of services and support options for HyperPointe’s customers, including technical support services and advanced services. Technical support services represent the majority of these offerings which are distinct performance obligations that are satisfied over time. The Company applies the right-to-invoice practical expedient and recognizes revenue in the amount it is entitled to invoice when that amount corresponds directly with the value of the performance to date. Advanced services are distinct performance obligations that are satisfied over time with revenue recognized as services are delivered. Revenue billed in advance are treated as deferred revenue which was $181 and $72 as of December 31, 2024 and 2023, respectively.</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excludes all sales taxes assessed to our customers from revenue. Sales taxes assessed on revenues are included in Accrued expenses and other current liabilities on the Company’s consolidated balance sheets until remitted to state agencies.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Gift cards, customer rewards and prepaid packages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costs associated with gift cards and reward points are accrued as the rewards are earned by the cardholder and are included in Accrued expenses and other current liabilities in the consolidated balance sheets until used.</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Naples Wax Center offers prepaid wax packages that are either unlimited for one year or a set number of services. When the packages are purchased, the sales are recorded as deferred revenue. As services related to prepaid packages are used,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revenue is recognized as income. The deferred revenue was $956 and $778 for the year ended December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Contract liabilities are classified as deferred revenue in the consolidated balance sheets. The activity in deferred revenue for the years ended December 31, 2024 and 2023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the contract liabilities included in the beginning balance</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cash received net of amounts recognized revenue during the period</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contract liability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did not incur any incremental costs to obtain and/or fulfill contracts with customers.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is the Chief Executive Officer, who reviews the financial performance and the results of operations of the segments prepared in accordance with U.S. GAAP when making decisions about allocating resources and assessing performance of the Company. The Company currently has four reportable operating segments: XpresSpa. XpresTest, Naples Wax Center and Treat. See Note 14. Segment Information.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are currently no intersegment revenues. Asset information by operating segment is presented below Note 14 since the chief operating decision maker reviews this information by segment. The reporting segments follow the same accounting policies used in the preparation of the Company’s audited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Cost of sales consists of location operating costs. These costs include all costs that are directly attributable to the location’s operations and include:</w:t>
      </w:r>
    </w:p>
    <w:p>
      <w:pPr>
        <w:spacing w:after="0" w:line="162"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benefits for the location’s operations and management;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percentage rent and occupancy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merchandise and testing supplies;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shipping and handling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shortage and valuation adjustments;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sourcing operations.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If actual results differ from these estimates in future periods, the Company will be required to adjust the valuation allowance.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2024 and 2023.</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on the income tax expense line in the accompanying consolidated statement of operations. As of December 31, 2024, no accrued interest or penalties are included on the related tax liability line in the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Noncontrolling interests represent the noncontrolling holders’ percentage share of earnings or losses from; i) the subsidiaries, in which the Company holds a majority, but less than 100%, ownership interest, ii) Variable Interest Entities, where the Company is a primary beneficiary (See sub note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below,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per common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attributable to common shareholders for the period by the weighted-average number of shares of Common Stock outstanding during the period. Diluted net income (loss) per share is computed by dividing the net loss attributable to the Company for the period by the weighted-average number of shares of Common Stock plus dilutive potential Common Stock considered outstanding during the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Company, but which will only be resolved when one or more future events occur or fail to occur.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year ended December 31, 2024 and 2023, there were no VIE’s remaining.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did not record any goodwill impairment loss. During the year ended December 31, 2023, the Company recorded $4,024 of goodwill impairment loss.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amounted to approximately $550 and $696 for the years ended December 31,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for substantially the full term of the asset or liability.</w:t>
      </w:r>
    </w:p>
    <w:p>
      <w:pPr>
        <w:spacing w:after="0" w:line="15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thereby allowing for situations in which there is little, if any, market activity for the asset or liability at measurement date.</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Certain balances in the consolidated financial statements for the year ended December 31, 2023, have been reclassified to conform to the presentation in the consolidated financial statements for the year ended December 31, 2024, primarily the presentation of revenue, the realized and unrealized gain on investments and other operating expenses. The above separation affected revenue classifications, the realized and unrealized gain on investments and other operating expense in the comparative 2023 financial statements. Such reclassifications did not have a material impact on the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2023-07, Segment Reporting (Topic 280): Improvements to Reportable Segment Disclosures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(ASU 2023-07), which requires an enhanced disclosure of significant segment expenses on an annual and interim basis. This guidance was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adopted ASC 2023-07 as of the reporting period December 31, 2024 and accordingly updated the segment expense disclosures related to its annual report for fiscal year 2024 and 2023. Refer to the Segments disclosure in Note 14 for more information.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for fiscal year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years beginning after December 15, 2027. We are currently evaluating the effect of adopting this new accounting pronouncement.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Net earnings/(loss) per Share of Common Stock</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table below presents the computation of basic and diluted (losses)/net earnings per common share:</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numerator:</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500" w:type="dxa"/>
            <w:vAlign w:val="bottom"/>
          </w:tcPr>
          <w:p>
            <w:pPr>
              <w:spacing w:after="0"/>
              <w:rPr>
                <w:sz w:val="22"/>
                <w:szCs w:val="22"/>
                <w:color w:val="auto"/>
              </w:rPr>
            </w:pP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denominator:</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4,610,940</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4,175,220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per share data presented above excludes from the calculation of diluted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net loss, the following potentially dilutive securities, having an anti-dilutive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in case of net loss</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Both vested and unvested options to purchase an equal number of shares of Common</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539,799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to issue an equal number of shares of Common Stock</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to purchase an equal number of shares of Common Stock</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number of potentially dilutive securities excluded from the calculation of</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569,799</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common shareholders</w:t>
            </w: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7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denominated in United States dollars</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denominated in currency other than United States dollars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Credit and debit card receivables</w:t>
            </w: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places its cash and temporary cash investments with credit quality institutions. At times, such cash denominated in United States dollars may be in excess of the Federal Deposit Insurance Corporation (“FDIC”) insurance limit. At December 31, 2024 and 2023, deposits in excess of FDIC limits were $1,017 and $4,195. As of December 31, 2024 and 2023, the Company held cash balances in overseas accounts, totaling $2,160 and $2,395,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Other Current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and 2023, the Company’s other current assets were comprised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0"/>
        </w:trPr>
        <w:tc>
          <w:tcPr>
            <w:tcW w:w="5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Prepaid expenses are predominantly comprised of financed and prepaid insurance policies which have terms of one year or less.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Property and equipment are comprised of three categories: leasehold improvements, furniture and fixtures, and other operating equipment as of December 31, 2024 and 2023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Average 5-8 years</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 years</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equipment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Maximum 5 years</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related assets. Leasehold improvements are depreciated over the shorter of the remaining lease term or economic useful life, which is on average 5 to 8 years.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performed assessments of its property and equipment for impairment for the years ended December 31, 2024 and 2023 and based upon the results of the impairment tests, the Company recorded impairment of approximately $1,706, and $1,159, respectively, which is included in Impairment of long-lived assets on the consolidated statements of operations and comprehensive loss. The impairment expense is primarily related to the underperformance of the Company’s various Spa locations in domestic and international airports in 2024 and the Company’s Treat locations at the JFK and Salt Lake City airports in 2023.</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depreciation expense of $622 and $825,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Other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assets in the consolidated balance sheets are comprised of the following as of December 31, 2024 and 2023:</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840" w:type="dxa"/>
            <w:vAlign w:val="bottom"/>
            <w:gridSpan w:val="4"/>
          </w:tcPr>
          <w:p>
            <w:pPr>
              <w:ind w:left="2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2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equity investment in Route1 had a readily determinable fair value of $85 and $50, respectively. The Company recorded an unrealized gain of $35 in 2024 and an unrealized loss of $54 in 2023, in connection with the remeasurement of the shares of our common stock of Route1 it obtained in the 2018 sale of Group Mobile to Route1. The loss/gain is included in Other non-operating expense, net on the consolidated statement of operations and comprehensive loss for the years ended December 31, 2024 and 2023.</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Also included in Other assets as of December 31, 2024 and 2023 were $1,535 and $1,556, respectively, of security deposits made pursuant to various lease agreements, which will be returned to the Company at the end of the leases.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Company’s intangible assets, which consist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80" w:type="dxa"/>
            <w:vAlign w:val="bottom"/>
            <w:tcBorders>
              <w:bottom w:val="single" w:sz="8" w:color="auto"/>
            </w:tcBorders>
          </w:tcPr>
          <w:p>
            <w:pPr>
              <w:spacing w:after="0"/>
              <w:rPr>
                <w:sz w:val="20"/>
                <w:szCs w:val="20"/>
                <w:color w:val="auto"/>
              </w:rPr>
            </w:pPr>
          </w:p>
        </w:tc>
      </w:tr>
      <w:tr>
        <w:trPr>
          <w:trHeight w:val="187"/>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2980" w:type="dxa"/>
            <w:vAlign w:val="bottom"/>
          </w:tcPr>
          <w:p>
            <w:pPr>
              <w:spacing w:after="0"/>
              <w:rPr>
                <w:sz w:val="18"/>
                <w:szCs w:val="18"/>
                <w:color w:val="auto"/>
              </w:rPr>
            </w:pPr>
          </w:p>
        </w:tc>
        <w:tc>
          <w:tcPr>
            <w:tcW w:w="59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Carrying  Accumulated  Carrying  Carrying  Accumulated   Carrying</w:t>
            </w:r>
          </w:p>
        </w:tc>
      </w:tr>
      <w:tr>
        <w:trPr>
          <w:trHeight w:val="238"/>
        </w:trPr>
        <w:tc>
          <w:tcPr>
            <w:tcW w:w="29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trade names and customer relationships relate to the Naples Wax Center, software relates to certain capitalized third-party costs related to a new website and a point-of-sale system, and licenses relate to certain capitalized costs of foreign acquisition.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2024, the Company identified a triggering event and recorded an impairment of $5 related to Licenses which is included in Impairment of long-lived assets on the consolidated statement of operations and comprehensive loss. In the year ended December 31, 2023, the Company recorded an impairment of $2,768 related to trade names, customer relationships and software which is included in Impairment of long-lived assets on the consolidated statement of operations and comprehensive loss. The impairment expense primarily relates to intangible assets of XpresSpa, XpresTest’s HyperPointe business and Treat.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fair values of the Company’s long-lived assets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capital expenditures and working capital requirements. The discount rate in turn is based on the specific risk characteristics of the Company, the weighted average cost of capital and its underlying forecast.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intangible assets are amortized over their expected useful lives, which are six years for trade names and five and three years for software, whereas the intangibles obtained because of the Naples Wax Center acquisition have an estimated life of 5 to 12 years. During the years ended December 31, 2024, and 2023, the Company recorded amortization expense of $316 and $1,240, respectively, related to its intangible assets primarily related to XpresTest’s HyperPointe business and Treat.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Company’s intangible assets at December 31, 2024 is as follows: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Acquisition of Naples Wax, LLC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12, 2023, the Company acquired all of the equity interests in Naples Wax, LLC, d/b/a Naples Wax Centers, a Florida limited liability company, for an aggregate purchase price of $1,624, of which $1,574 was paid in cash at closing. The remaining $50 was held for six months as a holdback to cover any potential indemnification claims and included in accrued expenses and other current liabilities . $14 was paid in the quarter ended March 31, 2024. The remaining $36 was offset by operating expenses.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income tax purposes, this acquisition of 100% of the units is treated as an asset acquisition. As a result of the acquisition of Naples Wax, the company generated tax deductible goodwill of $1,389.</w:t>
      </w:r>
    </w:p>
    <w:p>
      <w:pPr>
        <w:spacing w:after="0" w:line="171" w:lineRule="exact"/>
        <w:rPr>
          <w:sz w:val="20"/>
          <w:szCs w:val="20"/>
          <w:color w:val="auto"/>
        </w:rPr>
      </w:pPr>
    </w:p>
    <w:p>
      <w:pPr>
        <w:ind w:left="60"/>
        <w:spacing w:after="0"/>
        <w:tabs>
          <w:tab w:leader="none" w:pos="5120" w:val="left"/>
          <w:tab w:leader="none" w:pos="5860" w:val="left"/>
        </w:tabs>
        <w:rPr>
          <w:sz w:val="20"/>
          <w:szCs w:val="20"/>
          <w:color w:val="auto"/>
        </w:rPr>
      </w:pPr>
      <w:r>
        <w:rPr>
          <w:rFonts w:ascii="Times New Roman" w:cs="Times New Roman" w:eastAsia="Times New Roman" w:hAnsi="Times New Roman"/>
          <w:sz w:val="18"/>
          <w:szCs w:val="18"/>
          <w:b w:val="1"/>
          <w:bCs w:val="1"/>
          <w:color w:val="auto"/>
        </w:rPr>
        <w:t>Consideration paid</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56489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564896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Prepaid expenses and other assets</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 name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Initial Amounts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Recognized as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 the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05"/>
        </w:trPr>
        <w:tc>
          <w:tcPr>
            <w:tcW w:w="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180</w:t>
            </w: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-574040</wp:posOffset>
            </wp:positionV>
            <wp:extent cx="564896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-3223895</wp:posOffset>
            </wp:positionH>
            <wp:positionV relativeFrom="paragraph">
              <wp:posOffset>-273685</wp:posOffset>
            </wp:positionV>
            <wp:extent cx="56489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20" w:space="720"/>
            <w:col w:w="38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5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assets acquired and liabilities assumed</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0"/>
        </w:trPr>
        <w:tc>
          <w:tcPr>
            <w:tcW w:w="20" w:type="dxa"/>
            <w:vAlign w:val="bottom"/>
          </w:tcPr>
          <w:p>
            <w:pPr>
              <w:spacing w:after="0"/>
              <w:rPr>
                <w:sz w:val="18"/>
                <w:szCs w:val="18"/>
                <w:color w:val="auto"/>
              </w:rPr>
            </w:pPr>
          </w:p>
        </w:tc>
        <w:tc>
          <w:tcPr>
            <w:tcW w:w="508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Goodwill </w:t>
            </w:r>
            <w:r>
              <w:rPr>
                <w:rFonts w:ascii="Times New Roman" w:cs="Times New Roman" w:eastAsia="Times New Roman" w:hAnsi="Times New Roman"/>
                <w:sz w:val="24"/>
                <w:szCs w:val="24"/>
                <w:b w:val="1"/>
                <w:bCs w:val="1"/>
                <w:color w:val="auto"/>
                <w:vertAlign w:val="superscript"/>
              </w:rPr>
              <w:t>(1)</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measurement period, the Company recorded a measurement period adjustment to the preliminary purchase price allocation ("PPA") which increased goodwill, accrued expenses and other liabilities and deferred revenue.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significant assumptions utilized when valuing the Customer Relationships: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Attrition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Customer Growth</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 for New Customers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Discount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Remaining Economic Life (Years) (approx.)</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yrs</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51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F-24</w:t>
            </w:r>
          </w:p>
        </w:tc>
        <w:tc>
          <w:tcPr>
            <w:tcW w:w="1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significant assumptions utilized when valuing the Tradename: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 Attributable to Trade Name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Discount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31.00 %</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Economic Life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yrs</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leases spa and clinic locations at various domestic and international airports. Additionally, the Company leases its corporate office in New York City and other off airport locations in various US cities.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reviews all of its existing lease agreements to determine whether there were any modifications to lease agreements and to assess if any agreements should be accounted for pursuant to the guidance in ASC 842. If a lease is deemed to be modified, the operating lease ROU asset and lease liability is re-measured using the current incremental borrowing rate. There were various lease modifications that occurred for the year ended December 31, 2024 and 2023.</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Company’s Treat Salt Lake City International Airport (“SLC”) location was terminated. When a termination occurs, the Company remeasures the related operating lease right of use asset and lease liability and recognizes those adjustments in the consolidated statements of operations and comprehensive loss. Since the related operating right of use asset was fully impaired for the Treat SLC location at the time of the termination, the Company recognized a gain from lease termination of approximately $655 as a result of this termination. During the year ended December 31, 2023, the Company recognized a gain on lease termination of $821 related to its XpresSpa locations.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activity in the Company’s current and long-term operating lease liabilities for the year ended December 31, 2024 and 2023:</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09"/>
        </w:trPr>
        <w:tc>
          <w:tcPr>
            <w:tcW w:w="6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and modified operating lease liabilities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future minimum operating leases commitments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Calendar Years ending 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assumptions and pertinent information related to the Company’s accounting for operating leases are:</w:t>
      </w:r>
    </w:p>
    <w:p>
      <w:pPr>
        <w:spacing w:after="0" w:line="25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5.57 years</w:t>
            </w: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discount rate used to determine present value of operating</w:t>
            </w:r>
          </w:p>
        </w:tc>
        <w:tc>
          <w:tcPr>
            <w:tcW w:w="1200" w:type="dxa"/>
            <w:vAlign w:val="bottom"/>
          </w:tcPr>
          <w:p>
            <w:pPr>
              <w:spacing w:after="0"/>
              <w:rPr>
                <w:sz w:val="17"/>
                <w:szCs w:val="17"/>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7.01 %</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paid for minimum annual rental obligations for the years ended December 31, 2024 and 2023, were $1,668 and $2,018,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Variable lease payments calculated monthly as a percentage of a product and services revenue were $1,330 and $1,326 for the years ended December 31, 2024 and 2023,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Rent expense for operating leases for the years ended December 31, 2024 and 2023 were $3,110 and $3,824, respectively.</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assessments of its right of use lease assets for impairment for the years ended December 31, 2024 and 2023. Based upon the results of the impairment tests, the Company recorded impairment expenses of approximately $2,805 and $926 which is included in Impairment of operating lease right-of-use assets on the consolidated statement of operations and comprehensive loss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 and Warrants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August 2024 Registered Direct Offering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$0.1 million, were approximately $1.4 million. The August 2024 Offering closed on August 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August 2024 Shares were offered and sold by the Company pursuant to a shelf registration statement on Form S-3 (File No. 333-273726), previously filed with the SEC on August 4, 2023, and declared effective by the SEC on September 29, 2023, and the base prospectus included therein.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The Board share repurchase program expired September 15, 2023.</w:t>
      </w:r>
    </w:p>
    <w:p>
      <w:pPr>
        <w:spacing w:after="0" w:line="189"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Exceptions may apply, for example, if the repurchases are less than $1,000 or issued to employees. The U.S. Department of the Treasury (the “Treasury”) has been given authority to provide regulations and other guidance to carry out and prevent the abuse or avoidance of the excise tax.</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did not have any warrant activity during the year ended December 31, 2024. As of December 31, 2023, all outstanding warrants had expired and no other warrant activity occurred.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quoted prices (unadjusted) for identical assets or liabilities in active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Pricing inputs are other than quoted prices in active markets included in Level 1, which are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observable as of the reported date.</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are developed based on the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available in the circumstances. For example, inputs derived through extrapolation or interpolation that cannot be corroborated by observable market data.</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placement in the fair value hierarchy of the Company’s assets and liabilities measured at fair value on a recurring and nonrecurring basis as of December 31, 2024 and 2023.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consolidated statements of operations and comprehensive loss.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 measurement at reporting date using</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Route1,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nonrecurring fair value measurements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Route1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 securities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16"/>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nonrecurring fair value measurements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Company’s financial instruments as of December 31, 2024 and 2023 consisted of cash and cash equivalents, receivables and accounts payable. The carrying amounts of all the aforementioned financial instruments approximate fair value because of the short-term maturities of these instruments.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a stock-based compensation plan available to grant stock options and RSUs to the Company’s directors, employees and consultants.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 w:cs="Times New Roman" w:eastAsia="Times New Roman" w:hAnsi="Times New Roman"/>
          <w:sz w:val="18"/>
          <w:szCs w:val="18"/>
          <w:color w:val="212529"/>
        </w:rPr>
        <w:t>the amendment to the Company’s 2020 Equity Incentive Plan to increase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number of shares authorized for issuance under the Plan by 375,000 shares of Common Stock to an aggregate of 625,000 shares. </w:t>
      </w:r>
      <w:r>
        <w:rPr>
          <w:rFonts w:ascii="Times New Roman" w:cs="Times New Roman" w:eastAsia="Times New Roman" w:hAnsi="Times New Roman"/>
          <w:sz w:val="18"/>
          <w:szCs w:val="18"/>
          <w:color w:val="000000"/>
        </w:rPr>
        <w:t>Under the 2020 Equity Incentive Plan (as amended, the “2020 Plan”), a maximum of 17,671 shares of Common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Stock remained available for issuance as of December 31, 2024.</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December 31, 2024.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there is $3 and $96, respectively, of unrecognized stock-based compensation related to the XpresTest Plan.</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is estimated as of the date of grant using the Black-Scholes option-pricing model. The Company uses the simplified method to estimate the expected term of options due to insufficient history and high turnover in the past.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 as of December 31, 2024:</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6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- 1.80</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- 1.80</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121.04 %</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- 4.33 %</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6.32 years</w:t>
            </w: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years ended December 31, 2024 and 2023 was $893 and $2,319 respectively.</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variables were used as inputs in the model as of December 31, 2023:</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6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 of the Company’s Common Stock on the grant date:</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99"/>
              </w:rPr>
              <w:t>- 8.20</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- 8.20</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119.41 - 121.04 %</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average risk-free rate:</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- 4.19 %</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- 6.41 years</w:t>
            </w:r>
          </w:p>
        </w:tc>
      </w:tr>
    </w:tbl>
    <w:p>
      <w:pPr>
        <w:spacing w:after="0" w:line="1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during the year ended December 31, 2024:</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RSUs</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2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4.60 - 49,200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1.50 - 1.80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1.50 - 34.80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8.00 - 49,200</w:t>
            </w:r>
          </w:p>
        </w:tc>
        <w:tc>
          <w:tcPr>
            <w:tcW w:w="0" w:type="dxa"/>
            <w:vAlign w:val="bottom"/>
          </w:tcPr>
          <w:p>
            <w:pPr>
              <w:spacing w:after="0"/>
              <w:rPr>
                <w:sz w:val="1"/>
                <w:szCs w:val="1"/>
                <w:color w:val="auto"/>
              </w:rPr>
            </w:pPr>
          </w:p>
        </w:tc>
      </w:tr>
      <w:tr>
        <w:trPr>
          <w:trHeight w:val="24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374,921</w:t>
            </w:r>
          </w:p>
        </w:tc>
        <w:tc>
          <w:tcPr>
            <w:tcW w:w="3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15.70</w:t>
            </w:r>
          </w:p>
        </w:tc>
        <w:tc>
          <w:tcPr>
            <w:tcW w:w="36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1.50 - 7,080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F-30</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and RSU activity during the year ended December 31, 2023:</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3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120" w:type="dxa"/>
            <w:vAlign w:val="bottom"/>
          </w:tcPr>
          <w:p>
            <w:pPr>
              <w:spacing w:after="0"/>
              <w:rPr>
                <w:sz w:val="20"/>
                <w:szCs w:val="20"/>
                <w:color w:val="auto"/>
              </w:rPr>
            </w:pPr>
          </w:p>
        </w:tc>
      </w:tr>
      <w:tr>
        <w:trPr>
          <w:trHeight w:val="187"/>
        </w:trPr>
        <w:tc>
          <w:tcPr>
            <w:tcW w:w="3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31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Pr>
          <w:p>
            <w:pPr>
              <w:spacing w:after="0"/>
              <w:rPr>
                <w:sz w:val="18"/>
                <w:szCs w:val="18"/>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38"/>
        </w:trPr>
        <w:tc>
          <w:tcPr>
            <w:tcW w:w="310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range</w:t>
            </w: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13.00 - 49,200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4.65 - 8.00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8.00 - 32.20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8.00 - 38,160</w:t>
            </w:r>
          </w:p>
        </w:tc>
      </w:tr>
      <w:tr>
        <w:trPr>
          <w:trHeight w:val="250"/>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341,205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4.60 - 49,200</w:t>
            </w:r>
          </w:p>
        </w:tc>
      </w:tr>
      <w:tr>
        <w:trPr>
          <w:trHeight w:val="196"/>
        </w:trPr>
        <w:tc>
          <w:tcPr>
            <w:tcW w:w="31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2023</w:t>
            </w: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244,271</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26.65</w:t>
            </w:r>
          </w:p>
        </w:tc>
        <w:tc>
          <w:tcPr>
            <w:tcW w:w="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4.60 - 49,200</w:t>
            </w:r>
          </w:p>
        </w:tc>
      </w:tr>
      <w:tr>
        <w:trPr>
          <w:trHeight w:val="20"/>
        </w:trPr>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term for options outstanding as of December 31, 2024 and 2023 was 7.61 years and 7.71 years,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and 2023, Aggregate Intrinsic Value of Options Outstanding and Vested was $0.</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Unrecognized stock-based payment cost related to non-vested stock options as of December 31, 2024 and 2023 were $266 and $1,246, respectively.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Unrecognized stock-based payment cost related to non-vested RSUs as of December 31, 2024 and 2023 were $48 and $73,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Inc. transitioned to a pure-play wellness service company, which is organized primarily on the basis of products and services specific to individual entities within the group. The Company currently has four reportable operating segments: XpresSpa®, XpresTest®, Naples Wax Center and Treat™. The Company analyzes the results of the Company’s business through the four reportable segments. The following is a brief description of our reportable segments: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XpresSpa segment provides travelers premium spa services, including massage, nail and skin care, as well as spa and travel products.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Naples Wax Center segment operates three high-performing locations with core products and service offerings from face and body waxing to a range of skincare and cosmetic products.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Treat segment is a wellness brand that provides access to wellness services for travelers at on-site centers.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CODM evaluates performance and allocates resources for all of its reportable segments based on segment revenues and operating income.</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information about reported segments for the year ended December 31, 2024 and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20" w:type="dxa"/>
            <w:vAlign w:val="bottom"/>
          </w:tcPr>
          <w:p>
            <w:pPr>
              <w:spacing w:after="0"/>
              <w:rPr>
                <w:sz w:val="18"/>
                <w:szCs w:val="18"/>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6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0" w:type="dxa"/>
            <w:vAlign w:val="bottom"/>
          </w:tcPr>
          <w:p>
            <w:pPr>
              <w:spacing w:after="0"/>
              <w:rPr>
                <w:sz w:val="20"/>
                <w:szCs w:val="20"/>
                <w:color w:val="auto"/>
              </w:rPr>
            </w:pPr>
          </w:p>
        </w:tc>
      </w:tr>
      <w:tr>
        <w:trPr>
          <w:trHeight w:val="630"/>
        </w:trPr>
        <w:tc>
          <w:tcPr>
            <w:tcW w:w="2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$19,067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20" w:type="dxa"/>
            <w:vAlign w:val="bottom"/>
          </w:tcPr>
          <w:p>
            <w:pPr>
              <w:spacing w:after="0"/>
              <w:rPr>
                <w:sz w:val="18"/>
                <w:szCs w:val="18"/>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(loss)/income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6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20" w:type="dxa"/>
            <w:vAlign w:val="bottom"/>
          </w:tcPr>
          <w:p>
            <w:pPr>
              <w:spacing w:after="0"/>
              <w:rPr>
                <w:sz w:val="20"/>
                <w:szCs w:val="20"/>
                <w:color w:val="auto"/>
              </w:rPr>
            </w:pPr>
          </w:p>
        </w:tc>
      </w:tr>
      <w:tr>
        <w:trPr>
          <w:trHeight w:val="846"/>
        </w:trPr>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F-32</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revenues to total consolidated revenue and of total segment operating (loss) income to total consolidated (loss) income, for the years ended December 31, 2024 and 2023, is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8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Expenses (1):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 Labor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Goods Sold - Products &amp;</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Other Segment Expenses (2):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operating expenses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78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Expenses (1):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 Labor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Goods Sold - Products &amp;</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Other Segment Expenses (2):</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380" w:right="79" w:hanging="330"/>
        <w:spacing w:after="0" w:line="261"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amounts align with the expenses that the CODM is regularly provided with to assess performance and allocate resources.</w:t>
      </w: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segments, SGA consists of the following:</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Salaries &amp; Benefits, Rent &amp; Utilities, Office Supplies &amp; Shipping, Travel &amp; Entertainment, IT &amp; Telecom, Repairs &amp; Maintenance, Accounting, Legal, Franchise/Property Tax, Management/DBE Fees, Advertising &amp; Marketing, Insurance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Significant Items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45"/>
        </w:trPr>
        <w:tc>
          <w:tcPr>
            <w:tcW w:w="2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8"/>
        </w:trPr>
        <w:tc>
          <w:tcPr>
            <w:tcW w:w="284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8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648"/>
        </w:trPr>
        <w:tc>
          <w:tcPr>
            <w:tcW w:w="2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87"/>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8"/>
        </w:trPr>
        <w:tc>
          <w:tcPr>
            <w:tcW w:w="284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XpresSpa</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XpresTest</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Naples Wax</w:t>
            </w:r>
          </w:p>
        </w:tc>
        <w:tc>
          <w:tcPr>
            <w:tcW w:w="18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Treat</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38,993</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1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2024 and 2023. There were no concentrations of geographical revenue and long-lived assets related to any single foreign country that were material to the Company’s consolidated financial statements. Long-lived assets include property and equipment and right of use lease assets.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7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24,944</w:t>
            </w:r>
          </w:p>
        </w:tc>
      </w:tr>
      <w:tr>
        <w:trPr>
          <w:trHeight w:val="216"/>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 countries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4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33,897</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30,109</w:t>
            </w:r>
          </w:p>
        </w:tc>
      </w:tr>
      <w:tr>
        <w:trPr>
          <w:trHeight w:val="197"/>
        </w:trPr>
        <w:tc>
          <w:tcPr>
            <w:tcW w:w="7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16"/>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 countries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0"/>
        </w:trPr>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performed impairment assessments of long-lived assets and operating lease right-of-use asset for the years ended December 31, 2024 and 2023. Based upon the results of the impairment tests, the Company recorded impairment expenses of long-lived assets for approximately $1,308 and $403 for its XpresSpa and Treat segments for the year ended December 31, 2024. Additionally, the Company recorded impairment expenses of lease right-of-use asset for approximately $2,551 and $254 for its XpresSpa and Treat segments for the year ended December 31, 2024. For the year ended December 31, 2023 the Company recorded impairment expenses of long-lived assets for approximately $1,681, $935 and $5,335 for its XpresSpa, Treat and XpresTest’s HyperPointe segments, respectively, and impairment expenses of operating lease right-of-use asset for approximately $484, and $442 for its XpresSpa and Treat segments,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Accrued Expenses and Other Current Liabilities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accrued expenses and other current liabilities were comprised of the following:</w:t>
      </w:r>
    </w:p>
    <w:p>
      <w:pPr>
        <w:spacing w:after="0" w:line="387"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0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Tax-related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Common area maintenance accruals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 Accruals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Gift certificates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processing fees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miscellaneous accruals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1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0"/>
        </w:trPr>
        <w:tc>
          <w:tcPr>
            <w:tcW w:w="4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years ended December 31, 2024 and 2023, the loss before income taxes consisted of the following:</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(27,573)</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23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(27,994)</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expense for the years ended December 31, 2024 and 2023 consisted of the following:</w:t>
      </w: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10"/>
        </w:trPr>
        <w:tc>
          <w:tcPr>
            <w:tcW w:w="26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Income tax expense differed from the amounts computed by applying the applicable United States federal income tax rate to loss from continuing operations before taxes on income as a result of the following:</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Tax rate</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Rate Differential</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Deferred Rate Change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Adjustment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Forfeitures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Adjustment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2024 and 2023 are as follows: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60,263</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 and other</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69,424</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(69,424)</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cumulative valuation allowance as of December 31, 2024 is $71,981, which will be reduced if and when the Company determines that the deferred income tax assets are more likely than not to be realized.</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60,259</w:t>
            </w: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1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69,424</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Charged to cost and expenses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Return to provision true-up and other</w:t>
            </w:r>
          </w:p>
        </w:tc>
        <w:tc>
          <w:tcPr>
            <w:tcW w:w="1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71,981</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Company’s estimated aggregate total gross NOLs were $150,926 for U.S. federal purposes, expiring 20 years from the respective tax years to which they relate, and $114,321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 The Coronavirus Aid, Relief, and Economic Security Act or “CARES Act” was enacted subsequent to the 12/31/19 period, on March 27, 2020. The CARES act provided for favorable business provisions. However, the Company does not anticipate the income tax provision changes to materially benefit the Company.</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also recorded state and foreign net operating loss deferred tax assets (tax - effected) of $8,169 and $859, respectively. A full valuation allowance has been established against these deferred tax assets and has been included in the net $71,981 deferred tax asset.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$449 as of December 31, 2024 and December 31, 2023, respectively, which is included in Accrued expenses and other current liabilities in the consolidated balance sheets.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expenses legal fees in the period in which they are incurred.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OTG Management PHL B v. XpresSpa Philadelphia Terminal B et al.</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9, 2022, a lawsuit was filed in the Philadelphia Court of Common Pleas by OTG Management at Philadelphia International Airport, claiming that XWELL improperly backed out of its sublease for space at Terminal B and now owes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XpresSpa Holdings, LLC (“XpresSpa”) v. Cordial Endeavor Concessions of Atlanta, LLC (“Cordial”), et al., Arbitration Case No. 2126399</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spacing w:after="0" w:line="16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This dispute arises out of the alleged breaches of varies contracts between the parties as well as other improper conduct relating to the Operating Agreements. The Arbitration has recently commenced, and the parties are awaiting a scheduling order to be issued by the Arbitrator. No substantive proceedings have taken place and there have been no substantive rulings.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claims under which the Company incurs greater liabilities than the Company currently anticipates, could materially adversely affect the Company’s business, financial condition, results of operations and cash flows.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event that an action is brought against the Company or one of its subsidiaries, the Company will investigate the allegation and vigorously defend itself.</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2025 Private Placement of Preferred Shares and Warrants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but as of the date of this Annual Report on Form 10-K, has not been declared effective by the SEC. On April 14, 2025, the Effectiveness Deadline was extended to May 1, 2025.</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Pursuant to the Registration Rights Agreement, the Company shall pay to each holder of Registrable Securities (as defined in the Registration Rights Agreement) relating to such Registration Statement an amount in cash equal to 2% of such investor’s respective purchase price (as defined in the Securities Purchase Agreement) on the closing date (1) on the date of such filing failure, effectiveness failure, maintenance failure, or current public information failure, as applicable, and (2) on every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 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 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 per month (prorated for partial months) until paid in full.</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2025 Private Placement of Preferred Shares and Warrants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14, 2025, the Company entered into a securities purchase agreement with the investors named therein, pursuant to which the Company issued and sold on January 14, 2025, in a private placement (the “January 2025 Private Placement”), (i) an aggregate of 4,000 shares of the Company’s newly-designated Series G Convertible Preferred Stock, par value $0.01 per share (the “Series G Preferred Stock”), initially convertible into up to 2,673,797 shares of common stock at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conversion price of $1.496 per share, (ii) Series A warrants to acquire up to an aggregate of 2,673,797 shares of common stock at an exercise price of $1.496 per share, and (iii) Series B warrants to acquire up to an aggregate of 2,673,797 shares of common stock at an exercise price of $1.7952 per share. Each share of Series G Preferred Stock and accompanying Warrants were sold together at a combined offering price of $1,000. The January 2025 Private Placement closed on January 14,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XWEL INV I Related party consulting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30, 2025, the Company entered into a consulting agreement (“Consulting Agreement”) with XWEL INV I, LLC (“XWEL INV I”) and Jason Aintabi (the “Consultant”). Mr. Aintabi serves as the Manager of XWEL INV I. The Consulting Agreement is deemed to be related party transaction as Mr. Aintabi is a greater than 5% beneficial owner of the Company’s securities. The Consultant will provide advisory services for a period of six months from the effective date of the agreement in exchange for a one-time fee of $280.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XpresTest and Ginkgo Bio Works Contract Renewal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27, 2025, The XpresTest bio surveillance monitoring program with the CDC in collaboration with Concentric by Ginkgo Bioworks, was extended through a three-year contract. The Company is currently assessing the impact of the contract renewal on its unaudited consolidated financial statements and will account for the transaction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the 15th day of April, 2025.</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4340"/>
        <w:spacing w:after="0"/>
        <w:tabs>
          <w:tab w:leader="none" w:pos="502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17145</wp:posOffset>
            </wp:positionV>
            <wp:extent cx="27089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Ezra T. Ernst</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9" w:lineRule="exact"/>
        <w:rPr>
          <w:sz w:val="20"/>
          <w:szCs w:val="20"/>
          <w:color w:val="auto"/>
        </w:rPr>
      </w:pPr>
    </w:p>
    <w:p>
      <w:pPr>
        <w:ind w:left="4340"/>
        <w:spacing w:after="0"/>
        <w:tabs>
          <w:tab w:leader="none" w:pos="502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7"/>
          <w:szCs w:val="17"/>
          <w:color w:val="auto"/>
        </w:rPr>
        <w:t>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17145</wp:posOffset>
            </wp:positionV>
            <wp:extent cx="27089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Ian Brown</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20"/>
                <w:szCs w:val="20"/>
                <w:color w:val="auto"/>
              </w:rPr>
            </w:pPr>
          </w:p>
        </w:tc>
        <w:tc>
          <w:tcPr>
            <w:tcW w:w="36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EZRA T. ERNST</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Ezra T. Ernst</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IAN BROWN</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Ian Brown</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Accounting Officer)</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BRUCE T. BERNSTEIN</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Bruce T. Bernstein</w:t>
            </w: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ROBERT WEINSTEIN</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Robert Weinstein</w:t>
            </w: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7"/>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LEBOWITZ</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Michael Lebowitz</w:t>
            </w: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GAELLE WIZENBERG</w:t>
            </w: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32"/>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Gaelle Wizenberg</w:t>
            </w: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156845</wp:posOffset>
            </wp:positionV>
            <wp:extent cx="1937385"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19373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of July 1,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XWELL,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23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XWELL, Inc.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adopted the following policy regarding trading by Company personnel in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(this “</w:t>
      </w:r>
      <w:r>
        <w:rPr>
          <w:rFonts w:ascii="Times New Roman" w:cs="Times New Roman" w:eastAsia="Times New Roman" w:hAnsi="Times New Roman"/>
          <w:sz w:val="17"/>
          <w:szCs w:val="17"/>
          <w:u w:val="single" w:color="auto"/>
          <w:color w:val="auto"/>
        </w:rPr>
        <w:t>Insider Trading Policy</w:t>
      </w:r>
      <w:r>
        <w:rPr>
          <w:rFonts w:ascii="Times New Roman" w:cs="Times New Roman" w:eastAsia="Times New Roman" w:hAnsi="Times New Roman"/>
          <w:sz w:val="17"/>
          <w:szCs w:val="17"/>
          <w:color w:val="auto"/>
        </w:rPr>
        <w:t>,” or this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xml:space="preserve">”). This Policy applies to </w:t>
      </w:r>
      <w:r>
        <w:rPr>
          <w:rFonts w:ascii="Times New Roman" w:cs="Times New Roman" w:eastAsia="Times New Roman" w:hAnsi="Times New Roman"/>
          <w:sz w:val="17"/>
          <w:szCs w:val="17"/>
          <w:i w:val="1"/>
          <w:iCs w:val="1"/>
          <w:color w:val="auto"/>
        </w:rPr>
        <w:t>all</w:t>
      </w:r>
      <w:r>
        <w:rPr>
          <w:rFonts w:ascii="Times New Roman" w:cs="Times New Roman" w:eastAsia="Times New Roman" w:hAnsi="Times New Roman"/>
          <w:sz w:val="17"/>
          <w:szCs w:val="17"/>
          <w:color w:val="auto"/>
        </w:rPr>
        <w:t xml:space="preserve"> Company personnel, including directors, officers, employees and consultants of the Company and its subsidiaries. This Policy also applies to “Related Persons” (i.e., certain family members, other members of a person’s household and entities controlled by Company personnel), as described in </w:t>
      </w:r>
      <w:r>
        <w:rPr>
          <w:rFonts w:ascii="Times New Roman" w:cs="Times New Roman" w:eastAsia="Times New Roman" w:hAnsi="Times New Roman"/>
          <w:sz w:val="17"/>
          <w:szCs w:val="17"/>
          <w:u w:val="single" w:color="auto"/>
          <w:color w:val="auto"/>
        </w:rPr>
        <w:t>Section IV</w:t>
      </w:r>
      <w:r>
        <w:rPr>
          <w:rFonts w:ascii="Times New Roman" w:cs="Times New Roman" w:eastAsia="Times New Roman" w:hAnsi="Times New Roman"/>
          <w:sz w:val="17"/>
          <w:szCs w:val="17"/>
          <w:color w:val="auto"/>
        </w:rPr>
        <w:t xml:space="preserve"> below.1</w:t>
      </w:r>
    </w:p>
    <w:p>
      <w:pPr>
        <w:spacing w:after="0" w:line="161" w:lineRule="exact"/>
        <w:rPr>
          <w:sz w:val="20"/>
          <w:szCs w:val="20"/>
          <w:color w:val="auto"/>
        </w:rPr>
      </w:pPr>
    </w:p>
    <w:p>
      <w:pPr>
        <w:ind w:left="660" w:right="6240" w:hanging="652"/>
        <w:spacing w:after="0" w:line="503"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The Need for an Insider Trading Policy </w:t>
      </w:r>
      <w:r>
        <w:rPr>
          <w:rFonts w:ascii="Times New Roman" w:cs="Times New Roman" w:eastAsia="Times New Roman" w:hAnsi="Times New Roman"/>
          <w:sz w:val="18"/>
          <w:szCs w:val="18"/>
          <w:color w:val="auto"/>
        </w:rPr>
        <w:t>This Policy has been developed:</w:t>
      </w:r>
    </w:p>
    <w:p>
      <w:pPr>
        <w:ind w:left="1100" w:right="840" w:hanging="44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educate all Company personnel as to the federal securities laws and the rules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insider trading in public company securities;</w:t>
      </w:r>
    </w:p>
    <w:p>
      <w:pPr>
        <w:spacing w:after="0" w:line="161" w:lineRule="exact"/>
        <w:rPr>
          <w:rFonts w:ascii="Times New Roman" w:cs="Times New Roman" w:eastAsia="Times New Roman" w:hAnsi="Times New Roman"/>
          <w:sz w:val="18"/>
          <w:szCs w:val="18"/>
          <w:color w:val="auto"/>
        </w:rPr>
      </w:pPr>
    </w:p>
    <w:p>
      <w:pPr>
        <w:ind w:left="1100" w:right="160" w:hanging="44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forth requirements that apply to Company personnel and other persons covered by this Policy who seek to trade in the Company's securities;</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Company and its personnel from legal liability; and</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preserve the reputation of the Company and its personnel for integrity and ethical conduct.</w:t>
      </w:r>
    </w:p>
    <w:p>
      <w:pPr>
        <w:spacing w:after="0" w:line="225" w:lineRule="exact"/>
        <w:rPr>
          <w:sz w:val="20"/>
          <w:szCs w:val="20"/>
          <w:color w:val="auto"/>
        </w:rPr>
      </w:pPr>
    </w:p>
    <w:p>
      <w:pPr>
        <w:ind w:left="140" w:right="80" w:firstLine="518"/>
        <w:spacing w:after="0" w:line="260" w:lineRule="auto"/>
        <w:rPr>
          <w:sz w:val="20"/>
          <w:szCs w:val="20"/>
          <w:color w:val="auto"/>
        </w:rPr>
      </w:pPr>
      <w:r>
        <w:rPr>
          <w:rFonts w:ascii="Times New Roman" w:cs="Times New Roman" w:eastAsia="Times New Roman" w:hAnsi="Times New Roman"/>
          <w:sz w:val="18"/>
          <w:szCs w:val="18"/>
          <w:color w:val="auto"/>
        </w:rPr>
        <w:t xml:space="preserve">Because the Company is a public company, transactions in the Company’s securities are subject to the federal securities laws and regulations adopted by the SEC. These laws and regulations make it illegal for an individual to buy or sell securities of the Company while aware of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The SEC takes insider trading very seriously and devotes significant resources to uncovering the activity and to prosecuting offenders. Liability may extend not only to the individuals who trade while in possession of material non-public information but also to their "tippers,” people who leak material non- public information to individuals who then trade based on that information.2 The Company and “controlling persons” of the Company may also be liable for violations by Company employees.</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100330</wp:posOffset>
            </wp:positionV>
            <wp:extent cx="15684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14" w:lineRule="exact"/>
        <w:rPr>
          <w:sz w:val="20"/>
          <w:szCs w:val="20"/>
          <w:color w:val="auto"/>
        </w:rPr>
      </w:pPr>
    </w:p>
    <w:p>
      <w:pPr>
        <w:ind w:left="100" w:right="680" w:hanging="2"/>
        <w:spacing w:after="0" w:line="208" w:lineRule="auto"/>
        <w:tabs>
          <w:tab w:leader="none" w:pos="197" w:val="left"/>
        </w:tabs>
        <w:numPr>
          <w:ilvl w:val="0"/>
          <w:numId w:val="3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contractors have access to material non-public information in the course of their activities for the Company, the Company’s agreements with them should include a covenant that they will comply with the Company’s insider trading policy.</w:t>
      </w:r>
    </w:p>
    <w:p>
      <w:pPr>
        <w:spacing w:after="0" w:line="1" w:lineRule="exact"/>
        <w:rPr>
          <w:rFonts w:ascii="Times New Roman" w:cs="Times New Roman" w:eastAsia="Times New Roman" w:hAnsi="Times New Roman"/>
          <w:sz w:val="27"/>
          <w:szCs w:val="27"/>
          <w:color w:val="auto"/>
          <w:vertAlign w:val="superscript"/>
        </w:rPr>
      </w:pPr>
    </w:p>
    <w:p>
      <w:pPr>
        <w:ind w:left="100" w:right="100" w:hanging="1"/>
        <w:spacing w:after="0" w:line="229"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order to incur liability for “tipping,” the tipper must (1) know or have reason to know that the information may be used in order to trade, and (2) derive some benefit from providing the information to the tippee. In order to incur liability for trading on a tip, the tippee must know or have reason to know that the information was provided in violation of a duty of trust or confidence. </w:t>
      </w:r>
      <w:r>
        <w:rPr>
          <w:rFonts w:ascii="Times New Roman" w:cs="Times New Roman" w:eastAsia="Times New Roman" w:hAnsi="Times New Roman"/>
          <w:sz w:val="17"/>
          <w:szCs w:val="17"/>
          <w:i w:val="1"/>
          <w:iCs w:val="1"/>
          <w:color w:val="auto"/>
        </w:rPr>
        <w:t>See, e.g., SEC v.</w:t>
      </w:r>
    </w:p>
    <w:p>
      <w:pPr>
        <w:ind w:left="10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Musella</w:t>
      </w:r>
      <w:r>
        <w:rPr>
          <w:rFonts w:ascii="Times New Roman" w:cs="Times New Roman" w:eastAsia="Times New Roman" w:hAnsi="Times New Roman"/>
          <w:sz w:val="18"/>
          <w:szCs w:val="18"/>
          <w:color w:val="auto"/>
        </w:rPr>
        <w:t>, 678 F. Supp. 1060, 1063 (S.D.N.Y. 1988).</w:t>
      </w:r>
    </w:p>
    <w:p>
      <w:pPr>
        <w:spacing w:after="0" w:line="9" w:lineRule="exact"/>
        <w:rPr>
          <w:rFonts w:ascii="Times New Roman" w:cs="Times New Roman" w:eastAsia="Times New Roman" w:hAnsi="Times New Roman"/>
          <w:sz w:val="27"/>
          <w:szCs w:val="27"/>
          <w:color w:val="auto"/>
          <w:vertAlign w:val="superscript"/>
        </w:rPr>
      </w:pPr>
    </w:p>
    <w:p>
      <w:pPr>
        <w:ind w:left="100" w:right="60" w:hanging="1"/>
        <w:spacing w:after="0" w:line="21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“Control person” liability extends to the company and to officers and directors who are part of a “control group” with regard to (1) the company itself or (2) an employee who engages in insider trading, and who “in some meaningful sense are culpable participants in the fraud.” </w:t>
      </w:r>
      <w:r>
        <w:rPr>
          <w:rFonts w:ascii="Times New Roman" w:cs="Times New Roman" w:eastAsia="Times New Roman" w:hAnsi="Times New Roman"/>
          <w:sz w:val="18"/>
          <w:szCs w:val="18"/>
          <w:i w:val="1"/>
          <w:iCs w:val="1"/>
          <w:color w:val="auto"/>
        </w:rPr>
        <w:t>Lanza v. Drexel &amp; Co.</w:t>
      </w:r>
      <w:r>
        <w:rPr>
          <w:rFonts w:ascii="Times New Roman" w:cs="Times New Roman" w:eastAsia="Times New Roman" w:hAnsi="Times New Roman"/>
          <w:sz w:val="18"/>
          <w:szCs w:val="18"/>
          <w:color w:val="auto"/>
        </w:rPr>
        <w:t>, 479 F.2d 1277, 1299 (2d Cir. 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4" w:name="page95"/>
    <w:bookmarkEnd w:id="94"/>
    <w:p>
      <w:pPr>
        <w:ind w:left="440" w:hanging="432"/>
        <w:spacing w:after="0"/>
        <w:tabs>
          <w:tab w:leader="none" w:pos="4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What is Material Non-Public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Definition of Material. </w:t>
      </w:r>
      <w:r>
        <w:rPr>
          <w:rFonts w:ascii="Times New Roman" w:cs="Times New Roman" w:eastAsia="Times New Roman" w:hAnsi="Times New Roman"/>
          <w:sz w:val="18"/>
          <w:szCs w:val="18"/>
          <w:color w:val="auto"/>
        </w:rPr>
        <w:t>Material non-public information is any information (positive or negative) that:</w:t>
      </w:r>
    </w:p>
    <w:p>
      <w:pPr>
        <w:spacing w:after="0" w:line="229"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generally known to the public,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publicly known, would likely affect either the market price of the Company’s securities or a person’s decision to buy, sell or hold the Company’s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Examples. </w:t>
      </w:r>
      <w:r>
        <w:rPr>
          <w:rFonts w:ascii="Times New Roman" w:cs="Times New Roman" w:eastAsia="Times New Roman" w:hAnsi="Times New Roman"/>
          <w:sz w:val="18"/>
          <w:szCs w:val="18"/>
          <w:color w:val="auto"/>
        </w:rPr>
        <w:t>Common examples of information that will frequently be regarded as material include, but are not limited to:</w:t>
      </w:r>
    </w:p>
    <w:p>
      <w:pPr>
        <w:spacing w:after="0" w:line="229"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earnings results;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financial results;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litigation matters involving the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joint venture;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with officers, directors or greater than 5% stockholders;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the declaration of a stock split or the offering of additional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continuation or termination of a Company stock repurchase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or cost structure of Company products or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notification that the auditor’s reports may no longer be relied upon;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financial information which departs from what the market expects;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 major contract, license, registration or collaboration;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amendment or termination of a material contract;</w:t>
      </w:r>
    </w:p>
    <w:p>
      <w:pPr>
        <w:spacing w:after="0" w:line="9" w:lineRule="exact"/>
        <w:rPr>
          <w:rFonts w:ascii="Times New Roman" w:cs="Times New Roman" w:eastAsia="Times New Roman" w:hAnsi="Times New Roman"/>
          <w:sz w:val="18"/>
          <w:szCs w:val="18"/>
          <w:color w:val="auto"/>
        </w:rPr>
      </w:pPr>
    </w:p>
    <w:p>
      <w:pPr>
        <w:jc w:val="both"/>
        <w:ind w:left="980" w:right="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customer or supplier information, its property or assets, whether at its retail locations, other facilities or online or otherwise through its information technology infrastructure; or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require the filing of a Current Report on Form 8-K with the SEC.</w:t>
      </w:r>
    </w:p>
    <w:p>
      <w:pPr>
        <w:spacing w:after="0" w:line="203"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Twenty-Twenty Hindsight. </w:t>
      </w:r>
      <w:r>
        <w:rPr>
          <w:rFonts w:ascii="Times New Roman" w:cs="Times New Roman" w:eastAsia="Times New Roman" w:hAnsi="Times New Roman"/>
          <w:sz w:val="18"/>
          <w:szCs w:val="18"/>
          <w:color w:val="auto"/>
        </w:rPr>
        <w:t>In determining whether information is material, the SEC and other regulators will 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after-the-fact with the benefit of hindsight. As a result, in determining whether any information is material, we will (and you should)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95" w:name="page96"/>
    <w:bookmarkEnd w:id="95"/>
    <w:p>
      <w:pPr>
        <w:ind w:right="20"/>
        <w:spacing w:after="0" w:line="266" w:lineRule="auto"/>
        <w:rPr>
          <w:sz w:val="20"/>
          <w:szCs w:val="20"/>
          <w:color w:val="auto"/>
        </w:rPr>
      </w:pPr>
      <w:r>
        <w:rPr>
          <w:rFonts w:ascii="Times New Roman" w:cs="Times New Roman" w:eastAsia="Times New Roman" w:hAnsi="Times New Roman"/>
          <w:sz w:val="18"/>
          <w:szCs w:val="18"/>
          <w:color w:val="auto"/>
        </w:rPr>
        <w:t>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76" w:lineRule="exact"/>
        <w:rPr>
          <w:sz w:val="20"/>
          <w:szCs w:val="20"/>
          <w:color w:val="auto"/>
        </w:rPr>
      </w:pPr>
    </w:p>
    <w:p>
      <w:pPr>
        <w:ind w:left="140" w:right="140" w:firstLine="648"/>
        <w:spacing w:after="0" w:line="266" w:lineRule="auto"/>
        <w:rPr>
          <w:sz w:val="20"/>
          <w:szCs w:val="20"/>
          <w:color w:val="auto"/>
        </w:rPr>
      </w:pPr>
      <w:r>
        <w:rPr>
          <w:rFonts w:ascii="Times New Roman" w:cs="Times New Roman" w:eastAsia="Times New Roman" w:hAnsi="Times New Roman"/>
          <w:sz w:val="18"/>
          <w:szCs w:val="18"/>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172" w:lineRule="exact"/>
        <w:rPr>
          <w:sz w:val="20"/>
          <w:szCs w:val="20"/>
          <w:color w:val="auto"/>
        </w:rPr>
      </w:pPr>
    </w:p>
    <w:p>
      <w:pPr>
        <w:ind w:left="140" w:right="80" w:firstLine="648"/>
        <w:spacing w:after="0" w:line="278" w:lineRule="auto"/>
        <w:rPr>
          <w:sz w:val="20"/>
          <w:szCs w:val="20"/>
          <w:color w:val="auto"/>
        </w:rPr>
      </w:pPr>
      <w:r>
        <w:rPr>
          <w:rFonts w:ascii="Times New Roman" w:cs="Times New Roman" w:eastAsia="Times New Roman" w:hAnsi="Times New Roman"/>
          <w:sz w:val="17"/>
          <w:szCs w:val="17"/>
          <w:color w:val="auto"/>
        </w:rPr>
        <w:t xml:space="preserve">When in doubt about whether particular non-public information is material, you should presume it is material. </w:t>
      </w:r>
      <w:r>
        <w:rPr>
          <w:rFonts w:ascii="Times New Roman" w:cs="Times New Roman" w:eastAsia="Times New Roman" w:hAnsi="Times New Roman"/>
          <w:sz w:val="17"/>
          <w:szCs w:val="17"/>
          <w:b w:val="1"/>
          <w:bCs w:val="1"/>
          <w:color w:val="auto"/>
        </w:rPr>
        <w:t>If you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unsure whether information is material, you should either (a) consult the Policy Administrator before making any decision to</w:t>
      </w:r>
    </w:p>
    <w:p>
      <w:pPr>
        <w:spacing w:after="0" w:line="1" w:lineRule="exact"/>
        <w:rPr>
          <w:sz w:val="20"/>
          <w:szCs w:val="20"/>
          <w:color w:val="auto"/>
        </w:rPr>
      </w:pPr>
    </w:p>
    <w:p>
      <w:pPr>
        <w:ind w:left="140" w:hanging="2"/>
        <w:spacing w:after="0" w:line="260" w:lineRule="auto"/>
        <w:tabs>
          <w:tab w:leader="none" w:pos="35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 such information (other than to persons who need to know it) or (ii) trade in or recommend securities to which that information relates or (b) assume that the information is material.</w:t>
      </w:r>
    </w:p>
    <w:p>
      <w:pPr>
        <w:spacing w:after="0" w:line="177" w:lineRule="exact"/>
        <w:rPr>
          <w:sz w:val="20"/>
          <w:szCs w:val="20"/>
          <w:color w:val="auto"/>
        </w:rPr>
      </w:pPr>
    </w:p>
    <w:p>
      <w:pPr>
        <w:ind w:left="140"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Definition of Non-Public. </w:t>
      </w:r>
      <w:r>
        <w:rPr>
          <w:rFonts w:ascii="Times New Roman" w:cs="Times New Roman" w:eastAsia="Times New Roman" w:hAnsi="Times New Roman"/>
          <w:sz w:val="18"/>
          <w:szCs w:val="18"/>
          <w:color w:val="auto"/>
        </w:rPr>
        <w:t>Information is non-public until it has been effectively communicated to the marketplace. 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evidence of such dissemination is the best indication that the information is public. For example, information found in a report filed with the SEC or appearing in a national newspaper would be considered public. The fact that information has been disclosed to a few members of the public does not make it public for insider trading purposes. See “When Information Becomes Public” in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Consequences of Insider Trading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consequences of insider trading violations can be severe: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 individuals</w:t>
      </w:r>
      <w:r>
        <w:rPr>
          <w:rFonts w:ascii="Times New Roman" w:cs="Times New Roman" w:eastAsia="Times New Roman" w:hAnsi="Times New Roman"/>
          <w:sz w:val="18"/>
          <w:szCs w:val="18"/>
          <w:color w:val="auto"/>
        </w:rPr>
        <w:t xml:space="preserve"> who trade while in possession of material non-public information:</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of up to $5 million;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20 years.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These penalties can apply even if the individual is not a member of the Board of Directors or an officer of the Company. A person who tips information to others may be liable for transactions by the tippees to whom material non-public information has been disclosed, and the same penalties can apply, even when the tipper does not personally profit from the transactions. Moreover, if an employee violates this Policy, he or she may also be subject to Company-imposed sanctions, including termination for cause.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For a Company</w:t>
      </w:r>
      <w:r>
        <w:rPr>
          <w:rFonts w:ascii="Times New Roman" w:cs="Times New Roman" w:eastAsia="Times New Roman" w:hAnsi="Times New Roman"/>
          <w:sz w:val="18"/>
          <w:szCs w:val="18"/>
          <w:color w:val="auto"/>
        </w:rPr>
        <w:t xml:space="preserve"> (as well as possibly any supervisory person) that fails to take appropriate steps to prevent illegal trading:</w:t>
      </w:r>
    </w:p>
    <w:p>
      <w:pPr>
        <w:spacing w:after="0" w:line="225" w:lineRule="exact"/>
        <w:rPr>
          <w:sz w:val="20"/>
          <w:szCs w:val="20"/>
          <w:color w:val="auto"/>
        </w:rPr>
      </w:pPr>
    </w:p>
    <w:p>
      <w:pPr>
        <w:ind w:left="980" w:right="10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the greater of $2.3 million (as may be further adjusted for inflation)1 or three times the profit gained, or loss avoided as a result of the employee’s violation;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96" w:name="page97"/>
    <w:bookmarkEnd w:id="96"/>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Any of the above consequences, including an SEC investigation that does not result in prosecution, can tarnish the Company’s or an individual’s reputation and irreparably damage a career.</w:t>
      </w:r>
    </w:p>
    <w:p>
      <w:pPr>
        <w:spacing w:after="0" w:line="15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Our Policy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Prohibition on Trading. </w:t>
      </w:r>
      <w:r>
        <w:rPr>
          <w:rFonts w:ascii="Times New Roman" w:cs="Times New Roman" w:eastAsia="Times New Roman" w:hAnsi="Times New Roman"/>
          <w:sz w:val="18"/>
          <w:szCs w:val="18"/>
          <w:color w:val="auto"/>
        </w:rPr>
        <w:t>Company personnel and Related Persons (as defined below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may not buy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sell securities of the Company while in possession of material non-public information or engage in any other action to take advantage of, or pass on to others, that information, subject to the specific exceptions noted below in this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under the caption “Exceptions for Certain Transactions.”</w:t>
      </w:r>
    </w:p>
    <w:p>
      <w:pPr>
        <w:spacing w:after="0" w:line="176"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Transactions by Family Members, Others in Your Household and Entities You Control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restrictions in this Policy also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apply to (1) immediate family members 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w:t>
      </w:r>
    </w:p>
    <w:p>
      <w:pPr>
        <w:ind w:right="80"/>
        <w:spacing w:after="0" w:line="251" w:lineRule="auto"/>
        <w:rPr>
          <w:sz w:val="20"/>
          <w:szCs w:val="20"/>
          <w:color w:val="auto"/>
        </w:rPr>
      </w:pPr>
      <w:r>
        <w:rPr>
          <w:rFonts w:ascii="Times New Roman" w:cs="Times New Roman" w:eastAsia="Times New Roman" w:hAnsi="Times New Roman"/>
          <w:sz w:val="18"/>
          <w:szCs w:val="18"/>
          <w:color w:val="auto"/>
        </w:rPr>
        <w:t>any entities that you influence or control, including any corporations, limited liability companies, partnerships or trusts (each person or entity identified in clauses (1) – (4),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186055</wp:posOffset>
            </wp:positionV>
            <wp:extent cx="15684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49" w:lineRule="exact"/>
        <w:rPr>
          <w:sz w:val="20"/>
          <w:szCs w:val="20"/>
          <w:color w:val="auto"/>
        </w:rPr>
      </w:pPr>
    </w:p>
    <w:p>
      <w:pPr>
        <w:ind w:firstLine="7"/>
        <w:spacing w:after="0" w:line="218" w:lineRule="auto"/>
        <w:tabs>
          <w:tab w:leader="none" w:pos="96" w:val="left"/>
        </w:tabs>
        <w:numPr>
          <w:ilvl w:val="0"/>
          <w:numId w:val="4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of October 2023. The Federal Civil Penalties Inflation Adjustment Act Improvements Act of 2015 requires all agencies to annually adjust for inflation the civil monetary penalties that can be imposed under the statutes administered by the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635000</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7" w:name="page98"/>
    <w:bookmarkEnd w:id="97"/>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Companies’ Non-public Information. </w:t>
      </w:r>
      <w:r>
        <w:rPr>
          <w:rFonts w:ascii="Times New Roman" w:cs="Times New Roman" w:eastAsia="Times New Roman" w:hAnsi="Times New Roman"/>
          <w:sz w:val="18"/>
          <w:szCs w:val="18"/>
          <w:color w:val="auto"/>
        </w:rPr>
        <w:t>This Policy also applies with equal force to information obtained by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 during the course of their service to or employment by the Company relating to any other company, including our customers, suppliers, business partners, competitors or other companies with which the Company has contractual relationships or may be negotiating transactions. Specifically, no Company personnel who, in the course of work on behalf of the Company, learns of material non- public information about a company with which the Company does business may trade in the other company’s securities or pass that information on to others until the information becomes public or is no longer material.</w:t>
      </w:r>
    </w:p>
    <w:p>
      <w:pPr>
        <w:spacing w:after="0" w:line="182"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Personal or Independent Reasons Are Not Exceptions. </w:t>
      </w:r>
      <w:r>
        <w:rPr>
          <w:rFonts w:ascii="Times New Roman" w:cs="Times New Roman" w:eastAsia="Times New Roman" w:hAnsi="Times New Roman"/>
          <w:sz w:val="18"/>
          <w:szCs w:val="18"/>
          <w:color w:val="auto"/>
        </w:rPr>
        <w:t>Transactions in the Company’s securities that may be necessary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7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Administrator. </w:t>
      </w:r>
      <w:r>
        <w:rPr>
          <w:rFonts w:ascii="Times New Roman" w:cs="Times New Roman" w:eastAsia="Times New Roman" w:hAnsi="Times New Roman"/>
          <w:sz w:val="18"/>
          <w:szCs w:val="18"/>
          <w:color w:val="auto"/>
        </w:rPr>
        <w:t>This Policy shall be administered by the “</w:t>
      </w:r>
      <w:r>
        <w:rPr>
          <w:rFonts w:ascii="Times New Roman" w:cs="Times New Roman" w:eastAsia="Times New Roman" w:hAnsi="Times New Roman"/>
          <w:sz w:val="18"/>
          <w:szCs w:val="18"/>
          <w:u w:val="single" w:color="auto"/>
          <w:color w:val="auto"/>
        </w:rPr>
        <w:t>Policy Administrator</w:t>
      </w:r>
      <w:r>
        <w:rPr>
          <w:rFonts w:ascii="Times New Roman" w:cs="Times New Roman" w:eastAsia="Times New Roman" w:hAnsi="Times New Roman"/>
          <w:sz w:val="18"/>
          <w:szCs w:val="18"/>
          <w:color w:val="auto"/>
        </w:rPr>
        <w:t>,” who shall initially be the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and if such person is not available, then either the Chief Executive Officer, Chief Financial Officer, Chief Operating Officer or other Company personnel person designated by the General Counsel shall serve as the alternate Policy Administrator. The Policy Administrator may, however, change from time to time.</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When Information Becomes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Policy applies to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about the Company, which means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trading is permitted once the information becomes known to the public (unless some other Company policy or legal obligation restricts trading at that time). To be “public” the information must have been disseminated in a manner designed to reach investors generally, and the investors must be given the opportunity to absorb the information. Because the Company’s stockholders and the investing public should be afforded time to receive and absorb information, as a general rule, you should not engage in any transactions until the beginning of the second full trading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If the announcement is made on Monday after trading begins, you may not trade until Thursday. If the announcement is made on Friday after trading begins, you may not trade until Wednesday of the following week.</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76" w:lineRule="exact"/>
        <w:rPr>
          <w:sz w:val="20"/>
          <w:szCs w:val="20"/>
          <w:color w:val="auto"/>
        </w:rPr>
      </w:pPr>
    </w:p>
    <w:p>
      <w:pPr>
        <w:ind w:right="6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Prohibited Trading Periods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it is never permissible to trade based on material non-public information,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implementing the following procedures to help prevent inadvertent violations of this Policy and avoid even the appearance of an improper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756920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8" w:name="page99"/>
    <w:bookmarkEnd w:id="98"/>
    <w:p>
      <w:pPr>
        <w:ind w:right="920"/>
        <w:spacing w:after="0" w:line="284" w:lineRule="auto"/>
        <w:rPr>
          <w:sz w:val="20"/>
          <w:szCs w:val="20"/>
          <w:color w:val="auto"/>
        </w:rPr>
      </w:pPr>
      <w:r>
        <w:rPr>
          <w:rFonts w:ascii="Times New Roman" w:cs="Times New Roman" w:eastAsia="Times New Roman" w:hAnsi="Times New Roman"/>
          <w:sz w:val="18"/>
          <w:szCs w:val="18"/>
          <w:color w:val="auto"/>
        </w:rPr>
        <w:t xml:space="preserve">transaction (which could result, for example, where Company personnel engage in a trade while unaware </w:t>
      </w:r>
      <w:r>
        <w:rPr>
          <w:rFonts w:ascii="Times New Roman" w:cs="Times New Roman" w:eastAsia="Times New Roman" w:hAnsi="Times New Roman"/>
          <w:sz w:val="18"/>
          <w:szCs w:val="18"/>
          <w:i w:val="1"/>
          <w:iCs w:val="1"/>
          <w:color w:val="auto"/>
        </w:rPr>
        <w:t>of a pending major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p>
    <w:p>
      <w:pPr>
        <w:spacing w:after="0" w:line="160" w:lineRule="exact"/>
        <w:rPr>
          <w:sz w:val="20"/>
          <w:szCs w:val="20"/>
          <w:color w:val="auto"/>
        </w:rPr>
      </w:pPr>
    </w:p>
    <w:p>
      <w:pPr>
        <w:ind w:firstLine="656"/>
        <w:spacing w:after="0" w:line="282"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Wide Black-Out Periods Applicable to All Company Personnel</w:t>
      </w:r>
      <w:r>
        <w:rPr>
          <w:rFonts w:ascii="Times New Roman" w:cs="Times New Roman" w:eastAsia="Times New Roman" w:hAnsi="Times New Roman"/>
          <w:sz w:val="18"/>
          <w:szCs w:val="18"/>
          <w:color w:val="auto"/>
        </w:rPr>
        <w:t>. All Company personnel and Related Persons are prohibited from trading in any of the Company’s securities during the following periods:</w:t>
      </w:r>
    </w:p>
    <w:p>
      <w:pPr>
        <w:spacing w:after="0" w:line="162" w:lineRule="exact"/>
        <w:rPr>
          <w:sz w:val="20"/>
          <w:szCs w:val="20"/>
          <w:color w:val="auto"/>
        </w:rPr>
      </w:pPr>
    </w:p>
    <w:p>
      <w:pPr>
        <w:ind w:left="980" w:right="180" w:hanging="324"/>
        <w:spacing w:after="0" w:line="261"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each such individual becomes aware of the material information (the black-out start times often vary), until the beginning of the second full trading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179"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other specified periods when significant developments or announcements are anticipated, as notified by the Policy Administrator.</w:t>
      </w:r>
    </w:p>
    <w:p>
      <w:pPr>
        <w:spacing w:after="0" w:line="162" w:lineRule="exact"/>
        <w:rPr>
          <w:sz w:val="20"/>
          <w:szCs w:val="20"/>
          <w:color w:val="auto"/>
        </w:rPr>
      </w:pPr>
    </w:p>
    <w:p>
      <w:pPr>
        <w:ind w:left="340"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Times New Roman" w:cs="Times New Roman" w:eastAsia="Times New Roman" w:hAnsi="Times New Roman"/>
          <w:sz w:val="18"/>
          <w:szCs w:val="18"/>
          <w:i w:val="1"/>
          <w:iCs w:val="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course, even during periods when trading is permitted, no one, including persons or entities who do not fall within the definition of Related Persons, should trade in the Company’s securities if he or she possesses material non-public information.</w:t>
      </w:r>
    </w:p>
    <w:p>
      <w:pPr>
        <w:spacing w:after="0" w:line="180" w:lineRule="exact"/>
        <w:rPr>
          <w:sz w:val="20"/>
          <w:szCs w:val="20"/>
          <w:color w:val="auto"/>
        </w:rPr>
      </w:pPr>
    </w:p>
    <w:p>
      <w:pPr>
        <w:ind w:right="20" w:firstLine="656"/>
        <w:spacing w:after="0" w:line="261"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Black-Out Periods Applicable to the Board of Directors, Senior Management, Financial Team Members and Designated Employees</w:t>
      </w:r>
      <w:r>
        <w:rPr>
          <w:rFonts w:ascii="Times New Roman" w:cs="Times New Roman" w:eastAsia="Times New Roman" w:hAnsi="Times New Roman"/>
          <w:sz w:val="18"/>
          <w:szCs w:val="18"/>
          <w:color w:val="auto"/>
        </w:rPr>
        <w:t>. In addition to being subject to the trading procedures applicable to all Company personnel (above), members of the Company’s Board of Directors, Senior Management, Financial Team Members, Designated Employees (each as defined below) and Related Persons of such individuals are also subject to additional trading procedures and restrictions during the following periods:</w:t>
      </w:r>
    </w:p>
    <w:p>
      <w:pPr>
        <w:spacing w:after="0" w:line="180" w:lineRule="exact"/>
        <w:rPr>
          <w:sz w:val="20"/>
          <w:szCs w:val="20"/>
          <w:color w:val="auto"/>
        </w:rPr>
      </w:pPr>
    </w:p>
    <w:p>
      <w:pPr>
        <w:ind w:left="980" w:right="12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from fourteen (14) days (2 weeks) prior to the close of each fiscal quarter until the beginning of the second full trading day after the release of the Company’s financial results for each quarter and, in the case of the fourth quarter, financial results for the year end;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periods as determined by the Company.</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members of management constitute the “</w:t>
      </w:r>
      <w:r>
        <w:rPr>
          <w:rFonts w:ascii="Times New Roman" w:cs="Times New Roman" w:eastAsia="Times New Roman" w:hAnsi="Times New Roman"/>
          <w:sz w:val="18"/>
          <w:szCs w:val="18"/>
          <w:u w:val="single" w:color="auto"/>
          <w:color w:val="auto"/>
        </w:rPr>
        <w:t>Senior Management</w:t>
      </w:r>
      <w:r>
        <w:rPr>
          <w:rFonts w:ascii="Times New Roman" w:cs="Times New Roman" w:eastAsia="Times New Roman" w:hAnsi="Times New Roman"/>
          <w:sz w:val="18"/>
          <w:szCs w:val="18"/>
          <w:color w:val="auto"/>
        </w:rPr>
        <w:t>” of the Company: all of the Company’s All Executive (Section 16) Officers (including our Chief Executive Officer, our Chief Financial Officer and the Chief Executive Officer of XpresTest, Inc.), our Chief Technology Officer, Chief Marketing Officer, General Counsel and Vice President of Finance &amp; Treasury and others included as part of the senior management team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individuals constitute the “</w:t>
      </w:r>
      <w:r>
        <w:rPr>
          <w:rFonts w:ascii="Times New Roman" w:cs="Times New Roman" w:eastAsia="Times New Roman" w:hAnsi="Times New Roman"/>
          <w:sz w:val="18"/>
          <w:szCs w:val="18"/>
          <w:u w:val="single" w:color="auto"/>
          <w:color w:val="auto"/>
        </w:rPr>
        <w:t>Financial Team Members</w:t>
      </w:r>
      <w:r>
        <w:rPr>
          <w:rFonts w:ascii="Times New Roman" w:cs="Times New Roman" w:eastAsia="Times New Roman" w:hAnsi="Times New Roman"/>
          <w:sz w:val="18"/>
          <w:szCs w:val="18"/>
          <w:color w:val="auto"/>
        </w:rPr>
        <w:t>” of the Company: key members of the Company’s financial team, including accounting and finance, investor relations and legal department personnel who have regular access to material non-public information about the company that gets incorporated into the company’s periodic releases and reports.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individuals constitute other “</w:t>
      </w:r>
      <w:r>
        <w:rPr>
          <w:rFonts w:ascii="Times New Roman" w:cs="Times New Roman" w:eastAsia="Times New Roman" w:hAnsi="Times New Roman"/>
          <w:sz w:val="18"/>
          <w:szCs w:val="18"/>
          <w:u w:val="single" w:color="auto"/>
          <w:color w:val="auto"/>
        </w:rPr>
        <w:t>Designated Employees</w:t>
      </w:r>
      <w:r>
        <w:rPr>
          <w:rFonts w:ascii="Times New Roman" w:cs="Times New Roman" w:eastAsia="Times New Roman" w:hAnsi="Times New Roman"/>
          <w:sz w:val="18"/>
          <w:szCs w:val="18"/>
          <w:color w:val="auto"/>
        </w:rPr>
        <w:t>” of the Company: certain additional members of Company personnel who may be designated as insiders from time to time by the Policy Administrator.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Exceptions for Certain Transactions.</w:t>
      </w:r>
    </w:p>
    <w:p>
      <w:pPr>
        <w:spacing w:after="0" w:line="227" w:lineRule="exact"/>
        <w:rPr>
          <w:sz w:val="20"/>
          <w:szCs w:val="20"/>
          <w:color w:val="auto"/>
        </w:rPr>
      </w:pPr>
    </w:p>
    <w:p>
      <w:pPr>
        <w:ind w:right="220" w:firstLine="656"/>
        <w:spacing w:after="0" w:line="267"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Funds</w:t>
      </w:r>
      <w:r>
        <w:rPr>
          <w:rFonts w:ascii="Times New Roman" w:cs="Times New Roman" w:eastAsia="Times New Roman" w:hAnsi="Times New Roman"/>
          <w:sz w:val="18"/>
          <w:szCs w:val="18"/>
          <w:color w:val="auto"/>
        </w:rPr>
        <w:t>. Transactions in mutual funds that are invested in the Company’s securities are not transactions subject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Policy.</w:t>
      </w:r>
    </w:p>
    <w:p>
      <w:pPr>
        <w:spacing w:after="0" w:line="206" w:lineRule="exact"/>
        <w:rPr>
          <w:rFonts w:ascii="Times New Roman" w:cs="Times New Roman" w:eastAsia="Times New Roman" w:hAnsi="Times New Roman"/>
          <w:sz w:val="18"/>
          <w:szCs w:val="18"/>
          <w:color w:val="auto"/>
        </w:rPr>
      </w:pPr>
    </w:p>
    <w:p>
      <w:pPr>
        <w:ind w:right="400" w:firstLine="656"/>
        <w:spacing w:after="0" w:line="282"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Involving Company Equity Plans</w:t>
      </w:r>
      <w:r>
        <w:rPr>
          <w:rFonts w:ascii="Times New Roman" w:cs="Times New Roman" w:eastAsia="Times New Roman" w:hAnsi="Times New Roman"/>
          <w:sz w:val="18"/>
          <w:szCs w:val="18"/>
          <w:color w:val="auto"/>
        </w:rPr>
        <w:t>. Except as otherwise noted below, this Policy does not apply to the following transactions:</w:t>
      </w:r>
    </w:p>
    <w:p>
      <w:pPr>
        <w:spacing w:after="0" w:line="160" w:lineRule="exact"/>
        <w:rPr>
          <w:sz w:val="20"/>
          <w:szCs w:val="20"/>
          <w:color w:val="auto"/>
        </w:rPr>
      </w:pPr>
    </w:p>
    <w:p>
      <w:pPr>
        <w:ind w:left="980" w:right="80" w:hanging="324"/>
        <w:spacing w:after="0" w:line="258"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 Exercises. </w:t>
      </w:r>
      <w:r>
        <w:rPr>
          <w:rFonts w:ascii="Times New Roman" w:cs="Times New Roman" w:eastAsia="Times New Roman" w:hAnsi="Times New Roman"/>
          <w:sz w:val="18"/>
          <w:szCs w:val="18"/>
          <w:color w:val="auto"/>
        </w:rPr>
        <w:t>This Policy does not apply to the exercise of an employee stock option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183"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Awards and Restricted Stock Unit Awards. </w:t>
      </w:r>
      <w:r>
        <w:rPr>
          <w:rFonts w:ascii="Times New Roman" w:cs="Times New Roman" w:eastAsia="Times New Roman" w:hAnsi="Times New Roman"/>
          <w:sz w:val="18"/>
          <w:szCs w:val="18"/>
          <w:color w:val="auto"/>
        </w:rPr>
        <w:t>This Policy does not apply to the vesting of restricted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or the exercise 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746760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ind w:left="980" w:right="200" w:hanging="324"/>
        <w:spacing w:after="0" w:line="284"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Transactions with the Company. </w:t>
      </w:r>
      <w:r>
        <w:rPr>
          <w:rFonts w:ascii="Times New Roman" w:cs="Times New Roman" w:eastAsia="Times New Roman" w:hAnsi="Times New Roman"/>
          <w:sz w:val="18"/>
          <w:szCs w:val="18"/>
          <w:color w:val="auto"/>
        </w:rPr>
        <w:t>Any other purchase of the Company’s securities from the Company or sales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securities to the Company are not subject to this Policy.</w:t>
      </w:r>
    </w:p>
    <w:p>
      <w:pPr>
        <w:spacing w:after="0" w:line="160" w:lineRule="exact"/>
        <w:rPr>
          <w:sz w:val="20"/>
          <w:szCs w:val="20"/>
          <w:color w:val="auto"/>
        </w:rPr>
      </w:pPr>
    </w:p>
    <w:p>
      <w:pPr>
        <w:ind w:firstLine="656"/>
        <w:spacing w:after="0" w:line="255"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 Trading Plans</w:t>
      </w:r>
      <w:r>
        <w:rPr>
          <w:rFonts w:ascii="Times New Roman" w:cs="Times New Roman" w:eastAsia="Times New Roman" w:hAnsi="Times New Roman"/>
          <w:sz w:val="18"/>
          <w:szCs w:val="18"/>
          <w:color w:val="auto"/>
        </w:rPr>
        <w:t>.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Times New Roman" w:cs="Times New Roman" w:eastAsia="Times New Roman" w:hAnsi="Times New Roman"/>
          <w:sz w:val="18"/>
          <w:szCs w:val="18"/>
          <w:u w:val="single" w:color="auto"/>
          <w:color w:val="auto"/>
        </w:rPr>
        <w:t>Trading Plans</w:t>
      </w:r>
      <w:r>
        <w:rPr>
          <w:rFonts w:ascii="Times New Roman" w:cs="Times New Roman" w:eastAsia="Times New Roman" w:hAnsi="Times New Roman"/>
          <w:sz w:val="18"/>
          <w:szCs w:val="18"/>
          <w:color w:val="auto"/>
        </w:rPr>
        <w:t>”), which may include transactions during the prohibited periods discussed above. In order to comply with this Policy, a Trading Plan must meet the requirements of Rule 10b5-1 and other legal requirements and be approved in advance by the Policy Administrator. Any modification of a Trading Plan is the equivalent of entering into a new Trading Plan and cancelling the old Trading Plan, and therefore also must be approved in advance by the Policy Administrator.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a Trading Plan must be entered into at a time when the person entering into the plan is not aware of material non-public information. No Trading Plan may be adopted during a closed window or other black-out period. Once a Trading Plan is adopted, the person must not exercise any influence over the amount of securities to be traded, the price at which they are to be traded or the date of the trade. The Trading Plan must either specify the amount, pricing and timing of transactions in advance or delegate discretion on these matters to an independent third party. A Trading Plan must include a cooling-off period before trading can commence that, for directors or officers, ends on the later of 90 days after the adoption of such Trading Plan or two business days following the disclosure of the Company’s financial results in an SEC periodic report for the fiscal quarter in which the Trading Plan was adopted (but in any event, the required cooling-off period is subject to a maximum of 120 days after adoption of the plan), and for persons other than directors or officers, 30 days following the adoption or modification of a Trading Plan. A person may not enter into overlapping Trading Plans (subject to certain exceptions) and may only enter into one single-trade Trading Plan during any 12-month period (subject to certain exceptions). Directors and officers must include a representation in their Trading Plan certifying that: (i) they are not aware of any material non-public information; and (ii) they are adopting the plan in good faith and not as part of a plan or scheme to evade the prohibitions in Rule 10b-5. All persons entering into a Trading Plan must act in good faith with respect to that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Company personnel seeking to establish, modify or cancel a Trading Plan should contact the Policy Administrator. You should consult your own legal and tax advisors before entering into, or modifying or terminating, any Trading Plan. A trading plan, contract, instruction or arrangement will not qualify as a Trading Plan under this Policy without the prior review and approval of the Policy Administrator as described above.</w:t>
      </w:r>
    </w:p>
    <w:p>
      <w:pPr>
        <w:spacing w:after="0" w:line="17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Pre-Clearance of All Acquisitions, Sales and Other Transfers by Certain Company Personnel. </w:t>
      </w:r>
      <w:r>
        <w:rPr>
          <w:rFonts w:ascii="Times New Roman" w:cs="Times New Roman" w:eastAsia="Times New Roman" w:hAnsi="Times New Roman"/>
          <w:sz w:val="18"/>
          <w:szCs w:val="18"/>
          <w:color w:val="auto"/>
        </w:rPr>
        <w:t>In order to ensure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this Policy and with any Section 16 reporting requirements, all transactions in the Company’s securities (including acquisitions, sales, gifts and other transfers, whether or not for value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including the execution of Trading Plans (as defined above), by members of the Company’s Board of Directors,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1568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5" w:lineRule="exact"/>
        <w:rPr>
          <w:sz w:val="20"/>
          <w:szCs w:val="20"/>
          <w:color w:val="auto"/>
        </w:rPr>
      </w:pPr>
    </w:p>
    <w:p>
      <w:pPr>
        <w:ind w:right="60" w:firstLine="8"/>
        <w:spacing w:after="0" w:line="208" w:lineRule="auto"/>
        <w:tabs>
          <w:tab w:leader="none" w:pos="112"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here that gifts or other transfers of Company securities require pre-approval from the Policy Administrator, even though they may not be explicitly covered transactions under other portions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635635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01" w:name="page102"/>
    <w:bookmarkEnd w:id="101"/>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Unless revoked or you otherwise come into possession material non-public information, pre-clearance by the Policy Administrator will normally remain valid until the close of trading of the second full trading day following the day on which it was granted. If the transaction does not occur during the two-trading day period, pre-clearance of the transaction must be re-requested. Notwithstanding receipt of pre- 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V.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spacing w:after="0" w:line="172"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Please note that pre-clearance does not provide Company personnel with immunity from investigation or suit, for which it is the responsibility of the individual to comply with the federal securities regulations.</w:t>
      </w:r>
    </w:p>
    <w:p>
      <w:pPr>
        <w:spacing w:after="0" w:line="155"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p>
    <w:p>
      <w:pPr>
        <w:spacing w:after="0" w:line="229"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Persons subject to this Policy have ethical and legal obligations to maintain the confidentiality of information about the Company and to not engage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Times New Roman" w:cs="Times New Roman" w:eastAsia="Times New Roman" w:hAnsi="Times New Roman"/>
          <w:sz w:val="17"/>
          <w:szCs w:val="17"/>
          <w:u w:val="single" w:color="auto"/>
          <w:color w:val="auto"/>
        </w:rPr>
        <w:t>Section III</w:t>
      </w:r>
      <w:r>
        <w:rPr>
          <w:rFonts w:ascii="Times New Roman" w:cs="Times New Roman" w:eastAsia="Times New Roman" w:hAnsi="Times New Roman"/>
          <w:sz w:val="17"/>
          <w:szCs w:val="17"/>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617855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Tipping Information to Others. </w:t>
      </w:r>
      <w:r>
        <w:rPr>
          <w:rFonts w:ascii="Times New Roman" w:cs="Times New Roman" w:eastAsia="Times New Roman" w:hAnsi="Times New Roman"/>
          <w:sz w:val="18"/>
          <w:szCs w:val="18"/>
          <w:color w:val="auto"/>
        </w:rPr>
        <w:t>Company personnel must not disclose non-public information about the Company to others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the Company who do not have an obligation to maintain the confidentiality of such information. If the outsider trades on such information, penalties for insider trading may apply in these situations whether or not you derive any monetary benefit from the other person’s trading activities.5 Material non-public information is often inadvertently disclosed or overheard in casual, social conversations. Please take care to avoid such disclosures.</w:t>
      </w:r>
    </w:p>
    <w:p>
      <w:pPr>
        <w:spacing w:after="0" w:line="179"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Prevention of Insider Trading by Others. </w:t>
      </w:r>
      <w:r>
        <w:rPr>
          <w:rFonts w:ascii="Times New Roman" w:cs="Times New Roman" w:eastAsia="Times New Roman" w:hAnsi="Times New Roman"/>
          <w:sz w:val="18"/>
          <w:szCs w:val="18"/>
          <w:color w:val="auto"/>
        </w:rPr>
        <w:t>If you become aware of a potential insider trading violation, you must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advise our Policy Administrator and/or report the matter using the Company’s anonymous whistleblower reporting procedures as described in the Company’s Code of Business Conduct.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Confidentiality. </w:t>
      </w:r>
      <w:r>
        <w:rPr>
          <w:rFonts w:ascii="Times New Roman" w:cs="Times New Roman" w:eastAsia="Times New Roman" w:hAnsi="Times New Roman"/>
          <w:sz w:val="18"/>
          <w:szCs w:val="18"/>
          <w:color w:val="auto"/>
        </w:rPr>
        <w:t>Serious problems could be caused for the Company by the unauthorized disclosure of internal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about the Company, whether or not for 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X (formerly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General Counsel.</w:t>
      </w:r>
    </w:p>
    <w:p>
      <w:pPr>
        <w:spacing w:after="0" w:line="18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Additional Prohibited Transactions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Because we believe it is generally improper and inappropriate for Company personnel to engage in short-term or speculative transactions involving the Company’s securities, it is our policy that Company personnel and Related Persons not engage in any of the following activities, except in each case in limited circumstances with prior approval of the Policy Administrator:</w:t>
      </w:r>
    </w:p>
    <w:p>
      <w:pPr>
        <w:spacing w:after="0" w:line="176" w:lineRule="exact"/>
        <w:rPr>
          <w:sz w:val="20"/>
          <w:szCs w:val="20"/>
          <w:color w:val="auto"/>
        </w:rPr>
      </w:pPr>
    </w:p>
    <w:p>
      <w:pPr>
        <w:ind w:left="980" w:right="26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Company’s securities on a short-term basis. Any shares of Company common stock purchased in the open market must be held for a minimum of six months and ideally longer;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04" w:lineRule="exact"/>
        <w:rPr>
          <w:sz w:val="20"/>
          <w:szCs w:val="20"/>
          <w:color w:val="auto"/>
        </w:rPr>
      </w:pPr>
    </w:p>
    <w:p>
      <w:pPr>
        <w:ind w:left="120" w:hanging="112"/>
        <w:spacing w:after="0"/>
        <w:tabs>
          <w:tab w:leader="none" w:pos="12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While some benefit must be incurred, it need not be monetary.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03" w:name="page104"/>
    <w:bookmarkEnd w:id="103"/>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Company’s securities to secure a margin or other loan;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straddles, collars or other similar risk reduction or hedging devices; and</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publicly-traded options relating to the Company’s securities (i.e., options that are not granted by the Company).</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u w:val="single" w:color="auto"/>
          <w:color w:val="auto"/>
        </w:rPr>
        <w:t>Post-Separation Transactions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Policy will no longer apply after separation from service with the Company. However, if an individual is in possession of material non-public information when he or she leaves the Company, that individual may not trade in the Company’s securities until that information has become public or is no longer material, and it would be prudent for the individual, if he or she is subject to a black-out period upon separation of service, to refrain from trading until those restrictions no longer apply to Company personnel. In addition, if an individual is subject to Section 16 by virtue of his or her position as a member of Senior Management of the Company, he or she will remain subject to the pre-clearance procedures set forth above under “Pre-Clearance of All Acquisitions, Sales and Other Transfers by Certain Company Personnel” for as long as he or she is subject to Section 16.</w:t>
      </w:r>
    </w:p>
    <w:p>
      <w:pPr>
        <w:spacing w:after="0" w:line="18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u w:val="single" w:color="auto"/>
          <w:color w:val="auto"/>
        </w:rPr>
        <w:t>Company Assistance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Any person who has any questions about specific transactions or this Policy in general may obtain additional guidance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1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4420" w:type="dxa"/>
            <w:vAlign w:val="bottom"/>
            <w:gridSpan w:val="3"/>
          </w:tcPr>
          <w:p>
            <w:pPr>
              <w:spacing w:after="0"/>
              <w:rPr>
                <w:sz w:val="17"/>
                <w:szCs w:val="17"/>
                <w:color w:val="auto"/>
              </w:rPr>
            </w:pPr>
          </w:p>
        </w:tc>
      </w:tr>
      <w:tr>
        <w:trPr>
          <w:trHeight w:val="466"/>
        </w:trPr>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0" w:type="dxa"/>
            <w:vAlign w:val="bottom"/>
            <w:gridSpan w:val="7"/>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Certification Under Insider Trading Policy</w:t>
            </w:r>
          </w:p>
        </w:tc>
      </w:tr>
      <w:tr>
        <w:trPr>
          <w:trHeight w:val="20"/>
        </w:trPr>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40" w:type="dxa"/>
            <w:vAlign w:val="bottom"/>
            <w:gridSpan w:val="5"/>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488"/>
        </w:trPr>
        <w:tc>
          <w:tcPr>
            <w:tcW w:w="460" w:type="dxa"/>
            <w:vAlign w:val="bottom"/>
          </w:tcPr>
          <w:p>
            <w:pPr>
              <w:spacing w:after="0"/>
              <w:rPr>
                <w:sz w:val="24"/>
                <w:szCs w:val="24"/>
                <w:color w:val="auto"/>
              </w:rPr>
            </w:pPr>
          </w:p>
        </w:tc>
        <w:tc>
          <w:tcPr>
            <w:tcW w:w="946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The undersigned hereby certifies that he/she has read and understands, and agrees to comply with, the Company’s Insider</w:t>
            </w:r>
          </w:p>
        </w:tc>
      </w:tr>
      <w:tr>
        <w:trPr>
          <w:trHeight w:val="194"/>
        </w:trPr>
        <w:tc>
          <w:tcPr>
            <w:tcW w:w="2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Trading Policy, made effective</w:t>
            </w:r>
          </w:p>
        </w:tc>
        <w:tc>
          <w:tcPr>
            <w:tcW w:w="1060" w:type="dxa"/>
            <w:vAlign w:val="bottom"/>
          </w:tcPr>
          <w:p>
            <w:pPr>
              <w:spacing w:after="0"/>
              <w:rPr>
                <w:sz w:val="16"/>
                <w:szCs w:val="16"/>
                <w:color w:val="auto"/>
              </w:rPr>
            </w:pPr>
          </w:p>
        </w:tc>
        <w:tc>
          <w:tcPr>
            <w:tcW w:w="6600" w:type="dxa"/>
            <w:vAlign w:val="bottom"/>
            <w:gridSpan w:val="7"/>
          </w:tcPr>
          <w:p>
            <w:pPr>
              <w:ind w:left="340"/>
              <w:spacing w:after="0" w:line="194" w:lineRule="exact"/>
              <w:rPr>
                <w:sz w:val="20"/>
                <w:szCs w:val="20"/>
                <w:color w:val="auto"/>
              </w:rPr>
            </w:pPr>
            <w:r>
              <w:rPr>
                <w:rFonts w:ascii="Times New Roman" w:cs="Times New Roman" w:eastAsia="Times New Roman" w:hAnsi="Times New Roman"/>
                <w:sz w:val="18"/>
                <w:szCs w:val="18"/>
                <w:color w:val="auto"/>
              </w:rPr>
              <w:t>, a copy of which was distributed with this Certification.</w:t>
            </w:r>
          </w:p>
        </w:tc>
      </w:tr>
      <w:tr>
        <w:trPr>
          <w:trHeight w:val="46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8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Signature:</w:t>
            </w:r>
          </w:p>
        </w:tc>
      </w:tr>
      <w:tr>
        <w:trPr>
          <w:trHeight w:val="20"/>
        </w:trPr>
        <w:tc>
          <w:tcPr>
            <w:tcW w:w="4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27260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(Please Print)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17145</wp:posOffset>
            </wp:positionV>
            <wp:extent cx="2726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Independent Registered Public Accounting Firm’s Consent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on Form S-3 (Nos. 333-273726, 333-239913, 333-225531, 333-233419 and 333-264026) and on Form S-8 (Nos. 333-254508, 333-268004 and 333-264028) of our report dated April 15, 2025, relating to the consolidated financial statements of XWELL, Inc. appearing in this Annual Report on Form 10-K for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4"/>
          <w:szCs w:val="14"/>
          <w:color w:val="auto"/>
        </w:rPr>
        <w:t>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Morristown, New Jersey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Ezra T. Ernst,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XWELL,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332"/>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Ian Brown,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XWELL, Inc.;</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332"/>
        <w:spacing w:after="0" w:line="282"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332"/>
        <w:spacing w:after="0" w:line="282"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Thomas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XWELL, Inc., a Delaware corporation (the “Company”), does hereby certify, to such officer’s knowledge, that: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Annual Report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15,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Ezra T. Ernst</w:t>
            </w:r>
          </w:p>
        </w:tc>
      </w:tr>
      <w:tr>
        <w:trPr>
          <w:trHeight w:val="205"/>
        </w:trPr>
        <w:tc>
          <w:tcPr>
            <w:tcW w:w="496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88"/>
        </w:trPr>
        <w:tc>
          <w:tcPr>
            <w:tcW w:w="4960" w:type="dxa"/>
            <w:vAlign w:val="bottom"/>
          </w:tcPr>
          <w:p>
            <w:pPr>
              <w:spacing w:after="0"/>
              <w:rPr>
                <w:sz w:val="24"/>
                <w:szCs w:val="24"/>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Thomas Ian Brown</w:t>
            </w:r>
          </w:p>
        </w:tc>
      </w:tr>
      <w:tr>
        <w:trPr>
          <w:trHeight w:val="228"/>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97"/>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upperLetter"/>
      <w:start w:val="9"/>
    </w:lvl>
    <w:lvl w:ilvl="1">
      <w:lvlJc w:val="left"/>
      <w:lvlText w:val="●"/>
      <w:numFmt w:val="bullet"/>
      <w:start w:val="1"/>
    </w:lvl>
  </w:abstractNum>
  <w:abstractNum w:abstractNumId="35">
    <w:nsid w:val="3DC240FB"/>
    <w:multiLevelType w:val="hybridMultilevel"/>
    <w:lvl w:ilvl="0">
      <w:lvlJc w:val="left"/>
      <w:lvlText w:val="1"/>
      <w:numFmt w:val="bullet"/>
      <w:start w:val="1"/>
    </w:lvl>
  </w:abstractNum>
  <w:abstractNum w:abstractNumId="36">
    <w:nsid w:val="1BA026FA"/>
    <w:multiLevelType w:val="hybridMultilevel"/>
    <w:lvl w:ilvl="0">
      <w:lvlJc w:val="left"/>
      <w:lvlText w:val="%1."/>
      <w:numFmt w:val="upperLetter"/>
      <w:start w:val="35"/>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¾"/>
      <w:numFmt w:val="bullet"/>
      <w:start w:val="1"/>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1."/>
      <w:numFmt w:val="upperLetter"/>
      <w:start w:val="6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1"/>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2"/>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1)"/>
      <w:numFmt w:val="decimal"/>
      <w:start w:val="4"/>
    </w:lvl>
  </w:abstractNum>
  <w:abstractNum w:abstractNumId="52">
    <w:nsid w:val="354FE9F9"/>
    <w:multiLevelType w:val="hybridMultilevel"/>
    <w:lvl w:ilvl="0">
      <w:lvlJc w:val="left"/>
      <w:lvlText w:val="4"/>
      <w:numFmt w:val="bullet"/>
      <w:start w:val="1"/>
    </w:lvl>
  </w:abstractNum>
  <w:abstractNum w:abstractNumId="53">
    <w:nsid w:val="15B5AF5C"/>
    <w:multiLevelType w:val="hybridMultilevel"/>
    <w:lvl w:ilvl="0">
      <w:lvlJc w:val="left"/>
      <w:lvlText w:val="%1."/>
      <w:numFmt w:val="upperLetter"/>
      <w:start w:val="22"/>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5"/>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5"/>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5"/>
    </w:lvl>
  </w:abstractNum>
  <w:abstractNum w:abstractNumId="64">
    <w:nsid w:val="2F305DE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83" Type="http://schemas.openxmlformats.org/officeDocument/2006/relationships/image" Target="media/image53.png"/><Relationship Id="rId97" Type="http://schemas.openxmlformats.org/officeDocument/2006/relationships/image" Target="media/image54.png"/><Relationship Id="rId99" Type="http://schemas.openxmlformats.org/officeDocument/2006/relationships/image" Target="media/image55.png"/><Relationship Id="rId100" Type="http://schemas.openxmlformats.org/officeDocument/2006/relationships/image" Target="media/image56.png"/><Relationship Id="rId101" Type="http://schemas.openxmlformats.org/officeDocument/2006/relationships/image" Target="media/image57.png"/><Relationship Id="rId10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jpe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59" Type="http://schemas.openxmlformats.org/officeDocument/2006/relationships/hyperlink" Target="https://www.sec.gov/Archives/edgar/data/1410428/000114420416117230/v446257_ex2-1.htm" TargetMode="External"/><Relationship Id="rId60" Type="http://schemas.openxmlformats.org/officeDocument/2006/relationships/hyperlink" Target="https://www.sec.gov/Archives/edgar/data/1410428/000114420416123414/v448507_ex2-1.htm" TargetMode="External"/><Relationship Id="rId61" Type="http://schemas.openxmlformats.org/officeDocument/2006/relationships/hyperlink" Target="https://www.sec.gov/Archives/edgar/data/1410428/000114420416129472/v451220_ex2-1.htm" TargetMode="External"/><Relationship Id="rId62" Type="http://schemas.openxmlformats.org/officeDocument/2006/relationships/hyperlink" Target="https://www.sec.gov/Archives/edgar/data/1410428/000114420419047032/tv530541_ex10-1.htm" TargetMode="External"/><Relationship Id="rId63" Type="http://schemas.openxmlformats.org/officeDocument/2006/relationships/hyperlink" Target="https://www.sec.gov/Archives/edgar/data/1410428/000110465922110803/tm2228726d1_ex3-1.htm" TargetMode="External"/><Relationship Id="rId64" Type="http://schemas.openxmlformats.org/officeDocument/2006/relationships/hyperlink" Target="https://www.sec.gov/Archives/edgar/data/1410428/000110465922110803/tm2228726d1_ex3-2.htm" TargetMode="External"/><Relationship Id="rId65" Type="http://schemas.openxmlformats.org/officeDocument/2006/relationships/hyperlink" Target="https://www.sec.gov/Archives/edgar/data/1410428/000110465924063832/tm2415030d1_ex3-1.htm" TargetMode="External"/><Relationship Id="rId66" Type="http://schemas.openxmlformats.org/officeDocument/2006/relationships/hyperlink" Target="https://www.sec.gov/Archives/edgar/data/1410428/000110465923104093/tm2327010d1_ex3-1.htm" TargetMode="External"/><Relationship Id="rId68" Type="http://schemas.openxmlformats.org/officeDocument/2006/relationships/hyperlink" Target="https://www.sec.gov/Archives/edgar/data/1410428/000110465924090328/tm2421867d1_ex3-1.htm" TargetMode="External"/><Relationship Id="rId69" Type="http://schemas.openxmlformats.org/officeDocument/2006/relationships/hyperlink" Target="https://www.sec.gov/Archives/edgar/data/1410428/000110465925003620/tm253251d1_ex3-1.htm" TargetMode="External"/><Relationship Id="rId70" Type="http://schemas.openxmlformats.org/officeDocument/2006/relationships/hyperlink" Target="https://www.sec.gov/Archives/edgar/data/0001410428/000110465920048780/tm205324d1_ex4-22.htm" TargetMode="External"/><Relationship Id="rId71" Type="http://schemas.openxmlformats.org/officeDocument/2006/relationships/hyperlink" Target="https://www.sec.gov/Archives/edgar/data/1410428/000110465924090328/tm2421867d1_ex4-1.htm" TargetMode="External"/><Relationship Id="rId72" Type="http://schemas.openxmlformats.org/officeDocument/2006/relationships/hyperlink" Target="https://www.sec.gov/Archives/edgar/data/1410428/000110465925003620/tm253251d1_ex4-1.htm" TargetMode="External"/><Relationship Id="rId73" Type="http://schemas.openxmlformats.org/officeDocument/2006/relationships/hyperlink" Target="https://www.sec.gov/Archives/edgar/data/1410428/000110465925003620/tm253251d1_ex4-2.htm" TargetMode="External"/><Relationship Id="rId74" Type="http://schemas.openxmlformats.org/officeDocument/2006/relationships/hyperlink" Target="https://www.sec.gov/Archives/edgar/data/1410428/000119312510069268/dex45.htm" TargetMode="External"/><Relationship Id="rId75" Type="http://schemas.openxmlformats.org/officeDocument/2006/relationships/hyperlink" Target="https://www.sec.gov/Archives/edgar/data/1410428/000114420412041064/v319421_ex99-2.htm" TargetMode="External"/><Relationship Id="rId76" Type="http://schemas.openxmlformats.org/officeDocument/2006/relationships/hyperlink" Target="https://www.sec.gov/Archives/edgar/data/1410428/000114420412041064/v319421_ex99-3.htm" TargetMode="External"/><Relationship Id="rId77" Type="http://schemas.openxmlformats.org/officeDocument/2006/relationships/hyperlink" Target="https://www.sec.gov/Archives/edgar/data/1410428/000114420413016671/v333989_ex10-24.htm" TargetMode="External"/><Relationship Id="rId78" Type="http://schemas.openxmlformats.org/officeDocument/2006/relationships/hyperlink" Target="https://www.sec.gov/Archives/edgar/data/1410428/000155837021003840/xspa-20201231ex103530ae1.htm" TargetMode="External"/><Relationship Id="rId79" Type="http://schemas.openxmlformats.org/officeDocument/2006/relationships/hyperlink" Target="https://www.sec.gov/Archives/edgar/data/1410428/000155837021003840/xspa-20201231ex1036b4f7e.htm" TargetMode="External"/><Relationship Id="rId80" Type="http://schemas.openxmlformats.org/officeDocument/2006/relationships/hyperlink" Target="https://www.sec.gov/Archives/edgar/data/1410428/000110465920109366/tm2031943d1_ex10-1.htm" TargetMode="External"/><Relationship Id="rId81" Type="http://schemas.openxmlformats.org/officeDocument/2006/relationships/hyperlink" Target="https://www.sec.gov/Archives/edgar/data/1410428/000110465920120037/tm2034656d1_ex10-1.htm" TargetMode="External"/><Relationship Id="rId82" Type="http://schemas.openxmlformats.org/officeDocument/2006/relationships/hyperlink" Target="https://www.sec.gov/Archives/edgar/data/1410428/000155837021005390/tmb-20201231xex10d45.htm" TargetMode="External"/><Relationship Id="rId84" Type="http://schemas.openxmlformats.org/officeDocument/2006/relationships/hyperlink" Target="https://www.sec.gov/Archives/edgar/data/1410428/000155837022017847/xwel-20220930xex10d2.htm" TargetMode="External"/><Relationship Id="rId85" Type="http://schemas.openxmlformats.org/officeDocument/2006/relationships/hyperlink" Target="https://www.sec.gov/Archives/edgar/data/1410428/000110465922041088/tm2210786d1_ex10-1.htm" TargetMode="External"/><Relationship Id="rId86" Type="http://schemas.openxmlformats.org/officeDocument/2006/relationships/hyperlink" Target="https://www.sec.gov/Archives/edgar/data/1410428/000155837022004897/xspa-20211231xex10d48.htm" TargetMode="External"/><Relationship Id="rId87" Type="http://schemas.openxmlformats.org/officeDocument/2006/relationships/hyperlink" Target="https://www.sec.gov/Archives/edgar/data/1410428/000110465922111225/tm2228862d1_ex10-1.htm" TargetMode="External"/><Relationship Id="rId88" Type="http://schemas.openxmlformats.org/officeDocument/2006/relationships/hyperlink" Target="https://www.sec.gov/Archives/edgar/data/1410428/000110465923075565/tm2319842d1_ex10-1.htm" TargetMode="External"/><Relationship Id="rId89" Type="http://schemas.openxmlformats.org/officeDocument/2006/relationships/hyperlink" Target="https://www.sec.gov/Archives/edgar/data/1410428/000110465924097147/tm2423402d1_ex10-1.htm" TargetMode="External"/><Relationship Id="rId90" Type="http://schemas.openxmlformats.org/officeDocument/2006/relationships/hyperlink" Target="https://www.sec.gov/Archives/edgar/data/1410428/000110465924097147/tm2423402d1_ex10-2.htm" TargetMode="External"/><Relationship Id="rId91" Type="http://schemas.openxmlformats.org/officeDocument/2006/relationships/hyperlink" Target="https://www.sec.gov/Archives/edgar/data/1410428/000110465925001576/tm251904d1_ex10-1.htm" TargetMode="External"/><Relationship Id="rId92" Type="http://schemas.openxmlformats.org/officeDocument/2006/relationships/hyperlink" Target="https://www.sec.gov/Archives/edgar/data/1410428/000110465925001576/tm251904d1_ex10-2.htm" TargetMode="External"/><Relationship Id="rId93" Type="http://schemas.openxmlformats.org/officeDocument/2006/relationships/hyperlink" Target="https://www.sec.gov/Archives/edgar/data/1410428/000110465924086582/tm2421027d1_ex10-1.htm" TargetMode="External"/><Relationship Id="rId94" Type="http://schemas.openxmlformats.org/officeDocument/2006/relationships/hyperlink" Target="https://www.sec.gov/Archives/edgar/data/1410428/000110465925003620/tm253251d1_ex10-1.htm" TargetMode="External"/><Relationship Id="rId95" Type="http://schemas.openxmlformats.org/officeDocument/2006/relationships/hyperlink" Target="https://www.sec.gov/Archives/edgar/data/1410428/000110465925003620/tm253251d1_ex10-2.htm" TargetMode="External"/><Relationship Id="rId96" Type="http://schemas.openxmlformats.org/officeDocument/2006/relationships/hyperlink" Target="https://www.sec.gov/Archives/edgar/data/1410428/000155837024005211/xwel-20231231xex21d1.htm" TargetMode="External"/><Relationship Id="rId98" Type="http://schemas.openxmlformats.org/officeDocument/2006/relationships/hyperlink" Target="https://www.sec.gov/Archives/edgar/data/1410428/000155837024005211/xwel-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2025-04-15T16:30:09Z</dcterms:created>
  <dcterms:modified xsi:type="dcterms:W3CDTF">2025-04-15T16:30:09Z</dcterms:modified>
</cp:coreProperties>
</file>