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231F20"/>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31F20"/>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231F20"/>
        </w:rPr>
        <w:t>SCHEDULE 14A</w:t>
      </w:r>
    </w:p>
    <w:p>
      <w:pPr>
        <w:spacing w:after="0" w:line="234" w:lineRule="exact"/>
        <w:rPr>
          <w:sz w:val="24"/>
          <w:szCs w:val="24"/>
          <w:color w:val="auto"/>
        </w:rPr>
      </w:pPr>
    </w:p>
    <w:p>
      <w:pPr>
        <w:jc w:val="right"/>
        <w:ind w:right="1559"/>
        <w:spacing w:after="0"/>
        <w:rPr>
          <w:sz w:val="20"/>
          <w:szCs w:val="20"/>
          <w:color w:val="auto"/>
        </w:rPr>
      </w:pPr>
      <w:r>
        <w:rPr>
          <w:rFonts w:ascii="Arial" w:cs="Arial" w:eastAsia="Arial" w:hAnsi="Arial"/>
          <w:sz w:val="18"/>
          <w:szCs w:val="18"/>
          <w:color w:val="231F20"/>
        </w:rPr>
        <w:t>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Filed by the Registrant </w:t>
      </w:r>
      <w:r>
        <w:rPr>
          <w:rFonts w:ascii="MS PGothic" w:cs="MS PGothic" w:eastAsia="MS PGothic" w:hAnsi="MS PGothic"/>
          <w:sz w:val="18"/>
          <w:szCs w:val="18"/>
          <w:color w:val="231F20"/>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231F20"/>
        </w:rPr>
        <w:t>Check the appropriate box:</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231F20"/>
        </w:rPr>
      </w:pPr>
      <w:r>
        <w:rPr>
          <w:rFonts w:ascii="Arial" w:cs="Arial" w:eastAsia="Arial" w:hAnsi="Arial"/>
          <w:sz w:val="18"/>
          <w:szCs w:val="18"/>
          <w:color w:val="231F20"/>
        </w:rPr>
        <w:t>Preliminary Proxy Statement</w:t>
      </w:r>
    </w:p>
    <w:p>
      <w:pPr>
        <w:spacing w:after="0" w:line="221"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231F20"/>
        </w:rPr>
      </w:pPr>
      <w:r>
        <w:rPr>
          <w:rFonts w:ascii="Arial" w:cs="Arial" w:eastAsia="Arial" w:hAnsi="Arial"/>
          <w:sz w:val="18"/>
          <w:szCs w:val="18"/>
          <w:b w:val="1"/>
          <w:bCs w:val="1"/>
          <w:color w:val="231F20"/>
        </w:rPr>
        <w:t>Confidential, for Use of the Commission Only (as permitted by Rule 14a-6(e)(2))</w:t>
      </w:r>
    </w:p>
    <w:p>
      <w:pPr>
        <w:spacing w:after="0" w:line="229" w:lineRule="exact"/>
        <w:rPr>
          <w:rFonts w:ascii="MS PGothic" w:cs="MS PGothic" w:eastAsia="MS PGothic" w:hAnsi="MS PGothic"/>
          <w:sz w:val="18"/>
          <w:szCs w:val="18"/>
          <w:color w:val="231F20"/>
        </w:rPr>
      </w:pPr>
    </w:p>
    <w:p>
      <w:pPr>
        <w:ind w:left="660" w:hanging="328"/>
        <w:spacing w:after="0"/>
        <w:tabs>
          <w:tab w:leader="none" w:pos="660" w:val="left"/>
        </w:tabs>
        <w:numPr>
          <w:ilvl w:val="0"/>
          <w:numId w:val="2"/>
        </w:numPr>
        <w:rPr>
          <w:rFonts w:ascii="MS PGothic" w:cs="MS PGothic" w:eastAsia="MS PGothic" w:hAnsi="MS PGothic"/>
          <w:sz w:val="18"/>
          <w:szCs w:val="18"/>
          <w:color w:val="231F20"/>
        </w:rPr>
      </w:pPr>
      <w:r>
        <w:rPr>
          <w:rFonts w:ascii="Arial" w:cs="Arial" w:eastAsia="Arial" w:hAnsi="Arial"/>
          <w:sz w:val="18"/>
          <w:szCs w:val="18"/>
          <w:color w:val="231F20"/>
        </w:rPr>
        <w:t>Definitive Proxy Statement</w:t>
      </w:r>
    </w:p>
    <w:p>
      <w:pPr>
        <w:spacing w:after="0" w:line="225" w:lineRule="exact"/>
        <w:rPr>
          <w:rFonts w:ascii="MS PGothic" w:cs="MS PGothic" w:eastAsia="MS PGothic" w:hAnsi="MS PGothic"/>
          <w:sz w:val="18"/>
          <w:szCs w:val="18"/>
          <w:color w:val="231F20"/>
        </w:rPr>
      </w:pPr>
    </w:p>
    <w:p>
      <w:pPr>
        <w:ind w:left="660" w:hanging="328"/>
        <w:spacing w:after="0"/>
        <w:tabs>
          <w:tab w:leader="none" w:pos="660" w:val="left"/>
        </w:tabs>
        <w:numPr>
          <w:ilvl w:val="0"/>
          <w:numId w:val="2"/>
        </w:numPr>
        <w:rPr>
          <w:rFonts w:ascii="MS PGothic" w:cs="MS PGothic" w:eastAsia="MS PGothic" w:hAnsi="MS PGothic"/>
          <w:sz w:val="18"/>
          <w:szCs w:val="18"/>
          <w:color w:val="231F20"/>
        </w:rPr>
      </w:pPr>
      <w:r>
        <w:rPr>
          <w:rFonts w:ascii="Arial" w:cs="Arial" w:eastAsia="Arial" w:hAnsi="Arial"/>
          <w:sz w:val="18"/>
          <w:szCs w:val="18"/>
          <w:color w:val="231F20"/>
        </w:rPr>
        <w:t>Definitive Additional Materials</w:t>
      </w:r>
    </w:p>
    <w:p>
      <w:pPr>
        <w:spacing w:after="0" w:line="225" w:lineRule="exact"/>
        <w:rPr>
          <w:rFonts w:ascii="MS PGothic" w:cs="MS PGothic" w:eastAsia="MS PGothic" w:hAnsi="MS PGothic"/>
          <w:sz w:val="18"/>
          <w:szCs w:val="18"/>
          <w:color w:val="231F20"/>
        </w:rPr>
      </w:pPr>
    </w:p>
    <w:p>
      <w:pPr>
        <w:ind w:left="660" w:hanging="328"/>
        <w:spacing w:after="0"/>
        <w:tabs>
          <w:tab w:leader="none" w:pos="660" w:val="left"/>
        </w:tabs>
        <w:numPr>
          <w:ilvl w:val="0"/>
          <w:numId w:val="2"/>
        </w:numPr>
        <w:rPr>
          <w:rFonts w:ascii="MS PGothic" w:cs="MS PGothic" w:eastAsia="MS PGothic" w:hAnsi="MS PGothic"/>
          <w:sz w:val="18"/>
          <w:szCs w:val="18"/>
          <w:color w:val="231F20"/>
        </w:rPr>
      </w:pPr>
      <w:r>
        <w:rPr>
          <w:rFonts w:ascii="Arial" w:cs="Arial" w:eastAsia="Arial" w:hAnsi="Arial"/>
          <w:sz w:val="18"/>
          <w:szCs w:val="18"/>
          <w:color w:val="231F20"/>
        </w:rPr>
        <w:t>Soliciting Material Under Rule 14a-12</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231F20"/>
        </w:rPr>
        <w:t>XWELL, Inc.</w:t>
      </w:r>
    </w:p>
    <w:p>
      <w:pPr>
        <w:spacing w:after="0" w:line="39" w:lineRule="exact"/>
        <w:rPr>
          <w:sz w:val="24"/>
          <w:szCs w:val="24"/>
          <w:color w:val="auto"/>
        </w:rPr>
      </w:pPr>
    </w:p>
    <w:p>
      <w:pPr>
        <w:ind w:left="3900"/>
        <w:spacing w:after="0"/>
        <w:rPr>
          <w:sz w:val="20"/>
          <w:szCs w:val="20"/>
          <w:color w:val="auto"/>
        </w:rPr>
      </w:pPr>
      <w:r>
        <w:rPr>
          <w:rFonts w:ascii="Arial" w:cs="Arial" w:eastAsia="Arial" w:hAnsi="Arial"/>
          <w:sz w:val="18"/>
          <w:szCs w:val="18"/>
          <w:color w:val="231F20"/>
        </w:rPr>
        <w:t>(Name of Registrant as Specified In Its Charter)</w:t>
      </w:r>
    </w:p>
    <w:p>
      <w:pPr>
        <w:spacing w:after="0" w:line="200" w:lineRule="exact"/>
        <w:rPr>
          <w:sz w:val="24"/>
          <w:szCs w:val="24"/>
          <w:color w:val="auto"/>
        </w:rPr>
      </w:pPr>
    </w:p>
    <w:p>
      <w:pPr>
        <w:spacing w:after="0" w:line="239" w:lineRule="exact"/>
        <w:rPr>
          <w:sz w:val="24"/>
          <w:szCs w:val="24"/>
          <w:color w:val="auto"/>
        </w:rPr>
      </w:pPr>
    </w:p>
    <w:p>
      <w:pPr>
        <w:ind w:left="3020"/>
        <w:spacing w:after="0"/>
        <w:rPr>
          <w:sz w:val="20"/>
          <w:szCs w:val="20"/>
          <w:color w:val="auto"/>
        </w:rPr>
      </w:pPr>
      <w:r>
        <w:rPr>
          <w:rFonts w:ascii="Arial" w:cs="Arial" w:eastAsia="Arial" w:hAnsi="Arial"/>
          <w:sz w:val="17"/>
          <w:szCs w:val="17"/>
          <w:color w:val="231F20"/>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231F20"/>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231F20"/>
        </w:rPr>
      </w:pPr>
      <w:r>
        <w:rPr>
          <w:rFonts w:ascii="Arial" w:cs="Arial" w:eastAsia="Arial" w:hAnsi="Arial"/>
          <w:sz w:val="18"/>
          <w:szCs w:val="18"/>
          <w:color w:val="231F20"/>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231F20"/>
        </w:rPr>
      </w:pPr>
      <w:r>
        <w:rPr>
          <w:rFonts w:ascii="Arial" w:cs="Arial" w:eastAsia="Arial" w:hAnsi="Arial"/>
          <w:sz w:val="18"/>
          <w:szCs w:val="18"/>
          <w:color w:val="231F20"/>
        </w:rPr>
        <w:t>Fee paid previously with preliminary materials.</w:t>
      </w:r>
    </w:p>
    <w:p>
      <w:pPr>
        <w:spacing w:after="0" w:line="225" w:lineRule="exact"/>
        <w:rPr>
          <w:rFonts w:ascii="MS PGothic" w:cs="MS PGothic" w:eastAsia="MS PGothic" w:hAnsi="MS PGothic"/>
          <w:sz w:val="18"/>
          <w:szCs w:val="18"/>
          <w:color w:val="231F20"/>
        </w:rPr>
      </w:pPr>
    </w:p>
    <w:p>
      <w:pPr>
        <w:ind w:left="340" w:hanging="332"/>
        <w:spacing w:after="0"/>
        <w:tabs>
          <w:tab w:leader="none" w:pos="340" w:val="left"/>
        </w:tabs>
        <w:numPr>
          <w:ilvl w:val="0"/>
          <w:numId w:val="4"/>
        </w:numPr>
        <w:rPr>
          <w:rFonts w:ascii="MS PGothic" w:cs="MS PGothic" w:eastAsia="MS PGothic" w:hAnsi="MS PGothic"/>
          <w:sz w:val="18"/>
          <w:szCs w:val="18"/>
          <w:color w:val="231F20"/>
        </w:rPr>
      </w:pPr>
      <w:r>
        <w:rPr>
          <w:rFonts w:ascii="Arial" w:cs="Arial" w:eastAsia="Arial" w:hAnsi="Arial"/>
          <w:sz w:val="18"/>
          <w:szCs w:val="18"/>
          <w:color w:val="231F20"/>
        </w:rPr>
        <w:t>Fee computed on table in exhibit required by Item 25(b) per Exchange Act Rules 14A-6(i)(1) and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2814320</wp:posOffset>
            </wp:positionH>
            <wp:positionV relativeFrom="page">
              <wp:posOffset>586105</wp:posOffset>
            </wp:positionV>
            <wp:extent cx="192024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83210"/>
                    </a:xfrm>
                    <a:prstGeom prst="rect">
                      <a:avLst/>
                    </a:prstGeom>
                    <a:noFill/>
                  </pic:spPr>
                </pic:pic>
              </a:graphicData>
            </a:graphic>
          </wp:anchor>
        </w:drawing>
        <w:t>254 West 31</w:t>
      </w:r>
      <w:r>
        <w:rPr>
          <w:rFonts w:ascii="Arial" w:cs="Arial" w:eastAsia="Arial" w:hAnsi="Arial"/>
          <w:sz w:val="38"/>
          <w:szCs w:val="38"/>
          <w:color w:val="auto"/>
          <w:vertAlign w:val="superscript"/>
        </w:rPr>
        <w:t>st</w:t>
      </w:r>
      <w:r>
        <w:rPr>
          <w:rFonts w:ascii="Arial" w:cs="Arial" w:eastAsia="Arial" w:hAnsi="Arial"/>
          <w:sz w:val="23"/>
          <w:szCs w:val="23"/>
          <w:color w:val="auto"/>
        </w:rPr>
        <w:t xml:space="preserve"> Street, 11</w:t>
      </w:r>
      <w:r>
        <w:rPr>
          <w:rFonts w:ascii="Arial" w:cs="Arial" w:eastAsia="Arial" w:hAnsi="Arial"/>
          <w:sz w:val="38"/>
          <w:szCs w:val="38"/>
          <w:color w:val="auto"/>
          <w:vertAlign w:val="superscript"/>
        </w:rPr>
        <w:t>th</w:t>
      </w:r>
      <w:r>
        <w:rPr>
          <w:rFonts w:ascii="Arial" w:cs="Arial" w:eastAsia="Arial" w:hAnsi="Arial"/>
          <w:sz w:val="23"/>
          <w:szCs w:val="23"/>
          <w:color w:val="auto"/>
        </w:rPr>
        <w:t xml:space="preserve"> Floor, New York, NY 10001</w:t>
      </w:r>
    </w:p>
    <w:p>
      <w:pPr>
        <w:spacing w:after="0" w:line="112"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231F20"/>
        </w:rPr>
        <w:t>July 14, 2023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To Our Stockholders: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You are cordially invited to attend the 2023 annual meeting of stockholders of XWELL, Inc. to be held at 11:00 a.m. EDT on Tuesday, August 22, 2023.</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 xml:space="preserve">The 2023 annual meeting will be a virtual meeting via live webcast on the internet. You will be able to attend the Stockholder Meeting by first registering at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 You will receive a meeting invitation by e-mail with your unique join link along with a password prior to the meeting date. Stockholders will be able to listen, vote and submit questions during the virtual meeting. You will not be able to attend the annual meeting in person.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Details regarding the meeting, the business to be conducted at the meeting, and information about XWELL, Inc. that you should consider when you vote your shares are described in the accompanying proxy statement.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At the annual meeting, we will ask stockholders to consider the following proposals:</w:t>
      </w:r>
    </w:p>
    <w:p>
      <w:pPr>
        <w:spacing w:after="0" w:line="22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To elect Scott R. Milford, Bruce T. Bernstein, Robert Weinstein, Donald E. Stout and Michael Lebowitz to our Board of Directors;</w:t>
      </w:r>
    </w:p>
    <w:p>
      <w:pPr>
        <w:spacing w:after="0" w:line="225" w:lineRule="exact"/>
        <w:rPr>
          <w:rFonts w:ascii="Arial" w:cs="Arial" w:eastAsia="Arial" w:hAnsi="Arial"/>
          <w:sz w:val="18"/>
          <w:szCs w:val="18"/>
          <w:color w:val="231F20"/>
        </w:rPr>
      </w:pPr>
    </w:p>
    <w:p>
      <w:pPr>
        <w:ind w:left="640" w:hanging="308"/>
        <w:spacing w:after="0"/>
        <w:tabs>
          <w:tab w:leader="none" w:pos="64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To ratify the selection of Marcum LLP as our independent registered public accounting firm for the fiscal year ending December 31, 2023;</w:t>
      </w:r>
    </w:p>
    <w:p>
      <w:pPr>
        <w:spacing w:after="0" w:line="236" w:lineRule="exact"/>
        <w:rPr>
          <w:rFonts w:ascii="Arial" w:cs="Arial" w:eastAsia="Arial" w:hAnsi="Arial"/>
          <w:sz w:val="17"/>
          <w:szCs w:val="17"/>
          <w:color w:val="231F20"/>
        </w:rPr>
      </w:pPr>
    </w:p>
    <w:p>
      <w:pPr>
        <w:ind w:left="640" w:hanging="308"/>
        <w:spacing w:after="0" w:line="277"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To approve a proposed amendment to the XWELL, Inc. Amended and Restated Certificate of Incorporation to effect a reverse stock split of our issued and outstanding shares of common stock, at a ratio of between 1-for-8 and 1-for-20;</w:t>
      </w:r>
    </w:p>
    <w:p>
      <w:pPr>
        <w:spacing w:after="0" w:line="170" w:lineRule="exact"/>
        <w:rPr>
          <w:rFonts w:ascii="Arial" w:cs="Arial" w:eastAsia="Arial" w:hAnsi="Arial"/>
          <w:sz w:val="18"/>
          <w:szCs w:val="18"/>
          <w:color w:val="231F20"/>
        </w:rPr>
      </w:pPr>
    </w:p>
    <w:p>
      <w:pPr>
        <w:ind w:left="640" w:hanging="308"/>
        <w:spacing w:after="0"/>
        <w:tabs>
          <w:tab w:leader="none" w:pos="64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To approve, by an advisory vote, the compensation of our named executive officers, as disclosed in the accompanying proxy statement; and</w:t>
      </w:r>
    </w:p>
    <w:p>
      <w:pPr>
        <w:spacing w:after="0" w:line="236" w:lineRule="exact"/>
        <w:rPr>
          <w:rFonts w:ascii="Arial" w:cs="Arial" w:eastAsia="Arial" w:hAnsi="Arial"/>
          <w:sz w:val="17"/>
          <w:szCs w:val="17"/>
          <w:color w:val="231F20"/>
        </w:rPr>
      </w:pPr>
    </w:p>
    <w:p>
      <w:pPr>
        <w:ind w:left="640" w:hanging="308"/>
        <w:spacing w:after="0" w:line="277" w:lineRule="auto"/>
        <w:tabs>
          <w:tab w:leader="none" w:pos="6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To approve an adjournment of our annual meeting of stockholders to solicit additional proxies if there are not sufficient votes in favor of proposals 2 through 4.</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231F20"/>
        </w:rPr>
        <w:t xml:space="preserve">The Board of Directors recommends the approval of each of these proposals. </w:t>
      </w:r>
      <w:r>
        <w:rPr>
          <w:rFonts w:ascii="Arial" w:cs="Arial" w:eastAsia="Arial" w:hAnsi="Arial"/>
          <w:sz w:val="18"/>
          <w:szCs w:val="18"/>
          <w:color w:val="231F20"/>
        </w:rPr>
        <w:t>Such other business will be transacted as may properly come before</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annual meeting.</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31F20"/>
        </w:rPr>
        <w:t>Thank you for your continued support of XWELL,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Scott R. Milford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723265</wp:posOffset>
            </wp:positionV>
            <wp:extent cx="192024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8321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1"/>
          <w:szCs w:val="21"/>
          <w:color w:val="auto"/>
        </w:rPr>
        <w:t>254 West 31</w:t>
      </w:r>
      <w:r>
        <w:rPr>
          <w:rFonts w:ascii="Arial" w:cs="Arial" w:eastAsia="Arial" w:hAnsi="Arial"/>
          <w:sz w:val="17"/>
          <w:szCs w:val="17"/>
          <w:color w:val="auto"/>
        </w:rPr>
        <w:t>st</w:t>
      </w:r>
      <w:r>
        <w:rPr>
          <w:rFonts w:ascii="Arial" w:cs="Arial" w:eastAsia="Arial" w:hAnsi="Arial"/>
          <w:sz w:val="21"/>
          <w:szCs w:val="21"/>
          <w:color w:val="auto"/>
        </w:rPr>
        <w:t xml:space="preserve"> Street, 11</w:t>
      </w:r>
      <w:r>
        <w:rPr>
          <w:rFonts w:ascii="Arial" w:cs="Arial" w:eastAsia="Arial" w:hAnsi="Arial"/>
          <w:sz w:val="17"/>
          <w:szCs w:val="17"/>
          <w:color w:val="auto"/>
        </w:rPr>
        <w:t>th</w:t>
      </w:r>
      <w:r>
        <w:rPr>
          <w:rFonts w:ascii="Arial" w:cs="Arial" w:eastAsia="Arial" w:hAnsi="Arial"/>
          <w:sz w:val="21"/>
          <w:szCs w:val="21"/>
          <w:color w:val="auto"/>
        </w:rPr>
        <w:t xml:space="preserve"> Floor, New York, NY 10001</w:t>
      </w:r>
    </w:p>
    <w:p>
      <w:pPr>
        <w:spacing w:after="0" w:line="308"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231F20"/>
        </w:rPr>
        <w:t>July 14, 2023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NOTICE OF 2023 ANNUAL MEETING OF STOCKHOLDERS</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TIME: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31F20"/>
        </w:rPr>
        <w:t>11:00 a.m., EDT</w:t>
      </w:r>
    </w:p>
    <w:p>
      <w:pPr>
        <w:spacing w:after="0" w:line="222" w:lineRule="exact"/>
        <w:rPr>
          <w:sz w:val="20"/>
          <w:szCs w:val="20"/>
          <w:color w:val="auto"/>
        </w:rPr>
      </w:pPr>
    </w:p>
    <w:p>
      <w:pPr>
        <w:sectPr>
          <w:pgSz w:w="11900" w:h="16838" w:orient="portrait"/>
          <w:cols w:equalWidth="0" w:num="2">
            <w:col w:w="500" w:space="480"/>
            <w:col w:w="10260"/>
          </w:cols>
          <w:pgMar w:left="320" w:top="144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231F20"/>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August 22, 2023</w:t>
      </w:r>
    </w:p>
    <w:p>
      <w:pPr>
        <w:spacing w:after="0" w:line="211" w:lineRule="exact"/>
        <w:rPr>
          <w:sz w:val="20"/>
          <w:szCs w:val="20"/>
          <w:color w:val="auto"/>
        </w:rPr>
      </w:pPr>
    </w:p>
    <w:p>
      <w:pPr>
        <w:sectPr>
          <w:pgSz w:w="11900" w:h="16838" w:orient="portrait"/>
          <w:cols w:equalWidth="0" w:num="2">
            <w:col w:w="520" w:space="460"/>
            <w:col w:w="10260"/>
          </w:cols>
          <w:pgMar w:left="320" w:top="144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231F20"/>
        </w:rPr>
        <w:t>ACCESS: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 xml:space="preserve">The 2023 annual meeting will be a virtual meeting via live webcast on the Internet. You will be able to attend the Stockholder Meeting by first registering at </w:t>
      </w:r>
      <w:r>
        <w:rPr>
          <w:rFonts w:ascii="Arial" w:cs="Arial" w:eastAsia="Arial" w:hAnsi="Arial"/>
          <w:sz w:val="17"/>
          <w:szCs w:val="17"/>
          <w:i w:val="1"/>
          <w:iCs w:val="1"/>
          <w:color w:val="231F20"/>
        </w:rPr>
        <w:t>www.viewproxy.com/XWELL/2023</w:t>
      </w:r>
      <w:r>
        <w:rPr>
          <w:rFonts w:ascii="Arial" w:cs="Arial" w:eastAsia="Arial" w:hAnsi="Arial"/>
          <w:sz w:val="17"/>
          <w:szCs w:val="17"/>
          <w:color w:val="231F20"/>
        </w:rPr>
        <w:t>. You will receive a meeting invitation by e-mail with your unique join link along with a password prior to the meeting date. Stockholders will be able to listen, vote and submit questions during the virtual meeting.</w:t>
      </w:r>
    </w:p>
    <w:p>
      <w:pPr>
        <w:spacing w:after="0" w:line="165" w:lineRule="exact"/>
        <w:rPr>
          <w:sz w:val="20"/>
          <w:szCs w:val="20"/>
          <w:color w:val="auto"/>
        </w:rPr>
      </w:pPr>
    </w:p>
    <w:p>
      <w:pPr>
        <w:sectPr>
          <w:pgSz w:w="11900" w:h="16838" w:orient="portrait"/>
          <w:cols w:equalWidth="0" w:num="2">
            <w:col w:w="740" w:space="240"/>
            <w:col w:w="1026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231F20"/>
        </w:rPr>
        <w:t>PURPOSES:</w:t>
      </w:r>
    </w:p>
    <w:p>
      <w:pPr>
        <w:spacing w:after="0" w:line="22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To elect Scott R. Milford, Bruce T. Bernstein, Robert Weinstein, Donald E. Stout and Michael Lebowitz to our Board of Directors;</w:t>
      </w:r>
    </w:p>
    <w:p>
      <w:pPr>
        <w:spacing w:after="0" w:line="225" w:lineRule="exact"/>
        <w:rPr>
          <w:rFonts w:ascii="Arial" w:cs="Arial" w:eastAsia="Arial" w:hAnsi="Arial"/>
          <w:sz w:val="18"/>
          <w:szCs w:val="18"/>
          <w:color w:val="231F20"/>
        </w:rPr>
      </w:pPr>
    </w:p>
    <w:p>
      <w:pPr>
        <w:ind w:left="640" w:hanging="308"/>
        <w:spacing w:after="0"/>
        <w:tabs>
          <w:tab w:leader="none" w:pos="640" w:val="left"/>
        </w:tabs>
        <w:numPr>
          <w:ilvl w:val="0"/>
          <w:numId w:val="6"/>
        </w:numPr>
        <w:rPr>
          <w:rFonts w:ascii="Arial" w:cs="Arial" w:eastAsia="Arial" w:hAnsi="Arial"/>
          <w:sz w:val="17"/>
          <w:szCs w:val="17"/>
          <w:color w:val="231F20"/>
        </w:rPr>
      </w:pPr>
      <w:r>
        <w:rPr>
          <w:rFonts w:ascii="Arial" w:cs="Arial" w:eastAsia="Arial" w:hAnsi="Arial"/>
          <w:sz w:val="17"/>
          <w:szCs w:val="17"/>
          <w:color w:val="231F20"/>
        </w:rPr>
        <w:t>To ratify the selection of Marcum LLP as our independent registered public accounting firm for the fiscal year ending December 31, 2023;</w:t>
      </w:r>
    </w:p>
    <w:p>
      <w:pPr>
        <w:spacing w:after="0" w:line="236" w:lineRule="exact"/>
        <w:rPr>
          <w:rFonts w:ascii="Arial" w:cs="Arial" w:eastAsia="Arial" w:hAnsi="Arial"/>
          <w:sz w:val="17"/>
          <w:szCs w:val="17"/>
          <w:color w:val="231F20"/>
        </w:rPr>
      </w:pPr>
    </w:p>
    <w:p>
      <w:pPr>
        <w:ind w:left="640" w:hanging="308"/>
        <w:spacing w:after="0" w:line="277" w:lineRule="auto"/>
        <w:tabs>
          <w:tab w:leader="none" w:pos="6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To approve a proposed amendment to the XWELL, Inc. Amended and Restated Certificate of Incorporation to effect a reverse stock split of our issued and outstanding shares of common stock, at a ratio of between 1-for-8 and 1-for-20;</w:t>
      </w:r>
    </w:p>
    <w:p>
      <w:pPr>
        <w:spacing w:after="0" w:line="170" w:lineRule="exact"/>
        <w:rPr>
          <w:rFonts w:ascii="Arial" w:cs="Arial" w:eastAsia="Arial" w:hAnsi="Arial"/>
          <w:sz w:val="18"/>
          <w:szCs w:val="18"/>
          <w:color w:val="231F20"/>
        </w:rPr>
      </w:pPr>
    </w:p>
    <w:p>
      <w:pPr>
        <w:ind w:left="640" w:hanging="308"/>
        <w:spacing w:after="0"/>
        <w:tabs>
          <w:tab w:leader="none" w:pos="6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To approve, by an advisory vote, the compensation of our named executive officers, as disclosed in the proxy statement; and</w:t>
      </w:r>
    </w:p>
    <w:p>
      <w:pPr>
        <w:spacing w:after="0" w:line="225" w:lineRule="exact"/>
        <w:rPr>
          <w:rFonts w:ascii="Arial" w:cs="Arial" w:eastAsia="Arial" w:hAnsi="Arial"/>
          <w:sz w:val="18"/>
          <w:szCs w:val="18"/>
          <w:color w:val="231F20"/>
        </w:rPr>
      </w:pPr>
    </w:p>
    <w:p>
      <w:pPr>
        <w:ind w:left="640" w:hanging="308"/>
        <w:spacing w:after="0" w:line="277" w:lineRule="auto"/>
        <w:tabs>
          <w:tab w:leader="none" w:pos="6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To approve an adjournment of our annual meeting of stockholders to solicit additional proxies if there are not sufficient votes in favor of proposals 2 through 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You may vote if you were the record owner of XWELL, Inc. common stock at the close of business on July 6, 2023. A list of stockholders of record</w:t>
      </w:r>
    </w:p>
    <w:p>
      <w:pPr>
        <w:spacing w:after="0" w:line="42" w:lineRule="exact"/>
        <w:rPr>
          <w:sz w:val="20"/>
          <w:szCs w:val="20"/>
          <w:color w:val="auto"/>
        </w:rPr>
      </w:pPr>
    </w:p>
    <w:p>
      <w:pPr>
        <w:jc w:val="both"/>
        <w:spacing w:after="0"/>
        <w:rPr>
          <w:sz w:val="20"/>
          <w:szCs w:val="20"/>
          <w:color w:val="auto"/>
        </w:rPr>
      </w:pPr>
      <w:r>
        <w:rPr>
          <w:rFonts w:ascii="Arial" w:cs="Arial" w:eastAsia="Arial" w:hAnsi="Arial"/>
          <w:sz w:val="17"/>
          <w:szCs w:val="17"/>
          <w:color w:val="231F20"/>
        </w:rPr>
        <w:t>will be available for 10 days prior to the annual meeting at our headquarters, 254 West 31st Street, 11</w:t>
      </w:r>
      <w:r>
        <w:rPr>
          <w:rFonts w:ascii="Arial" w:cs="Arial" w:eastAsia="Arial" w:hAnsi="Arial"/>
          <w:sz w:val="28"/>
          <w:szCs w:val="28"/>
          <w:color w:val="231F20"/>
          <w:vertAlign w:val="superscript"/>
        </w:rPr>
        <w:t>th</w:t>
      </w:r>
      <w:r>
        <w:rPr>
          <w:rFonts w:ascii="Arial" w:cs="Arial" w:eastAsia="Arial" w:hAnsi="Arial"/>
          <w:sz w:val="17"/>
          <w:szCs w:val="17"/>
          <w:color w:val="231F20"/>
        </w:rPr>
        <w:t xml:space="preserve"> Floor, New York, New York 10001. If you would like to view the stockholder list, please contact Omar Haynes, our Vice President of Treasury &amp; Finance, at (917) 261-3836 to schedule an appointment or for alternative arrangements to the extent office access is impracticable. In addition, a list of stockholders of record will be available during the annual meeting for inspection by stockholders of record for any legally valid purpose related to the meeting.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both"/>
        <w:ind w:firstLine="324"/>
        <w:spacing w:after="0" w:line="266" w:lineRule="auto"/>
        <w:rPr>
          <w:sz w:val="20"/>
          <w:szCs w:val="20"/>
          <w:color w:val="auto"/>
        </w:rPr>
      </w:pPr>
      <w:r>
        <w:rPr>
          <w:rFonts w:ascii="Arial" w:cs="Arial" w:eastAsia="Arial" w:hAnsi="Arial"/>
          <w:sz w:val="18"/>
          <w:szCs w:val="18"/>
          <w:color w:val="231F20"/>
        </w:rPr>
        <w:t xml:space="preserve">All stockholders are cordially invited to attend the annual meeting. </w:t>
      </w:r>
      <w:r>
        <w:rPr>
          <w:rFonts w:ascii="Arial" w:cs="Arial" w:eastAsia="Arial" w:hAnsi="Arial"/>
          <w:sz w:val="18"/>
          <w:szCs w:val="18"/>
          <w:b w:val="1"/>
          <w:bCs w:val="1"/>
          <w:color w:val="231F20"/>
        </w:rPr>
        <w:t>Whether you plan to attend the annual meeting or not, we urge you to vote and</w:t>
      </w:r>
      <w:r>
        <w:rPr>
          <w:rFonts w:ascii="Arial" w:cs="Arial" w:eastAsia="Arial" w:hAnsi="Arial"/>
          <w:sz w:val="18"/>
          <w:szCs w:val="18"/>
          <w:color w:val="231F20"/>
        </w:rPr>
        <w:t xml:space="preserve"> </w:t>
      </w:r>
      <w:r>
        <w:rPr>
          <w:rFonts w:ascii="Arial" w:cs="Arial" w:eastAsia="Arial" w:hAnsi="Arial"/>
          <w:sz w:val="18"/>
          <w:szCs w:val="18"/>
          <w:b w:val="1"/>
          <w:bCs w:val="1"/>
          <w:color w:val="231F20"/>
        </w:rPr>
        <w:t xml:space="preserve">submit your proxy by the Internet, telephone or mail in order to ensure the presence of a quorum. </w:t>
      </w:r>
      <w:r>
        <w:rPr>
          <w:rFonts w:ascii="Arial" w:cs="Arial" w:eastAsia="Arial" w:hAnsi="Arial"/>
          <w:sz w:val="18"/>
          <w:szCs w:val="18"/>
          <w:color w:val="231F20"/>
        </w:rPr>
        <w:t>You may change or revoke your proxy at any time</w:t>
      </w:r>
      <w:r>
        <w:rPr>
          <w:rFonts w:ascii="Arial" w:cs="Arial" w:eastAsia="Arial" w:hAnsi="Arial"/>
          <w:sz w:val="18"/>
          <w:szCs w:val="18"/>
          <w:b w:val="1"/>
          <w:bCs w:val="1"/>
          <w:color w:val="231F20"/>
        </w:rPr>
        <w:t xml:space="preserve"> </w:t>
      </w:r>
      <w:r>
        <w:rPr>
          <w:rFonts w:ascii="Arial" w:cs="Arial" w:eastAsia="Arial" w:hAnsi="Arial"/>
          <w:sz w:val="18"/>
          <w:szCs w:val="18"/>
          <w:color w:val="231F20"/>
        </w:rPr>
        <w:t>before it is voted at the meeting.</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Scott R. Milford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line="282" w:lineRule="auto"/>
        <w:rPr>
          <w:sz w:val="20"/>
          <w:szCs w:val="20"/>
          <w:color w:val="auto"/>
        </w:rPr>
      </w:pPr>
      <w:r>
        <w:rPr>
          <w:rFonts w:ascii="Arial" w:cs="Arial" w:eastAsia="Arial" w:hAnsi="Arial"/>
          <w:sz w:val="18"/>
          <w:szCs w:val="18"/>
          <w:b w:val="1"/>
          <w:bCs w:val="1"/>
          <w:color w:val="231F20"/>
        </w:rPr>
        <w:t>IMPORTANT NOTICE REGARDING THE AVAILABILITY OF PROXY MATERIALS FOR THE SHAREHOLDER MEETING TO BE HELD ON AUGUST 22, 2023</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 xml:space="preserve">This proxy statement, the Notice of Annual Meeting of Stockholders, and our 2022 Annual Report to stockholders are available for viewing, printing and downloading at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 xml:space="preserve">Additionally, you can find a copy of our Annual Report on Form 10-K, as amended, which includes our financial statements for the fiscal year ended December 31, 2022, on the website of the Securities and Exchange Commission, or the SEC, at </w:t>
      </w:r>
      <w:r>
        <w:rPr>
          <w:rFonts w:ascii="Arial" w:cs="Arial" w:eastAsia="Arial" w:hAnsi="Arial"/>
          <w:sz w:val="17"/>
          <w:szCs w:val="17"/>
          <w:i w:val="1"/>
          <w:iCs w:val="1"/>
          <w:color w:val="231F20"/>
        </w:rPr>
        <w:t>www.sec.gov</w:t>
      </w:r>
      <w:r>
        <w:rPr>
          <w:rFonts w:ascii="Arial" w:cs="Arial" w:eastAsia="Arial" w:hAnsi="Arial"/>
          <w:sz w:val="17"/>
          <w:szCs w:val="17"/>
          <w:color w:val="231F20"/>
        </w:rPr>
        <w:t xml:space="preserve">, or in the “SEC Filings” section of the “Investors” section of our website at </w:t>
      </w:r>
      <w:r>
        <w:rPr>
          <w:rFonts w:ascii="Arial" w:cs="Arial" w:eastAsia="Arial" w:hAnsi="Arial"/>
          <w:sz w:val="17"/>
          <w:szCs w:val="17"/>
          <w:i w:val="1"/>
          <w:iCs w:val="1"/>
          <w:color w:val="231F20"/>
        </w:rPr>
        <w:t>www.xwell.com</w:t>
      </w:r>
      <w:r>
        <w:rPr>
          <w:rFonts w:ascii="Arial" w:cs="Arial" w:eastAsia="Arial" w:hAnsi="Arial"/>
          <w:sz w:val="17"/>
          <w:szCs w:val="17"/>
          <w:color w:val="231F20"/>
        </w:rPr>
        <w:t>. You may also obtain a printed copy of our Annual Report on Form 10-K, as amended,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20" w:type="dxa"/>
            <w:vAlign w:val="bottom"/>
            <w:gridSpan w:val="10"/>
          </w:tcPr>
          <w:p>
            <w:pPr>
              <w:ind w:left="560"/>
              <w:spacing w:after="0"/>
              <w:rPr>
                <w:sz w:val="20"/>
                <w:szCs w:val="20"/>
                <w:color w:val="auto"/>
              </w:rPr>
            </w:pPr>
            <w:r>
              <w:rPr>
                <w:rFonts w:ascii="Arial" w:cs="Arial" w:eastAsia="Arial" w:hAnsi="Arial"/>
                <w:sz w:val="18"/>
                <w:szCs w:val="18"/>
                <w:b w:val="1"/>
                <w:bCs w:val="1"/>
                <w:color w:val="231F20"/>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6"/>
          </w:tcPr>
          <w:p>
            <w:pPr>
              <w:ind w:left="260"/>
              <w:spacing w:after="0"/>
              <w:rPr>
                <w:sz w:val="20"/>
                <w:szCs w:val="20"/>
                <w:color w:val="auto"/>
              </w:rPr>
            </w:pPr>
            <w:r>
              <w:rPr>
                <w:rFonts w:ascii="Arial" w:cs="Arial" w:eastAsia="Arial" w:hAnsi="Arial"/>
                <w:sz w:val="18"/>
                <w:szCs w:val="18"/>
                <w:b w:val="1"/>
                <w:bCs w:val="1"/>
                <w:color w:val="231F20"/>
              </w:rPr>
              <w:t>PAGE</w:t>
            </w:r>
          </w:p>
        </w:tc>
      </w:tr>
      <w:tr>
        <w:trPr>
          <w:trHeight w:val="169"/>
        </w:trPr>
        <w:tc>
          <w:tcPr>
            <w:tcW w:w="6160" w:type="dxa"/>
            <w:vAlign w:val="bottom"/>
            <w:tcBorders>
              <w:top w:val="single" w:sz="8" w:color="CCEEFF"/>
            </w:tcBorders>
            <w:gridSpan w:val="12"/>
            <w:shd w:val="clear" w:color="auto" w:fill="CCEEFF"/>
          </w:tcPr>
          <w:p>
            <w:pPr>
              <w:spacing w:after="0" w:line="169" w:lineRule="exact"/>
              <w:rPr>
                <w:sz w:val="20"/>
                <w:szCs w:val="20"/>
                <w:color w:val="auto"/>
              </w:rPr>
            </w:pPr>
            <w:r>
              <w:rPr>
                <w:rFonts w:ascii="Arial" w:cs="Arial" w:eastAsia="Arial" w:hAnsi="Arial"/>
                <w:sz w:val="18"/>
                <w:szCs w:val="18"/>
                <w:color w:val="0000EE"/>
                <w:w w:val="97"/>
              </w:rPr>
              <w:t>IMPORTANT INFORMATION ABOUT THE ANNUAL MEETING AND VOTING</w:t>
            </w:r>
          </w:p>
        </w:tc>
        <w:tc>
          <w:tcPr>
            <w:tcW w:w="3960" w:type="dxa"/>
            <w:vAlign w:val="bottom"/>
            <w:tcBorders>
              <w:top w:val="single" w:sz="8" w:color="CCEEFF"/>
            </w:tcBorders>
            <w:gridSpan w:val="7"/>
            <w:shd w:val="clear" w:color="auto" w:fill="CCEEFF"/>
          </w:tcPr>
          <w:p>
            <w:pPr>
              <w:spacing w:after="0"/>
              <w:rPr>
                <w:sz w:val="14"/>
                <w:szCs w:val="14"/>
                <w:color w:val="auto"/>
              </w:rPr>
            </w:pPr>
          </w:p>
        </w:tc>
        <w:tc>
          <w:tcPr>
            <w:tcW w:w="100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9"/>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w:t>
            </w:r>
          </w:p>
        </w:tc>
        <w:tc>
          <w:tcPr>
            <w:tcW w:w="1020" w:type="dxa"/>
            <w:vAlign w:val="bottom"/>
            <w:gridSpan w:val="5"/>
          </w:tcPr>
          <w:p>
            <w:pPr>
              <w:jc w:val="right"/>
              <w:ind w:right="20"/>
              <w:spacing w:after="0" w:line="176" w:lineRule="exact"/>
              <w:rPr>
                <w:sz w:val="20"/>
                <w:szCs w:val="20"/>
                <w:color w:val="auto"/>
              </w:rPr>
            </w:pPr>
            <w:r>
              <w:rPr>
                <w:rFonts w:ascii="Arial" w:cs="Arial" w:eastAsia="Arial" w:hAnsi="Arial"/>
                <w:sz w:val="18"/>
                <w:szCs w:val="18"/>
                <w:color w:val="0000EE"/>
              </w:rPr>
              <w:t>14</w:t>
            </w:r>
          </w:p>
        </w:tc>
        <w:tc>
          <w:tcPr>
            <w:tcW w:w="10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1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MANAGEMENT AND CORPORATE GOVERNANCE</w:t>
            </w:r>
          </w:p>
        </w:tc>
        <w:tc>
          <w:tcPr>
            <w:tcW w:w="1020" w:type="dxa"/>
            <w:vAlign w:val="bottom"/>
            <w:gridSpan w:val="5"/>
            <w:shd w:val="clear" w:color="auto" w:fill="CCEEFF"/>
          </w:tcPr>
          <w:p>
            <w:pPr>
              <w:jc w:val="right"/>
              <w:ind w:right="20"/>
              <w:spacing w:after="0" w:line="176" w:lineRule="exact"/>
              <w:rPr>
                <w:sz w:val="20"/>
                <w:szCs w:val="20"/>
                <w:color w:val="auto"/>
              </w:rPr>
            </w:pPr>
            <w:r>
              <w:rPr>
                <w:rFonts w:ascii="Arial" w:cs="Arial" w:eastAsia="Arial" w:hAnsi="Arial"/>
                <w:sz w:val="18"/>
                <w:szCs w:val="18"/>
                <w:color w:val="0000EE"/>
              </w:rPr>
              <w:t>16</w:t>
            </w:r>
          </w:p>
        </w:tc>
        <w:tc>
          <w:tcPr>
            <w:tcW w:w="10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100" w:type="dxa"/>
            <w:vAlign w:val="bottom"/>
            <w:gridSpan w:val="9"/>
          </w:tcPr>
          <w:p>
            <w:pPr>
              <w:spacing w:after="0" w:line="176" w:lineRule="exact"/>
              <w:rPr>
                <w:sz w:val="20"/>
                <w:szCs w:val="20"/>
                <w:color w:val="auto"/>
              </w:rPr>
            </w:pPr>
            <w:r>
              <w:rPr>
                <w:rFonts w:ascii="Arial" w:cs="Arial" w:eastAsia="Arial" w:hAnsi="Arial"/>
                <w:sz w:val="18"/>
                <w:szCs w:val="18"/>
                <w:color w:val="0000EE"/>
              </w:rPr>
              <w:t>REPORT OF AUDIT COMMITTEE</w:t>
            </w:r>
          </w:p>
        </w:tc>
        <w:tc>
          <w:tcPr>
            <w:tcW w:w="6020" w:type="dxa"/>
            <w:vAlign w:val="bottom"/>
            <w:gridSpan w:val="10"/>
          </w:tcPr>
          <w:p>
            <w:pPr>
              <w:spacing w:after="0"/>
              <w:rPr>
                <w:sz w:val="15"/>
                <w:szCs w:val="15"/>
                <w:color w:val="auto"/>
              </w:rPr>
            </w:pPr>
          </w:p>
        </w:tc>
        <w:tc>
          <w:tcPr>
            <w:tcW w:w="820" w:type="dxa"/>
            <w:vAlign w:val="bottom"/>
            <w:gridSpan w:val="2"/>
          </w:tcPr>
          <w:p>
            <w:pPr>
              <w:spacing w:after="0"/>
              <w:rPr>
                <w:sz w:val="15"/>
                <w:szCs w:val="15"/>
                <w:color w:val="auto"/>
              </w:rPr>
            </w:pPr>
          </w:p>
        </w:tc>
        <w:tc>
          <w:tcPr>
            <w:tcW w:w="20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0000EE"/>
                <w:w w:val="79"/>
              </w:rPr>
              <w:t>29</w:t>
            </w:r>
          </w:p>
        </w:tc>
        <w:tc>
          <w:tcPr>
            <w:tcW w:w="10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1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DELINQUENT SECTION 16(a) REPORTS</w:t>
            </w:r>
          </w:p>
        </w:tc>
        <w:tc>
          <w:tcPr>
            <w:tcW w:w="1020" w:type="dxa"/>
            <w:vAlign w:val="bottom"/>
            <w:gridSpan w:val="5"/>
            <w:shd w:val="clear" w:color="auto" w:fill="CCEEFF"/>
          </w:tcPr>
          <w:p>
            <w:pPr>
              <w:jc w:val="right"/>
              <w:ind w:right="20"/>
              <w:spacing w:after="0" w:line="176" w:lineRule="exact"/>
              <w:rPr>
                <w:sz w:val="20"/>
                <w:szCs w:val="20"/>
                <w:color w:val="auto"/>
              </w:rPr>
            </w:pPr>
            <w:r>
              <w:rPr>
                <w:rFonts w:ascii="Arial" w:cs="Arial" w:eastAsia="Arial" w:hAnsi="Arial"/>
                <w:sz w:val="18"/>
                <w:szCs w:val="18"/>
                <w:color w:val="0000EE"/>
              </w:rPr>
              <w:t>30</w:t>
            </w:r>
          </w:p>
        </w:tc>
        <w:tc>
          <w:tcPr>
            <w:tcW w:w="10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9"/>
          </w:tcPr>
          <w:p>
            <w:pPr>
              <w:spacing w:after="0" w:line="176" w:lineRule="exact"/>
              <w:rPr>
                <w:sz w:val="20"/>
                <w:szCs w:val="20"/>
                <w:color w:val="auto"/>
              </w:rPr>
            </w:pPr>
            <w:r>
              <w:rPr>
                <w:rFonts w:ascii="Arial" w:cs="Arial" w:eastAsia="Arial" w:hAnsi="Arial"/>
                <w:sz w:val="18"/>
                <w:szCs w:val="18"/>
                <w:color w:val="0000EE"/>
              </w:rPr>
              <w:t>CERTAIN RELATIONSHIPS AND RELATED PERSON TRANSACTIONS</w:t>
            </w:r>
          </w:p>
        </w:tc>
        <w:tc>
          <w:tcPr>
            <w:tcW w:w="1020" w:type="dxa"/>
            <w:vAlign w:val="bottom"/>
            <w:gridSpan w:val="5"/>
          </w:tcPr>
          <w:p>
            <w:pPr>
              <w:jc w:val="right"/>
              <w:ind w:right="20"/>
              <w:spacing w:after="0" w:line="176" w:lineRule="exact"/>
              <w:rPr>
                <w:sz w:val="20"/>
                <w:szCs w:val="20"/>
                <w:color w:val="auto"/>
              </w:rPr>
            </w:pPr>
            <w:r>
              <w:rPr>
                <w:rFonts w:ascii="Arial" w:cs="Arial" w:eastAsia="Arial" w:hAnsi="Arial"/>
                <w:sz w:val="18"/>
                <w:szCs w:val="18"/>
                <w:color w:val="0000EE"/>
              </w:rPr>
              <w:t>30</w:t>
            </w:r>
          </w:p>
        </w:tc>
        <w:tc>
          <w:tcPr>
            <w:tcW w:w="10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1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PROPOSAL 1: ELECTION OF DIRECTORS</w:t>
            </w:r>
          </w:p>
        </w:tc>
        <w:tc>
          <w:tcPr>
            <w:tcW w:w="1020" w:type="dxa"/>
            <w:vAlign w:val="bottom"/>
            <w:gridSpan w:val="5"/>
            <w:shd w:val="clear" w:color="auto" w:fill="CCEEFF"/>
          </w:tcPr>
          <w:p>
            <w:pPr>
              <w:jc w:val="right"/>
              <w:ind w:right="20"/>
              <w:spacing w:after="0" w:line="176" w:lineRule="exact"/>
              <w:rPr>
                <w:sz w:val="20"/>
                <w:szCs w:val="20"/>
                <w:color w:val="auto"/>
              </w:rPr>
            </w:pPr>
            <w:r>
              <w:rPr>
                <w:rFonts w:ascii="Arial" w:cs="Arial" w:eastAsia="Arial" w:hAnsi="Arial"/>
                <w:sz w:val="18"/>
                <w:szCs w:val="18"/>
                <w:color w:val="0000EE"/>
              </w:rPr>
              <w:t>31</w:t>
            </w:r>
          </w:p>
        </w:tc>
        <w:tc>
          <w:tcPr>
            <w:tcW w:w="10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9"/>
          </w:tcPr>
          <w:p>
            <w:pPr>
              <w:spacing w:after="0" w:line="176" w:lineRule="exact"/>
              <w:rPr>
                <w:sz w:val="20"/>
                <w:szCs w:val="20"/>
                <w:color w:val="auto"/>
              </w:rPr>
            </w:pPr>
            <w:r>
              <w:rPr>
                <w:rFonts w:ascii="Arial" w:cs="Arial" w:eastAsia="Arial" w:hAnsi="Arial"/>
                <w:sz w:val="18"/>
                <w:szCs w:val="18"/>
                <w:color w:val="0000EE"/>
              </w:rPr>
              <w:t>PROPOSAL 2: RATIFICATION OF APPOINTMENT OF INDEPENDENT REGISTERED PUBLIC ACCOUNTING FIRM</w:t>
            </w:r>
          </w:p>
        </w:tc>
        <w:tc>
          <w:tcPr>
            <w:tcW w:w="1020" w:type="dxa"/>
            <w:vAlign w:val="bottom"/>
            <w:gridSpan w:val="5"/>
          </w:tcPr>
          <w:p>
            <w:pPr>
              <w:jc w:val="right"/>
              <w:ind w:right="20"/>
              <w:spacing w:after="0" w:line="176" w:lineRule="exact"/>
              <w:rPr>
                <w:sz w:val="20"/>
                <w:szCs w:val="20"/>
                <w:color w:val="auto"/>
              </w:rPr>
            </w:pPr>
            <w:r>
              <w:rPr>
                <w:rFonts w:ascii="Arial" w:cs="Arial" w:eastAsia="Arial" w:hAnsi="Arial"/>
                <w:sz w:val="18"/>
                <w:szCs w:val="18"/>
                <w:color w:val="0000EE"/>
              </w:rPr>
              <w:t>32</w:t>
            </w:r>
          </w:p>
        </w:tc>
        <w:tc>
          <w:tcPr>
            <w:tcW w:w="10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1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PROPOSAL 3: REVERSE STOCK SPLIT</w:t>
            </w:r>
          </w:p>
        </w:tc>
        <w:tc>
          <w:tcPr>
            <w:tcW w:w="1020" w:type="dxa"/>
            <w:vAlign w:val="bottom"/>
            <w:gridSpan w:val="5"/>
            <w:shd w:val="clear" w:color="auto" w:fill="CCEEFF"/>
          </w:tcPr>
          <w:p>
            <w:pPr>
              <w:jc w:val="right"/>
              <w:ind w:right="20"/>
              <w:spacing w:after="0" w:line="176" w:lineRule="exact"/>
              <w:rPr>
                <w:sz w:val="20"/>
                <w:szCs w:val="20"/>
                <w:color w:val="auto"/>
              </w:rPr>
            </w:pPr>
            <w:r>
              <w:rPr>
                <w:rFonts w:ascii="Arial" w:cs="Arial" w:eastAsia="Arial" w:hAnsi="Arial"/>
                <w:sz w:val="18"/>
                <w:szCs w:val="18"/>
                <w:color w:val="0000EE"/>
              </w:rPr>
              <w:t>33</w:t>
            </w:r>
          </w:p>
        </w:tc>
        <w:tc>
          <w:tcPr>
            <w:tcW w:w="10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40" w:type="dxa"/>
            <w:vAlign w:val="bottom"/>
            <w:tcBorders>
              <w:bottom w:val="single" w:sz="8" w:color="0000EE"/>
            </w:tcBorders>
            <w:gridSpan w:val="17"/>
          </w:tcPr>
          <w:p>
            <w:pPr>
              <w:spacing w:after="0" w:line="176" w:lineRule="exact"/>
              <w:rPr>
                <w:sz w:val="20"/>
                <w:szCs w:val="20"/>
                <w:color w:val="auto"/>
              </w:rPr>
            </w:pPr>
            <w:r>
              <w:rPr>
                <w:rFonts w:ascii="Arial" w:cs="Arial" w:eastAsia="Arial" w:hAnsi="Arial"/>
                <w:sz w:val="18"/>
                <w:szCs w:val="18"/>
                <w:color w:val="0000EE"/>
                <w:w w:val="95"/>
              </w:rPr>
              <w:t>PROPOSAL 4: ADVISORY VOTE ON APPROVAL OF EXECUTIVE COMPENSATION AS DISCLOSED IN THIS PROXY</w:t>
            </w:r>
          </w:p>
        </w:tc>
        <w:tc>
          <w:tcPr>
            <w:tcW w:w="88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9960" w:type="dxa"/>
            <w:vAlign w:val="bottom"/>
            <w:gridSpan w:val="18"/>
          </w:tcPr>
          <w:p>
            <w:pPr>
              <w:ind w:left="20"/>
              <w:spacing w:after="0" w:line="196" w:lineRule="exact"/>
              <w:rPr>
                <w:sz w:val="20"/>
                <w:szCs w:val="20"/>
                <w:color w:val="auto"/>
              </w:rPr>
            </w:pPr>
            <w:r>
              <w:rPr>
                <w:rFonts w:ascii="Arial" w:cs="Arial" w:eastAsia="Arial" w:hAnsi="Arial"/>
                <w:sz w:val="18"/>
                <w:szCs w:val="18"/>
                <w:color w:val="0000EE"/>
              </w:rPr>
              <w:t>STATEMENT.</w:t>
            </w:r>
          </w:p>
        </w:tc>
        <w:tc>
          <w:tcPr>
            <w:tcW w:w="102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0000EE"/>
              </w:rPr>
              <w:t>41</w:t>
            </w:r>
          </w:p>
        </w:tc>
        <w:tc>
          <w:tcPr>
            <w:tcW w:w="100" w:type="dxa"/>
            <w:vAlign w:val="bottom"/>
          </w:tcPr>
          <w:p>
            <w:pPr>
              <w:spacing w:after="0"/>
              <w:rPr>
                <w:sz w:val="17"/>
                <w:szCs w:val="17"/>
                <w:color w:val="auto"/>
              </w:rPr>
            </w:pPr>
          </w:p>
        </w:tc>
      </w:tr>
      <w:tr>
        <w:trPr>
          <w:trHeight w:val="21"/>
        </w:trPr>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958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6"/>
              </w:rPr>
              <w:t>PROPOSAL 5: APPROVAL OF THE ADJOURNMENT OF THE ANNUAL MEETING TO SOLICIT ADDITIONAL PROXIES IF</w:t>
            </w:r>
          </w:p>
        </w:tc>
        <w:tc>
          <w:tcPr>
            <w:tcW w:w="5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18"/>
            <w:shd w:val="clear" w:color="auto" w:fill="CCEEFF"/>
          </w:tcPr>
          <w:p>
            <w:pPr>
              <w:ind w:left="20"/>
              <w:spacing w:after="0" w:line="196" w:lineRule="exact"/>
              <w:rPr>
                <w:sz w:val="20"/>
                <w:szCs w:val="20"/>
                <w:color w:val="auto"/>
              </w:rPr>
            </w:pPr>
            <w:r>
              <w:rPr>
                <w:rFonts w:ascii="Arial" w:cs="Arial" w:eastAsia="Arial" w:hAnsi="Arial"/>
                <w:sz w:val="18"/>
                <w:szCs w:val="18"/>
                <w:color w:val="0000EE"/>
              </w:rPr>
              <w:t>THERE ARE NOT SUFFICIENT VOTES IN FAVOR OF PROPOSALS 2 THROUGH 4</w:t>
            </w:r>
          </w:p>
        </w:tc>
        <w:tc>
          <w:tcPr>
            <w:tcW w:w="102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0000EE"/>
              </w:rPr>
              <w:t>42</w:t>
            </w:r>
          </w:p>
        </w:tc>
        <w:tc>
          <w:tcPr>
            <w:tcW w:w="100" w:type="dxa"/>
            <w:vAlign w:val="bottom"/>
            <w:shd w:val="clear" w:color="auto" w:fill="CCEEFF"/>
          </w:tcPr>
          <w:p>
            <w:pPr>
              <w:spacing w:after="0"/>
              <w:rPr>
                <w:sz w:val="17"/>
                <w:szCs w:val="17"/>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9"/>
          </w:tcPr>
          <w:p>
            <w:pPr>
              <w:spacing w:after="0" w:line="176" w:lineRule="exact"/>
              <w:rPr>
                <w:sz w:val="20"/>
                <w:szCs w:val="20"/>
                <w:color w:val="auto"/>
              </w:rPr>
            </w:pPr>
            <w:r>
              <w:rPr>
                <w:rFonts w:ascii="Arial" w:cs="Arial" w:eastAsia="Arial" w:hAnsi="Arial"/>
                <w:sz w:val="18"/>
                <w:szCs w:val="18"/>
                <w:color w:val="0000EE"/>
              </w:rPr>
              <w:t>CODE OF CONDUCT AND ETHICS</w:t>
            </w:r>
          </w:p>
        </w:tc>
        <w:tc>
          <w:tcPr>
            <w:tcW w:w="1020" w:type="dxa"/>
            <w:vAlign w:val="bottom"/>
            <w:gridSpan w:val="5"/>
          </w:tcPr>
          <w:p>
            <w:pPr>
              <w:jc w:val="right"/>
              <w:ind w:right="20"/>
              <w:spacing w:after="0" w:line="176" w:lineRule="exact"/>
              <w:rPr>
                <w:sz w:val="20"/>
                <w:szCs w:val="20"/>
                <w:color w:val="auto"/>
              </w:rPr>
            </w:pPr>
            <w:r>
              <w:rPr>
                <w:rFonts w:ascii="Arial" w:cs="Arial" w:eastAsia="Arial" w:hAnsi="Arial"/>
                <w:sz w:val="18"/>
                <w:szCs w:val="18"/>
                <w:color w:val="0000EE"/>
              </w:rPr>
              <w:t>43</w:t>
            </w:r>
          </w:p>
        </w:tc>
        <w:tc>
          <w:tcPr>
            <w:tcW w:w="10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w w:val="94"/>
              </w:rPr>
              <w:t>OTHER MATTERS</w:t>
            </w:r>
          </w:p>
        </w:tc>
        <w:tc>
          <w:tcPr>
            <w:tcW w:w="8640" w:type="dxa"/>
            <w:vAlign w:val="bottom"/>
            <w:gridSpan w:val="16"/>
            <w:shd w:val="clear" w:color="auto" w:fill="CCEEFF"/>
          </w:tcPr>
          <w:p>
            <w:pPr>
              <w:spacing w:after="0"/>
              <w:rPr>
                <w:sz w:val="15"/>
                <w:szCs w:val="15"/>
                <w:color w:val="auto"/>
              </w:rPr>
            </w:pPr>
          </w:p>
        </w:tc>
        <w:tc>
          <w:tcPr>
            <w:tcW w:w="82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0000EE"/>
                <w:w w:val="79"/>
              </w:rPr>
              <w:t>43</w:t>
            </w:r>
          </w:p>
        </w:tc>
        <w:tc>
          <w:tcPr>
            <w:tcW w:w="10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9"/>
          </w:tcPr>
          <w:p>
            <w:pPr>
              <w:spacing w:after="0" w:line="176" w:lineRule="exact"/>
              <w:rPr>
                <w:sz w:val="20"/>
                <w:szCs w:val="20"/>
                <w:color w:val="auto"/>
              </w:rPr>
            </w:pPr>
            <w:r>
              <w:rPr>
                <w:rFonts w:ascii="Arial" w:cs="Arial" w:eastAsia="Arial" w:hAnsi="Arial"/>
                <w:sz w:val="18"/>
                <w:szCs w:val="18"/>
                <w:color w:val="0000EE"/>
              </w:rPr>
              <w:t>STOCKHOLDER PROPOSALS AND NOMINATIONS FOR DIRECTOR</w:t>
            </w:r>
          </w:p>
        </w:tc>
        <w:tc>
          <w:tcPr>
            <w:tcW w:w="1020" w:type="dxa"/>
            <w:vAlign w:val="bottom"/>
            <w:gridSpan w:val="5"/>
          </w:tcPr>
          <w:p>
            <w:pPr>
              <w:jc w:val="right"/>
              <w:ind w:right="20"/>
              <w:spacing w:after="0" w:line="176" w:lineRule="exact"/>
              <w:rPr>
                <w:sz w:val="20"/>
                <w:szCs w:val="20"/>
                <w:color w:val="auto"/>
              </w:rPr>
            </w:pPr>
            <w:r>
              <w:rPr>
                <w:rFonts w:ascii="Arial" w:cs="Arial" w:eastAsia="Arial" w:hAnsi="Arial"/>
                <w:sz w:val="18"/>
                <w:szCs w:val="18"/>
                <w:color w:val="0000EE"/>
              </w:rPr>
              <w:t>43</w:t>
            </w:r>
          </w:p>
        </w:tc>
        <w:tc>
          <w:tcPr>
            <w:tcW w:w="10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12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231F20"/>
              </w:rPr>
              <w:t>APPENDIX</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10120" w:type="dxa"/>
            <w:vAlign w:val="bottom"/>
            <w:gridSpan w:val="19"/>
          </w:tcPr>
          <w:p>
            <w:pPr>
              <w:spacing w:after="0" w:line="176" w:lineRule="exact"/>
              <w:rPr>
                <w:sz w:val="20"/>
                <w:szCs w:val="20"/>
                <w:color w:val="auto"/>
              </w:rPr>
            </w:pPr>
            <w:r>
              <w:rPr>
                <w:rFonts w:ascii="Arial" w:cs="Arial" w:eastAsia="Arial" w:hAnsi="Arial"/>
                <w:sz w:val="18"/>
                <w:szCs w:val="18"/>
                <w:color w:val="0000EE"/>
              </w:rPr>
              <w:t>APPENDIX A – FORM OF CERTIFICATE OF AMENDMENT TO EFFECT REVERSE STOCK SPLIT</w:t>
            </w:r>
          </w:p>
        </w:tc>
        <w:tc>
          <w:tcPr>
            <w:tcW w:w="112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0000EE"/>
              </w:rPr>
              <w:t>A-1</w:t>
            </w:r>
          </w:p>
        </w:tc>
      </w:tr>
      <w:tr>
        <w:trPr>
          <w:trHeight w:val="668"/>
        </w:trPr>
        <w:tc>
          <w:tcPr>
            <w:tcW w:w="6160" w:type="dxa"/>
            <w:vAlign w:val="bottom"/>
            <w:tcBorders>
              <w:top w:val="single" w:sz="8" w:color="0000EE"/>
              <w:bottom w:val="single" w:sz="8" w:color="auto"/>
            </w:tcBorders>
            <w:gridSpan w:val="12"/>
          </w:tcPr>
          <w:p>
            <w:pPr>
              <w:ind w:left="5580"/>
              <w:spacing w:after="0"/>
              <w:rPr>
                <w:sz w:val="20"/>
                <w:szCs w:val="20"/>
                <w:color w:val="auto"/>
              </w:rPr>
            </w:pPr>
            <w:r>
              <w:rPr>
                <w:rFonts w:ascii="Arial" w:cs="Arial" w:eastAsia="Arial" w:hAnsi="Arial"/>
                <w:sz w:val="18"/>
                <w:szCs w:val="18"/>
                <w:color w:val="auto"/>
              </w:rPr>
              <w:t>6</w:t>
            </w:r>
          </w:p>
        </w:tc>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231F20"/>
        </w:rPr>
        <w:t>XWELL,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254 West 31st Street, 11th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New York, New York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10001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PROXY STATEMENT FOR THE XWELL,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ANNUAL MEETING OF STOCKHOLDERS TO BE HELD ON AUGUST 22, 2023</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This proxy statement, along with the accompanying notice of annual meeting of stockholders, contains information about the annual meeting of stockholders of XWELL, Inc. including any adjournments or postponements of the annual meeting. We are holding the annual meeting at 11:00 a.m. EDT, on Tuesday, August 22, 2023. The 2023 annual meeting will be a virtual meeting via live webcast on the internet. You will be able to attend the Stockholder Meeting by first registering at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 You will receive a meeting invitation by e-mail with your unique join link along with a password prior to the meeting date. Stockholders will be able to listen, vote and submit questions during the virtual meeting. You will not be able to attend the 2023 annual meeting in person.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In this proxy statement, we refer to XWELL, Inc. as “</w:t>
      </w:r>
      <w:r>
        <w:rPr>
          <w:rFonts w:ascii="Arial" w:cs="Arial" w:eastAsia="Arial" w:hAnsi="Arial"/>
          <w:sz w:val="18"/>
          <w:szCs w:val="18"/>
          <w:b w:val="1"/>
          <w:bCs w:val="1"/>
          <w:color w:val="231F20"/>
        </w:rPr>
        <w:t>XWELL</w:t>
      </w:r>
      <w:r>
        <w:rPr>
          <w:rFonts w:ascii="Arial" w:cs="Arial" w:eastAsia="Arial" w:hAnsi="Arial"/>
          <w:sz w:val="18"/>
          <w:szCs w:val="18"/>
          <w:color w:val="231F20"/>
        </w:rPr>
        <w:t>,” “</w:t>
      </w:r>
      <w:r>
        <w:rPr>
          <w:rFonts w:ascii="Arial" w:cs="Arial" w:eastAsia="Arial" w:hAnsi="Arial"/>
          <w:sz w:val="18"/>
          <w:szCs w:val="18"/>
          <w:b w:val="1"/>
          <w:bCs w:val="1"/>
          <w:color w:val="231F20"/>
        </w:rPr>
        <w:t>the Company</w:t>
      </w:r>
      <w:r>
        <w:rPr>
          <w:rFonts w:ascii="Arial" w:cs="Arial" w:eastAsia="Arial" w:hAnsi="Arial"/>
          <w:sz w:val="18"/>
          <w:szCs w:val="18"/>
          <w:color w:val="231F20"/>
        </w:rPr>
        <w:t>,” “</w:t>
      </w:r>
      <w:r>
        <w:rPr>
          <w:rFonts w:ascii="Arial" w:cs="Arial" w:eastAsia="Arial" w:hAnsi="Arial"/>
          <w:sz w:val="18"/>
          <w:szCs w:val="18"/>
          <w:b w:val="1"/>
          <w:bCs w:val="1"/>
          <w:color w:val="231F20"/>
        </w:rPr>
        <w:t>we</w:t>
      </w:r>
      <w:r>
        <w:rPr>
          <w:rFonts w:ascii="Arial" w:cs="Arial" w:eastAsia="Arial" w:hAnsi="Arial"/>
          <w:sz w:val="18"/>
          <w:szCs w:val="18"/>
          <w:color w:val="231F20"/>
        </w:rPr>
        <w:t>” and “</w:t>
      </w:r>
      <w:r>
        <w:rPr>
          <w:rFonts w:ascii="Arial" w:cs="Arial" w:eastAsia="Arial" w:hAnsi="Arial"/>
          <w:sz w:val="18"/>
          <w:szCs w:val="18"/>
          <w:b w:val="1"/>
          <w:bCs w:val="1"/>
          <w:color w:val="231F20"/>
        </w:rPr>
        <w:t>us</w:t>
      </w:r>
      <w:r>
        <w:rPr>
          <w:rFonts w:ascii="Arial" w:cs="Arial" w:eastAsia="Arial" w:hAnsi="Arial"/>
          <w:sz w:val="18"/>
          <w:szCs w:val="18"/>
          <w:color w:val="231F20"/>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This proxy statement relates to the solicitation of proxies by our Board of Directors for use at the annual meeting.</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231F20"/>
        </w:rPr>
        <w:t>IMPORTANT NOTICE REGARDING THE AVAILABILITY OF PROXY MATERIALS FOR THE SHAREHOLDER MEETING TO BE HELD ON AUGUST 22, 2023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 xml:space="preserve">This proxy statement is available for viewing, printing and downloading at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w:t>
      </w:r>
    </w:p>
    <w:p>
      <w:pPr>
        <w:spacing w:after="0" w:line="22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231F20"/>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Why is the Company Soliciting My Proxy?</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The Board of Directors of XWELL, Inc. is soliciting your proxy to vote at the annual meeting of stockholders to be held virtually on August 22, 2023, at 11:00 a.m. EDT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4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We have made available to you on the Internet or have sent you this proxy statement, the Notice of Annual Meeting of Stockholders and a copy of our Annual Report on Form 10-K, as amended, for the fiscal year ended December 31, 2022 because you owned shares of our common stock, par value $0.01 per share, on the record date. On or about July 24, 2023, we made these materials available to all stockholders entitled to vote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Why Are You Holding a Virtual Annual Meeting?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This annual meeting will be held in a virtual meeting format only.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Why is the Company seeking approval for the reverse stock split?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continued listing standards of The Nasdaq Stock Market (“Nasdaq”) provide, among other things, that a company may be delisted if the bid price of its stock falls below $1.00 for a period of 30 consecutive business days.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324"/>
        <w:spacing w:after="0" w:line="259" w:lineRule="auto"/>
        <w:rPr>
          <w:sz w:val="20"/>
          <w:szCs w:val="20"/>
          <w:color w:val="auto"/>
        </w:rPr>
      </w:pPr>
      <w:r>
        <w:rPr>
          <w:rFonts w:ascii="Arial" w:cs="Arial" w:eastAsia="Arial" w:hAnsi="Arial"/>
          <w:sz w:val="18"/>
          <w:szCs w:val="18"/>
          <w:color w:val="231F20"/>
        </w:rPr>
        <w:t>On October 28, 2022, we received a written notification from the Listing Qualifications Department of Nasdaq notifying us that the closing bid price for our common stock had been below $1.00 for 30 consecutive business days and that we therefore were not in compliance with the minimum bid price requirement for continued inclusion on The Nasdaq Capital Market under Nasdaq Listing Rule 5550(a)(2) (the “Bid Price Requirement”). We were provided 180 calendar days, or until April 26, 2023, to regain compliance with the Bid Price Requirement.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On April 27, 2023, we received an extension of 180 calendar days from Nasdaq to regain compliance with the Bid Price Requirement, following the expiration of the initial 180 calendar days period to regain compliance. According to the notification from Nasdaq, the determination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stock-split, if necessary.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As a result of the extension, we now have until October 23, 2023 to regain compliance with the Bid Price Requirement. If at any time before October 23, 2023, the bid price of our common shares closes at or above $1.00 per share for a minimum of ten consecutive business days, Nasdaq will provide us with written notification that we have achieved compliance with the Bid Price Requirement. If we choose to implement a reverse stock split to regain compliance, it must be completed no later than ten business days prior to the expiration of the additional 180 calendar day period in order to timely regain compliance.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If we do not regain compliance with the Bid Price Requirement by October 23, 2023, Nasdaq will provide written notification to us that its shares will be subject to delisting. At such time, we may appeal the delisting determination to a Nasdaq Hearings Panel. We would remain listed pending the Panel’s decision. There can be no assurance that, if we do appeal a subsequent delisting determination, such appeal would be successful.</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Our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reverse stock split may negatively impact the market for our common stock. Further, implementing a reverse stock split would increase the Company’s authorized but unissued shares of our common stock, which could negatively impact a potential investor if they purchased shares of our common stock. However, without implementing the reverse stock split, Nasdaq may delist the Company’s common stock, which could seriously harm the liquidity of the common stock and the Company’s ability to raise capital. For more information, see “</w:t>
      </w:r>
      <w:r>
        <w:rPr>
          <w:rFonts w:ascii="Arial" w:cs="Arial" w:eastAsia="Arial" w:hAnsi="Arial"/>
          <w:sz w:val="18"/>
          <w:szCs w:val="18"/>
          <w:i w:val="1"/>
          <w:iCs w:val="1"/>
          <w:color w:val="231F20"/>
        </w:rPr>
        <w:t>Certain Risk Factors Associated with the Reverse</w:t>
      </w:r>
      <w:r>
        <w:rPr>
          <w:rFonts w:ascii="Arial" w:cs="Arial" w:eastAsia="Arial" w:hAnsi="Arial"/>
          <w:sz w:val="18"/>
          <w:szCs w:val="18"/>
          <w:color w:val="231F20"/>
        </w:rPr>
        <w:t xml:space="preserve"> </w:t>
      </w:r>
      <w:r>
        <w:rPr>
          <w:rFonts w:ascii="Arial" w:cs="Arial" w:eastAsia="Arial" w:hAnsi="Arial"/>
          <w:sz w:val="18"/>
          <w:szCs w:val="18"/>
          <w:i w:val="1"/>
          <w:iCs w:val="1"/>
          <w:color w:val="231F20"/>
        </w:rPr>
        <w:t>Stock Split or Nasdaq Delisting</w:t>
      </w:r>
      <w:r>
        <w:rPr>
          <w:rFonts w:ascii="Arial" w:cs="Arial" w:eastAsia="Arial" w:hAnsi="Arial"/>
          <w:sz w:val="18"/>
          <w:szCs w:val="18"/>
          <w:color w:val="231F20"/>
        </w:rPr>
        <w:t>” in Proposal 3 for more information.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 xml:space="preserve">For more information generally, see </w:t>
      </w:r>
      <w:r>
        <w:rPr>
          <w:rFonts w:ascii="Arial" w:cs="Arial" w:eastAsia="Arial" w:hAnsi="Arial"/>
          <w:sz w:val="18"/>
          <w:szCs w:val="18"/>
          <w:i w:val="1"/>
          <w:iCs w:val="1"/>
          <w:color w:val="231F20"/>
        </w:rPr>
        <w:t>“Proposal 3: Reverse Stock Split”</w:t>
      </w:r>
      <w:r>
        <w:rPr>
          <w:rFonts w:ascii="Arial" w:cs="Arial" w:eastAsia="Arial" w:hAnsi="Arial"/>
          <w:sz w:val="18"/>
          <w:szCs w:val="18"/>
          <w:color w:val="231F20"/>
        </w:rPr>
        <w:t xml:space="preserve"> contained elsewhere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Happens if There Are Technical Difficulties during the Annual Meeting?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There will be technicians ready to assist you with any technical difficulties you may have accessing the annual meeting live audio webcast. Please be sure to check in 15 minutes prior to the start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Who Can Vote?</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Only stockholders who owned our common stock at the close of business on July 6, 2023 are entitled to vote at the annual meeting. On this record date, there were 83,418,535 shares of our common stock outstanding and entitled to vote. Our common stock is our only class of voting stock.</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231F20"/>
        </w:rPr>
        <w:t>May I Change or</w:t>
      </w:r>
      <w:r>
        <w:rPr>
          <w:rFonts w:ascii="Arial" w:cs="Arial" w:eastAsia="Arial" w:hAnsi="Arial"/>
          <w:sz w:val="18"/>
          <w:szCs w:val="18"/>
          <w:color w:val="231F20"/>
        </w:rPr>
        <w:t xml:space="preserve"> </w:t>
      </w:r>
      <w:r>
        <w:rPr>
          <w:rFonts w:ascii="Arial" w:cs="Arial" w:eastAsia="Arial" w:hAnsi="Arial"/>
          <w:sz w:val="18"/>
          <w:szCs w:val="18"/>
          <w:i w:val="1"/>
          <w:iCs w:val="1"/>
          <w:color w:val="231F20"/>
        </w:rPr>
        <w:t>Revoke My Proxy?</w:t>
      </w:r>
      <w:r>
        <w:rPr>
          <w:rFonts w:ascii="Arial" w:cs="Arial" w:eastAsia="Arial" w:hAnsi="Arial"/>
          <w:sz w:val="18"/>
          <w:szCs w:val="18"/>
          <w:color w:val="231F20"/>
        </w:rPr>
        <w:t>”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231F20"/>
        </w:rPr>
        <w:t>How Many Votes Do I Have?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Each share of our common stock that you own entitles you to one vote. There is no cumulative voting in the election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Do I Vote?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Whether you plan to attend the annual meeting or not, we urge you to vote by proxy. All shares represented by valid proxies that we receive through this solicitation, and that are not revoked, will be voted in accordance with your instructions.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are a “registered stockholder”, and you may vote:</w:t>
      </w:r>
    </w:p>
    <w:p>
      <w:pPr>
        <w:spacing w:after="0" w:line="19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231F20"/>
        </w:rPr>
        <w:t xml:space="preserve">Over the Internet. </w:t>
      </w:r>
      <w:r>
        <w:rPr>
          <w:rFonts w:ascii="Arial" w:cs="Arial" w:eastAsia="Arial" w:hAnsi="Arial"/>
          <w:sz w:val="18"/>
          <w:szCs w:val="18"/>
          <w:color w:val="231F20"/>
        </w:rPr>
        <w:t>Go to</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www.FCRvote.com/XWEL</w:t>
      </w:r>
      <w:r>
        <w:rPr>
          <w:rFonts w:ascii="Arial" w:cs="Arial" w:eastAsia="Arial" w:hAnsi="Arial"/>
          <w:sz w:val="18"/>
          <w:szCs w:val="18"/>
          <w:b w:val="1"/>
          <w:bCs w:val="1"/>
          <w:color w:val="231F20"/>
        </w:rPr>
        <w:t xml:space="preserve"> </w:t>
      </w:r>
      <w:r>
        <w:rPr>
          <w:rFonts w:ascii="Arial" w:cs="Arial" w:eastAsia="Arial" w:hAnsi="Arial"/>
          <w:sz w:val="18"/>
          <w:szCs w:val="18"/>
          <w:color w:val="231F20"/>
        </w:rPr>
        <w:t>and have your Notice or proxy card available.</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231F20"/>
        </w:rPr>
        <w:t xml:space="preserve">By telephone: </w:t>
      </w:r>
      <w:r>
        <w:rPr>
          <w:rFonts w:ascii="Arial" w:cs="Arial" w:eastAsia="Arial" w:hAnsi="Arial"/>
          <w:sz w:val="18"/>
          <w:szCs w:val="18"/>
          <w:color w:val="231F20"/>
        </w:rPr>
        <w:t>Call 1-(866) 402-3906 and follow the instructions. Have your Notice or proxy card available.</w:t>
      </w:r>
    </w:p>
    <w:p>
      <w:pPr>
        <w:spacing w:after="0" w:line="225" w:lineRule="exact"/>
        <w:rPr>
          <w:rFonts w:ascii="Arial" w:cs="Arial" w:eastAsia="Arial" w:hAnsi="Arial"/>
          <w:sz w:val="18"/>
          <w:szCs w:val="18"/>
          <w:color w:val="231F20"/>
        </w:rPr>
      </w:pPr>
    </w:p>
    <w:p>
      <w:pPr>
        <w:jc w:val="both"/>
        <w:ind w:left="660" w:hanging="328"/>
        <w:spacing w:after="0" w:line="266" w:lineRule="auto"/>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231F20"/>
        </w:rPr>
        <w:t xml:space="preserve">By mail. </w:t>
      </w:r>
      <w:r>
        <w:rPr>
          <w:rFonts w:ascii="Arial" w:cs="Arial" w:eastAsia="Arial" w:hAnsi="Arial"/>
          <w:sz w:val="18"/>
          <w:szCs w:val="18"/>
          <w:color w:val="231F20"/>
        </w:rPr>
        <w:t>If you received a proxy card by mail, you can vote by mail by completing, signing, dating and returning the proxy card in the envelope</w:t>
      </w:r>
      <w:r>
        <w:rPr>
          <w:rFonts w:ascii="Arial" w:cs="Arial" w:eastAsia="Arial" w:hAnsi="Arial"/>
          <w:sz w:val="18"/>
          <w:szCs w:val="18"/>
          <w:b w:val="1"/>
          <w:bCs w:val="1"/>
          <w:color w:val="231F20"/>
        </w:rPr>
        <w:t xml:space="preserve"> </w:t>
      </w:r>
      <w:r>
        <w:rPr>
          <w:rFonts w:ascii="Arial" w:cs="Arial" w:eastAsia="Arial" w:hAnsi="Arial"/>
          <w:sz w:val="18"/>
          <w:szCs w:val="18"/>
          <w:color w:val="231F20"/>
        </w:rPr>
        <w:t>provided. If you sign the proxy card but do not specify how you want your shares voted, they will be voted in accordance with the Board of Directors’ recommendations as noted below.</w:t>
      </w:r>
    </w:p>
    <w:p>
      <w:pPr>
        <w:spacing w:after="0" w:line="175" w:lineRule="exact"/>
        <w:rPr>
          <w:rFonts w:ascii="Arial" w:cs="Arial" w:eastAsia="Arial" w:hAnsi="Arial"/>
          <w:sz w:val="18"/>
          <w:szCs w:val="18"/>
          <w:color w:val="231F20"/>
        </w:rPr>
      </w:pPr>
    </w:p>
    <w:p>
      <w:pPr>
        <w:ind w:left="660" w:hanging="328"/>
        <w:spacing w:after="0" w:line="282" w:lineRule="auto"/>
        <w:tabs>
          <w:tab w:leader="none" w:pos="66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231F20"/>
        </w:rPr>
        <w:t xml:space="preserve">During the meeting. </w:t>
      </w:r>
      <w:r>
        <w:rPr>
          <w:rFonts w:ascii="Arial" w:cs="Arial" w:eastAsia="Arial" w:hAnsi="Arial"/>
          <w:sz w:val="18"/>
          <w:szCs w:val="18"/>
          <w:color w:val="231F20"/>
        </w:rPr>
        <w:t>If you attend the virtual annual meeting, you may vote during the annual meeting by first registering at</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 and entering the control number included on the Notice or proxy card you receive.</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231F20"/>
        </w:rPr>
        <w:t xml:space="preserve">If you are a registered holder, your virtual control number will be on your Notice of Internet Availability of Proxy Materials or proxy card. </w:t>
      </w:r>
      <w:r>
        <w:rPr>
          <w:rFonts w:ascii="Arial" w:cs="Arial" w:eastAsia="Arial" w:hAnsi="Arial"/>
          <w:sz w:val="18"/>
          <w:szCs w:val="18"/>
          <w:b w:val="1"/>
          <w:bCs w:val="1"/>
          <w:color w:val="231F20"/>
        </w:rPr>
        <w:t>Internet</w:t>
      </w:r>
      <w:r>
        <w:rPr>
          <w:rFonts w:ascii="Arial" w:cs="Arial" w:eastAsia="Arial" w:hAnsi="Arial"/>
          <w:sz w:val="18"/>
          <w:szCs w:val="18"/>
          <w:color w:val="231F20"/>
        </w:rPr>
        <w:t xml:space="preserve"> </w:t>
      </w:r>
      <w:r>
        <w:rPr>
          <w:rFonts w:ascii="Arial" w:cs="Arial" w:eastAsia="Arial" w:hAnsi="Arial"/>
          <w:sz w:val="18"/>
          <w:szCs w:val="18"/>
          <w:b w:val="1"/>
          <w:bCs w:val="1"/>
          <w:color w:val="231F20"/>
        </w:rPr>
        <w:t>and telephone voting facilities for registered stockholders will be available 24 hours a day and will close at 11:59 p.m. Eastern Time on August 21, 2023.</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2023 annual meeting (but will not be able to vote your shares) so long as you demonstrate proof of stock ownership. Instructions on how to connect and participate via the Internet, including how to demonstrate proof of stock ownership, are posted at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.On the day of the annual meeting, you may only vote during the meeting by e-mailing a copy of your legal proxy to</w:t>
      </w:r>
      <w:r>
        <w:rPr>
          <w:rFonts w:ascii="Arial" w:cs="Arial" w:eastAsia="Arial" w:hAnsi="Arial"/>
          <w:sz w:val="18"/>
          <w:szCs w:val="18"/>
          <w:i w:val="1"/>
          <w:iCs w:val="1"/>
          <w:color w:val="231F20"/>
        </w:rPr>
        <w:t xml:space="preserve"> </w:t>
      </w:r>
      <w:r>
        <w:rPr>
          <w:rFonts w:ascii="Arial" w:cs="Arial" w:eastAsia="Arial" w:hAnsi="Arial"/>
          <w:sz w:val="18"/>
          <w:szCs w:val="18"/>
          <w:color w:val="231F20"/>
        </w:rPr>
        <w:t>virtualmeeting@viewproxy.com in advance of the meeting.</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If your shares are held in “street name” (held in the name of a bank, broker or other holder of record), you will receive instructions from the holder of record. You must follow the instructions of the holder of record in order for your shares to be voted. Internet and telephone voting also will be offered to stockholders owning shares through certain banks and brokers.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Does the Board of Directors Recommend That I Vote on the Proposals?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Board of Directors recommends that you vote as follows:</w:t>
      </w:r>
    </w:p>
    <w:p>
      <w:pPr>
        <w:spacing w:after="0" w:line="2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FOR</w:t>
      </w:r>
      <w:r>
        <w:rPr>
          <w:rFonts w:ascii="Arial" w:cs="Arial" w:eastAsia="Arial" w:hAnsi="Arial"/>
          <w:sz w:val="18"/>
          <w:szCs w:val="18"/>
          <w:color w:val="231F20"/>
        </w:rPr>
        <w:t>” the election of each of the nominees for director;</w:t>
      </w:r>
    </w:p>
    <w:p>
      <w:pPr>
        <w:spacing w:after="0" w:line="225" w:lineRule="exact"/>
        <w:rPr>
          <w:rFonts w:ascii="Arial" w:cs="Arial" w:eastAsia="Arial" w:hAnsi="Arial"/>
          <w:sz w:val="18"/>
          <w:szCs w:val="18"/>
          <w:color w:val="231F20"/>
        </w:rPr>
      </w:pPr>
    </w:p>
    <w:p>
      <w:pPr>
        <w:ind w:left="660" w:hanging="328"/>
        <w:spacing w:after="0" w:line="282" w:lineRule="auto"/>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FOR</w:t>
      </w:r>
      <w:r>
        <w:rPr>
          <w:rFonts w:ascii="Arial" w:cs="Arial" w:eastAsia="Arial" w:hAnsi="Arial"/>
          <w:sz w:val="18"/>
          <w:szCs w:val="18"/>
          <w:color w:val="231F20"/>
        </w:rPr>
        <w:t>” the ratification of the selection of Marcum LLP as our independent registered public accounting firm for our fiscal year ending December 31, 2023;</w:t>
      </w:r>
    </w:p>
    <w:p>
      <w:pPr>
        <w:spacing w:after="0" w:line="161" w:lineRule="exact"/>
        <w:rPr>
          <w:rFonts w:ascii="Arial" w:cs="Arial" w:eastAsia="Arial" w:hAnsi="Arial"/>
          <w:sz w:val="18"/>
          <w:szCs w:val="18"/>
          <w:color w:val="231F20"/>
        </w:rPr>
      </w:pPr>
    </w:p>
    <w:p>
      <w:pPr>
        <w:ind w:left="660" w:hanging="328"/>
        <w:spacing w:after="0" w:line="282" w:lineRule="auto"/>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FOR</w:t>
      </w:r>
      <w:r>
        <w:rPr>
          <w:rFonts w:ascii="Arial" w:cs="Arial" w:eastAsia="Arial" w:hAnsi="Arial"/>
          <w:sz w:val="18"/>
          <w:szCs w:val="18"/>
          <w:color w:val="231F20"/>
        </w:rPr>
        <w:t>” the approval of the amendment to the XWELL, Inc. Amended and Restated Certificate of Incorporation to effect a reverse stock split of our issued and outstanding shares of common stock, at a ratio of between 1-for-8 and 1-for-20;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hanging="328"/>
        <w:spacing w:after="0"/>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FOR</w:t>
      </w:r>
      <w:r>
        <w:rPr>
          <w:rFonts w:ascii="Arial" w:cs="Arial" w:eastAsia="Arial" w:hAnsi="Arial"/>
          <w:sz w:val="18"/>
          <w:szCs w:val="18"/>
          <w:color w:val="231F20"/>
        </w:rPr>
        <w:t>” the compensation of our named executive officers, as disclosed in this proxy statement; and</w:t>
      </w:r>
    </w:p>
    <w:p>
      <w:pPr>
        <w:spacing w:after="0" w:line="225" w:lineRule="exact"/>
        <w:rPr>
          <w:rFonts w:ascii="Arial" w:cs="Arial" w:eastAsia="Arial" w:hAnsi="Arial"/>
          <w:sz w:val="18"/>
          <w:szCs w:val="18"/>
          <w:color w:val="231F20"/>
        </w:rPr>
      </w:pPr>
    </w:p>
    <w:p>
      <w:pPr>
        <w:ind w:left="660" w:hanging="328"/>
        <w:spacing w:after="0" w:line="282" w:lineRule="auto"/>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color w:val="231F20"/>
        </w:rPr>
        <w:t>FOR</w:t>
      </w:r>
      <w:r>
        <w:rPr>
          <w:rFonts w:ascii="Arial" w:cs="Arial" w:eastAsia="Arial" w:hAnsi="Arial"/>
          <w:sz w:val="18"/>
          <w:szCs w:val="18"/>
          <w:color w:val="231F20"/>
        </w:rPr>
        <w:t>” adjournment of our annual meeting of stockholders to solicit additional proxies if there are not sufficient votes in favor of proposals 2 through 4.</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If any other matter is presented at the annual meeting, your proxy provides that your shares will be voted by a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May I Change or Revoke My Proxy?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If you give us your proxy, you may change or revoke it at any time before the annual meeting. You may change or revoke your proxy in any one of the following ways:</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if you received a proxy card, by signing a new proxy card with a date later than your previously delivered proxy and submitting it as instructed above;</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by re-voting by the Internet or telephone as instructed above;</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by notifying the Corporate Secretary of XWELL, Inc. in writing before the annual meeting that you have revoked your proxy; or</w:t>
      </w:r>
    </w:p>
    <w:p>
      <w:pPr>
        <w:spacing w:after="0" w:line="225"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by attending the annual meeting virtually and voting at the meeting. Attending the annual meeting virtually will not in and of itself revoke a previously submitted proxy.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Your most current vote, whether by the Internet, telephone or proxy card is the one that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if I Receive More Than One Notice or Proxy Card?</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6"/>
          <w:szCs w:val="16"/>
          <w:i w:val="1"/>
          <w:iCs w:val="1"/>
          <w:color w:val="231F20"/>
        </w:rPr>
        <w:t>How Do I Vote?</w:t>
      </w:r>
      <w:r>
        <w:rPr>
          <w:rFonts w:ascii="Arial" w:cs="Arial" w:eastAsia="Arial" w:hAnsi="Arial"/>
          <w:sz w:val="16"/>
          <w:szCs w:val="16"/>
          <w:color w:val="231F20"/>
        </w:rPr>
        <w:t>” for each account to ensure that all of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Will My Shares be Voted if I Do Not Vote?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and 4.</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Vote is Required to Approve Each Proposal and How are Votes Counted?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b w:val="1"/>
                <w:bCs w:val="1"/>
                <w:color w:val="231F20"/>
              </w:rPr>
              <w:t>Proposal 1: Election of Directors</w:t>
            </w:r>
          </w:p>
        </w:tc>
        <w:tc>
          <w:tcPr>
            <w:tcW w:w="7620" w:type="dxa"/>
            <w:vAlign w:val="bottom"/>
          </w:tcPr>
          <w:p>
            <w:pPr>
              <w:jc w:val="right"/>
              <w:spacing w:after="0"/>
              <w:rPr>
                <w:sz w:val="20"/>
                <w:szCs w:val="20"/>
                <w:color w:val="auto"/>
              </w:rPr>
            </w:pPr>
            <w:r>
              <w:rPr>
                <w:rFonts w:ascii="Arial" w:cs="Arial" w:eastAsia="Arial" w:hAnsi="Arial"/>
                <w:sz w:val="18"/>
                <w:szCs w:val="18"/>
                <w:color w:val="231F20"/>
              </w:rPr>
              <w:t>The five nominees for director who receive the most votes (also known as a “plurality” of</w:t>
            </w:r>
          </w:p>
        </w:tc>
      </w:tr>
      <w:tr>
        <w:trPr>
          <w:trHeight w:val="216"/>
        </w:trPr>
        <w:tc>
          <w:tcPr>
            <w:tcW w:w="362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Arial" w:cs="Arial" w:eastAsia="Arial" w:hAnsi="Arial"/>
                <w:sz w:val="18"/>
                <w:szCs w:val="18"/>
                <w:color w:val="231F20"/>
              </w:rPr>
              <w:t>the votes cast) will be elected. You may vote either FOR all of the nominees,</w:t>
            </w:r>
          </w:p>
        </w:tc>
      </w:tr>
      <w:tr>
        <w:trPr>
          <w:trHeight w:val="216"/>
        </w:trPr>
        <w:tc>
          <w:tcPr>
            <w:tcW w:w="362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Arial" w:cs="Arial" w:eastAsia="Arial" w:hAnsi="Arial"/>
                <w:sz w:val="18"/>
                <w:szCs w:val="18"/>
                <w:color w:val="231F20"/>
              </w:rPr>
              <w:t>WITHHOLD your vote from all of the nominees or WITHHOLD your vote from any one</w:t>
            </w:r>
          </w:p>
        </w:tc>
      </w:tr>
      <w:tr>
        <w:trPr>
          <w:trHeight w:val="216"/>
        </w:trPr>
        <w:tc>
          <w:tcPr>
            <w:tcW w:w="362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Arial" w:cs="Arial" w:eastAsia="Arial" w:hAnsi="Arial"/>
                <w:sz w:val="18"/>
                <w:szCs w:val="18"/>
                <w:color w:val="231F20"/>
              </w:rPr>
              <w:t>or more of the nominees. Votes that are withheld will not be included in the vote tally for</w:t>
            </w:r>
          </w:p>
        </w:tc>
      </w:tr>
      <w:tr>
        <w:trPr>
          <w:trHeight w:val="216"/>
        </w:trPr>
        <w:tc>
          <w:tcPr>
            <w:tcW w:w="362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Arial" w:cs="Arial" w:eastAsia="Arial" w:hAnsi="Arial"/>
                <w:sz w:val="18"/>
                <w:szCs w:val="18"/>
                <w:color w:val="231F20"/>
              </w:rPr>
              <w:t>the election of the directors. Brokerage firms do not have authority to vote customers’</w:t>
            </w:r>
          </w:p>
        </w:tc>
      </w:tr>
      <w:tr>
        <w:trPr>
          <w:trHeight w:val="216"/>
        </w:trPr>
        <w:tc>
          <w:tcPr>
            <w:tcW w:w="362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Arial" w:cs="Arial" w:eastAsia="Arial" w:hAnsi="Arial"/>
                <w:sz w:val="18"/>
                <w:szCs w:val="18"/>
                <w:color w:val="231F20"/>
              </w:rPr>
              <w:t>unvoted shares held by the firms in street name for the election of the directors. As a</w:t>
            </w:r>
          </w:p>
        </w:tc>
      </w:tr>
      <w:tr>
        <w:trPr>
          <w:trHeight w:val="216"/>
        </w:trPr>
        <w:tc>
          <w:tcPr>
            <w:tcW w:w="362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Arial" w:cs="Arial" w:eastAsia="Arial" w:hAnsi="Arial"/>
                <w:sz w:val="18"/>
                <w:szCs w:val="18"/>
                <w:color w:val="231F20"/>
              </w:rPr>
              <w:t>result, any shares not voted by a customer will be treated as a broker non-vote. Such</w:t>
            </w:r>
          </w:p>
        </w:tc>
      </w:tr>
      <w:tr>
        <w:trPr>
          <w:trHeight w:val="230"/>
        </w:trPr>
        <w:tc>
          <w:tcPr>
            <w:tcW w:w="3620" w:type="dxa"/>
            <w:vAlign w:val="bottom"/>
          </w:tcPr>
          <w:p>
            <w:pPr>
              <w:spacing w:after="0"/>
              <w:rPr>
                <w:sz w:val="20"/>
                <w:szCs w:val="20"/>
                <w:color w:val="auto"/>
              </w:rPr>
            </w:pPr>
          </w:p>
        </w:tc>
        <w:tc>
          <w:tcPr>
            <w:tcW w:w="7620" w:type="dxa"/>
            <w:vAlign w:val="bottom"/>
          </w:tcPr>
          <w:p>
            <w:pPr>
              <w:jc w:val="right"/>
              <w:ind w:right="1910"/>
              <w:spacing w:after="0"/>
              <w:rPr>
                <w:sz w:val="20"/>
                <w:szCs w:val="20"/>
                <w:color w:val="auto"/>
              </w:rPr>
            </w:pPr>
            <w:r>
              <w:rPr>
                <w:rFonts w:ascii="Arial" w:cs="Arial" w:eastAsia="Arial" w:hAnsi="Arial"/>
                <w:sz w:val="18"/>
                <w:szCs w:val="18"/>
                <w:color w:val="231F20"/>
              </w:rPr>
              <w:t>broker non-votes will have no effect on the results of this vote.</w:t>
            </w:r>
          </w:p>
        </w:tc>
      </w:tr>
      <w:tr>
        <w:trPr>
          <w:trHeight w:val="675"/>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231F20"/>
                <w:w w:val="97"/>
              </w:rPr>
              <w:t>Proposal 2: Ratify Selection of Independent Registered</w:t>
            </w:r>
          </w:p>
        </w:tc>
        <w:tc>
          <w:tcPr>
            <w:tcW w:w="6620" w:type="dxa"/>
            <w:vAlign w:val="bottom"/>
          </w:tcPr>
          <w:p>
            <w:pPr>
              <w:ind w:left="100"/>
              <w:spacing w:after="0"/>
              <w:rPr>
                <w:sz w:val="20"/>
                <w:szCs w:val="20"/>
                <w:color w:val="auto"/>
              </w:rPr>
            </w:pPr>
            <w:r>
              <w:rPr>
                <w:rFonts w:ascii="Arial" w:cs="Arial" w:eastAsia="Arial" w:hAnsi="Arial"/>
                <w:sz w:val="18"/>
                <w:szCs w:val="18"/>
                <w:color w:val="231F20"/>
                <w:w w:val="94"/>
              </w:rPr>
              <w:t>The affirmative vote of the holders of a majority of the shares of common stock present</w:t>
            </w:r>
          </w:p>
        </w:tc>
      </w:tr>
      <w:tr>
        <w:trPr>
          <w:trHeight w:val="220"/>
        </w:trPr>
        <w:tc>
          <w:tcPr>
            <w:tcW w:w="4620" w:type="dxa"/>
            <w:vAlign w:val="bottom"/>
          </w:tcPr>
          <w:p>
            <w:pPr>
              <w:spacing w:after="0"/>
              <w:rPr>
                <w:sz w:val="20"/>
                <w:szCs w:val="20"/>
                <w:color w:val="auto"/>
              </w:rPr>
            </w:pPr>
            <w:r>
              <w:rPr>
                <w:rFonts w:ascii="Arial" w:cs="Arial" w:eastAsia="Arial" w:hAnsi="Arial"/>
                <w:sz w:val="18"/>
                <w:szCs w:val="18"/>
                <w:b w:val="1"/>
                <w:bCs w:val="1"/>
                <w:color w:val="231F20"/>
              </w:rPr>
              <w:t>Public Accounting Firm</w:t>
            </w:r>
          </w:p>
        </w:tc>
        <w:tc>
          <w:tcPr>
            <w:tcW w:w="6620" w:type="dxa"/>
            <w:vAlign w:val="bottom"/>
          </w:tcPr>
          <w:p>
            <w:pPr>
              <w:ind w:left="100"/>
              <w:spacing w:after="0"/>
              <w:rPr>
                <w:sz w:val="20"/>
                <w:szCs w:val="20"/>
                <w:color w:val="auto"/>
              </w:rPr>
            </w:pPr>
            <w:r>
              <w:rPr>
                <w:rFonts w:ascii="Arial" w:cs="Arial" w:eastAsia="Arial" w:hAnsi="Arial"/>
                <w:sz w:val="18"/>
                <w:szCs w:val="18"/>
                <w:color w:val="231F20"/>
                <w:w w:val="97"/>
              </w:rPr>
              <w:t>and entitled to vote on the matter either virtually or by proxy at the annual meeting is</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4"/>
              </w:rPr>
              <w:t>required to ratify the appointment of Marcum LLP as our independent registered public</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2"/>
              </w:rPr>
              <w:t>accounting firm for the fiscal year ending December 31, 2023. Abstentions will be treated</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7"/>
              </w:rPr>
              <w:t>as votes AGAINST this proposal. Brokerage firms have authority to vote customers’</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6"/>
              </w:rPr>
              <w:t>unvoted shares held by the firms in street name on this proposal. If a broker does not</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6"/>
              </w:rPr>
              <w:t>exercise this authority, such broker non-votes will have no effect on the results of this</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rPr>
              <w:t>vote. We are not required to obtain the approval of our stockholders to select our</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2"/>
              </w:rPr>
              <w:t>independent registered public accounting firm. However, if our stockholders do not ratify</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w w:val="95"/>
              </w:rPr>
              <w:t>the selection of Marcum LLP as our independent registered public accounting firm for</w:t>
            </w:r>
          </w:p>
        </w:tc>
      </w:tr>
      <w:tr>
        <w:trPr>
          <w:trHeight w:val="230"/>
        </w:trPr>
        <w:tc>
          <w:tcPr>
            <w:tcW w:w="462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231F20"/>
              </w:rPr>
              <w:t>2023, the Audit Committee of our Board of Directors will reconsider its selection.</w:t>
            </w:r>
          </w:p>
        </w:tc>
      </w:tr>
      <w:tr>
        <w:trPr>
          <w:trHeight w:val="418"/>
        </w:trPr>
        <w:tc>
          <w:tcPr>
            <w:tcW w:w="4620" w:type="dxa"/>
            <w:vAlign w:val="bottom"/>
          </w:tcPr>
          <w:p>
            <w:pPr>
              <w:spacing w:after="0"/>
              <w:rPr>
                <w:sz w:val="20"/>
                <w:szCs w:val="20"/>
                <w:color w:val="auto"/>
              </w:rPr>
            </w:pPr>
            <w:r>
              <w:rPr>
                <w:rFonts w:ascii="Arial" w:cs="Arial" w:eastAsia="Arial" w:hAnsi="Arial"/>
                <w:sz w:val="18"/>
                <w:szCs w:val="18"/>
                <w:b w:val="1"/>
                <w:bCs w:val="1"/>
                <w:color w:val="231F20"/>
              </w:rPr>
              <w:t>Proposal 3: Reverse Stock Split</w:t>
            </w:r>
          </w:p>
        </w:tc>
        <w:tc>
          <w:tcPr>
            <w:tcW w:w="6620" w:type="dxa"/>
            <w:vAlign w:val="bottom"/>
          </w:tcPr>
          <w:p>
            <w:pPr>
              <w:ind w:left="100"/>
              <w:spacing w:after="0"/>
              <w:rPr>
                <w:sz w:val="20"/>
                <w:szCs w:val="20"/>
                <w:color w:val="auto"/>
              </w:rPr>
            </w:pPr>
            <w:r>
              <w:rPr>
                <w:rFonts w:ascii="Arial" w:cs="Arial" w:eastAsia="Arial" w:hAnsi="Arial"/>
                <w:sz w:val="18"/>
                <w:szCs w:val="18"/>
                <w:color w:val="auto"/>
                <w:w w:val="93"/>
              </w:rPr>
              <w:t>As of July 14, 2023, the affirmative vote of the holders of a majority of the shares of our</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89"/>
              </w:rPr>
              <w:t>common stock outstanding as of the Record Date is required to approve the amendment to</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4"/>
              </w:rPr>
              <w:t>our Amended and Restated Certificate of Incorporation to effect a reverse stock split of</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4"/>
              </w:rPr>
              <w:t>our common stock. On May 16, 2023 and June 30, 2023, respectively, the Senate and</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0"/>
              </w:rPr>
              <w:t>House of Representatives of the State of Delaware passed Senate Bill No. 114 (“SB 114”)</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5"/>
              </w:rPr>
              <w:t>proposing  several  amendments  (the  “Proposed 2023  DGCL Amendments”)  to  the</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4"/>
              </w:rPr>
              <w:t>Delaware General Corporation Law (“DGCL”), including an amendment to Section 242</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of the DGCL that would reduce the stockholder vote threshold required for certain</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2"/>
              </w:rPr>
              <w:t>amendments to a corporation’s certificate of incorporation in connection with a proposed</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8"/>
              </w:rPr>
              <w:t>reverse stock split. If the Proposed 2023 DGCL Amendments are enacted into law,</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5"/>
              </w:rPr>
              <w:t>effective as of August 1, 2023, the stockholder vote threshold required to approve this</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4"/>
              </w:rPr>
              <w:t>proposal will be reduced such that, presuming a quorum is present, such matter will be</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89"/>
              </w:rPr>
              <w:t>approved if the votes cast for approval the reverse stock split exceed the votes cast against</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4"/>
              </w:rPr>
              <w:t>stock split proposal, in each case by holders present and entitled to vote on the matter</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3"/>
              </w:rPr>
              <w:t>either virtually or by proxy at the annual meeting. Under current law, abstentions will be</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6"/>
              </w:rPr>
              <w:t>treated  as  votes  AGAINST  this  proposal,  but  under  the  Proposed  2023  DGCL</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3"/>
              </w:rPr>
              <w:t>Amendments, abstentions will have no effect on the results of the vote. We believe that</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5"/>
              </w:rPr>
              <w:t>the Reverse Stock Split Proposal would be considered a “routine” matter under NYSE</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7"/>
              </w:rPr>
              <w:t>rules and, as a result, if you hold shares of our common stock in street name, in the</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3"/>
              </w:rPr>
              <w:t>absence of timely directions, your broker will have discretion to vote your shares on this</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3"/>
              </w:rPr>
              <w:t>proposal. Under the current law, if a broker does not exercise this authority, such broker</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3"/>
              </w:rPr>
              <w:t>non-votes will have the same effect as a vote AGAINST such proposal. However, under</w:t>
            </w:r>
          </w:p>
        </w:tc>
      </w:tr>
      <w:tr>
        <w:trPr>
          <w:trHeight w:val="216"/>
        </w:trPr>
        <w:tc>
          <w:tcPr>
            <w:tcW w:w="46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1"/>
              </w:rPr>
              <w:t>the Proposed 2023 DGCL Amendments, if a broker does not exercise this authority, such</w:t>
            </w:r>
          </w:p>
        </w:tc>
      </w:tr>
      <w:tr>
        <w:trPr>
          <w:trHeight w:val="230"/>
        </w:trPr>
        <w:tc>
          <w:tcPr>
            <w:tcW w:w="462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broker non-votes will have no effect on the results of this vote.</w:t>
            </w:r>
          </w:p>
        </w:tc>
      </w:tr>
      <w:tr>
        <w:trPr>
          <w:trHeight w:val="675"/>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282" w:lineRule="auto"/>
        <w:rPr>
          <w:sz w:val="20"/>
          <w:szCs w:val="20"/>
          <w:color w:val="auto"/>
        </w:rPr>
      </w:pPr>
      <w:r>
        <w:rPr>
          <w:rFonts w:ascii="Arial" w:cs="Arial" w:eastAsia="Arial" w:hAnsi="Arial"/>
          <w:sz w:val="18"/>
          <w:szCs w:val="18"/>
          <w:b w:val="1"/>
          <w:bCs w:val="1"/>
          <w:color w:val="231F20"/>
        </w:rPr>
        <w:t>Proposal 4: Advisory Vote on the Compensation of our Named Executive Officers</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231F20"/>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64" w:lineRule="exact"/>
        <w:rPr>
          <w:sz w:val="20"/>
          <w:szCs w:val="20"/>
          <w:color w:val="auto"/>
        </w:rPr>
      </w:pPr>
    </w:p>
    <w:p>
      <w:pPr>
        <w:sectPr>
          <w:pgSz w:w="11900" w:h="16838" w:orient="portrait"/>
          <w:cols w:equalWidth="0" w:num="2">
            <w:col w:w="4500" w:space="220"/>
            <w:col w:w="6520"/>
          </w:cols>
          <w:pgMar w:left="320" w:top="931" w:right="339" w:bottom="1440" w:gutter="0" w:footer="0" w:header="0"/>
        </w:sectPr>
      </w:pPr>
    </w:p>
    <w:p>
      <w:pPr>
        <w:jc w:val="both"/>
        <w:spacing w:after="0" w:line="266" w:lineRule="auto"/>
        <w:rPr>
          <w:sz w:val="20"/>
          <w:szCs w:val="20"/>
          <w:color w:val="auto"/>
        </w:rPr>
      </w:pPr>
      <w:r>
        <w:rPr>
          <w:rFonts w:ascii="Arial" w:cs="Arial" w:eastAsia="Arial" w:hAnsi="Arial"/>
          <w:sz w:val="18"/>
          <w:szCs w:val="18"/>
          <w:b w:val="1"/>
          <w:bCs w:val="1"/>
          <w:color w:val="231F20"/>
        </w:rPr>
        <w:t>Proposal 5: Approve an Adjournment of the Annual Meeting to Solicit Additional Proxies if there are not Sufficient Votes in Favor of Proposals 2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Is Voting Confidential?</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color w:val="231F20"/>
        </w:rPr>
        <w:t>Approval of the adjournment of the annual meeting to solicit additional proxies if there are not sufficient votes in favor of Proposals 2 through 4 requires the affirmative vote of the holders of a majority of the shares of common stock present and entitled to vote on the matter either virtually or by proxy at the annual meeting. Brokerage firms have authority to vote customers’ unvoted shares held by the firms in street name on this proposal. If a broker does not exercise this authority, such broker non-votes will have no effect on the results of this vote.</w:t>
      </w:r>
    </w:p>
    <w:p>
      <w:pPr>
        <w:spacing w:after="0" w:line="597" w:lineRule="exact"/>
        <w:rPr>
          <w:sz w:val="20"/>
          <w:szCs w:val="20"/>
          <w:color w:val="auto"/>
        </w:rPr>
      </w:pPr>
    </w:p>
    <w:p>
      <w:pPr>
        <w:sectPr>
          <w:pgSz w:w="11900" w:h="16838" w:orient="portrait"/>
          <w:cols w:equalWidth="0" w:num="2">
            <w:col w:w="4500" w:space="220"/>
            <w:col w:w="6520"/>
          </w:cols>
          <w:pgMar w:left="320" w:top="931" w:right="339" w:bottom="1440" w:gutter="0" w:footer="0" w:header="0"/>
          <w:type w:val="continuous"/>
        </w:sectPr>
      </w:pPr>
    </w:p>
    <w:p>
      <w:pPr>
        <w:spacing w:after="0" w:line="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We will keep all the proxies, ballots and voting tabulations private. We only let our Inspectors of Election, Alliance Advisors, examine these documents. Management will not know how you voted on a specific proposal unless it is necessary to meet legal requirements. We will, however, forward to management any written comments you make, on the proxy card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Where Can I Find the Voting Results of the Annual Meeting?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Are the Costs of Soliciting these Proxies?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We have engaged Alliance Advisors, LLC to assist in the solicitation of proxies and provide related advice and informational support, for a services fee and the reimbursement of customary disbursements that are not expected to exceed $80,000 in the aggregate.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231F20"/>
        </w:rPr>
        <w:t>What Constitutes a Quorum for the Annual Meeting?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The presence, virtually or by proxy, of the holders of one-third (33.33%) of the shares of our common stock issued and outstanding and entitled to vote on the matters at the annual meeting is necessary to constitute a quorum at the meeting. Votes of stockholders of record who are present at the annual meeting in person or by proxy, abstentions, and broker non-votes are counted for purposes of determining whether a quorum exists.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Attending the Annual Meeting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 xml:space="preserve">The annual meeting will be held at 11:00 a.m. EDT on Tuesday, August 22, 2023. The annual meeting will be held in a virtual meeting format only. You will be able to attend the Stockholder Meeting by first registering at </w:t>
      </w:r>
      <w:r>
        <w:rPr>
          <w:rFonts w:ascii="Arial" w:cs="Arial" w:eastAsia="Arial" w:hAnsi="Arial"/>
          <w:sz w:val="18"/>
          <w:szCs w:val="18"/>
          <w:i w:val="1"/>
          <w:iCs w:val="1"/>
          <w:color w:val="231F20"/>
        </w:rPr>
        <w:t>www.viewproxy.com/XWELL/2023</w:t>
      </w:r>
      <w:r>
        <w:rPr>
          <w:rFonts w:ascii="Arial" w:cs="Arial" w:eastAsia="Arial" w:hAnsi="Arial"/>
          <w:sz w:val="18"/>
          <w:szCs w:val="18"/>
          <w:color w:val="231F20"/>
        </w:rPr>
        <w:t>. You will receive a meeting invitation by e-mail with your unique join link along with a password prior to the meeting date. Stockholders will be able to listen, vote and submit questions during the virtual meeting. You need not attend the annual meeting in order to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Householding of Annual Disclosure Documents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If your household received a single Notice or, if applicable, a single set of proxy materials this year, but you would prefer to receive your own copy, please contact XWELL’s Corporate Secretary at XWELL, Inc., 254 West 31st Street, 11th Floor, New York, New York 10001.</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If you do not wish to participate in “householding” and would like to receive your own Notice or, if applicable, your own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184"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If your shares are registered in your own name, please contact American Stock Transfer &amp; Trust Company, LLC and inform them of your request by calling them at 718-921-8200.</w:t>
      </w:r>
    </w:p>
    <w:p>
      <w:pPr>
        <w:spacing w:after="0" w:line="170"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If a broker or other nominee holds your shares, please contact the broker or other nominee directly and inform them of your request. Be sure to include your name and your account number.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231F20"/>
        </w:rPr>
        <w:t>SECURITY OWNERSHIP OF CERTAIN BENEFICIAL OWNERS AND MANAGEMENT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The following table sets forth certain information with respect to the beneficial ownership of our common stock as of July 11, 2023 for (a) each stockholder known by us to own beneficially more than 5% of our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July 11, 2023, pursuant to the exercise of options or warrants or the vesting of restricted stock units to be outstanding for the purpose of computing the percentage ownership of such individual or group, but do not deem those shares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83,418,535 shares of common stock outstanding as of July 11, 2023.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231F20"/>
                <w:w w:val="93"/>
              </w:rPr>
              <w:t>Number of</w:t>
            </w: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231F20"/>
                <w:w w:val="88"/>
              </w:rPr>
              <w:t>Percent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231F20"/>
                <w:w w:val="87"/>
              </w:rPr>
              <w:t>Shares of</w:t>
            </w:r>
          </w:p>
        </w:tc>
        <w:tc>
          <w:tcPr>
            <w:tcW w:w="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231F20"/>
                <w:w w:val="87"/>
              </w:rPr>
              <w:t>Shares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231F20"/>
                <w:w w:val="92"/>
              </w:rPr>
              <w:t>Common</w:t>
            </w:r>
          </w:p>
        </w:tc>
        <w:tc>
          <w:tcPr>
            <w:tcW w:w="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231F20"/>
                <w:w w:val="92"/>
              </w:rPr>
              <w:t>Common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231F20"/>
                <w:w w:val="89"/>
              </w:rPr>
              <w:t>Stock</w:t>
            </w:r>
          </w:p>
        </w:tc>
        <w:tc>
          <w:tcPr>
            <w:tcW w:w="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231F20"/>
                <w:w w:val="89"/>
              </w:rPr>
              <w:t>Stock</w:t>
            </w:r>
          </w:p>
        </w:tc>
        <w:tc>
          <w:tcPr>
            <w:tcW w:w="0" w:type="dxa"/>
            <w:vAlign w:val="bottom"/>
          </w:tcPr>
          <w:p>
            <w:pPr>
              <w:spacing w:after="0"/>
              <w:rPr>
                <w:sz w:val="1"/>
                <w:szCs w:val="1"/>
                <w:color w:val="auto"/>
              </w:rPr>
            </w:pPr>
          </w:p>
        </w:tc>
      </w:tr>
      <w:tr>
        <w:trPr>
          <w:trHeight w:val="216"/>
        </w:trPr>
        <w:tc>
          <w:tcPr>
            <w:tcW w:w="8060" w:type="dxa"/>
            <w:vAlign w:val="bottom"/>
            <w:gridSpan w:val="3"/>
            <w:vMerge w:val="restart"/>
          </w:tcPr>
          <w:p>
            <w:pPr>
              <w:spacing w:after="0"/>
              <w:rPr>
                <w:sz w:val="20"/>
                <w:szCs w:val="20"/>
                <w:color w:val="auto"/>
              </w:rPr>
            </w:pPr>
            <w:r>
              <w:rPr>
                <w:rFonts w:ascii="Arial" w:cs="Arial" w:eastAsia="Arial" w:hAnsi="Arial"/>
                <w:sz w:val="18"/>
                <w:szCs w:val="18"/>
                <w:b w:val="1"/>
                <w:bCs w:val="1"/>
                <w:color w:val="231F20"/>
              </w:rPr>
              <w:t>Name and Address of Beneficial Owner</w:t>
            </w:r>
            <w:r>
              <w:rPr>
                <w:rFonts w:ascii="Arial" w:cs="Arial" w:eastAsia="Arial" w:hAnsi="Arial"/>
                <w:sz w:val="29"/>
                <w:szCs w:val="29"/>
                <w:b w:val="1"/>
                <w:bCs w:val="1"/>
                <w:color w:val="231F20"/>
                <w:vertAlign w:val="superscript"/>
              </w:rPr>
              <w:t>(1)</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231F20"/>
                <w:w w:val="89"/>
              </w:rPr>
              <w:t>Beneficially</w:t>
            </w: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231F20"/>
                <w:w w:val="89"/>
              </w:rPr>
              <w:t>Beneficially</w:t>
            </w:r>
          </w:p>
        </w:tc>
        <w:tc>
          <w:tcPr>
            <w:tcW w:w="0" w:type="dxa"/>
            <w:vAlign w:val="bottom"/>
          </w:tcPr>
          <w:p>
            <w:pPr>
              <w:spacing w:after="0"/>
              <w:rPr>
                <w:sz w:val="1"/>
                <w:szCs w:val="1"/>
                <w:color w:val="auto"/>
              </w:rPr>
            </w:pPr>
          </w:p>
        </w:tc>
      </w:tr>
      <w:tr>
        <w:trPr>
          <w:trHeight w:val="234"/>
        </w:trPr>
        <w:tc>
          <w:tcPr>
            <w:tcW w:w="80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231F20"/>
                <w:w w:val="93"/>
              </w:rPr>
              <w:t>Owned</w:t>
            </w:r>
          </w:p>
        </w:tc>
        <w:tc>
          <w:tcPr>
            <w:tcW w:w="1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231F20"/>
                <w:w w:val="93"/>
              </w:rPr>
              <w:t>Owned</w:t>
            </w:r>
          </w:p>
        </w:tc>
        <w:tc>
          <w:tcPr>
            <w:tcW w:w="0" w:type="dxa"/>
            <w:vAlign w:val="bottom"/>
          </w:tcPr>
          <w:p>
            <w:pPr>
              <w:spacing w:after="0"/>
              <w:rPr>
                <w:sz w:val="1"/>
                <w:szCs w:val="1"/>
                <w:color w:val="auto"/>
              </w:rPr>
            </w:pPr>
          </w:p>
        </w:tc>
      </w:tr>
      <w:tr>
        <w:trPr>
          <w:trHeight w:val="209"/>
        </w:trPr>
        <w:tc>
          <w:tcPr>
            <w:tcW w:w="80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i w:val="1"/>
                <w:iCs w:val="1"/>
                <w:color w:val="231F20"/>
              </w:rPr>
              <w:t>Five percent or more beneficial owners:</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60" w:type="dxa"/>
            <w:vAlign w:val="bottom"/>
            <w:gridSpan w:val="3"/>
          </w:tcPr>
          <w:p>
            <w:pPr>
              <w:spacing w:after="0" w:line="256" w:lineRule="exact"/>
              <w:rPr>
                <w:sz w:val="20"/>
                <w:szCs w:val="20"/>
                <w:color w:val="auto"/>
              </w:rPr>
            </w:pPr>
            <w:r>
              <w:rPr>
                <w:rFonts w:ascii="Arial" w:cs="Arial" w:eastAsia="Arial" w:hAnsi="Arial"/>
                <w:sz w:val="18"/>
                <w:szCs w:val="18"/>
                <w:color w:val="231F20"/>
              </w:rPr>
              <w:t>The Vanguard Group</w:t>
            </w:r>
            <w:r>
              <w:rPr>
                <w:rFonts w:ascii="Arial" w:cs="Arial" w:eastAsia="Arial" w:hAnsi="Arial"/>
                <w:sz w:val="29"/>
                <w:szCs w:val="29"/>
                <w:color w:val="231F20"/>
                <w:vertAlign w:val="superscript"/>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4,862,523</w:t>
            </w:r>
          </w:p>
        </w:tc>
        <w:tc>
          <w:tcPr>
            <w:tcW w:w="1600" w:type="dxa"/>
            <w:vAlign w:val="bottom"/>
            <w:gridSpan w:val="3"/>
          </w:tcPr>
          <w:p>
            <w:pPr>
              <w:jc w:val="right"/>
              <w:spacing w:after="0"/>
              <w:rPr>
                <w:sz w:val="20"/>
                <w:szCs w:val="20"/>
                <w:color w:val="auto"/>
              </w:rPr>
            </w:pPr>
            <w:r>
              <w:rPr>
                <w:rFonts w:ascii="Arial" w:cs="Arial" w:eastAsia="Arial" w:hAnsi="Arial"/>
                <w:sz w:val="18"/>
                <w:szCs w:val="18"/>
                <w:color w:val="231F20"/>
              </w:rPr>
              <w:t>5.5%</w:t>
            </w:r>
          </w:p>
        </w:tc>
        <w:tc>
          <w:tcPr>
            <w:tcW w:w="0" w:type="dxa"/>
            <w:vAlign w:val="bottom"/>
          </w:tcPr>
          <w:p>
            <w:pPr>
              <w:spacing w:after="0"/>
              <w:rPr>
                <w:sz w:val="1"/>
                <w:szCs w:val="1"/>
                <w:color w:val="auto"/>
              </w:rPr>
            </w:pPr>
          </w:p>
        </w:tc>
      </w:tr>
      <w:tr>
        <w:trPr>
          <w:trHeight w:val="216"/>
        </w:trPr>
        <w:tc>
          <w:tcPr>
            <w:tcW w:w="8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231F20"/>
              </w:rPr>
              <w:t>Directors and named executive officers: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60" w:type="dxa"/>
            <w:vAlign w:val="bottom"/>
            <w:gridSpan w:val="3"/>
          </w:tcPr>
          <w:p>
            <w:pPr>
              <w:spacing w:after="0" w:line="270" w:lineRule="exact"/>
              <w:rPr>
                <w:sz w:val="20"/>
                <w:szCs w:val="20"/>
                <w:color w:val="auto"/>
              </w:rPr>
            </w:pPr>
            <w:r>
              <w:rPr>
                <w:rFonts w:ascii="Arial" w:cs="Arial" w:eastAsia="Arial" w:hAnsi="Arial"/>
                <w:sz w:val="18"/>
                <w:szCs w:val="18"/>
                <w:color w:val="231F20"/>
              </w:rPr>
              <w:t>Scott Milford</w:t>
            </w:r>
            <w:r>
              <w:rPr>
                <w:rFonts w:ascii="Arial" w:cs="Arial" w:eastAsia="Arial" w:hAnsi="Arial"/>
                <w:sz w:val="29"/>
                <w:szCs w:val="29"/>
                <w:color w:val="231F20"/>
                <w:vertAlign w:val="superscript"/>
              </w:rPr>
              <w:t>(3)</w:t>
            </w: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636,024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Omar Haynes</w:t>
            </w:r>
            <w:r>
              <w:rPr>
                <w:rFonts w:ascii="Arial" w:cs="Arial" w:eastAsia="Arial" w:hAnsi="Arial"/>
                <w:sz w:val="29"/>
                <w:szCs w:val="29"/>
                <w:color w:val="231F20"/>
                <w:vertAlign w:val="superscript"/>
              </w:rPr>
              <w:t>(4)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221,735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60" w:type="dxa"/>
            <w:vAlign w:val="bottom"/>
            <w:gridSpan w:val="3"/>
          </w:tcPr>
          <w:p>
            <w:pPr>
              <w:spacing w:after="0" w:line="270" w:lineRule="exact"/>
              <w:rPr>
                <w:sz w:val="20"/>
                <w:szCs w:val="20"/>
                <w:color w:val="auto"/>
              </w:rPr>
            </w:pPr>
            <w:r>
              <w:rPr>
                <w:rFonts w:ascii="Arial" w:cs="Arial" w:eastAsia="Arial" w:hAnsi="Arial"/>
                <w:sz w:val="18"/>
                <w:szCs w:val="18"/>
                <w:color w:val="231F20"/>
              </w:rPr>
              <w:t>Suzanne Scrabis</w:t>
            </w:r>
            <w:r>
              <w:rPr>
                <w:rFonts w:ascii="Arial" w:cs="Arial" w:eastAsia="Arial" w:hAnsi="Arial"/>
                <w:sz w:val="29"/>
                <w:szCs w:val="29"/>
                <w:color w:val="231F20"/>
                <w:vertAlign w:val="superscript"/>
              </w:rPr>
              <w:t>(5)</w:t>
            </w: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Ezra Ernst</w:t>
            </w:r>
            <w:r>
              <w:rPr>
                <w:rFonts w:ascii="Arial" w:cs="Arial" w:eastAsia="Arial" w:hAnsi="Arial"/>
                <w:sz w:val="29"/>
                <w:szCs w:val="29"/>
                <w:color w:val="231F20"/>
                <w:vertAlign w:val="superscript"/>
              </w:rPr>
              <w:t>(6)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461,184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60" w:type="dxa"/>
            <w:vAlign w:val="bottom"/>
            <w:gridSpan w:val="3"/>
          </w:tcPr>
          <w:p>
            <w:pPr>
              <w:spacing w:after="0" w:line="270" w:lineRule="exact"/>
              <w:rPr>
                <w:sz w:val="20"/>
                <w:szCs w:val="20"/>
                <w:color w:val="auto"/>
              </w:rPr>
            </w:pPr>
            <w:r>
              <w:rPr>
                <w:rFonts w:ascii="Arial" w:cs="Arial" w:eastAsia="Arial" w:hAnsi="Arial"/>
                <w:sz w:val="18"/>
                <w:szCs w:val="18"/>
                <w:color w:val="231F20"/>
              </w:rPr>
              <w:t>Bruce T. Bernstein</w:t>
            </w:r>
            <w:r>
              <w:rPr>
                <w:rFonts w:ascii="Arial" w:cs="Arial" w:eastAsia="Arial" w:hAnsi="Arial"/>
                <w:sz w:val="29"/>
                <w:szCs w:val="29"/>
                <w:color w:val="231F20"/>
                <w:vertAlign w:val="superscript"/>
              </w:rPr>
              <w:t>(7)</w:t>
            </w: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1,329,480</w:t>
            </w:r>
          </w:p>
        </w:tc>
        <w:tc>
          <w:tcPr>
            <w:tcW w:w="1600" w:type="dxa"/>
            <w:vAlign w:val="bottom"/>
            <w:gridSpan w:val="3"/>
          </w:tcPr>
          <w:p>
            <w:pPr>
              <w:jc w:val="right"/>
              <w:spacing w:after="0"/>
              <w:rPr>
                <w:sz w:val="20"/>
                <w:szCs w:val="20"/>
                <w:color w:val="auto"/>
              </w:rPr>
            </w:pPr>
            <w:r>
              <w:rPr>
                <w:rFonts w:ascii="Arial" w:cs="Arial" w:eastAsia="Arial" w:hAnsi="Arial"/>
                <w:sz w:val="18"/>
                <w:szCs w:val="18"/>
                <w:color w:val="231F20"/>
              </w:rPr>
              <w:t>1.6%</w:t>
            </w:r>
          </w:p>
        </w:tc>
        <w:tc>
          <w:tcPr>
            <w:tcW w:w="0" w:type="dxa"/>
            <w:vAlign w:val="bottom"/>
          </w:tcPr>
          <w:p>
            <w:pPr>
              <w:spacing w:after="0"/>
              <w:rPr>
                <w:sz w:val="1"/>
                <w:szCs w:val="1"/>
                <w:color w:val="auto"/>
              </w:rPr>
            </w:pPr>
          </w:p>
        </w:tc>
      </w:tr>
      <w:tr>
        <w:trPr>
          <w:trHeight w:val="256"/>
        </w:trPr>
        <w:tc>
          <w:tcPr>
            <w:tcW w:w="80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Donald E. Stout</w:t>
            </w:r>
            <w:r>
              <w:rPr>
                <w:rFonts w:ascii="Arial" w:cs="Arial" w:eastAsia="Arial" w:hAnsi="Arial"/>
                <w:sz w:val="29"/>
                <w:szCs w:val="29"/>
                <w:color w:val="231F20"/>
                <w:vertAlign w:val="superscript"/>
              </w:rPr>
              <w:t>(8)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462,971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60" w:type="dxa"/>
            <w:vAlign w:val="bottom"/>
            <w:gridSpan w:val="3"/>
          </w:tcPr>
          <w:p>
            <w:pPr>
              <w:spacing w:after="0" w:line="270" w:lineRule="exact"/>
              <w:rPr>
                <w:sz w:val="20"/>
                <w:szCs w:val="20"/>
                <w:color w:val="auto"/>
              </w:rPr>
            </w:pPr>
            <w:r>
              <w:rPr>
                <w:rFonts w:ascii="Arial" w:cs="Arial" w:eastAsia="Arial" w:hAnsi="Arial"/>
                <w:sz w:val="18"/>
                <w:szCs w:val="18"/>
                <w:color w:val="231F20"/>
              </w:rPr>
              <w:t>Robert Weinstein</w:t>
            </w:r>
            <w:r>
              <w:rPr>
                <w:rFonts w:ascii="Arial" w:cs="Arial" w:eastAsia="Arial" w:hAnsi="Arial"/>
                <w:sz w:val="29"/>
                <w:szCs w:val="29"/>
                <w:color w:val="231F20"/>
                <w:vertAlign w:val="superscript"/>
              </w:rPr>
              <w:t>(9)</w:t>
            </w: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458,104</w:t>
            </w:r>
          </w:p>
        </w:tc>
        <w:tc>
          <w:tcPr>
            <w:tcW w:w="1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Michael Lebowitz</w:t>
            </w:r>
            <w:r>
              <w:rPr>
                <w:rFonts w:ascii="Arial" w:cs="Arial" w:eastAsia="Arial" w:hAnsi="Arial"/>
                <w:sz w:val="29"/>
                <w:szCs w:val="29"/>
                <w:color w:val="231F20"/>
                <w:vertAlign w:val="superscript"/>
              </w:rPr>
              <w:t>(10)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549,437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60" w:type="dxa"/>
            <w:vAlign w:val="bottom"/>
            <w:gridSpan w:val="3"/>
          </w:tcPr>
          <w:p>
            <w:pPr>
              <w:spacing w:after="0" w:line="256" w:lineRule="exact"/>
              <w:rPr>
                <w:sz w:val="20"/>
                <w:szCs w:val="20"/>
                <w:color w:val="auto"/>
              </w:rPr>
            </w:pPr>
            <w:r>
              <w:rPr>
                <w:rFonts w:ascii="Arial" w:cs="Arial" w:eastAsia="Arial" w:hAnsi="Arial"/>
                <w:sz w:val="18"/>
                <w:szCs w:val="18"/>
                <w:color w:val="231F20"/>
              </w:rPr>
              <w:t>Douglas Satzman</w:t>
            </w:r>
            <w:r>
              <w:rPr>
                <w:rFonts w:ascii="Arial" w:cs="Arial" w:eastAsia="Arial" w:hAnsi="Arial"/>
                <w:sz w:val="29"/>
                <w:szCs w:val="29"/>
                <w:color w:val="231F20"/>
                <w:vertAlign w:val="superscript"/>
              </w:rPr>
              <w:t>(11)</w:t>
            </w: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772,783</w:t>
            </w:r>
          </w:p>
        </w:tc>
        <w:tc>
          <w:tcPr>
            <w:tcW w:w="14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6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231F20"/>
              </w:rPr>
              <w:t>All current directors and officers as a group (8 individuals)</w:t>
            </w:r>
            <w:r>
              <w:rPr>
                <w:rFonts w:ascii="Arial" w:cs="Arial" w:eastAsia="Arial" w:hAnsi="Arial"/>
                <w:sz w:val="29"/>
                <w:szCs w:val="29"/>
                <w:color w:val="231F20"/>
                <w:vertAlign w:val="superscript"/>
              </w:rPr>
              <w:t>(12)</w:t>
            </w:r>
            <w:r>
              <w:rPr>
                <w:rFonts w:ascii="Arial" w:cs="Arial" w:eastAsia="Arial" w:hAnsi="Arial"/>
                <w:sz w:val="18"/>
                <w:szCs w:val="18"/>
                <w:color w:val="231F20"/>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4,118,935</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4.9%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231F20"/>
              </w:rPr>
              <w:t>*</w:t>
            </w:r>
          </w:p>
        </w:tc>
        <w:tc>
          <w:tcPr>
            <w:tcW w:w="2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231F20"/>
              </w:rPr>
              <w:t>Less than 1%</w:t>
            </w: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7"/>
          <w:szCs w:val="17"/>
          <w:color w:val="231F20"/>
        </w:rPr>
      </w:pPr>
      <w:r>
        <w:rPr>
          <w:rFonts w:ascii="Arial" w:cs="Arial" w:eastAsia="Arial" w:hAnsi="Arial"/>
          <w:sz w:val="17"/>
          <w:szCs w:val="17"/>
          <w:color w:val="231F20"/>
        </w:rPr>
        <w:t>Unless otherwise indicated, the business address of the individuals is c/o XWELL, Inc., 254 West 31st Street, 11th Floor, New York, NY 10001.</w:t>
      </w:r>
    </w:p>
    <w:p>
      <w:pPr>
        <w:spacing w:after="0" w:line="236" w:lineRule="exact"/>
        <w:rPr>
          <w:rFonts w:ascii="Arial" w:cs="Arial" w:eastAsia="Arial" w:hAnsi="Arial"/>
          <w:sz w:val="17"/>
          <w:szCs w:val="17"/>
          <w:color w:val="231F20"/>
        </w:rPr>
      </w:pPr>
    </w:p>
    <w:p>
      <w:pPr>
        <w:ind w:left="400" w:hanging="392"/>
        <w:spacing w:after="0" w:line="308" w:lineRule="auto"/>
        <w:tabs>
          <w:tab w:leader="none" w:pos="400" w:val="left"/>
        </w:tabs>
        <w:numPr>
          <w:ilvl w:val="0"/>
          <w:numId w:val="12"/>
        </w:numPr>
        <w:rPr>
          <w:rFonts w:ascii="Arial" w:cs="Arial" w:eastAsia="Arial" w:hAnsi="Arial"/>
          <w:sz w:val="17"/>
          <w:szCs w:val="17"/>
          <w:color w:val="231F20"/>
        </w:rPr>
      </w:pPr>
      <w:r>
        <w:rPr>
          <w:rFonts w:ascii="Arial" w:cs="Arial" w:eastAsia="Arial" w:hAnsi="Arial"/>
          <w:sz w:val="17"/>
          <w:szCs w:val="17"/>
          <w:color w:val="231F20"/>
        </w:rPr>
        <w:t>Based on Form SC 13G filed by The Vanguard Group with the SEC on February 9, 2023, which reported 4,862,523 shares of Common Stock ownership as of December 30, 2022. The principal business address of The Vanguard Group is 100 Vanguard Blvd., Malvern, PA 19355</w:t>
      </w:r>
    </w:p>
    <w:p>
      <w:pPr>
        <w:spacing w:after="0" w:line="146" w:lineRule="exact"/>
        <w:rPr>
          <w:rFonts w:ascii="Arial" w:cs="Arial" w:eastAsia="Arial" w:hAnsi="Arial"/>
          <w:sz w:val="17"/>
          <w:szCs w:val="17"/>
          <w:color w:val="231F20"/>
        </w:rPr>
      </w:pPr>
    </w:p>
    <w:p>
      <w:pPr>
        <w:ind w:left="400" w:hanging="392"/>
        <w:spacing w:after="0" w:line="277" w:lineRule="auto"/>
        <w:tabs>
          <w:tab w:leader="none" w:pos="40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number of shares of common stock beneficially owned includes 41,155 shares of common stock and options to purchase 594,869 shares of common stock, which are exercisable within 60 days of July 11, 2023.</w:t>
      </w:r>
    </w:p>
    <w:p>
      <w:pPr>
        <w:spacing w:after="0" w:line="170" w:lineRule="exact"/>
        <w:rPr>
          <w:rFonts w:ascii="Arial" w:cs="Arial" w:eastAsia="Arial" w:hAnsi="Arial"/>
          <w:sz w:val="18"/>
          <w:szCs w:val="18"/>
          <w:color w:val="231F20"/>
        </w:rPr>
      </w:pPr>
    </w:p>
    <w:p>
      <w:pPr>
        <w:ind w:left="400" w:hanging="392"/>
        <w:spacing w:after="0" w:line="342" w:lineRule="auto"/>
        <w:tabs>
          <w:tab w:leader="none" w:pos="40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Mr. Haynes served as our Interim Chief Financial Officer from June 2022 through July 2023. He has now resumed his former role as Vice President of Treasury &amp; Finance, effective July 10, 2023, a non-executive position. However, we have still included his share ownership as of July 11, 2023.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400" w:hanging="392"/>
        <w:spacing w:after="0"/>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Ms. Scrabis became our Chief Financial Officer effective July 10, 2023.</w:t>
      </w:r>
    </w:p>
    <w:p>
      <w:pPr>
        <w:spacing w:after="0" w:line="225" w:lineRule="exact"/>
        <w:rPr>
          <w:rFonts w:ascii="Arial" w:cs="Arial" w:eastAsia="Arial" w:hAnsi="Arial"/>
          <w:sz w:val="18"/>
          <w:szCs w:val="18"/>
          <w:color w:val="231F20"/>
        </w:rPr>
      </w:pPr>
    </w:p>
    <w:p>
      <w:pPr>
        <w:ind w:left="400" w:hanging="392"/>
        <w:spacing w:after="0" w:line="277" w:lineRule="auto"/>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number of shares of common stock beneficially owned includes 77,851 shares of common stock and options to purchase 383,333 shares of common stock, which are exercisable within 60 days of July 11, 2023.</w:t>
      </w:r>
    </w:p>
    <w:p>
      <w:pPr>
        <w:spacing w:after="0" w:line="170" w:lineRule="exact"/>
        <w:rPr>
          <w:rFonts w:ascii="Arial" w:cs="Arial" w:eastAsia="Arial" w:hAnsi="Arial"/>
          <w:sz w:val="18"/>
          <w:szCs w:val="18"/>
          <w:color w:val="231F20"/>
        </w:rPr>
      </w:pPr>
    </w:p>
    <w:p>
      <w:pPr>
        <w:ind w:left="400" w:hanging="392"/>
        <w:spacing w:after="0" w:line="277" w:lineRule="auto"/>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number of shares of common stock beneficially owned includes 779,198 shares of common stock and options to purchase 550,282 shares of common stock, which are exercisable within 60 days of July 11, 2023.</w:t>
      </w:r>
    </w:p>
    <w:p>
      <w:pPr>
        <w:spacing w:after="0" w:line="170" w:lineRule="exact"/>
        <w:rPr>
          <w:rFonts w:ascii="Arial" w:cs="Arial" w:eastAsia="Arial" w:hAnsi="Arial"/>
          <w:sz w:val="18"/>
          <w:szCs w:val="18"/>
          <w:color w:val="231F20"/>
        </w:rPr>
      </w:pPr>
    </w:p>
    <w:p>
      <w:pPr>
        <w:ind w:left="400" w:hanging="392"/>
        <w:spacing w:after="0" w:line="277" w:lineRule="auto"/>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number of shares of common stock beneficially owned includes 159,485 shares of common stock and options to purchase 303,486 shares of common stock, which are exercisable within 60 days of July 11, 2023.</w:t>
      </w:r>
    </w:p>
    <w:p>
      <w:pPr>
        <w:spacing w:after="0" w:line="170" w:lineRule="exact"/>
        <w:rPr>
          <w:rFonts w:ascii="Arial" w:cs="Arial" w:eastAsia="Arial" w:hAnsi="Arial"/>
          <w:sz w:val="18"/>
          <w:szCs w:val="18"/>
          <w:color w:val="231F20"/>
        </w:rPr>
      </w:pPr>
    </w:p>
    <w:p>
      <w:pPr>
        <w:ind w:left="400" w:hanging="392"/>
        <w:spacing w:after="0" w:line="277" w:lineRule="auto"/>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number of shares of common stock beneficially owned includes 156,485 shares of common stock and options to purchase 301,619 shares of common stock, which are exercisable within 60 days of July 11, 2023.</w:t>
      </w:r>
    </w:p>
    <w:p>
      <w:pPr>
        <w:spacing w:after="0" w:line="170" w:lineRule="exact"/>
        <w:rPr>
          <w:rFonts w:ascii="Arial" w:cs="Arial" w:eastAsia="Arial" w:hAnsi="Arial"/>
          <w:sz w:val="18"/>
          <w:szCs w:val="18"/>
          <w:color w:val="231F20"/>
        </w:rPr>
      </w:pPr>
    </w:p>
    <w:p>
      <w:pPr>
        <w:ind w:left="400" w:hanging="392"/>
        <w:spacing w:after="0" w:line="277" w:lineRule="auto"/>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number of shares of common stock beneficially owned includes 259,485 shares of common stock and options to purchase 289,952 shares of common stock, which are exercisable within 60 days of July 11, 2023.</w:t>
      </w:r>
    </w:p>
    <w:p>
      <w:pPr>
        <w:spacing w:after="0" w:line="170" w:lineRule="exact"/>
        <w:rPr>
          <w:rFonts w:ascii="Arial" w:cs="Arial" w:eastAsia="Arial" w:hAnsi="Arial"/>
          <w:sz w:val="18"/>
          <w:szCs w:val="18"/>
          <w:color w:val="231F20"/>
        </w:rPr>
      </w:pPr>
    </w:p>
    <w:p>
      <w:pPr>
        <w:ind w:left="400" w:hanging="392"/>
        <w:spacing w:after="0" w:line="277" w:lineRule="auto"/>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Mr. Satzman ceased his service as our Chief Executive Officer effective January 19, 2022. All of Mr. Satzman’s equity awards were immediately vested pursuant to his Separation Agreement, dated January 21, 2022.</w:t>
      </w:r>
    </w:p>
    <w:p>
      <w:pPr>
        <w:spacing w:after="0" w:line="170" w:lineRule="exact"/>
        <w:rPr>
          <w:rFonts w:ascii="Arial" w:cs="Arial" w:eastAsia="Arial" w:hAnsi="Arial"/>
          <w:sz w:val="18"/>
          <w:szCs w:val="18"/>
          <w:color w:val="231F20"/>
        </w:rPr>
      </w:pPr>
    </w:p>
    <w:p>
      <w:pPr>
        <w:ind w:left="400" w:hanging="392"/>
        <w:spacing w:after="0"/>
        <w:tabs>
          <w:tab w:leader="none" w:pos="4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See footnotes (3) through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231F20"/>
        </w:rPr>
        <w:t>MANAGEMENT AND CORPORATE GOVERNANCE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231F20"/>
            </w:tcBorders>
          </w:tcPr>
          <w:p>
            <w:pPr>
              <w:spacing w:after="0"/>
              <w:rPr>
                <w:sz w:val="20"/>
                <w:szCs w:val="20"/>
                <w:color w:val="auto"/>
              </w:rPr>
            </w:pPr>
            <w:r>
              <w:rPr>
                <w:rFonts w:ascii="Arial" w:cs="Arial" w:eastAsia="Arial" w:hAnsi="Arial"/>
                <w:sz w:val="18"/>
                <w:szCs w:val="18"/>
                <w:b w:val="1"/>
                <w:bCs w:val="1"/>
                <w:color w:val="231F20"/>
              </w:rPr>
              <w:t>Name</w:t>
            </w:r>
          </w:p>
        </w:tc>
        <w:tc>
          <w:tcPr>
            <w:tcW w:w="220" w:type="dxa"/>
            <w:vAlign w:val="bottom"/>
          </w:tcPr>
          <w:p>
            <w:pPr>
              <w:spacing w:after="0"/>
              <w:rPr>
                <w:sz w:val="20"/>
                <w:szCs w:val="20"/>
                <w:color w:val="auto"/>
              </w:rPr>
            </w:pPr>
          </w:p>
        </w:tc>
        <w:tc>
          <w:tcPr>
            <w:tcW w:w="80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231F20"/>
                <w:w w:val="88"/>
              </w:rPr>
              <w:t>Age</w:t>
            </w:r>
          </w:p>
        </w:tc>
        <w:tc>
          <w:tcPr>
            <w:tcW w:w="200" w:type="dxa"/>
            <w:vAlign w:val="bottom"/>
          </w:tcPr>
          <w:p>
            <w:pPr>
              <w:spacing w:after="0"/>
              <w:rPr>
                <w:sz w:val="20"/>
                <w:szCs w:val="20"/>
                <w:color w:val="auto"/>
              </w:rPr>
            </w:pPr>
          </w:p>
        </w:tc>
        <w:tc>
          <w:tcPr>
            <w:tcW w:w="4840" w:type="dxa"/>
            <w:vAlign w:val="bottom"/>
            <w:tcBorders>
              <w:bottom w:val="single" w:sz="8" w:color="231F20"/>
            </w:tcBorders>
          </w:tcPr>
          <w:p>
            <w:pPr>
              <w:ind w:left="920"/>
              <w:spacing w:after="0"/>
              <w:rPr>
                <w:sz w:val="20"/>
                <w:szCs w:val="20"/>
                <w:color w:val="auto"/>
              </w:rPr>
            </w:pPr>
            <w:r>
              <w:rPr>
                <w:rFonts w:ascii="Arial" w:cs="Arial" w:eastAsia="Arial" w:hAnsi="Arial"/>
                <w:sz w:val="18"/>
                <w:szCs w:val="18"/>
                <w:b w:val="1"/>
                <w:bCs w:val="1"/>
                <w:color w:val="231F20"/>
              </w:rPr>
              <w:t>Position(s) with the Company</w:t>
            </w:r>
          </w:p>
        </w:tc>
      </w:tr>
      <w:tr>
        <w:trPr>
          <w:trHeight w:val="236"/>
        </w:trPr>
        <w:tc>
          <w:tcPr>
            <w:tcW w:w="5180" w:type="dxa"/>
            <w:vAlign w:val="bottom"/>
          </w:tcPr>
          <w:p>
            <w:pPr>
              <w:spacing w:after="0" w:line="236" w:lineRule="exact"/>
              <w:rPr>
                <w:sz w:val="20"/>
                <w:szCs w:val="20"/>
                <w:color w:val="auto"/>
              </w:rPr>
            </w:pPr>
            <w:r>
              <w:rPr>
                <w:rFonts w:ascii="Arial" w:cs="Arial" w:eastAsia="Arial" w:hAnsi="Arial"/>
                <w:sz w:val="17"/>
                <w:szCs w:val="17"/>
                <w:color w:val="231F20"/>
              </w:rPr>
              <w:t>Bruce T. Bernstein*</w:t>
            </w:r>
            <w:r>
              <w:rPr>
                <w:rFonts w:ascii="Arial" w:cs="Arial" w:eastAsia="Arial" w:hAnsi="Arial"/>
                <w:sz w:val="27"/>
                <w:szCs w:val="27"/>
                <w:color w:val="231F20"/>
                <w:vertAlign w:val="superscript"/>
              </w:rPr>
              <w:t>(1)</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231F20"/>
                <w:w w:val="89"/>
              </w:rPr>
              <w:t>59</w:t>
            </w:r>
          </w:p>
        </w:tc>
        <w:tc>
          <w:tcPr>
            <w:tcW w:w="20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Chairman of the Board of Directors</w:t>
            </w:r>
          </w:p>
        </w:tc>
      </w:tr>
      <w:tr>
        <w:trPr>
          <w:trHeight w:val="268"/>
        </w:trPr>
        <w:tc>
          <w:tcPr>
            <w:tcW w:w="5180" w:type="dxa"/>
            <w:vAlign w:val="bottom"/>
          </w:tcPr>
          <w:p>
            <w:pPr>
              <w:spacing w:after="0" w:line="267" w:lineRule="exact"/>
              <w:rPr>
                <w:sz w:val="20"/>
                <w:szCs w:val="20"/>
                <w:color w:val="auto"/>
              </w:rPr>
            </w:pPr>
            <w:r>
              <w:rPr>
                <w:rFonts w:ascii="Arial" w:cs="Arial" w:eastAsia="Arial" w:hAnsi="Arial"/>
                <w:sz w:val="18"/>
                <w:szCs w:val="18"/>
                <w:color w:val="231F20"/>
              </w:rPr>
              <w:t>Robert Weinstein*</w:t>
            </w:r>
            <w:r>
              <w:rPr>
                <w:rFonts w:ascii="Arial" w:cs="Arial" w:eastAsia="Arial" w:hAnsi="Arial"/>
                <w:sz w:val="29"/>
                <w:szCs w:val="29"/>
                <w:color w:val="231F20"/>
                <w:vertAlign w:val="superscript"/>
              </w:rPr>
              <w:t>(2)</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63</w:t>
            </w:r>
          </w:p>
        </w:tc>
        <w:tc>
          <w:tcPr>
            <w:tcW w:w="200" w:type="dxa"/>
            <w:vAlign w:val="bottom"/>
          </w:tcPr>
          <w:p>
            <w:pPr>
              <w:spacing w:after="0"/>
              <w:rPr>
                <w:sz w:val="23"/>
                <w:szCs w:val="23"/>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59"/>
        </w:trPr>
        <w:tc>
          <w:tcPr>
            <w:tcW w:w="5180" w:type="dxa"/>
            <w:vAlign w:val="bottom"/>
          </w:tcPr>
          <w:p>
            <w:pPr>
              <w:spacing w:after="0" w:line="259" w:lineRule="exact"/>
              <w:rPr>
                <w:sz w:val="20"/>
                <w:szCs w:val="20"/>
                <w:color w:val="auto"/>
              </w:rPr>
            </w:pPr>
            <w:r>
              <w:rPr>
                <w:rFonts w:ascii="Arial" w:cs="Arial" w:eastAsia="Arial" w:hAnsi="Arial"/>
                <w:sz w:val="18"/>
                <w:szCs w:val="18"/>
                <w:color w:val="231F20"/>
              </w:rPr>
              <w:t>Donald E. Stout*</w:t>
            </w:r>
            <w:r>
              <w:rPr>
                <w:rFonts w:ascii="Arial" w:cs="Arial" w:eastAsia="Arial" w:hAnsi="Arial"/>
                <w:sz w:val="29"/>
                <w:szCs w:val="29"/>
                <w:color w:val="231F20"/>
                <w:vertAlign w:val="superscript"/>
              </w:rPr>
              <w:t>(3)</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77</w:t>
            </w:r>
          </w:p>
        </w:tc>
        <w:tc>
          <w:tcPr>
            <w:tcW w:w="20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70"/>
        </w:trPr>
        <w:tc>
          <w:tcPr>
            <w:tcW w:w="5180" w:type="dxa"/>
            <w:vAlign w:val="bottom"/>
          </w:tcPr>
          <w:p>
            <w:pPr>
              <w:spacing w:after="0" w:line="270" w:lineRule="exact"/>
              <w:rPr>
                <w:sz w:val="20"/>
                <w:szCs w:val="20"/>
                <w:color w:val="auto"/>
              </w:rPr>
            </w:pPr>
            <w:r>
              <w:rPr>
                <w:rFonts w:ascii="Arial" w:cs="Arial" w:eastAsia="Arial" w:hAnsi="Arial"/>
                <w:sz w:val="18"/>
                <w:szCs w:val="18"/>
                <w:color w:val="231F20"/>
              </w:rPr>
              <w:t>Michael Lebowitz*</w:t>
            </w:r>
            <w:r>
              <w:rPr>
                <w:rFonts w:ascii="Arial" w:cs="Arial" w:eastAsia="Arial" w:hAnsi="Arial"/>
                <w:sz w:val="29"/>
                <w:szCs w:val="29"/>
                <w:color w:val="231F20"/>
                <w:vertAlign w:val="superscript"/>
              </w:rPr>
              <w:t>(4)</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51</w:t>
            </w:r>
          </w:p>
        </w:tc>
        <w:tc>
          <w:tcPr>
            <w:tcW w:w="200" w:type="dxa"/>
            <w:vAlign w:val="bottom"/>
          </w:tcPr>
          <w:p>
            <w:pPr>
              <w:spacing w:after="0"/>
              <w:rPr>
                <w:sz w:val="23"/>
                <w:szCs w:val="23"/>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14"/>
        </w:trPr>
        <w:tc>
          <w:tcPr>
            <w:tcW w:w="5180" w:type="dxa"/>
            <w:vAlign w:val="bottom"/>
          </w:tcPr>
          <w:p>
            <w:pPr>
              <w:spacing w:after="0"/>
              <w:rPr>
                <w:sz w:val="20"/>
                <w:szCs w:val="20"/>
                <w:color w:val="auto"/>
              </w:rPr>
            </w:pPr>
            <w:r>
              <w:rPr>
                <w:rFonts w:ascii="Arial" w:cs="Arial" w:eastAsia="Arial" w:hAnsi="Arial"/>
                <w:sz w:val="18"/>
                <w:szCs w:val="18"/>
                <w:color w:val="231F20"/>
              </w:rPr>
              <w:t>Scott R. Milford</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59</w:t>
            </w:r>
          </w:p>
        </w:tc>
        <w:tc>
          <w:tcPr>
            <w:tcW w:w="2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Chief Executive Officer and Director</w:t>
            </w:r>
          </w:p>
        </w:tc>
      </w:tr>
      <w:tr>
        <w:trPr>
          <w:trHeight w:val="259"/>
        </w:trPr>
        <w:tc>
          <w:tcPr>
            <w:tcW w:w="5180" w:type="dxa"/>
            <w:vAlign w:val="bottom"/>
          </w:tcPr>
          <w:p>
            <w:pPr>
              <w:spacing w:after="0" w:line="259" w:lineRule="exact"/>
              <w:rPr>
                <w:sz w:val="20"/>
                <w:szCs w:val="20"/>
                <w:color w:val="auto"/>
              </w:rPr>
            </w:pPr>
            <w:r>
              <w:rPr>
                <w:rFonts w:ascii="Arial" w:cs="Arial" w:eastAsia="Arial" w:hAnsi="Arial"/>
                <w:sz w:val="18"/>
                <w:szCs w:val="18"/>
                <w:color w:val="231F20"/>
              </w:rPr>
              <w:t>Suzanne A. Scrabis</w:t>
            </w:r>
            <w:r>
              <w:rPr>
                <w:rFonts w:ascii="Arial" w:cs="Arial" w:eastAsia="Arial" w:hAnsi="Arial"/>
                <w:sz w:val="29"/>
                <w:szCs w:val="29"/>
                <w:color w:val="231F20"/>
                <w:vertAlign w:val="superscript"/>
              </w:rPr>
              <w:t>(5)</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53</w:t>
            </w:r>
          </w:p>
        </w:tc>
        <w:tc>
          <w:tcPr>
            <w:tcW w:w="20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Chief Financial Officer</w:t>
            </w:r>
          </w:p>
        </w:tc>
      </w:tr>
      <w:tr>
        <w:trPr>
          <w:trHeight w:val="270"/>
        </w:trPr>
        <w:tc>
          <w:tcPr>
            <w:tcW w:w="5180" w:type="dxa"/>
            <w:vAlign w:val="bottom"/>
          </w:tcPr>
          <w:p>
            <w:pPr>
              <w:spacing w:after="0" w:line="270" w:lineRule="exact"/>
              <w:rPr>
                <w:sz w:val="20"/>
                <w:szCs w:val="20"/>
                <w:color w:val="auto"/>
              </w:rPr>
            </w:pPr>
            <w:r>
              <w:rPr>
                <w:rFonts w:ascii="Arial" w:cs="Arial" w:eastAsia="Arial" w:hAnsi="Arial"/>
                <w:sz w:val="18"/>
                <w:szCs w:val="18"/>
                <w:color w:val="231F20"/>
              </w:rPr>
              <w:t>Omar A. Haynes</w:t>
            </w:r>
            <w:r>
              <w:rPr>
                <w:rFonts w:ascii="Arial" w:cs="Arial" w:eastAsia="Arial" w:hAnsi="Arial"/>
                <w:sz w:val="29"/>
                <w:szCs w:val="29"/>
                <w:color w:val="231F20"/>
                <w:vertAlign w:val="superscript"/>
              </w:rPr>
              <w:t>(6)</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41</w:t>
            </w:r>
          </w:p>
        </w:tc>
        <w:tc>
          <w:tcPr>
            <w:tcW w:w="200" w:type="dxa"/>
            <w:vAlign w:val="bottom"/>
          </w:tcPr>
          <w:p>
            <w:pPr>
              <w:spacing w:after="0"/>
              <w:rPr>
                <w:sz w:val="23"/>
                <w:szCs w:val="23"/>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Vice President of Treasury &amp; Finance</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231F20"/>
              </w:rPr>
              <w:t>Ezra T. Ernst</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231F20"/>
                <w:w w:val="89"/>
              </w:rPr>
              <w:t>54</w:t>
            </w:r>
          </w:p>
        </w:tc>
        <w:tc>
          <w:tcPr>
            <w:tcW w:w="2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w w:val="96"/>
              </w:rPr>
              <w:t>Executive Vice President of XWELL, Chief Executive Officer of</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w w:val="99"/>
              </w:rPr>
              <w:t>XpresTest, Inc. and President and Chief Executive Officer of</w:t>
            </w:r>
          </w:p>
        </w:tc>
      </w:tr>
      <w:tr>
        <w:trPr>
          <w:trHeight w:val="230"/>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231F20"/>
              </w:rPr>
              <w:t>Hyperpointe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Independent director under the rules of The Nasdaq Stock Market</w:t>
      </w:r>
    </w:p>
    <w:p>
      <w:pPr>
        <w:spacing w:after="0" w:line="225"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Current Chairperson of the Compensation Committee, the Nominating and Corporate Governance Committee and the Strategic Affairs Committee, and member of the Audit Committee</w:t>
      </w:r>
    </w:p>
    <w:p>
      <w:pPr>
        <w:spacing w:after="0" w:line="170" w:lineRule="exact"/>
        <w:rPr>
          <w:rFonts w:ascii="Arial" w:cs="Arial" w:eastAsia="Arial" w:hAnsi="Arial"/>
          <w:sz w:val="18"/>
          <w:szCs w:val="18"/>
          <w:color w:val="231F20"/>
        </w:rPr>
      </w:pPr>
    </w:p>
    <w:p>
      <w:pPr>
        <w:ind w:left="340" w:hanging="33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Current Chairperson of the Audit Committee and member of the Strategic Affairs Committee</w:t>
      </w:r>
    </w:p>
    <w:p>
      <w:pPr>
        <w:spacing w:after="0" w:line="225" w:lineRule="exact"/>
        <w:rPr>
          <w:rFonts w:ascii="Arial" w:cs="Arial" w:eastAsia="Arial" w:hAnsi="Arial"/>
          <w:sz w:val="18"/>
          <w:szCs w:val="18"/>
          <w:color w:val="231F20"/>
        </w:rPr>
      </w:pPr>
    </w:p>
    <w:p>
      <w:pPr>
        <w:ind w:left="340" w:hanging="33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Current member of the Compensation Committee, the Audit Committee and the Nominating and Corporate Governance Committee</w:t>
      </w:r>
    </w:p>
    <w:p>
      <w:pPr>
        <w:spacing w:after="0" w:line="225" w:lineRule="exact"/>
        <w:rPr>
          <w:rFonts w:ascii="Arial" w:cs="Arial" w:eastAsia="Arial" w:hAnsi="Arial"/>
          <w:sz w:val="18"/>
          <w:szCs w:val="18"/>
          <w:color w:val="231F20"/>
        </w:rPr>
      </w:pPr>
    </w:p>
    <w:p>
      <w:pPr>
        <w:ind w:left="340" w:hanging="33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Current member of the Strategic Affairs Committee</w:t>
      </w:r>
    </w:p>
    <w:p>
      <w:pPr>
        <w:spacing w:after="0" w:line="225" w:lineRule="exact"/>
        <w:rPr>
          <w:rFonts w:ascii="Arial" w:cs="Arial" w:eastAsia="Arial" w:hAnsi="Arial"/>
          <w:sz w:val="18"/>
          <w:szCs w:val="18"/>
          <w:color w:val="231F20"/>
        </w:rPr>
      </w:pPr>
    </w:p>
    <w:p>
      <w:pPr>
        <w:ind w:left="340" w:hanging="33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Ms. Scrabis become our Chief Financial Officer effective July 10, 2023.</w:t>
      </w:r>
    </w:p>
    <w:p>
      <w:pPr>
        <w:spacing w:after="0" w:line="225" w:lineRule="exact"/>
        <w:rPr>
          <w:rFonts w:ascii="Arial" w:cs="Arial" w:eastAsia="Arial" w:hAnsi="Arial"/>
          <w:sz w:val="18"/>
          <w:szCs w:val="18"/>
          <w:color w:val="231F20"/>
        </w:rPr>
      </w:pPr>
    </w:p>
    <w:p>
      <w:pPr>
        <w:ind w:left="340" w:hanging="332"/>
        <w:spacing w:after="0" w:line="277" w:lineRule="auto"/>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Mr. Haynes served as our Interim Chief Financial Officer from June 2022 until July 2023. Mr. Haynes resumed his former role as Vice President of Treasury &amp; Finance, effective July 10, 2023, a non-executive position.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231F20"/>
        </w:rPr>
        <w:t xml:space="preserve">Scott R. Milford </w:t>
      </w:r>
      <w:r>
        <w:rPr>
          <w:rFonts w:ascii="Arial" w:cs="Arial" w:eastAsia="Arial" w:hAnsi="Arial"/>
          <w:sz w:val="16"/>
          <w:szCs w:val="16"/>
          <w:color w:val="231F20"/>
        </w:rPr>
        <w:t>joined the Company in July 2019 and has served as our Chief Executive Officer and as a member of our Board of Directors since</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the Company,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324"/>
        <w:spacing w:after="0" w:line="277" w:lineRule="auto"/>
        <w:rPr>
          <w:sz w:val="20"/>
          <w:szCs w:val="20"/>
          <w:color w:val="auto"/>
        </w:rPr>
      </w:pPr>
      <w:r>
        <w:rPr>
          <w:rFonts w:ascii="Arial" w:cs="Arial" w:eastAsia="Arial" w:hAnsi="Arial"/>
          <w:sz w:val="18"/>
          <w:szCs w:val="18"/>
          <w:color w:val="231F20"/>
        </w:rPr>
        <w:t>We believe Mr. Milford’s extensive experience in the retail industry and his knowledge of our business due to his status as an executive officer of the Company qualifies him to serve on our Board of Directors.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231F20"/>
        </w:rPr>
        <w:t xml:space="preserve">Bruce T. Bernstein </w:t>
      </w:r>
      <w:r>
        <w:rPr>
          <w:rFonts w:ascii="Arial" w:cs="Arial" w:eastAsia="Arial" w:hAnsi="Arial"/>
          <w:sz w:val="16"/>
          <w:szCs w:val="16"/>
          <w:color w:val="231F20"/>
        </w:rPr>
        <w:t>joined our Board of Directors in February 2016 and has served as the Chairman of our Board of Directors since February 2018.</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We believe Mr. Bernstein’s extensive experience in the securities industry qualifies him to serve as the chairman of our Board of Directors.</w:t>
      </w:r>
    </w:p>
    <w:p>
      <w:pPr>
        <w:spacing w:after="0" w:line="2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231F20"/>
        </w:rPr>
        <w:t xml:space="preserve">Robert Weinstein </w:t>
      </w:r>
      <w:r>
        <w:rPr>
          <w:rFonts w:ascii="Arial" w:cs="Arial" w:eastAsia="Arial" w:hAnsi="Arial"/>
          <w:sz w:val="17"/>
          <w:szCs w:val="17"/>
          <w:color w:val="231F20"/>
        </w:rPr>
        <w:t>joined our Board of Directors in February 2020. Mr. Weinstein has extensive accounting and finance experience, spanning more than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thirty-five years, as a public accountant, investment banker, healthcare private equity fund principal, chief financial officer and consultant. Since October 2013, Mr. Weinstein has been the Chief Financial Officer of Synaptogenix, Inc. (Nasdaq: SNPX, formerly Neurotrope Bioscience, Inc.), a publicly-traded biotechnology company. From September 2011 to the present, Mr. Weinstein has been an independent consultant for several healthcare companies in the pharmaceutical and biotechnology industries, including currently acting as a consultant for Petros Pharmaceuticals, Inc. and MyMD Pharmaceuticals, Inc.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serves as a member of the Board of Directors of Oblong, Inc. (Nasdaq: OBLG), which provides multi-stream collaboration technologies and managed services for video collaboration and network applications in the United States and internationally, and also serves as a member of the Board of Directors of Pharmacyte Biotech, Inc. (Nasdaq: PMCB), a biotechnology company, focused on developing and commercializing cellular therapies for cancer, diabetes, and malignant ascites.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We believe Mr. Weinstein’s extensive financial expertise and healthcare experience qualify him to serve on our Board of Directors and as a member and the chairperson of the audit committee of our Board of Directors.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231F20"/>
        </w:rPr>
        <w:t xml:space="preserve">Donald E. Stout </w:t>
      </w:r>
      <w:r>
        <w:rPr>
          <w:rFonts w:ascii="Arial" w:cs="Arial" w:eastAsia="Arial" w:hAnsi="Arial"/>
          <w:sz w:val="17"/>
          <w:szCs w:val="17"/>
          <w:color w:val="231F20"/>
        </w:rPr>
        <w:t>has been our director since July 2012, and was a director of Innovate/Protect, Inc. from November 2011 through the consummation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the merger with us. In a career spanning over forty years, Mr. Stout has been involved in virtually all facets of intellectual property law. Mr. Stout has been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r>
        <w:rPr>
          <w:rFonts w:ascii="Arial" w:cs="Arial" w:eastAsia="Arial" w:hAnsi="Arial"/>
          <w:sz w:val="17"/>
          <w:szCs w:val="17"/>
          <w:b w:val="1"/>
          <w:bCs w:val="1"/>
          <w:i w:val="1"/>
          <w:iCs w:val="1"/>
          <w:color w:val="231F20"/>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7"/>
          <w:szCs w:val="17"/>
          <w:color w:val="231F20"/>
        </w:rPr>
        <w:t>We believe Mr. Stout’s historical knowledge of the Company and intellectual property experience qualifies him to serve on our Board of Directors</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231F20"/>
        </w:rPr>
        <w:t xml:space="preserve">Michael Lebowitz </w:t>
      </w:r>
      <w:r>
        <w:rPr>
          <w:rFonts w:ascii="Arial" w:cs="Arial" w:eastAsia="Arial" w:hAnsi="Arial"/>
          <w:sz w:val="18"/>
          <w:szCs w:val="18"/>
          <w:color w:val="231F20"/>
        </w:rPr>
        <w:t>joined our Board of Directors in April 2020. An expert in customer experience 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believe Mr. Lebowitz’s extensive experience in the area of creative brand strategy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Executive Officers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231F20"/>
        </w:rPr>
        <w:t xml:space="preserve">Suzanne A. Scrabis </w:t>
      </w:r>
      <w:r>
        <w:rPr>
          <w:rFonts w:ascii="Arial" w:cs="Arial" w:eastAsia="Arial" w:hAnsi="Arial"/>
          <w:sz w:val="18"/>
          <w:szCs w:val="18"/>
          <w:color w:val="231F20"/>
        </w:rPr>
        <w:t>was appointed as Chief Financial Officer of the Company, effective July 10, 2023. Ms. Scrabis moved into a Program Manager,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Technology Platforms role for Rockwell Automation in 2020 after serving as Chief Financial Officer for MAVERICK Technologies Holdings, LLC, a privately held independent systems integrator based in Columbia, Illinois from 2006 to December, 2019. As CFO, she helped lead the acquisition of Maverick Technologies by Rockwell Automation based in Milwaukee, Wisconsin. Before that, she served as the Director of Operations at MAVERICK from 2003 to 2006. Ms. Scrabis also served from 2001 to 2003 as the Director of Logics for Aurora Foods, a packaged foods manufacturing company that was subsequently acquired by Pinnacle Foods in 2004. Prior to that she served at Ernst &amp; Young as a senior asset manager for the Pacific and New York Metro regions from 1996-2001. Ms. Scrabis holds a Bachelor of Science in Operations Management and Marketing from California State University Long Beach.</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231F20"/>
        </w:rPr>
        <w:t xml:space="preserve">Ezra T. Ernst </w:t>
      </w:r>
      <w:r>
        <w:rPr>
          <w:rFonts w:ascii="Arial" w:cs="Arial" w:eastAsia="Arial" w:hAnsi="Arial"/>
          <w:sz w:val="18"/>
          <w:szCs w:val="18"/>
          <w:color w:val="231F20"/>
        </w:rPr>
        <w:t>has served as Executive Vice President of the Company and Chief Executive Officer of our subsidiary XpresTest, Inc. since our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231F20"/>
        </w:rPr>
        <w:t xml:space="preserve">Omar A. Haynes </w:t>
      </w:r>
      <w:r>
        <w:rPr>
          <w:rFonts w:ascii="Arial" w:cs="Arial" w:eastAsia="Arial" w:hAnsi="Arial"/>
          <w:sz w:val="18"/>
          <w:szCs w:val="18"/>
          <w:color w:val="231F20"/>
        </w:rPr>
        <w:t>was appointed as Interim Chief Financial Officer of the Company effective on June 13, 2022 serving as our principal financial officer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principal accounting officer for SEC reporting purposes through July 10 2023. Effective as of that date, Mr. Haynes resumed his role as Vice President of Treasury &amp; Finance of the Company, which he has held with the Company since June 2021. He joined the Company as Associate Director of Finance in March 2017, then served as Director of Finance, Analytics &amp; Treasury from January 2019 to June 2020 and Treasurer &amp; Senior Director of Finance from June 2020 to May 2021. Before joining the Company, he worked in corporate structuring and interim management consulting, focusing on performance improvement and cash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Committees of the Board of Directors and Meetings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231F20"/>
        </w:rPr>
        <w:t>Meeting Attendance</w:t>
      </w:r>
      <w:r>
        <w:rPr>
          <w:rFonts w:ascii="Arial" w:cs="Arial" w:eastAsia="Arial" w:hAnsi="Arial"/>
          <w:sz w:val="17"/>
          <w:szCs w:val="17"/>
          <w:color w:val="231F20"/>
        </w:rPr>
        <w:t>. During the fiscal year ended December 31, 2022, there were five meetings of our Board of Directors as well as nine unanimous</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written consents. The various committees of the Board of Directors met a total of 11 times. All directors attended more than 75 percent of the aggregate of the total number of meetings of the Board of Directors and the total number of meetings held by all committees of the board on which he served. The Board of Directors has adopted a policy under which each member of the Board of Directors is strongly encouraged, but not required, to attend each annual meeting of our stockholders. All five of our directors attended our 2022 annual meeting of stockholders.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231F20"/>
        </w:rPr>
        <w:t>Audit Committee</w:t>
      </w:r>
      <w:r>
        <w:rPr>
          <w:rFonts w:ascii="Arial" w:cs="Arial" w:eastAsia="Arial" w:hAnsi="Arial"/>
          <w:sz w:val="18"/>
          <w:szCs w:val="18"/>
          <w:color w:val="231F20"/>
        </w:rPr>
        <w:t>. Our Audit Committee met five times during fiscal 2022. This committee currently has three (3) members, Robert Weinstein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324"/>
        <w:spacing w:after="0" w:line="257" w:lineRule="auto"/>
        <w:rPr>
          <w:sz w:val="20"/>
          <w:szCs w:val="20"/>
          <w:color w:val="auto"/>
        </w:rPr>
      </w:pPr>
      <w:r>
        <w:rPr>
          <w:rFonts w:ascii="Arial" w:cs="Arial" w:eastAsia="Arial" w:hAnsi="Arial"/>
          <w:sz w:val="18"/>
          <w:szCs w:val="18"/>
          <w:color w:val="231F20"/>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Corporate Governance” section of our website at </w:t>
      </w:r>
      <w:r>
        <w:rPr>
          <w:rFonts w:ascii="Arial" w:cs="Arial" w:eastAsia="Arial" w:hAnsi="Arial"/>
          <w:sz w:val="18"/>
          <w:szCs w:val="18"/>
          <w:i w:val="1"/>
          <w:iCs w:val="1"/>
          <w:color w:val="231F20"/>
        </w:rPr>
        <w:t>www.xwell.com/corporate-governance</w:t>
      </w:r>
      <w:r>
        <w:rPr>
          <w:rFonts w:ascii="Arial" w:cs="Arial" w:eastAsia="Arial" w:hAnsi="Arial"/>
          <w:sz w:val="18"/>
          <w:szCs w:val="18"/>
          <w:color w:val="231F20"/>
        </w:rPr>
        <w:t>.</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231F20"/>
        </w:rPr>
        <w:t xml:space="preserve">Compensation Committee </w:t>
      </w:r>
      <w:r>
        <w:rPr>
          <w:rFonts w:ascii="Arial" w:cs="Arial" w:eastAsia="Arial" w:hAnsi="Arial"/>
          <w:sz w:val="17"/>
          <w:szCs w:val="17"/>
          <w:color w:val="231F20"/>
        </w:rPr>
        <w:t>Our Compensation Committee met three times during fiscal 2022. This committee currently has two (2) members, Bruce 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Bernstein (Chairman) and Donald E. Stout.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During fiscal year 2022, the Compensation Committee did engage a third-party compensation consultant to review the Company’s compensation structure as well as benchmark it against the Company’s peer group.</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 xml:space="preserve">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Arial" w:cs="Arial" w:eastAsia="Arial" w:hAnsi="Arial"/>
          <w:sz w:val="18"/>
          <w:szCs w:val="18"/>
          <w:i w:val="1"/>
          <w:iCs w:val="1"/>
          <w:color w:val="231F20"/>
        </w:rPr>
        <w:t>www.xwell.com/corporate-governance</w:t>
      </w:r>
      <w:r>
        <w:rPr>
          <w:rFonts w:ascii="Arial" w:cs="Arial" w:eastAsia="Arial" w:hAnsi="Arial"/>
          <w:sz w:val="18"/>
          <w:szCs w:val="18"/>
          <w:color w:val="231F20"/>
        </w:rPr>
        <w: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231F20"/>
        </w:rPr>
        <w:t>Nominating and Corporate Governance Committee</w:t>
      </w:r>
      <w:r>
        <w:rPr>
          <w:rFonts w:ascii="Arial" w:cs="Arial" w:eastAsia="Arial" w:hAnsi="Arial"/>
          <w:sz w:val="17"/>
          <w:szCs w:val="17"/>
          <w:color w:val="231F20"/>
        </w:rPr>
        <w:t>. Our Nominating and Corporate Governance Committee met one time during fiscal 2022. This</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committee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identify and nominate members of the Board of Directors;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oversee the evaluation of the Board of Directors and management;</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develop and recommend corporate governance guidelines to the Board of Directors;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evaluate the performance of the members of the Board of Directors;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6"/>
          <w:szCs w:val="16"/>
          <w:color w:val="231F20"/>
        </w:rPr>
      </w:pPr>
      <w:r>
        <w:rPr>
          <w:rFonts w:ascii="Arial" w:cs="Arial" w:eastAsia="Arial" w:hAnsi="Arial"/>
          <w:sz w:val="16"/>
          <w:szCs w:val="16"/>
          <w:color w:val="231F20"/>
        </w:rPr>
        <w:t>make recommendations to the Board of Directors as to the structure, composition and functioning of the Board of Directors and its committees.</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and professional and personal experiences and expertise relevant to our growth strategy.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324"/>
        <w:spacing w:after="0" w:line="293" w:lineRule="auto"/>
        <w:rPr>
          <w:sz w:val="20"/>
          <w:szCs w:val="20"/>
          <w:color w:val="auto"/>
        </w:rPr>
      </w:pPr>
      <w:r>
        <w:rPr>
          <w:rFonts w:ascii="Arial" w:cs="Arial" w:eastAsia="Arial" w:hAnsi="Arial"/>
          <w:sz w:val="16"/>
          <w:szCs w:val="16"/>
          <w:color w:val="231F20"/>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231F20"/>
        </w:rPr>
        <w:t>www.xwell.com/corporate-governance.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231F20"/>
        </w:rPr>
        <w:t>Additional Committee — the Strategic Affairs Committee</w:t>
      </w:r>
      <w:r>
        <w:rPr>
          <w:rFonts w:ascii="Arial" w:cs="Arial" w:eastAsia="Arial" w:hAnsi="Arial"/>
          <w:sz w:val="18"/>
          <w:szCs w:val="18"/>
          <w:color w:val="231F20"/>
        </w:rPr>
        <w:t>. The Strategic Affairs Committee met two times during fiscal 2022. This committee was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formed in September of 2021 to assist the Board in in reviewing, analyzing, considering and assessing, potential acquisitions, joint ventures, strategic investments, divestitures and other strategic transactions. The committee’s currently has three members: Bruce T. Bernstein (Chairman), Robert Weinstein and Michael Lebowitz. The Strategic Affairs Committee’s responsibilities include, among others:</w:t>
      </w:r>
    </w:p>
    <w:p>
      <w:pPr>
        <w:spacing w:after="0" w:line="187"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evaluating strategic transactions received by the Company or proposed by management; and</w:t>
      </w:r>
    </w:p>
    <w:p>
      <w:pPr>
        <w:spacing w:after="0" w:line="225" w:lineRule="exact"/>
        <w:rPr>
          <w:rFonts w:ascii="Arial" w:cs="Arial" w:eastAsia="Arial" w:hAnsi="Arial"/>
          <w:sz w:val="18"/>
          <w:szCs w:val="18"/>
          <w:color w:val="231F20"/>
        </w:rPr>
      </w:pPr>
    </w:p>
    <w:p>
      <w:pPr>
        <w:jc w:val="both"/>
        <w:ind w:left="660" w:hanging="328"/>
        <w:spacing w:after="0" w:line="342" w:lineRule="auto"/>
        <w:tabs>
          <w:tab w:leader="none" w:pos="66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Leadership Structure and Role in Risk Oversight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Effective February 5, 2018, the Board appointed Bruce T. Bernstein as the non-executive Chairman of the Board of Directors.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231F20"/>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Diversity Matrix</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Nasdaq diversity matrix is set forth below as required under the listing requirements of Nasdaq.</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231F20"/>
        </w:rPr>
        <w:t>Board Diversity Matrix (As of June 29, 2022)</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231F20"/>
              </w:rPr>
              <w:t>Total Number of Directors – 5</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42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231F20"/>
              </w:rPr>
              <w:t>Did Not</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231F20"/>
              </w:rPr>
              <w:t>Disclose</w:t>
            </w: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231F20"/>
              </w:rPr>
              <w:t>Female</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99"/>
              </w:rPr>
              <w:t>Male</w:t>
            </w:r>
          </w:p>
        </w:tc>
        <w:tc>
          <w:tcPr>
            <w:tcW w:w="220" w:type="dxa"/>
            <w:vAlign w:val="bottom"/>
          </w:tcPr>
          <w:p>
            <w:pPr>
              <w:spacing w:after="0"/>
              <w:rPr>
                <w:sz w:val="20"/>
                <w:szCs w:val="20"/>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231F20"/>
              </w:rPr>
              <w:t>Non-Binary</w:t>
            </w:r>
          </w:p>
        </w:tc>
        <w:tc>
          <w:tcPr>
            <w:tcW w:w="200" w:type="dxa"/>
            <w:vAlign w:val="bottom"/>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231F20"/>
              </w:rPr>
              <w:t>Gender</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31F20"/>
              </w:rPr>
              <w:t>Part I: Gender Identity</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231F20"/>
              </w:rPr>
              <w:t>Directors</w:t>
            </w:r>
          </w:p>
        </w:tc>
        <w:tc>
          <w:tcPr>
            <w:tcW w:w="1400" w:type="dxa"/>
            <w:vAlign w:val="bottom"/>
            <w:gridSpan w:val="2"/>
          </w:tcPr>
          <w:p>
            <w:pPr>
              <w:jc w:val="center"/>
              <w:ind w:left="110"/>
              <w:spacing w:after="0"/>
              <w:rPr>
                <w:sz w:val="20"/>
                <w:szCs w:val="20"/>
                <w:color w:val="auto"/>
              </w:rPr>
            </w:pPr>
            <w:r>
              <w:rPr>
                <w:rFonts w:ascii="Arial" w:cs="Arial" w:eastAsia="Arial" w:hAnsi="Arial"/>
                <w:sz w:val="18"/>
                <w:szCs w:val="18"/>
                <w:color w:val="231F20"/>
                <w:w w:val="79"/>
              </w:rPr>
              <w:t>5</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231F20"/>
              </w:rPr>
              <w:t>Part II: Demographic Background</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231F20"/>
              </w:rPr>
              <w:t>African American or Black</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231F20"/>
              </w:rPr>
              <w:t>Alaskan Native or Native American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231F20"/>
              </w:rPr>
              <w:t>Asian</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231F20"/>
              </w:rPr>
              <w:t>Hispanic or Latinx</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231F20"/>
              </w:rPr>
              <w:t>Native Hawaiian or Pacific Islander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231F20"/>
              </w:rPr>
              <w:t>White</w:t>
            </w:r>
          </w:p>
        </w:tc>
        <w:tc>
          <w:tcPr>
            <w:tcW w:w="1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231F20"/>
                <w:w w:val="79"/>
              </w:rPr>
              <w:t>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231F20"/>
              </w:rPr>
              <w:t>Two or More Races or Ethnicities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231F20"/>
              </w:rPr>
              <w:t>LGBTQ+</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231F20"/>
              </w:rPr>
              <w:t>Did Not Disclose Demographic Background</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Summary Compensation Table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following table summarizes the total compensation awarded or paid by us during the fiscal years ended December 31, 2022 and 2021 to (i) our principal executive officer; and (ii) the two most highly compensated executive officers other than the principal executive officer who were serving as executive officers at December 31, 2022 (collectively, the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231F20"/>
                <w:w w:val="93"/>
              </w:rPr>
              <w:t>Non-Equity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231F20"/>
                <w:w w:val="90"/>
              </w:rPr>
              <w:t>Incentive Plan</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93"/>
              </w:rPr>
              <w:t>Option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231F20"/>
                <w:w w:val="85"/>
              </w:rPr>
              <w:t>Stock</w:t>
            </w: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97"/>
              </w:rPr>
              <w:t>All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231F20"/>
              </w:rPr>
              <w:t>Salary</w:t>
            </w:r>
          </w:p>
        </w:tc>
        <w:tc>
          <w:tcPr>
            <w:tcW w:w="20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231F20"/>
                <w:w w:val="87"/>
              </w:rPr>
              <w:t>Compensation</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9"/>
              </w:rPr>
              <w:t>Awards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231F20"/>
                <w:w w:val="89"/>
              </w:rPr>
              <w:t>Awards</w:t>
            </w:r>
          </w:p>
        </w:tc>
        <w:tc>
          <w:tcPr>
            <w:tcW w:w="1500" w:type="dxa"/>
            <w:vAlign w:val="bottom"/>
            <w:gridSpan w:val="3"/>
          </w:tcPr>
          <w:p>
            <w:pPr>
              <w:jc w:val="center"/>
              <w:spacing w:after="0"/>
              <w:rPr>
                <w:sz w:val="20"/>
                <w:szCs w:val="20"/>
                <w:color w:val="auto"/>
              </w:rPr>
            </w:pPr>
            <w:r>
              <w:rPr>
                <w:rFonts w:ascii="Arial" w:cs="Arial" w:eastAsia="Arial" w:hAnsi="Arial"/>
                <w:sz w:val="18"/>
                <w:szCs w:val="18"/>
                <w:b w:val="1"/>
                <w:bCs w:val="1"/>
                <w:color w:val="231F20"/>
                <w:w w:val="87"/>
              </w:rPr>
              <w:t>Compensation</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231F20"/>
              </w:rPr>
              <w:t>Total</w:t>
            </w:r>
          </w:p>
        </w:tc>
      </w:tr>
      <w:tr>
        <w:trPr>
          <w:trHeight w:val="27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231F20"/>
              </w:rPr>
              <w:t>Name and principal position</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231F20"/>
              </w:rPr>
              <w:t>Year</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231F20"/>
              </w:rPr>
              <w:t>($)</w:t>
            </w: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99"/>
              </w:rPr>
              <w:t>($)</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line="276" w:lineRule="exact"/>
              <w:rPr>
                <w:sz w:val="20"/>
                <w:szCs w:val="20"/>
                <w:color w:val="auto"/>
              </w:rPr>
            </w:pPr>
            <w:r>
              <w:rPr>
                <w:rFonts w:ascii="Arial" w:cs="Arial" w:eastAsia="Arial" w:hAnsi="Arial"/>
                <w:sz w:val="32"/>
                <w:szCs w:val="32"/>
                <w:b w:val="1"/>
                <w:bCs w:val="1"/>
                <w:color w:val="231F20"/>
                <w:w w:val="87"/>
                <w:vertAlign w:val="subscript"/>
              </w:rPr>
              <w:t>($)</w:t>
            </w:r>
            <w:r>
              <w:rPr>
                <w:rFonts w:ascii="Arial" w:cs="Arial" w:eastAsia="Arial" w:hAnsi="Arial"/>
                <w:sz w:val="14"/>
                <w:szCs w:val="14"/>
                <w:b w:val="1"/>
                <w:bCs w:val="1"/>
                <w:color w:val="231F20"/>
                <w:w w:val="87"/>
              </w:rPr>
              <w:t>(1)</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line="276" w:lineRule="exact"/>
              <w:rPr>
                <w:sz w:val="20"/>
                <w:szCs w:val="20"/>
                <w:color w:val="auto"/>
              </w:rPr>
            </w:pPr>
            <w:r>
              <w:rPr>
                <w:rFonts w:ascii="Arial" w:cs="Arial" w:eastAsia="Arial" w:hAnsi="Arial"/>
                <w:sz w:val="32"/>
                <w:szCs w:val="32"/>
                <w:b w:val="1"/>
                <w:bCs w:val="1"/>
                <w:color w:val="231F20"/>
                <w:w w:val="87"/>
                <w:vertAlign w:val="subscript"/>
              </w:rPr>
              <w:t>($)</w:t>
            </w:r>
            <w:r>
              <w:rPr>
                <w:rFonts w:ascii="Arial" w:cs="Arial" w:eastAsia="Arial" w:hAnsi="Arial"/>
                <w:sz w:val="14"/>
                <w:szCs w:val="14"/>
                <w:b w:val="1"/>
                <w:bCs w:val="1"/>
                <w:color w:val="231F20"/>
                <w:w w:val="87"/>
              </w:rPr>
              <w:t>(1)</w:t>
            </w:r>
          </w:p>
        </w:tc>
        <w:tc>
          <w:tcPr>
            <w:tcW w:w="2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6" w:lineRule="exact"/>
              <w:rPr>
                <w:sz w:val="20"/>
                <w:szCs w:val="20"/>
                <w:color w:val="auto"/>
              </w:rPr>
            </w:pPr>
            <w:r>
              <w:rPr>
                <w:rFonts w:ascii="Arial" w:cs="Arial" w:eastAsia="Arial" w:hAnsi="Arial"/>
                <w:sz w:val="32"/>
                <w:szCs w:val="32"/>
                <w:b w:val="1"/>
                <w:bCs w:val="1"/>
                <w:color w:val="231F20"/>
                <w:w w:val="87"/>
                <w:vertAlign w:val="subscript"/>
              </w:rPr>
              <w:t>($)</w:t>
            </w:r>
            <w:r>
              <w:rPr>
                <w:rFonts w:ascii="Arial" w:cs="Arial" w:eastAsia="Arial" w:hAnsi="Arial"/>
                <w:sz w:val="14"/>
                <w:szCs w:val="14"/>
                <w:b w:val="1"/>
                <w:bCs w:val="1"/>
                <w:color w:val="231F20"/>
                <w:w w:val="87"/>
              </w:rPr>
              <w:t>(5)</w:t>
            </w: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231F20"/>
              </w:rPr>
              <w:t>($)</w:t>
            </w:r>
          </w:p>
        </w:tc>
        <w:tc>
          <w:tcPr>
            <w:tcW w:w="100" w:type="dxa"/>
            <w:vAlign w:val="bottom"/>
            <w:tcBorders>
              <w:bottom w:val="single" w:sz="8" w:color="CCEEFF"/>
            </w:tcBorders>
          </w:tcPr>
          <w:p>
            <w:pPr>
              <w:spacing w:after="0"/>
              <w:rPr>
                <w:sz w:val="24"/>
                <w:szCs w:val="24"/>
                <w:color w:val="auto"/>
              </w:rPr>
            </w:pPr>
          </w:p>
        </w:tc>
      </w:tr>
      <w:tr>
        <w:trPr>
          <w:trHeight w:val="250"/>
        </w:trPr>
        <w:tc>
          <w:tcPr>
            <w:tcW w:w="3960" w:type="dxa"/>
            <w:vAlign w:val="bottom"/>
            <w:shd w:val="clear" w:color="auto" w:fill="CCEEFF"/>
          </w:tcPr>
          <w:p>
            <w:pPr>
              <w:spacing w:after="0" w:line="250" w:lineRule="exact"/>
              <w:rPr>
                <w:sz w:val="20"/>
                <w:szCs w:val="20"/>
                <w:color w:val="auto"/>
              </w:rPr>
            </w:pPr>
            <w:r>
              <w:rPr>
                <w:rFonts w:ascii="Arial" w:cs="Arial" w:eastAsia="Arial" w:hAnsi="Arial"/>
                <w:sz w:val="17"/>
                <w:szCs w:val="17"/>
                <w:color w:val="231F20"/>
              </w:rPr>
              <w:t>Scott Milford</w:t>
            </w:r>
            <w:r>
              <w:rPr>
                <w:rFonts w:ascii="Arial" w:cs="Arial" w:eastAsia="Arial" w:hAnsi="Arial"/>
                <w:sz w:val="28"/>
                <w:szCs w:val="28"/>
                <w:color w:val="231F20"/>
                <w:vertAlign w:val="superscript"/>
              </w:rPr>
              <w:t>(2)</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231F20"/>
              </w:rPr>
              <w:t>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413,462</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181,704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36,290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615,500</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w w:val="97"/>
              </w:rPr>
              <w:t>1,246,956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Chief Executive Officer</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231F20"/>
              </w:rPr>
              <w:t>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350,000</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768,479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w w:val="97"/>
              </w:rPr>
              <w:t>1,118,479</w:t>
            </w: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960" w:type="dxa"/>
            <w:vAlign w:val="bottom"/>
            <w:shd w:val="clear" w:color="auto" w:fill="CCEEFF"/>
          </w:tcPr>
          <w:p>
            <w:pPr>
              <w:spacing w:after="0" w:line="270" w:lineRule="exact"/>
              <w:rPr>
                <w:sz w:val="20"/>
                <w:szCs w:val="20"/>
                <w:color w:val="auto"/>
              </w:rPr>
            </w:pPr>
            <w:r>
              <w:rPr>
                <w:rFonts w:ascii="Arial" w:cs="Arial" w:eastAsia="Arial" w:hAnsi="Arial"/>
                <w:sz w:val="18"/>
                <w:szCs w:val="18"/>
                <w:color w:val="231F20"/>
              </w:rPr>
              <w:t>Omar A Haynes</w:t>
            </w:r>
            <w:r>
              <w:rPr>
                <w:rFonts w:ascii="Arial" w:cs="Arial" w:eastAsia="Arial" w:hAnsi="Arial"/>
                <w:sz w:val="29"/>
                <w:szCs w:val="29"/>
                <w:color w:val="231F20"/>
                <w:vertAlign w:val="superscript"/>
              </w:rPr>
              <w:t>(3)</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231F20"/>
              </w:rPr>
              <w:t>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251,250</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101,856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36,290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65,000</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454,397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Interim Chief Financial Officer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960" w:type="dxa"/>
            <w:vAlign w:val="bottom"/>
            <w:shd w:val="clear" w:color="auto" w:fill="CCEEFF"/>
          </w:tcPr>
          <w:p>
            <w:pPr>
              <w:spacing w:after="0" w:line="256" w:lineRule="exact"/>
              <w:rPr>
                <w:sz w:val="20"/>
                <w:szCs w:val="20"/>
                <w:color w:val="auto"/>
              </w:rPr>
            </w:pPr>
            <w:r>
              <w:rPr>
                <w:rFonts w:ascii="Arial" w:cs="Arial" w:eastAsia="Arial" w:hAnsi="Arial"/>
                <w:sz w:val="18"/>
                <w:szCs w:val="18"/>
                <w:color w:val="231F20"/>
              </w:rPr>
              <w:t>Ezra T. Ernst</w:t>
            </w:r>
            <w:r>
              <w:rPr>
                <w:rFonts w:ascii="Arial" w:cs="Arial" w:eastAsia="Arial" w:hAnsi="Arial"/>
                <w:sz w:val="29"/>
                <w:szCs w:val="29"/>
                <w:color w:val="231F20"/>
                <w:vertAlign w:val="superscript"/>
              </w:rPr>
              <w:t>(4)</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231F20"/>
              </w:rPr>
              <w:t>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318,425</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362,900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681,325</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231F20"/>
                <w:w w:val="93"/>
              </w:rPr>
              <w:t>Executive Vice President of XWELL, Chief Executive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Officer of XpresTest and President and Chief</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Executive Officer of Hyperpointe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960" w:type="dxa"/>
            <w:vAlign w:val="bottom"/>
            <w:shd w:val="clear" w:color="auto" w:fill="CCEEFF"/>
          </w:tcPr>
          <w:p>
            <w:pPr>
              <w:spacing w:after="0" w:line="270" w:lineRule="exact"/>
              <w:rPr>
                <w:sz w:val="20"/>
                <w:szCs w:val="20"/>
                <w:color w:val="auto"/>
              </w:rPr>
            </w:pPr>
            <w:r>
              <w:rPr>
                <w:rFonts w:ascii="Arial" w:cs="Arial" w:eastAsia="Arial" w:hAnsi="Arial"/>
                <w:sz w:val="18"/>
                <w:szCs w:val="18"/>
                <w:color w:val="231F20"/>
              </w:rPr>
              <w:t>Douglas Satzman</w:t>
            </w:r>
            <w:r>
              <w:rPr>
                <w:rFonts w:ascii="Arial" w:cs="Arial" w:eastAsia="Arial" w:hAnsi="Arial"/>
                <w:sz w:val="29"/>
                <w:szCs w:val="29"/>
                <w:color w:val="231F20"/>
                <w:vertAlign w:val="superscript"/>
              </w:rPr>
              <w:t>(5)</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231F20"/>
              </w:rPr>
              <w:t>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24,726</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168,341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450,388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643,455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Former Chief Executive Officer</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231F20"/>
              </w:rPr>
              <w:t>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472,115</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w w:val="94"/>
              </w:rPr>
              <w:t>1,042,934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326,000</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w w:val="97"/>
              </w:rPr>
              <w:t>1,841,049</w:t>
            </w:r>
          </w:p>
        </w:tc>
      </w:tr>
    </w:tbl>
    <w:p>
      <w:pPr>
        <w:spacing w:after="0" w:line="202" w:lineRule="exact"/>
        <w:rPr>
          <w:sz w:val="20"/>
          <w:szCs w:val="20"/>
          <w:color w:val="auto"/>
        </w:rPr>
      </w:pPr>
    </w:p>
    <w:p>
      <w:pPr>
        <w:jc w:val="both"/>
        <w:ind w:left="340" w:hanging="332"/>
        <w:spacing w:after="0" w:line="311" w:lineRule="auto"/>
        <w:tabs>
          <w:tab w:leader="none" w:pos="340"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 xml:space="preserve">Amounts represent the aggregate grant date fair value in accordance with FASB ASC </w:t>
      </w:r>
      <w:r>
        <w:rPr>
          <w:rFonts w:ascii="Arial" w:cs="Arial" w:eastAsia="Arial" w:hAnsi="Arial"/>
          <w:sz w:val="16"/>
          <w:szCs w:val="16"/>
          <w:i w:val="1"/>
          <w:iCs w:val="1"/>
          <w:color w:val="231F20"/>
        </w:rPr>
        <w:t>Topic 718</w:t>
      </w:r>
      <w:r>
        <w:rPr>
          <w:rFonts w:ascii="Arial" w:cs="Arial" w:eastAsia="Arial" w:hAnsi="Arial"/>
          <w:sz w:val="16"/>
          <w:szCs w:val="16"/>
          <w:color w:val="231F20"/>
        </w:rPr>
        <w:t>. For the assumptions made in the valuation of our equity awards see Notes 2 and 15 to our consolidated financial statements included in our Annual Report on Form 10-K, as amended, for fiscal year 2022. The amount reported for Mr. Haynes is the grant date fair value of a restricted stock unit award for 100,000 shares of our Common Stock.</w:t>
      </w:r>
    </w:p>
    <w:p>
      <w:pPr>
        <w:spacing w:after="0" w:line="148" w:lineRule="exact"/>
        <w:rPr>
          <w:rFonts w:ascii="Arial" w:cs="Arial" w:eastAsia="Arial" w:hAnsi="Arial"/>
          <w:sz w:val="16"/>
          <w:szCs w:val="16"/>
          <w:color w:val="231F20"/>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Mr. Milford has served our Chief Executive Officer since January 19, 2022. Prior to that, he served as our Chief Operating Officer since December 14, 2020. Compensation in 2022 includes equity awards of stock options and restricted stock. Compensation in 2021 includes equity awards of stock options.</w:t>
      </w:r>
    </w:p>
    <w:p>
      <w:pPr>
        <w:spacing w:after="0" w:line="183" w:lineRule="exact"/>
        <w:rPr>
          <w:rFonts w:ascii="Arial" w:cs="Arial" w:eastAsia="Arial" w:hAnsi="Arial"/>
          <w:sz w:val="18"/>
          <w:szCs w:val="18"/>
          <w:color w:val="231F20"/>
        </w:rPr>
      </w:pPr>
    </w:p>
    <w:p>
      <w:pPr>
        <w:jc w:val="both"/>
        <w:ind w:left="340" w:hanging="332"/>
        <w:spacing w:after="0" w:line="279" w:lineRule="auto"/>
        <w:tabs>
          <w:tab w:leader="none" w:pos="340"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Mr. Haynes served as our Interim Chief Financial Officer, from June 13, 2022 through July 10, 2023. Prior to that, he served as Vice President of Treasury &amp; Finance of the Company, a non-executive role, since June 2021, in which capacity he continued while serving as the Company’s Interim Chief Financial Officer and which role he assumed again effective July 10, 2023. He served as Treasurer &amp; Senior Director of Finance from June 2020 to May 2021. Mr. Haynes’ compensation in 2022 includes equity awards of stock options and restricted stock.</w:t>
      </w:r>
    </w:p>
    <w:p>
      <w:pPr>
        <w:spacing w:after="0" w:line="171" w:lineRule="exact"/>
        <w:rPr>
          <w:rFonts w:ascii="Arial" w:cs="Arial" w:eastAsia="Arial" w:hAnsi="Arial"/>
          <w:sz w:val="17"/>
          <w:szCs w:val="17"/>
          <w:color w:val="231F20"/>
        </w:rPr>
      </w:pPr>
    </w:p>
    <w:p>
      <w:pPr>
        <w:ind w:left="340" w:hanging="332"/>
        <w:spacing w:after="0" w:line="277" w:lineRule="auto"/>
        <w:tabs>
          <w:tab w:leader="none" w:pos="3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Mr. Ernst has served as our Executive Vice President and the Chief Executive Officer of XpresTest since January 9, 2022. Compensation in 2022 includes equity awards of stock options.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340" w:hanging="332"/>
        <w:spacing w:after="0" w:line="279" w:lineRule="auto"/>
        <w:tabs>
          <w:tab w:leader="none" w:pos="34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Mr. Satzman served as our Chief Executive Officer until January 19, 2022. Amounts reported under the “All Other Compensation” column in 2022 include a severance payment pursuant to our separation agreement with Mr. Satzman Compensation in 2021 includes equity awards of stock options and restricted stock. As noted under “- Potential Payments upon Termination or Change-In-Control” below, Mr. Satzman received incentive compensation of $158,341 attributable to calendar year 2021, as provided in his employment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Scott R. Milford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1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31F20"/>
        </w:rPr>
        <w:t>On March 28, 2022, we entered into an Executive Employment Agreement with Mr. Milford (the “Employment Agreement”) in connection with his service to the Company as its CEO. The terms of the Employment Agreement were effective as of January 19, 2022, the date of Mr. Milford’s assumption of the role of CEO. The Employment agreement has a term of two years (the “Employment Period”) from the Effective Date. Following the Employment Period, Mr. Milford will continue to be employed by the Company as an “at will” employee. Pursuant to the terms of the Employment Agreement, Mr. Milford will be entitled to receive an annual base salary of $425,000. The Employment agreement also provides that Mr. Milford will be eligible to participate in any annual bonus and other incentive compensation program that the Company may adopt from time to time for its executive officers. Under the Employment Agreement, Mr. Milford will be eligible to earn an annual bonus, the target amount of which will be up to one hundred percent (100%) of Base Salary, based upon the achievement of performance goals and metrics established by the Board at its sole discretion. Any bonus will be determined as soon as reasonably practicable after our annual financial statements are finalized and will be split 50/50 between cash and a grant of restricted stock units with respect to our common stock.</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Omar A. Haynes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For his service as Interim Chief Financial Officer, Mr. Haynes received a base annual salary of $288,750. During his tenure as Interim Chief Financial Officer, Mr. Haynes was eligible to receive an annual cash bonus with a target of 50% of his base salary and was eligible to participate in any annual bonus or other incentive compensation program adopted by the Company from time to time for its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Ezra Ernst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On January 9, 2022, the Company and Mr. Ernst entered into an Executive Employment Agreement, pursuant to which Mr. Ernst serves as the Chief Executive Officer and a director of XpresTest. The agreement has a term of three years from the date of closing of the Company’s acquisition of Hyperpointe.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restricted stock units with respect to the Company’s common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line="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In the event the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Outstanding Equity Awards at 2022 Fiscal Year End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following table sets forth information regarding grants of stock options and unvested stock awards outstanding on the last day of the fiscal year ended December 31, 2022, to each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231F20"/>
              </w:rPr>
              <w:t>Option Awards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ind w:left="480"/>
              <w:spacing w:after="0"/>
              <w:rPr>
                <w:sz w:val="20"/>
                <w:szCs w:val="20"/>
                <w:color w:val="auto"/>
              </w:rPr>
            </w:pPr>
            <w:r>
              <w:rPr>
                <w:rFonts w:ascii="Arial" w:cs="Arial" w:eastAsia="Arial" w:hAnsi="Arial"/>
                <w:sz w:val="18"/>
                <w:szCs w:val="18"/>
                <w:b w:val="1"/>
                <w:bCs w:val="1"/>
                <w:color w:val="231F20"/>
              </w:rPr>
              <w:t>Stock Awards</w:t>
            </w:r>
          </w:p>
        </w:tc>
      </w:tr>
      <w:tr>
        <w:trPr>
          <w:trHeight w:val="191"/>
        </w:trPr>
        <w:tc>
          <w:tcPr>
            <w:tcW w:w="4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231F20"/>
                <w:w w:val="94"/>
              </w:rPr>
              <w:t>Number</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231F20"/>
                <w:w w:val="99"/>
              </w:rPr>
              <w:t>Market</w:t>
            </w:r>
          </w:p>
        </w:tc>
        <w:tc>
          <w:tcPr>
            <w:tcW w:w="10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94"/>
              </w:rPr>
              <w:t>Number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84"/>
              </w:rPr>
              <w:t>of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6"/>
              </w:rPr>
              <w:t>value</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94"/>
              </w:rPr>
              <w:t>Number</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86"/>
              </w:rPr>
              <w:t>of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89"/>
              </w:rPr>
              <w:t>of units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4"/>
              </w:rPr>
              <w:t>of shares</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86"/>
              </w:rPr>
              <w:t>of securities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91"/>
              </w:rPr>
              <w:t>underlying</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86"/>
              </w:rPr>
              <w:t>of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6"/>
              </w:rPr>
              <w:t>of units</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91"/>
              </w:rPr>
              <w:t>underlying</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85"/>
              </w:rPr>
              <w:t>unexercised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90"/>
              </w:rPr>
              <w:t>that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6"/>
              </w:rPr>
              <w:t>of stock</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5"/>
              </w:rPr>
              <w:t>unexercised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86"/>
              </w:rPr>
              <w:t>options</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231F20"/>
                <w:w w:val="93"/>
              </w:rPr>
              <w:t>Option</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89"/>
              </w:rPr>
              <w:t>have not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96"/>
              </w:rPr>
              <w:t>that</w:t>
            </w:r>
          </w:p>
        </w:tc>
      </w:tr>
      <w:tr>
        <w:trPr>
          <w:trHeight w:val="229"/>
        </w:trPr>
        <w:tc>
          <w:tcPr>
            <w:tcW w:w="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86"/>
              </w:rPr>
              <w:t>options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94"/>
              </w:rPr>
              <w:t>(#) un-</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231F20"/>
                <w:w w:val="83"/>
              </w:rPr>
              <w:t>exercise</w:t>
            </w:r>
          </w:p>
        </w:tc>
        <w:tc>
          <w:tcPr>
            <w:tcW w:w="22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92"/>
              </w:rPr>
              <w:t>Option expiration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84"/>
              </w:rPr>
              <w:t>vested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89"/>
              </w:rPr>
              <w:t>have not</w:t>
            </w:r>
          </w:p>
        </w:tc>
      </w:tr>
      <w:tr>
        <w:trPr>
          <w:trHeight w:val="234"/>
        </w:trPr>
        <w:tc>
          <w:tcPr>
            <w:tcW w:w="3740" w:type="dxa"/>
            <w:vAlign w:val="bottom"/>
            <w:gridSpan w:val="3"/>
          </w:tcPr>
          <w:p>
            <w:pPr>
              <w:spacing w:after="0"/>
              <w:rPr>
                <w:sz w:val="20"/>
                <w:szCs w:val="20"/>
                <w:color w:val="auto"/>
              </w:rPr>
            </w:pPr>
            <w:r>
              <w:rPr>
                <w:rFonts w:ascii="Arial" w:cs="Arial" w:eastAsia="Arial" w:hAnsi="Arial"/>
                <w:sz w:val="18"/>
                <w:szCs w:val="18"/>
                <w:b w:val="1"/>
                <w:bCs w:val="1"/>
                <w:color w:val="231F20"/>
              </w:rPr>
              <w:t>Name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7"/>
              </w:rPr>
              <w:t>(#) exercisable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85"/>
              </w:rPr>
              <w:t>exercisable</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231F20"/>
                <w:w w:val="91"/>
              </w:rPr>
              <w:t>price ($)</w:t>
            </w:r>
          </w:p>
        </w:tc>
        <w:tc>
          <w:tcPr>
            <w:tcW w:w="22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31F20"/>
                <w:w w:val="86"/>
              </w:rPr>
              <w:t>date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231F20"/>
                <w:w w:val="99"/>
              </w:rPr>
              <w:t>(#)</w:t>
            </w:r>
          </w:p>
        </w:tc>
        <w:tc>
          <w:tcPr>
            <w:tcW w:w="20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231F20"/>
                <w:w w:val="85"/>
              </w:rPr>
              <w:t>vested ($)</w:t>
            </w:r>
          </w:p>
        </w:tc>
      </w:tr>
      <w:tr>
        <w:trPr>
          <w:trHeight w:val="250"/>
        </w:trPr>
        <w:tc>
          <w:tcPr>
            <w:tcW w:w="3640" w:type="dxa"/>
            <w:vAlign w:val="bottom"/>
            <w:tcBorders>
              <w:top w:val="single" w:sz="8" w:color="auto"/>
            </w:tcBorders>
            <w:gridSpan w:val="2"/>
            <w:shd w:val="clear" w:color="auto" w:fill="CCEEFF"/>
          </w:tcPr>
          <w:p>
            <w:pPr>
              <w:spacing w:after="0" w:line="250" w:lineRule="exact"/>
              <w:rPr>
                <w:sz w:val="20"/>
                <w:szCs w:val="20"/>
                <w:color w:val="auto"/>
              </w:rPr>
            </w:pPr>
            <w:r>
              <w:rPr>
                <w:rFonts w:ascii="Arial" w:cs="Arial" w:eastAsia="Arial" w:hAnsi="Arial"/>
                <w:sz w:val="17"/>
                <w:szCs w:val="17"/>
                <w:color w:val="231F20"/>
              </w:rPr>
              <w:t xml:space="preserve">Scott Milford </w:t>
            </w:r>
            <w:r>
              <w:rPr>
                <w:rFonts w:ascii="Arial" w:cs="Arial" w:eastAsia="Arial" w:hAnsi="Arial"/>
                <w:sz w:val="28"/>
                <w:szCs w:val="28"/>
                <w:color w:val="231F20"/>
                <w:vertAlign w:val="superscript"/>
              </w:rPr>
              <w:t>(1)</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tcBorders>
              <w:top w:val="single" w:sz="8" w:color="CCEEFF"/>
            </w:tcBorders>
            <w:shd w:val="clear" w:color="auto" w:fill="CCEEFF"/>
          </w:tcPr>
          <w:p>
            <w:pPr>
              <w:spacing w:after="0"/>
              <w:rPr>
                <w:sz w:val="21"/>
                <w:szCs w:val="21"/>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2020</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2012</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58,334</w:t>
            </w:r>
          </w:p>
        </w:tc>
        <w:tc>
          <w:tcPr>
            <w:tcW w:w="960" w:type="dxa"/>
            <w:vAlign w:val="bottom"/>
          </w:tcPr>
          <w:p>
            <w:pPr>
              <w:jc w:val="right"/>
              <w:spacing w:after="0"/>
              <w:rPr>
                <w:sz w:val="20"/>
                <w:szCs w:val="20"/>
                <w:color w:val="auto"/>
              </w:rPr>
            </w:pPr>
            <w:r>
              <w:rPr>
                <w:rFonts w:ascii="Arial" w:cs="Arial" w:eastAsia="Arial" w:hAnsi="Arial"/>
                <w:sz w:val="18"/>
                <w:szCs w:val="18"/>
                <w:color w:val="231F20"/>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1.53</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April 20, 2030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231F20"/>
                <w:w w:val="94"/>
              </w:rPr>
              <w:t>2020</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w w:val="95"/>
              </w:rPr>
              <w:t>Incentive Stock Options from the 2012 Plan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32,106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5.01</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September 6, 2030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2020</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2020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32,106</w:t>
            </w:r>
          </w:p>
        </w:tc>
        <w:tc>
          <w:tcPr>
            <w:tcW w:w="960" w:type="dxa"/>
            <w:vAlign w:val="bottom"/>
          </w:tcPr>
          <w:p>
            <w:pPr>
              <w:jc w:val="right"/>
              <w:spacing w:after="0"/>
              <w:rPr>
                <w:sz w:val="20"/>
                <w:szCs w:val="20"/>
                <w:color w:val="auto"/>
              </w:rPr>
            </w:pPr>
            <w:r>
              <w:rPr>
                <w:rFonts w:ascii="Arial" w:cs="Arial" w:eastAsia="Arial" w:hAnsi="Arial"/>
                <w:sz w:val="18"/>
                <w:szCs w:val="18"/>
                <w:color w:val="231F20"/>
              </w:rPr>
              <w:t>64,213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5.01</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October 28, 2030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w w:val="94"/>
              </w:rPr>
              <w:t>2021</w:t>
            </w:r>
          </w:p>
        </w:tc>
        <w:tc>
          <w:tcPr>
            <w:tcW w:w="3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2020</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231F20"/>
              </w:rPr>
              <w:t>Plan</w:t>
            </w:r>
          </w:p>
        </w:tc>
        <w:tc>
          <w:tcPr>
            <w:tcW w:w="3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95,108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285,327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1.61</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January 21, 2031</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2022</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2020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.1.43</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April 20, 2032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7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231F20"/>
              </w:rPr>
              <w:t xml:space="preserve">Omar Haynes </w:t>
            </w:r>
            <w:r>
              <w:rPr>
                <w:rFonts w:ascii="Arial" w:cs="Arial" w:eastAsia="Arial" w:hAnsi="Arial"/>
                <w:sz w:val="29"/>
                <w:szCs w:val="29"/>
                <w:color w:val="231F20"/>
                <w:vertAlign w:val="superscript"/>
              </w:rPr>
              <w:t>(1)</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0.36</w:t>
            </w:r>
          </w:p>
        </w:tc>
        <w:tc>
          <w:tcPr>
            <w:tcW w:w="100" w:type="dxa"/>
            <w:vAlign w:val="bottom"/>
            <w:shd w:val="clear" w:color="auto" w:fill="CCEEFF"/>
          </w:tcPr>
          <w:p>
            <w:pPr>
              <w:spacing w:after="0"/>
              <w:rPr>
                <w:sz w:val="23"/>
                <w:szCs w:val="23"/>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2020</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2012</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33,334</w:t>
            </w:r>
          </w:p>
        </w:tc>
        <w:tc>
          <w:tcPr>
            <w:tcW w:w="960" w:type="dxa"/>
            <w:vAlign w:val="bottom"/>
          </w:tcPr>
          <w:p>
            <w:pPr>
              <w:jc w:val="right"/>
              <w:spacing w:after="0"/>
              <w:rPr>
                <w:sz w:val="20"/>
                <w:szCs w:val="20"/>
                <w:color w:val="auto"/>
              </w:rPr>
            </w:pPr>
            <w:r>
              <w:rPr>
                <w:rFonts w:ascii="Arial" w:cs="Arial" w:eastAsia="Arial" w:hAnsi="Arial"/>
                <w:sz w:val="18"/>
                <w:szCs w:val="18"/>
                <w:color w:val="231F20"/>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1.53</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April 20, 2030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w w:val="94"/>
              </w:rPr>
              <w:t>2021</w:t>
            </w:r>
          </w:p>
        </w:tc>
        <w:tc>
          <w:tcPr>
            <w:tcW w:w="3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2020</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231F20"/>
              </w:rPr>
              <w:t>Plan</w:t>
            </w:r>
          </w:p>
        </w:tc>
        <w:tc>
          <w:tcPr>
            <w:tcW w:w="3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27,174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1.61</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January 21, 2031</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2022</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2020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1.43</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April 20, 2032</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37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 xml:space="preserve">Ezra Ernst </w:t>
            </w:r>
            <w:r>
              <w:rPr>
                <w:rFonts w:ascii="Arial" w:cs="Arial" w:eastAsia="Arial" w:hAnsi="Arial"/>
                <w:sz w:val="29"/>
                <w:szCs w:val="29"/>
                <w:color w:val="231F20"/>
                <w:vertAlign w:val="superscript"/>
              </w:rPr>
              <w:t>(1)</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2"/>
                <w:szCs w:val="22"/>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231F20"/>
              </w:rPr>
              <w:t>Inducement Plan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1.64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January 14, 2032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231F20"/>
              </w:rPr>
              <w:t>Douglas Satzman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2019</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8"/>
              </w:rPr>
              <w:t>Non-Qualified Stock Option from the 2012</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25,000</w:t>
            </w:r>
          </w:p>
        </w:tc>
        <w:tc>
          <w:tcPr>
            <w:tcW w:w="960" w:type="dxa"/>
            <w:vAlign w:val="bottom"/>
          </w:tcPr>
          <w:p>
            <w:pPr>
              <w:jc w:val="right"/>
              <w:spacing w:after="0"/>
              <w:rPr>
                <w:sz w:val="20"/>
                <w:szCs w:val="20"/>
                <w:color w:val="auto"/>
              </w:rPr>
            </w:pPr>
            <w:r>
              <w:rPr>
                <w:rFonts w:ascii="Arial" w:cs="Arial" w:eastAsia="Arial" w:hAnsi="Arial"/>
                <w:sz w:val="18"/>
                <w:szCs w:val="18"/>
                <w:color w:val="231F20"/>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12.60</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February 11, 2029</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w w:val="94"/>
              </w:rPr>
              <w:t>2020</w:t>
            </w:r>
          </w:p>
        </w:tc>
        <w:tc>
          <w:tcPr>
            <w:tcW w:w="3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2012</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231F20"/>
              </w:rPr>
              <w:t>Plan</w:t>
            </w:r>
          </w:p>
        </w:tc>
        <w:tc>
          <w:tcPr>
            <w:tcW w:w="3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83,334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1.53</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April 20, 2030</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231F20"/>
                <w:w w:val="94"/>
              </w:rPr>
              <w:t>2021</w:t>
            </w:r>
          </w:p>
        </w:tc>
        <w:tc>
          <w:tcPr>
            <w:tcW w:w="3340" w:type="dxa"/>
            <w:vAlign w:val="bottom"/>
            <w:gridSpan w:val="2"/>
          </w:tcPr>
          <w:p>
            <w:pPr>
              <w:ind w:left="20"/>
              <w:spacing w:after="0" w:line="201" w:lineRule="exact"/>
              <w:rPr>
                <w:sz w:val="20"/>
                <w:szCs w:val="20"/>
                <w:color w:val="auto"/>
              </w:rPr>
            </w:pPr>
            <w:r>
              <w:rPr>
                <w:rFonts w:ascii="Arial" w:cs="Arial" w:eastAsia="Arial" w:hAnsi="Arial"/>
                <w:sz w:val="18"/>
                <w:szCs w:val="18"/>
                <w:color w:val="231F20"/>
                <w:w w:val="96"/>
              </w:rPr>
              <w:t>Non-Qualified Stock Options from the 2020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231F20"/>
              </w:rPr>
              <w:t>Plan</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231F20"/>
              </w:rPr>
              <w:t>516,304</w:t>
            </w:r>
          </w:p>
        </w:tc>
        <w:tc>
          <w:tcPr>
            <w:tcW w:w="960" w:type="dxa"/>
            <w:vAlign w:val="bottom"/>
          </w:tcPr>
          <w:p>
            <w:pPr>
              <w:jc w:val="right"/>
              <w:spacing w:after="0"/>
              <w:rPr>
                <w:sz w:val="20"/>
                <w:szCs w:val="20"/>
                <w:color w:val="auto"/>
              </w:rPr>
            </w:pPr>
            <w:r>
              <w:rPr>
                <w:rFonts w:ascii="Arial" w:cs="Arial" w:eastAsia="Arial" w:hAnsi="Arial"/>
                <w:sz w:val="18"/>
                <w:szCs w:val="18"/>
                <w:color w:val="231F20"/>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1.74</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231F20"/>
              </w:rPr>
              <w:t>January 21, 2031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Options vest in equal annual increments over one to four years following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Pension Benefits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Nonqualified Deferred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Potential Payments upon Termination or Change-In-Control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following summarizes the payments and potential payments to each of our named executive officers as of December 31, 2022 upon termination or change-in-control. The discussion assumes that such event occurred on December 30, 2022, the last business day of our fiscal year, at which time the closing price of our common stock as listed on Nasdaq was $0.36 per share. For a further discussion of these provisions see the “Narrative Disclosure to Summary Compensation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Scott R. Milford</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68" w:orient="portrait"/>
          <w:cols w:equalWidth="0" w:num="1">
            <w:col w:w="11240"/>
          </w:cols>
          <w:pgMar w:left="320" w:top="908" w:right="3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231F20"/>
        </w:rPr>
        <w:t>Ezra T. Ernst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Douglas Satzman</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Mr. Satzman resigned from the Company on January 19, 2022. Under the terms of the Separation Agreement and Release that he entered into with the Company, Mr. Satzman received (i) an amount equal to his current annual base salary ($475,000) as severance, paid over the 12-month period following January 21, 2022 in accordance with the Company’s regular payroll schedule and (ii) subsidization of COBRA continuation payments under the Company’ group medical insurance plans until January 31, 2023. Mr. Satzman’s employment provided that if he had earned any bonus or non-equity based incentive compensation which remained unpaid upon termination of employment for any reason, whether by Mr. Satzman or us other than for cause, then he became entitled to receive a pro-rata portion of such incentive compensation at the time it was paid. Mr. Satzman received incentive compensation of $158,341 attributable to calendar year 2021 as provided in his employment agreement, as well as $10,000 representing expense reimbursement. The Separation and Release Agreement also provided for the vesting of all stock options, RSUs and other stock-based awards outstanding held by Mr. Satzman immediately after the effective date of that agreement, in exchange for a general release in favor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Suzanne A. Scrabis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Ms. Scrabis was appointed the Company’s Chief Financial Officer, effective July 10, 2023. If Ms. Scrabis’ employment is terminated for good reason by Ms. Scrabis or by the Company without cause, she will be entitled to receive a payment equal to 50% of her then-current base salary, payable in installments over a period of six months, conditioned on her execution of a release of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Pay Versus Performance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(b)</w:t>
            </w:r>
          </w:p>
        </w:tc>
        <w:tc>
          <w:tcPr>
            <w:tcW w:w="260" w:type="dxa"/>
            <w:vAlign w:val="bottom"/>
          </w:tcPr>
          <w:p>
            <w:pPr>
              <w:spacing w:after="0"/>
              <w:rPr>
                <w:sz w:val="18"/>
                <w:szCs w:val="18"/>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color w:val="auto"/>
                <w:w w:val="95"/>
              </w:rPr>
              <w:t>(c)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5"/>
              </w:rPr>
              <w:t>(c)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(h)</w:t>
            </w: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Summary</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Initial Fixed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Summary</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Summary</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Table Total</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Actually Paid</w:t>
            </w:r>
          </w:p>
        </w:tc>
        <w:tc>
          <w:tcPr>
            <w:tcW w:w="20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Compensation</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3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Compensation</w:t>
            </w:r>
          </w:p>
        </w:tc>
        <w:tc>
          <w:tcPr>
            <w:tcW w:w="18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for Non-PEO</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to Non-PEO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Based On</w:t>
            </w:r>
            <w:r>
              <w:rPr>
                <w:rFonts w:ascii="Arial" w:cs="Arial" w:eastAsia="Arial" w:hAnsi="Arial"/>
                <w:sz w:val="18"/>
                <w:szCs w:val="18"/>
                <w:color w:val="auto"/>
                <w:w w:val="8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Table Total</w:t>
            </w: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Table Total</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Actually Paid</w:t>
            </w:r>
          </w:p>
        </w:tc>
        <w:tc>
          <w:tcPr>
            <w:tcW w:w="1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Actually Paid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Named</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Named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Net Income</w:t>
            </w: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1st PEO</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for 2nd PEO</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to 1st PEO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 2nd PEO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Executive</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2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Shareholder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(Loss) ($)</w:t>
            </w:r>
          </w:p>
        </w:tc>
      </w:tr>
      <w:tr>
        <w:trPr>
          <w:trHeight w:val="234"/>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 (1)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Officers ($)</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 xml:space="preserve">Officers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 (1)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Return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09"/>
        </w:trPr>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1,246,956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643,455</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567,861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(32,629)</w:t>
            </w:r>
          </w:p>
        </w:tc>
      </w:tr>
      <w:tr>
        <w:trPr>
          <w:trHeight w:val="230"/>
        </w:trPr>
        <w:tc>
          <w:tcPr>
            <w:tcW w:w="9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20"/>
                <w:szCs w:val="20"/>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1,841,049</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878,737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714,812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Amounts represent compensation actually paid to our principal executive officer (“PEO”) and the average compensation actually paid to our remaining NEOs for the relevant fiscal year, as determined under SEC rules (and described below), which includes the individuals indicated in the table below for each year: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258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1st PEO</w:t>
            </w:r>
          </w:p>
        </w:tc>
        <w:tc>
          <w:tcPr>
            <w:tcW w:w="120" w:type="dxa"/>
            <w:vAlign w:val="bottom"/>
            <w:tcBorders>
              <w:bottom w:val="single" w:sz="8" w:color="CCEEFF"/>
            </w:tcBorders>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2nd PEO</w:t>
            </w:r>
          </w:p>
        </w:tc>
        <w:tc>
          <w:tcPr>
            <w:tcW w:w="100" w:type="dxa"/>
            <w:vAlign w:val="bottom"/>
            <w:tcBorders>
              <w:bottom w:val="single" w:sz="8" w:color="CCEEFF"/>
            </w:tcBorders>
          </w:tcPr>
          <w:p>
            <w:pPr>
              <w:spacing w:after="0"/>
              <w:rPr>
                <w:sz w:val="20"/>
                <w:szCs w:val="20"/>
                <w:color w:val="auto"/>
              </w:rPr>
            </w:pPr>
          </w:p>
        </w:tc>
        <w:tc>
          <w:tcPr>
            <w:tcW w:w="27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Non-PEO NEOs</w:t>
            </w:r>
          </w:p>
        </w:tc>
      </w:tr>
      <w:tr>
        <w:trPr>
          <w:trHeight w:val="209"/>
        </w:trPr>
        <w:tc>
          <w:tcPr>
            <w:tcW w:w="25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7"/>
              </w:rPr>
              <w:t>Scott Milford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Doug Satzman</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Omar Haynes &amp; Ezra Ernst</w:t>
            </w:r>
          </w:p>
        </w:tc>
      </w:tr>
      <w:tr>
        <w:trPr>
          <w:trHeight w:val="230"/>
        </w:trPr>
        <w:tc>
          <w:tcPr>
            <w:tcW w:w="2580" w:type="dxa"/>
            <w:vAlign w:val="bottom"/>
          </w:tcPr>
          <w:p>
            <w:pPr>
              <w:ind w:left="11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800" w:type="dxa"/>
            <w:vAlign w:val="bottom"/>
          </w:tcPr>
          <w:p>
            <w:pPr>
              <w:jc w:val="center"/>
              <w:ind w:left="5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0"/>
                <w:szCs w:val="20"/>
                <w:color w:val="auto"/>
              </w:rPr>
            </w:pP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88"/>
              </w:rPr>
              <w:t>Doug Satzman</w:t>
            </w:r>
          </w:p>
        </w:tc>
        <w:tc>
          <w:tcPr>
            <w:tcW w:w="100" w:type="dxa"/>
            <w:vAlign w:val="bottom"/>
          </w:tcPr>
          <w:p>
            <w:pPr>
              <w:spacing w:after="0"/>
              <w:rPr>
                <w:sz w:val="20"/>
                <w:szCs w:val="20"/>
                <w:color w:val="auto"/>
              </w:rPr>
            </w:pPr>
          </w:p>
        </w:tc>
        <w:tc>
          <w:tcPr>
            <w:tcW w:w="2700" w:type="dxa"/>
            <w:vAlign w:val="bottom"/>
          </w:tcPr>
          <w:p>
            <w:pPr>
              <w:jc w:val="center"/>
              <w:ind w:left="70"/>
              <w:spacing w:after="0"/>
              <w:rPr>
                <w:sz w:val="20"/>
                <w:szCs w:val="20"/>
                <w:color w:val="auto"/>
              </w:rPr>
            </w:pPr>
            <w:r>
              <w:rPr>
                <w:rFonts w:ascii="Arial" w:cs="Arial" w:eastAsia="Arial" w:hAnsi="Arial"/>
                <w:sz w:val="18"/>
                <w:szCs w:val="18"/>
                <w:color w:val="auto"/>
                <w:w w:val="94"/>
              </w:rPr>
              <w:t>Scott Milford &amp; James Berry</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Compensation to our NEOs represents the “Total” compensation reported in the Summary Compensation Table for the applicable fiscal year, as adjusted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Average Non-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Average Non-</w:t>
            </w: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1st PEO</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2nd PEO</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PEO NEOs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1st PEO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2nd PEO</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PEO NEOs</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Calculate Actually Paid Amounts:</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Deductions for Stock Awards (from Summary</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Compensation Table)</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(615,500)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(32,500)</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Deduction for Option Awards (from Summary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Compensation Table)</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(1,042,934)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(384,240)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(36,290)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(199,595)</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9"/>
              </w:rPr>
              <w:t>Fair Value of Awards Granted during Current Year -</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Unvested</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250,685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44,636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423,000</w:t>
            </w:r>
          </w:p>
        </w:tc>
        <w:tc>
          <w:tcPr>
            <w:tcW w:w="100" w:type="dxa"/>
            <w:vAlign w:val="bottom"/>
          </w:tcPr>
          <w:p>
            <w:pPr>
              <w:spacing w:after="0"/>
              <w:rPr>
                <w:sz w:val="20"/>
                <w:szCs w:val="20"/>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Fair Value of Awards Granted during Current Year -</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20"/>
                <w:szCs w:val="20"/>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4"/>
              </w:rPr>
              <w:t>Change in Fair Value from Prior Years to Current Year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of Awards Granted in Prior Years - Unvested</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(151,994)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(473,643)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(90,218)</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Fair Value from Prior Year to Vesting Date in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 Year of Awards granted in Prior Years</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(98,148)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(8,288)</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Deduction for Fair Value of Awards granted in Prior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Years and Forfeited in Current Year</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(175,347)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Adjustments</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(962,312)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(700,365)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(1,187,581)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(301,826)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101,399</w:t>
            </w:r>
          </w:p>
        </w:tc>
        <w:tc>
          <w:tcPr>
            <w:tcW w:w="100" w:type="dxa"/>
            <w:vAlign w:val="bottom"/>
            <w:shd w:val="clear" w:color="auto" w:fill="CCEEFF"/>
          </w:tcPr>
          <w:p>
            <w:pPr>
              <w:spacing w:after="0"/>
              <w:rPr>
                <w:sz w:val="23"/>
                <w:szCs w:val="23"/>
                <w:color w:val="auto"/>
              </w:rPr>
            </w:pPr>
          </w:p>
        </w:tc>
      </w:tr>
      <w:tr>
        <w:trPr>
          <w:trHeight w:val="628"/>
        </w:trPr>
        <w:tc>
          <w:tcPr>
            <w:tcW w:w="4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Relationship Between Financial Performance Measures</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2021 and 2022. The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4826000" cy="5880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26000" cy="588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Compensation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sets forth the compensation of persons who served as non-employee members of our Board of Directors during the fiscal year ended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82"/>
              </w:rPr>
              <w:t>Fees</w:t>
            </w: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231F20"/>
                <w:w w:val="85"/>
              </w:rPr>
              <w:t>Stock</w:t>
            </w: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231F20"/>
                <w:w w:val="93"/>
              </w:rPr>
              <w:t>Option</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231F20"/>
                <w:w w:val="97"/>
              </w:rPr>
              <w:t>All 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231F20"/>
                <w:w w:val="92"/>
              </w:rPr>
              <w:t>Earned or</w:t>
            </w: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91"/>
              </w:rPr>
              <w:t>Paid in</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89"/>
              </w:rPr>
              <w:t>Awards</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89"/>
              </w:rPr>
              <w:t>Awards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7"/>
              </w:rPr>
              <w:t>Compensation</w:t>
            </w:r>
          </w:p>
        </w:tc>
        <w:tc>
          <w:tcPr>
            <w:tcW w:w="20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231F20"/>
              </w:rPr>
              <w:t>Total</w:t>
            </w:r>
          </w:p>
        </w:tc>
        <w:tc>
          <w:tcPr>
            <w:tcW w:w="0" w:type="dxa"/>
            <w:vAlign w:val="bottom"/>
          </w:tcPr>
          <w:p>
            <w:pPr>
              <w:spacing w:after="0"/>
              <w:rPr>
                <w:sz w:val="1"/>
                <w:szCs w:val="1"/>
                <w:color w:val="auto"/>
              </w:rPr>
            </w:pPr>
          </w:p>
        </w:tc>
      </w:tr>
      <w:tr>
        <w:trPr>
          <w:trHeight w:val="27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231F20"/>
              </w:rPr>
              <w:t>Name</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92"/>
              </w:rPr>
              <w:t>Cash ($)</w:t>
            </w:r>
          </w:p>
        </w:tc>
        <w:tc>
          <w:tcPr>
            <w:tcW w:w="240" w:type="dxa"/>
            <w:vAlign w:val="bottom"/>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231F20"/>
                <w:w w:val="83"/>
              </w:rPr>
              <w:t>($)</w:t>
            </w:r>
            <w:r>
              <w:rPr>
                <w:rFonts w:ascii="Arial" w:cs="Arial" w:eastAsia="Arial" w:hAnsi="Arial"/>
                <w:sz w:val="29"/>
                <w:szCs w:val="29"/>
                <w:b w:val="1"/>
                <w:bCs w:val="1"/>
                <w:color w:val="231F20"/>
                <w:w w:val="83"/>
                <w:vertAlign w:val="superscript"/>
              </w:rPr>
              <w:t>(1)</w:t>
            </w:r>
          </w:p>
        </w:tc>
        <w:tc>
          <w:tcPr>
            <w:tcW w:w="240" w:type="dxa"/>
            <w:vAlign w:val="bottom"/>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231F20"/>
                <w:w w:val="83"/>
              </w:rPr>
              <w:t>($)</w:t>
            </w:r>
            <w:r>
              <w:rPr>
                <w:rFonts w:ascii="Arial" w:cs="Arial" w:eastAsia="Arial" w:hAnsi="Arial"/>
                <w:sz w:val="29"/>
                <w:szCs w:val="29"/>
                <w:b w:val="1"/>
                <w:bCs w:val="1"/>
                <w:color w:val="231F20"/>
                <w:w w:val="83"/>
                <w:vertAlign w:val="superscript"/>
              </w:rPr>
              <w:t>(1)</w:t>
            </w:r>
          </w:p>
        </w:tc>
        <w:tc>
          <w:tcPr>
            <w:tcW w:w="240" w:type="dxa"/>
            <w:vAlign w:val="bottom"/>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231F20"/>
                <w:w w:val="83"/>
              </w:rPr>
              <w:t>($)</w:t>
            </w:r>
            <w:r>
              <w:rPr>
                <w:rFonts w:ascii="Arial" w:cs="Arial" w:eastAsia="Arial" w:hAnsi="Arial"/>
                <w:sz w:val="29"/>
                <w:szCs w:val="29"/>
                <w:b w:val="1"/>
                <w:bCs w:val="1"/>
                <w:color w:val="231F20"/>
                <w:w w:val="83"/>
                <w:vertAlign w:val="superscript"/>
              </w:rPr>
              <w:t>(6)</w:t>
            </w:r>
          </w:p>
        </w:tc>
        <w:tc>
          <w:tcPr>
            <w:tcW w:w="200" w:type="dxa"/>
            <w:vAlign w:val="bottom"/>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231F20"/>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Arial" w:cs="Arial" w:eastAsia="Arial" w:hAnsi="Arial"/>
                <w:sz w:val="17"/>
                <w:szCs w:val="17"/>
                <w:color w:val="231F20"/>
              </w:rPr>
              <w:t>Bruce T. Bernstein</w:t>
            </w:r>
            <w:r>
              <w:rPr>
                <w:rFonts w:ascii="Arial" w:cs="Arial" w:eastAsia="Arial" w:hAnsi="Arial"/>
                <w:sz w:val="28"/>
                <w:szCs w:val="28"/>
                <w:color w:val="231F20"/>
                <w:vertAlign w:val="superscript"/>
              </w:rPr>
              <w:t>(2)(6)</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231F20"/>
              </w:rPr>
              <w:t>190,000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80,000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34,022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424,022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line="270" w:lineRule="exact"/>
              <w:rPr>
                <w:sz w:val="20"/>
                <w:szCs w:val="20"/>
                <w:color w:val="auto"/>
              </w:rPr>
            </w:pPr>
            <w:r>
              <w:rPr>
                <w:rFonts w:ascii="Arial" w:cs="Arial" w:eastAsia="Arial" w:hAnsi="Arial"/>
                <w:sz w:val="18"/>
                <w:szCs w:val="18"/>
                <w:color w:val="231F20"/>
              </w:rPr>
              <w:t>Donald E. Stout</w:t>
            </w:r>
            <w:r>
              <w:rPr>
                <w:rFonts w:ascii="Arial" w:cs="Arial" w:eastAsia="Arial" w:hAnsi="Arial"/>
                <w:sz w:val="29"/>
                <w:szCs w:val="29"/>
                <w:color w:val="231F20"/>
                <w:vertAlign w:val="superscript"/>
              </w:rPr>
              <w:t>(3)</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231F20"/>
              </w:rPr>
              <w:t>56,000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231F20"/>
              </w:rPr>
              <w:t>40,000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231F20"/>
              </w:rPr>
              <w:t>17,011</w:t>
            </w:r>
          </w:p>
        </w:tc>
        <w:tc>
          <w:tcPr>
            <w:tcW w:w="1240" w:type="dxa"/>
            <w:vAlign w:val="bottom"/>
          </w:tcPr>
          <w:p>
            <w:pPr>
              <w:jc w:val="right"/>
              <w:spacing w:after="0"/>
              <w:rPr>
                <w:sz w:val="20"/>
                <w:szCs w:val="20"/>
                <w:color w:val="auto"/>
              </w:rPr>
            </w:pPr>
            <w:r>
              <w:rPr>
                <w:rFonts w:ascii="Arial" w:cs="Arial" w:eastAsia="Arial" w:hAnsi="Arial"/>
                <w:sz w:val="18"/>
                <w:szCs w:val="18"/>
                <w:color w:val="231F20"/>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231F20"/>
              </w:rPr>
              <w:t>127,011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231F20"/>
              </w:rPr>
              <w:t>Robert Weinstein</w:t>
            </w:r>
            <w:r>
              <w:rPr>
                <w:rFonts w:ascii="Arial" w:cs="Arial" w:eastAsia="Arial" w:hAnsi="Arial"/>
                <w:sz w:val="29"/>
                <w:szCs w:val="29"/>
                <w:color w:val="231F20"/>
                <w:vertAlign w:val="superscript"/>
              </w:rPr>
              <w:t>(4)</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231F20"/>
              </w:rPr>
              <w:t>76,000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40,000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17,011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177,011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3940" w:type="dxa"/>
            <w:vAlign w:val="bottom"/>
          </w:tcPr>
          <w:p>
            <w:pPr>
              <w:spacing w:after="0"/>
              <w:rPr>
                <w:sz w:val="20"/>
                <w:szCs w:val="20"/>
                <w:color w:val="auto"/>
              </w:rPr>
            </w:pPr>
            <w:r>
              <w:rPr>
                <w:rFonts w:ascii="Arial" w:cs="Arial" w:eastAsia="Arial" w:hAnsi="Arial"/>
                <w:sz w:val="18"/>
                <w:szCs w:val="18"/>
                <w:color w:val="231F20"/>
              </w:rPr>
              <w:t>Michael Lebowitz</w:t>
            </w:r>
            <w:r>
              <w:rPr>
                <w:rFonts w:ascii="Arial" w:cs="Arial" w:eastAsia="Arial" w:hAnsi="Arial"/>
                <w:sz w:val="29"/>
                <w:szCs w:val="29"/>
                <w:color w:val="231F20"/>
                <w:vertAlign w:val="superscript"/>
              </w:rPr>
              <w:t>(5)</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231F20"/>
              </w:rPr>
              <w:t>56,000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231F20"/>
              </w:rPr>
              <w:t>40,000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231F20"/>
              </w:rPr>
              <w:t>17,011</w:t>
            </w:r>
          </w:p>
        </w:tc>
        <w:tc>
          <w:tcPr>
            <w:tcW w:w="1240" w:type="dxa"/>
            <w:vAlign w:val="bottom"/>
          </w:tcPr>
          <w:p>
            <w:pPr>
              <w:jc w:val="right"/>
              <w:spacing w:after="0"/>
              <w:rPr>
                <w:sz w:val="20"/>
                <w:szCs w:val="20"/>
                <w:color w:val="auto"/>
              </w:rPr>
            </w:pPr>
            <w:r>
              <w:rPr>
                <w:rFonts w:ascii="Arial" w:cs="Arial" w:eastAsia="Arial" w:hAnsi="Arial"/>
                <w:sz w:val="18"/>
                <w:szCs w:val="18"/>
                <w:color w:val="231F20"/>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231F20"/>
              </w:rPr>
              <w:t>147,011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9" w:lineRule="exact"/>
        <w:rPr>
          <w:sz w:val="20"/>
          <w:szCs w:val="20"/>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 xml:space="preserve">Amounts represent the aggregate grant date fair value of the restricted stock units granted during the fiscal year computed in accordance with FASB ASC </w:t>
      </w:r>
      <w:r>
        <w:rPr>
          <w:rFonts w:ascii="Arial" w:cs="Arial" w:eastAsia="Arial" w:hAnsi="Arial"/>
          <w:sz w:val="18"/>
          <w:szCs w:val="18"/>
          <w:i w:val="1"/>
          <w:iCs w:val="1"/>
          <w:color w:val="231F20"/>
        </w:rPr>
        <w:t>Topic 718</w:t>
      </w:r>
      <w:r>
        <w:rPr>
          <w:rFonts w:ascii="Arial" w:cs="Arial" w:eastAsia="Arial" w:hAnsi="Arial"/>
          <w:sz w:val="18"/>
          <w:szCs w:val="18"/>
          <w:color w:val="231F20"/>
        </w:rPr>
        <w:t>. See Notes 2 and 15 to the consolidated financial statements disclosed in our Annual Report on Form 10-K, as amended, for the fiscal year ended December 31, 2022 for the assumptions made in the valuation of the equity awards.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26" w:name="page27"/>
    <w:bookmarkEnd w:id="26"/>
    <w:p>
      <w:pPr>
        <w:ind w:left="300" w:hanging="292"/>
        <w:spacing w:after="0"/>
        <w:tabs>
          <w:tab w:leader="none" w:pos="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As of December 31, 2022, Mr. Bernstein held 250,282 unexercised options.</w:t>
      </w:r>
    </w:p>
    <w:p>
      <w:pPr>
        <w:spacing w:after="0" w:line="225" w:lineRule="exact"/>
        <w:rPr>
          <w:rFonts w:ascii="Arial" w:cs="Arial" w:eastAsia="Arial" w:hAnsi="Arial"/>
          <w:sz w:val="18"/>
          <w:szCs w:val="18"/>
          <w:color w:val="231F20"/>
        </w:rPr>
      </w:pPr>
    </w:p>
    <w:p>
      <w:pPr>
        <w:ind w:left="300" w:hanging="292"/>
        <w:spacing w:after="0"/>
        <w:tabs>
          <w:tab w:leader="none" w:pos="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As of December 31, 2022, Mr. Stout held 153,619 unexercised options.</w:t>
      </w:r>
    </w:p>
    <w:p>
      <w:pPr>
        <w:spacing w:after="0" w:line="225" w:lineRule="exact"/>
        <w:rPr>
          <w:rFonts w:ascii="Arial" w:cs="Arial" w:eastAsia="Arial" w:hAnsi="Arial"/>
          <w:sz w:val="18"/>
          <w:szCs w:val="18"/>
          <w:color w:val="231F20"/>
        </w:rPr>
      </w:pPr>
    </w:p>
    <w:p>
      <w:pPr>
        <w:ind w:left="300" w:hanging="292"/>
        <w:spacing w:after="0"/>
        <w:tabs>
          <w:tab w:leader="none" w:pos="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As of December 31, 2022, Mr. Weinstein held 151,619 unexercised options.</w:t>
      </w:r>
    </w:p>
    <w:p>
      <w:pPr>
        <w:spacing w:after="0" w:line="225" w:lineRule="exact"/>
        <w:rPr>
          <w:rFonts w:ascii="Arial" w:cs="Arial" w:eastAsia="Arial" w:hAnsi="Arial"/>
          <w:sz w:val="18"/>
          <w:szCs w:val="18"/>
          <w:color w:val="231F20"/>
        </w:rPr>
      </w:pPr>
    </w:p>
    <w:p>
      <w:pPr>
        <w:ind w:left="300" w:hanging="292"/>
        <w:spacing w:after="0"/>
        <w:tabs>
          <w:tab w:leader="none" w:pos="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As of December 31, 2022, Mr. Lebowitz held 139,952 unexercised options.</w:t>
      </w:r>
    </w:p>
    <w:p>
      <w:pPr>
        <w:spacing w:after="0" w:line="225" w:lineRule="exact"/>
        <w:rPr>
          <w:rFonts w:ascii="Arial" w:cs="Arial" w:eastAsia="Arial" w:hAnsi="Arial"/>
          <w:sz w:val="18"/>
          <w:szCs w:val="18"/>
          <w:color w:val="231F20"/>
        </w:rPr>
      </w:pPr>
    </w:p>
    <w:p>
      <w:pPr>
        <w:ind w:left="300" w:hanging="292"/>
        <w:spacing w:after="0"/>
        <w:tabs>
          <w:tab w:leader="none" w:pos="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Consists of $120,000 in cash paid in respect of XpresTest board services (as described below).</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At various times during 2022, the Board and the Compensation Committee of the Board of Directors engaged StreeterWyatt Analytics, an independent third-party compensation analyst, to evaluate and make recommendations regarding the compensation paid to our directors.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January 2022, the Board requested and received analysis and evaluation from StreeterWyatt Analytics regarding the Company’s compensation structure. Based on its review, the Compensation Committee recommended, and the full Board approved, a new director compensation program effective for fiscal year 2022:</w:t>
      </w:r>
    </w:p>
    <w:p>
      <w:pPr>
        <w:spacing w:after="0" w:line="1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For the Chairman of the Board: $350,000 per year, consisting of:</w:t>
      </w:r>
    </w:p>
    <w:p>
      <w:pPr>
        <w:spacing w:after="0" w:line="225" w:lineRule="exact"/>
        <w:rPr>
          <w:rFonts w:ascii="Arial" w:cs="Arial" w:eastAsia="Arial" w:hAnsi="Arial"/>
          <w:sz w:val="18"/>
          <w:szCs w:val="18"/>
          <w:color w:val="231F20"/>
        </w:rPr>
      </w:pPr>
    </w:p>
    <w:p>
      <w:pPr>
        <w:ind w:left="660"/>
        <w:spacing w:after="0"/>
        <w:rPr>
          <w:rFonts w:ascii="Arial" w:cs="Arial" w:eastAsia="Arial" w:hAnsi="Arial"/>
          <w:sz w:val="18"/>
          <w:szCs w:val="18"/>
          <w:color w:val="231F20"/>
        </w:rPr>
      </w:pPr>
      <w:r>
        <w:rPr>
          <w:rFonts w:ascii="Arial" w:cs="Arial" w:eastAsia="Arial" w:hAnsi="Arial"/>
          <w:sz w:val="18"/>
          <w:szCs w:val="18"/>
          <w:color w:val="231F20"/>
        </w:rPr>
        <w:t>o   $150,000 in cash; and</w:t>
      </w:r>
    </w:p>
    <w:p>
      <w:pPr>
        <w:spacing w:after="0" w:line="23" w:lineRule="exact"/>
        <w:rPr>
          <w:rFonts w:ascii="Arial" w:cs="Arial" w:eastAsia="Arial" w:hAnsi="Arial"/>
          <w:sz w:val="18"/>
          <w:szCs w:val="18"/>
          <w:color w:val="231F20"/>
        </w:rPr>
      </w:pPr>
    </w:p>
    <w:p>
      <w:pPr>
        <w:ind w:left="980" w:hanging="324"/>
        <w:spacing w:after="0" w:line="255" w:lineRule="auto"/>
        <w:rPr>
          <w:rFonts w:ascii="Arial" w:cs="Arial" w:eastAsia="Arial" w:hAnsi="Arial"/>
          <w:sz w:val="18"/>
          <w:szCs w:val="18"/>
          <w:color w:val="231F20"/>
        </w:rPr>
      </w:pPr>
      <w:r>
        <w:rPr>
          <w:rFonts w:ascii="Arial" w:cs="Arial" w:eastAsia="Arial" w:hAnsi="Arial"/>
          <w:sz w:val="18"/>
          <w:szCs w:val="18"/>
          <w:color w:val="231F20"/>
        </w:rPr>
        <w:t>o 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189"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For the other non-employee Directors: $170,000 per year, consisting of</w:t>
      </w:r>
    </w:p>
    <w:p>
      <w:pPr>
        <w:spacing w:after="0" w:line="225" w:lineRule="exact"/>
        <w:rPr>
          <w:rFonts w:ascii="Arial" w:cs="Arial" w:eastAsia="Arial" w:hAnsi="Arial"/>
          <w:sz w:val="18"/>
          <w:szCs w:val="18"/>
          <w:color w:val="231F20"/>
        </w:rPr>
      </w:pPr>
    </w:p>
    <w:p>
      <w:pPr>
        <w:ind w:left="660"/>
        <w:spacing w:after="0"/>
        <w:rPr>
          <w:rFonts w:ascii="Arial" w:cs="Arial" w:eastAsia="Arial" w:hAnsi="Arial"/>
          <w:sz w:val="18"/>
          <w:szCs w:val="18"/>
          <w:color w:val="231F20"/>
        </w:rPr>
      </w:pPr>
      <w:r>
        <w:rPr>
          <w:rFonts w:ascii="Arial" w:cs="Arial" w:eastAsia="Arial" w:hAnsi="Arial"/>
          <w:sz w:val="18"/>
          <w:szCs w:val="18"/>
          <w:color w:val="231F20"/>
        </w:rPr>
        <w:t>o   $70,000 in cash; and</w:t>
      </w:r>
    </w:p>
    <w:p>
      <w:pPr>
        <w:spacing w:after="0" w:line="23" w:lineRule="exact"/>
        <w:rPr>
          <w:rFonts w:ascii="Arial" w:cs="Arial" w:eastAsia="Arial" w:hAnsi="Arial"/>
          <w:sz w:val="18"/>
          <w:szCs w:val="18"/>
          <w:color w:val="231F20"/>
        </w:rPr>
      </w:pPr>
    </w:p>
    <w:p>
      <w:pPr>
        <w:ind w:left="980" w:hanging="324"/>
        <w:spacing w:after="0" w:line="255" w:lineRule="auto"/>
        <w:rPr>
          <w:rFonts w:ascii="Arial" w:cs="Arial" w:eastAsia="Arial" w:hAnsi="Arial"/>
          <w:sz w:val="18"/>
          <w:szCs w:val="18"/>
          <w:color w:val="231F20"/>
        </w:rPr>
      </w:pPr>
      <w:r>
        <w:rPr>
          <w:rFonts w:ascii="Arial" w:cs="Arial" w:eastAsia="Arial" w:hAnsi="Arial"/>
          <w:sz w:val="18"/>
          <w:szCs w:val="18"/>
          <w:color w:val="231F20"/>
        </w:rPr>
        <w:t>o 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pacing w:after="0" w:line="189"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following additional cash payments:</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$30,000 in cash to the Chairman of the Audit Committee.</w:t>
      </w:r>
    </w:p>
    <w:p>
      <w:pPr>
        <w:spacing w:after="0" w:line="23" w:lineRule="exact"/>
        <w:rPr>
          <w:rFonts w:ascii="Arial" w:cs="Arial" w:eastAsia="Arial" w:hAnsi="Arial"/>
          <w:sz w:val="18"/>
          <w:szCs w:val="18"/>
          <w:color w:val="231F20"/>
        </w:rPr>
      </w:pPr>
    </w:p>
    <w:p>
      <w:pPr>
        <w:ind w:left="980" w:hanging="324"/>
        <w:spacing w:after="0"/>
        <w:tabs>
          <w:tab w:leader="none" w:pos="9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$20,000 in cash to the Chairman of the Compensation Committee.</w:t>
      </w:r>
    </w:p>
    <w:p>
      <w:pPr>
        <w:spacing w:after="0" w:line="9" w:lineRule="exact"/>
        <w:rPr>
          <w:rFonts w:ascii="Arial" w:cs="Arial" w:eastAsia="Arial" w:hAnsi="Arial"/>
          <w:sz w:val="18"/>
          <w:szCs w:val="18"/>
          <w:color w:val="231F20"/>
        </w:rPr>
      </w:pPr>
    </w:p>
    <w:p>
      <w:pPr>
        <w:ind w:left="980" w:hanging="324"/>
        <w:spacing w:after="0"/>
        <w:tabs>
          <w:tab w:leader="none" w:pos="9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$20,000 in cash to each member of the Strategic Affairs Committee.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We reimburse our directors for reasonable out-of-pocket expenses incurred in connection with attendance and participation in Board and committee meetings (including costs of travel, food and lodging).</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In addition, Mr. Bernstein received $120,000 in cash compensation in fiscal 2022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and Nasdaq listing rules, as such compensation represents fees for such XpresTest board services.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231F20"/>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provides certain aggregate information, as of December 31, 2022 with respect to all of our equity compensation plans then in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7"/>
              </w:rPr>
              <w:t>No. of securities</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90"/>
              </w:rPr>
              <w:t>remaining</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93"/>
              </w:rPr>
              <w:t>available for</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31F20"/>
                <w:w w:val="87"/>
              </w:rPr>
              <w:t>future issuance</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7"/>
              </w:rPr>
              <w:t>No. of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90"/>
              </w:rPr>
              <w:t>under equity</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5"/>
              </w:rPr>
              <w:t>to be issued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231F20"/>
                <w:w w:val="91"/>
              </w:rPr>
              <w:t>Weighted-</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6"/>
              </w:rPr>
              <w:t>compensation</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6"/>
              </w:rPr>
              <w:t>upon</w:t>
            </w: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231F20"/>
                <w:w w:val="85"/>
              </w:rPr>
              <w:t>average exercise</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9"/>
              </w:rPr>
              <w:t>plans</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7"/>
              </w:rPr>
              <w:t>exercise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231F20"/>
                <w:w w:val="92"/>
              </w:rPr>
              <w:t>price of</w:t>
            </w:r>
          </w:p>
        </w:tc>
        <w:tc>
          <w:tcPr>
            <w:tcW w:w="2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31F20"/>
                <w:w w:val="88"/>
              </w:rPr>
              <w:t>(excluding</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7"/>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231F20"/>
                <w:w w:val="89"/>
              </w:rPr>
              <w:t>outstanding</w:t>
            </w:r>
          </w:p>
        </w:tc>
        <w:tc>
          <w:tcPr>
            <w:tcW w:w="2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31F20"/>
                <w:w w:val="85"/>
              </w:rPr>
              <w:t>securities</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88"/>
              </w:rPr>
              <w:t>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231F20"/>
                <w:w w:val="85"/>
              </w:rPr>
              <w:t>options,</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9"/>
              </w:rPr>
              <w:t>reflected in</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231F20"/>
                <w:w w:val="91"/>
              </w:rPr>
              <w:t>warrants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231F20"/>
                <w:w w:val="93"/>
              </w:rPr>
              <w:t>warrants</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93"/>
              </w:rPr>
              <w:t>the first</w:t>
            </w:r>
          </w:p>
        </w:tc>
        <w:tc>
          <w:tcPr>
            <w:tcW w:w="0" w:type="dxa"/>
            <w:vAlign w:val="bottom"/>
          </w:tcPr>
          <w:p>
            <w:pPr>
              <w:spacing w:after="0"/>
              <w:rPr>
                <w:sz w:val="1"/>
                <w:szCs w:val="1"/>
                <w:color w:val="auto"/>
              </w:rPr>
            </w:pPr>
          </w:p>
        </w:tc>
      </w:tr>
      <w:tr>
        <w:trPr>
          <w:trHeight w:val="234"/>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231F20"/>
              </w:rPr>
              <w:t>Plan Category</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91"/>
              </w:rPr>
              <w:t>rights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231F20"/>
                <w:w w:val="91"/>
              </w:rPr>
              <w:t>and rights ($)</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88"/>
              </w:rPr>
              <w:t>column)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6840" w:type="dxa"/>
            <w:vAlign w:val="bottom"/>
            <w:shd w:val="clear" w:color="auto" w:fill="CCEEFF"/>
          </w:tcPr>
          <w:p>
            <w:pPr>
              <w:jc w:val="right"/>
              <w:ind w:right="2124"/>
              <w:spacing w:after="0" w:line="123" w:lineRule="exact"/>
              <w:rPr>
                <w:sz w:val="20"/>
                <w:szCs w:val="20"/>
                <w:color w:val="auto"/>
              </w:rPr>
            </w:pPr>
            <w:r>
              <w:rPr>
                <w:rFonts w:ascii="Arial" w:cs="Arial" w:eastAsia="Arial" w:hAnsi="Arial"/>
                <w:sz w:val="14"/>
                <w:szCs w:val="14"/>
                <w:color w:val="231F20"/>
              </w:rPr>
              <w:t>(1)</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231F20"/>
              </w:rPr>
              <w:t>5,111,279</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231F20"/>
              </w:rPr>
              <w:t>7,396,691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3"/>
                <w:szCs w:val="13"/>
                <w:color w:val="231F20"/>
              </w:rPr>
              <w:t>Total equity compensation plans approved by security holders</w:t>
            </w:r>
          </w:p>
        </w:tc>
        <w:tc>
          <w:tcPr>
            <w:tcW w:w="134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301" w:lineRule="auto"/>
        <w:tabs>
          <w:tab w:leader="none" w:pos="340" w:val="left"/>
        </w:tabs>
        <w:numPr>
          <w:ilvl w:val="0"/>
          <w:numId w:val="26"/>
        </w:numPr>
        <w:rPr>
          <w:rFonts w:ascii="Arial" w:cs="Arial" w:eastAsia="Arial" w:hAnsi="Arial"/>
          <w:sz w:val="16"/>
          <w:szCs w:val="16"/>
          <w:color w:val="231F20"/>
        </w:rPr>
      </w:pPr>
      <w:r>
        <w:rPr>
          <w:rFonts w:ascii="Arial" w:cs="Arial" w:eastAsia="Arial" w:hAnsi="Arial"/>
          <w:sz w:val="16"/>
          <w:szCs w:val="16"/>
          <w:color w:val="231F20"/>
        </w:rPr>
        <w:t> 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7,500,000 shares of Common Stock to an aggregate of 12,500,000 shares. Under the 2020 Equity Incentive Plan (the “2020 Plan”), a maximum of 7,396,691 shares of Common Stock remained available for issuance as of December 31,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231F20"/>
        </w:rPr>
        <w:t>REPORT OF AUDIT COMMITTEE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Audit Committee of the Board of Directors, which consists entirely of directors who meet the independence and experience requirements of The Nasdaq Capital Market, has furnished the following report:</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8"/>
          <w:szCs w:val="18"/>
          <w:i w:val="1"/>
          <w:iCs w:val="1"/>
          <w:color w:val="231F20"/>
        </w:rPr>
        <w:t>www.xwell.com/corporate-governance</w:t>
      </w:r>
      <w:r>
        <w:rPr>
          <w:rFonts w:ascii="Arial" w:cs="Arial" w:eastAsia="Arial" w:hAnsi="Arial"/>
          <w:sz w:val="18"/>
          <w:szCs w:val="18"/>
          <w:b w:val="1"/>
          <w:bCs w:val="1"/>
          <w:color w:val="231F20"/>
        </w:rPr>
        <w:t>.</w:t>
      </w:r>
      <w:r>
        <w:rPr>
          <w:rFonts w:ascii="Arial" w:cs="Arial" w:eastAsia="Arial" w:hAnsi="Arial"/>
          <w:sz w:val="18"/>
          <w:szCs w:val="18"/>
          <w:color w:val="231F20"/>
        </w:rPr>
        <w:t xml:space="preserve">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2022, the Audit Committee took the following actions:</w:t>
      </w:r>
    </w:p>
    <w:p>
      <w:pPr>
        <w:spacing w:after="0" w:line="195"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Reviewed and discussed the audited financial statements for the fiscal year ended December 31, 2022 with management and Marcum LLP, our independent registered public accounting firm;</w:t>
      </w:r>
    </w:p>
    <w:p>
      <w:pPr>
        <w:spacing w:after="0" w:line="170"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Discussed with Marcum LLP the matters required to be discussed by the applicable requirements of the Public Company Accounting Oversight Board (“PCAOB”) and the Securities and Exchange Commission (the “SEC”); and</w:t>
      </w:r>
    </w:p>
    <w:p>
      <w:pPr>
        <w:spacing w:after="0" w:line="170" w:lineRule="exact"/>
        <w:rPr>
          <w:rFonts w:ascii="Arial" w:cs="Arial" w:eastAsia="Arial" w:hAnsi="Arial"/>
          <w:sz w:val="18"/>
          <w:szCs w:val="18"/>
          <w:color w:val="231F20"/>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Received written disclosures and the letter from Marcum LLP regarding its independence as required by applicable requirements of the PCAOB regarding Marcum LLP communications with the Audit Committee and the Audit Committee further discussed with Marcum LLP their independence. The Audit Committee also considered the status of pending litigation, taxation matters and other areas of oversight relating to the financial reporting and audit process that the committee determined appropriate.</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Based on the Audit Committee’s review of the audited financial statements and discussions with management and Marcum LLP, the Audit Committee recommended to the Board of Directors that the audited financial statements be included in our Annual Report on Form 10-K, as amended, for the fiscal year ended December 31, 2022 for filing with the SEC.</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Members of the XWELL, Inc. Audit Committee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Robert Weinstein (Chairman)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Bruce T. Bernstein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Donald E. Stout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231F20"/>
        </w:rPr>
        <w:t>DELINQUENT SECTION 16(a) REPORTS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Our records reflect that all reports which were required to be filed pursuant to Section 16(a) of the Securities Exchange Act of 1934, as amended, were filed on a timely basis, except that each of Bruce T. Bernstein, Michael Lebowitz, Donald E. Stout and Robert Weinstein, directors, filed one Form 4 reporting receipt of equity grants one business day late.</w:t>
      </w:r>
    </w:p>
    <w:p>
      <w:pPr>
        <w:spacing w:after="0" w:line="18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231F20"/>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Related Person Transactions Approval Policy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Transactions with Related Persons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Independence and Committee Qualifications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231F20"/>
        </w:rPr>
        <w:t>PROPOSAL 1: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(Notice Item 1)</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Board of Directors nominated Scott R. Milford, Bruce T. Bernstein, Robert Weinstein, Donald E. Stout, and Michael Lebowitz for election as directors by the holders of common stock at the annual meeting. If they are elected, they will serve on our Board of Directors until the 2024 annual meeting of stockholders and until their respective successors have been elected and qualified.</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Unless authority to vote for any of these nominees is withheld, the shares represented by proxies solicited by the Board will be voted FOR the election as directors of each of Scott R. Milford, Bruce T. Bernstein, Robert Weinstein, Donald E. Stout, and Michael Lebowitz. In the event that any nominee becomes unable or unwilling to serve, the shares represented by proxies solicited by the Board will be voted for the election of such other person as the Board of Directors may recommend in that nominee’s place. We have no reason to believe that any nominee will be unable or unwilling to serve as a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 and Board of Directors’ Recommendation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five nominees for director who receive the most votes (also known as a “plurality” of the votes cast) will be elected.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231F20"/>
        </w:rPr>
        <w:t>THE BOARD OF DIRECTORS RECOMMENDS A VOTE “FOR” THE ELECTION OF EACH OF SCOTT R. MILFORD, BRUCE T. BERNSTEIN, ROBERT WEINSTEIN, DONALD E. STOUT AND MICHAEL LEBOWITZ AS DIRECTORS, AND PROXIES SOLICITED BY THE BOARD WILL BE VOTED IN FAVOR THEREOF UNLESS A STOCKHOLDER HAS INDICATED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231F20"/>
        </w:rPr>
        <w:t>PROPOSAL 2: RATIFICATION OF APPOINTMENT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(Notice Item 2)</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On May 4, 2020, we approved the engagement of Friedman LLP (“Friedman”) as our independent registered public accounting firm for the fiscal year ended December 31, 2020. We continued to engage Friedman as our independent registered public accounting firm for the fiscal years ended December 31, 2022 and 2021. This selection was ratified by our stockholders at the 2020, 2021 and 2022 annual meetings held on October 8, 2020, September 30, 2021 and October 4, 2022, respectively. In deciding to select Friedman, the Audit Committee carefully considered the qualifications of Friedman, including their reputation for integrity, quality, and competence in the fields of accounting and auditing. Effective September 1, 2022, Friedman combined with Marcum LLP (“Marcum”), and Marcum became our Auditors as of October 4, 2022, following the approval of their engagement by our Audit Committee. Further, the Audit Committee reviewed auditor independence issues and existing commercial relationships with Marcum and Friedman. The Audit Committee concluded that independence of Marcum and Friedman was not impaired for the fiscal years ended December 31, 2022, and 2021. For the fiscal years ended December 31, 2022, and 2021, we incurred the following fees for the services of Marcum and Friedman:</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231F20"/>
        </w:rPr>
        <w:t>Friedman/Marcum:</w:t>
      </w:r>
    </w:p>
    <w:p>
      <w:pPr>
        <w:ind w:left="560"/>
        <w:spacing w:after="0" w:line="216" w:lineRule="auto"/>
        <w:rPr>
          <w:sz w:val="20"/>
          <w:szCs w:val="20"/>
          <w:color w:val="auto"/>
        </w:rPr>
      </w:pPr>
      <w:r>
        <w:rPr>
          <w:rFonts w:ascii="Arial" w:cs="Arial" w:eastAsia="Arial" w:hAnsi="Arial"/>
          <w:sz w:val="18"/>
          <w:szCs w:val="18"/>
          <w:color w:val="231F20"/>
        </w:rPr>
        <w:t>Audit fees</w:t>
      </w:r>
      <w:r>
        <w:rPr>
          <w:rFonts w:ascii="Arial" w:cs="Arial" w:eastAsia="Arial" w:hAnsi="Arial"/>
          <w:sz w:val="29"/>
          <w:szCs w:val="29"/>
          <w:color w:val="231F20"/>
          <w:vertAlign w:val="superscript"/>
        </w:rPr>
        <w:t>(1)</w:t>
      </w:r>
    </w:p>
    <w:p>
      <w:pPr>
        <w:ind w:left="560"/>
        <w:spacing w:after="0" w:line="221" w:lineRule="auto"/>
        <w:rPr>
          <w:sz w:val="20"/>
          <w:szCs w:val="20"/>
          <w:color w:val="auto"/>
        </w:rPr>
      </w:pPr>
      <w:r>
        <w:rPr>
          <w:rFonts w:ascii="Arial" w:cs="Arial" w:eastAsia="Arial" w:hAnsi="Arial"/>
          <w:sz w:val="16"/>
          <w:szCs w:val="16"/>
          <w:color w:val="231F20"/>
        </w:rPr>
        <w:t>Audit-related fees</w:t>
      </w:r>
      <w:r>
        <w:rPr>
          <w:rFonts w:ascii="Arial" w:cs="Arial" w:eastAsia="Arial" w:hAnsi="Arial"/>
          <w:sz w:val="26"/>
          <w:szCs w:val="26"/>
          <w:color w:val="231F20"/>
          <w:vertAlign w:val="superscript"/>
        </w:rPr>
        <w:t>(2)</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231F20"/>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783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31F20"/>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31F20"/>
              </w:rPr>
              <w:t>2021</w:t>
            </w:r>
          </w:p>
        </w:tc>
      </w:tr>
      <w:tr>
        <w:trPr>
          <w:trHeight w:val="466"/>
        </w:trPr>
        <w:tc>
          <w:tcPr>
            <w:tcW w:w="240" w:type="dxa"/>
            <w:vAlign w:val="bottom"/>
          </w:tcPr>
          <w:p>
            <w:pPr>
              <w:jc w:val="right"/>
              <w:ind w:right="50"/>
              <w:spacing w:after="0"/>
              <w:rPr>
                <w:sz w:val="20"/>
                <w:szCs w:val="20"/>
                <w:color w:val="auto"/>
              </w:rPr>
            </w:pPr>
            <w:r>
              <w:rPr>
                <w:rFonts w:ascii="Arial" w:cs="Arial" w:eastAsia="Arial" w:hAnsi="Arial"/>
                <w:sz w:val="18"/>
                <w:szCs w:val="18"/>
                <w:color w:val="231F20"/>
                <w:w w:val="79"/>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410,025</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268,957</w:t>
            </w:r>
          </w:p>
        </w:tc>
      </w:tr>
      <w:tr>
        <w:trPr>
          <w:trHeight w:val="283"/>
        </w:trPr>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80,242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107,492</w:t>
            </w:r>
          </w:p>
        </w:tc>
      </w:tr>
      <w:tr>
        <w:trPr>
          <w:trHeight w:val="209"/>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490,267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231F20"/>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376,449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-642620</wp:posOffset>
            </wp:positionV>
            <wp:extent cx="641223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-334010</wp:posOffset>
            </wp:positionV>
            <wp:extent cx="641223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904" w:right="339" w:bottom="1440" w:gutter="0" w:footer="0" w:header="0"/>
          <w:type w:val="continuous"/>
        </w:sectPr>
      </w:pPr>
    </w:p>
    <w:p>
      <w:pPr>
        <w:spacing w:after="0" w:line="29" w:lineRule="exact"/>
        <w:rPr>
          <w:sz w:val="20"/>
          <w:szCs w:val="20"/>
          <w:color w:val="auto"/>
        </w:rPr>
      </w:pPr>
    </w:p>
    <w:p>
      <w:pPr>
        <w:ind w:left="340" w:hanging="332"/>
        <w:spacing w:after="0" w:line="291" w:lineRule="auto"/>
        <w:tabs>
          <w:tab w:leader="none" w:pos="340"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ind w:left="340" w:hanging="332"/>
        <w:spacing w:after="0"/>
        <w:tabs>
          <w:tab w:leader="none" w:pos="3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Audit-related fees for includes fees for benefit plan audits and lease compliance audits.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Pre-Approval of Audit and Non-Audit Services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 and Board of Directors’ Recommendation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The Audit Committee has appointed Marcum LLP as our independent registered public accounting firm for the fiscal year ending December 31, 2023. The affirmative vote of the holders of a majority of the shares of common stock present and entitled to vote on the matter either in person or by proxy at the annual meeting is required to ratify the appointment of Marcum as our independent registered public accounting firm for the fiscal year ending December 31, 2023.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Marcum as our independent registered public accounting firm for 2023, our Audit Committee of our Board of Directors will reconsider its selection.</w:t>
      </w:r>
    </w:p>
    <w:p>
      <w:pPr>
        <w:spacing w:after="0" w:line="18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231F20"/>
        </w:rPr>
        <w:t>THE BOARD OF DIRECTORS RECOMMENDS A VOTE “FOR” RATIFICATION OF THE APPOINTMENT OF MARCUM LLP AS OUR INDEPENDENT REGISTERED PUBLIC ACCOUNTING FIRM, AND PROXIES SOLICITED BY THE BOARD OF DIRECTORS WILL BE VOTED IN FAVOR OF SUCH RATIFICATION UNLESS A STOCKHOLDER INDICATES OTHERWISE ON THE PROXY.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231F20"/>
        </w:rPr>
        <w:t>PROPOSAL 3: REVERSE STOCK SPLIT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(Notice Item 3)</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Board of Directors has approved and recommended that our stockholders approve an amendment to the Company’s Amended and Restated Certificate of Incorporation (in this section, the “Charter”) to effect a reverse stock split of the Company’s shares of Common Stock (the “Reverse Stock Split”) at a ratio within a range of 1:8 to 1:20 (the “Ratio Range”), with the exact reverse split ratio to be decided and publicly announced by the Board of Directors prior to the effective time of the Reverse Stock Split.</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 xml:space="preserve">On July 10, 2023, the Board of Directors unanimously adopted a resolution approving the Reverse Stock Split and directing that it be submitted to our stockholders for approval. If this proposal is approved, the Board of Directors, or a committee of the Board of Directors, in its sole discretion, will have the authority to decide, within 12 months from the Annual Meeting, whether to implement the Reverse Stock Split and the exact ratio of the split within the Ratio Range, if it is to be implemented. If the Board of Directors or a committee of the Board of Directors decides to implement the Reverse Stock Split, then it will become effective at the time specified in the amendment to our Charter filed with the Secretary of State of the State of Delaware (the “Effective Date”). If the Reverse Stock Split is implemented, then the number of issued and outstanding shares of Common Stock or shares of Common Stock held by the Company as treasury stock would be reduced in accordance with the exchange ratio selected by the Board of Directors, or a committee of the Board of Directors, within the Ratio Range. The total number of authorized shares of Common Stock, however, would remain unchanged following the Reverse Stock Split. The form of certificate of amendment to the Charter to effect the Reverse Stock Split is attached as </w:t>
      </w:r>
      <w:r>
        <w:rPr>
          <w:rFonts w:ascii="Arial" w:cs="Arial" w:eastAsia="Arial" w:hAnsi="Arial"/>
          <w:sz w:val="16"/>
          <w:szCs w:val="16"/>
          <w:u w:val="single" w:color="auto"/>
          <w:color w:val="231F20"/>
        </w:rPr>
        <w:t>Appendix A</w:t>
      </w:r>
      <w:r>
        <w:rPr>
          <w:rFonts w:ascii="Arial" w:cs="Arial" w:eastAsia="Arial" w:hAnsi="Arial"/>
          <w:sz w:val="16"/>
          <w:szCs w:val="16"/>
          <w:color w:val="231F20"/>
        </w:rPr>
        <w:t xml:space="preserve"> to this proxy statement.</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Board of Directors, in its sole discretion, may elect not to implement the Reverse Stock Split. However, the Board of Directors believes that having the time-limited authority to take such an action is an important proactive step to maintain and build stockholder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Purpose and Background of the Reverse Stock Split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Board of Directors’ primary objectives in proposing the Reverse Stock Split are to raise the per share trading price of the Common Stock and to increase the number of shares of authorized but unissued Common Stock. The Board of Directors believes that the Reverse Stock Split would, among other things, (a) be an effective tool to enable the Company to maintain the listing of its Common Stock on the Nasdaq, (b) better enable the Company to raise funds to finance its planned operations, and (c) facilitate higher levels of institutional stock ownership, where investment policies generally prohibit investments in lower- priced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Nasdaq Requirements for Continued Listing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Our Common Stock is listed on The Nasdaq Capital Market under the symbol “XWEL.” One of the requirements for continued listing on The Nasdaq Capital Market is maintenance of a minimum closing bid price of $1.00. On July 13, 2023, the closing market price per share of our Common Stock was $0.27, as reported by the Nasdaq Capital Market.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On October 28, 2022, we received a written notification from the Listing Qualifications Department of Nasdaq notifying us that the closing bid price for our common stock had been below $1.00 for 30 consecutive business days and that we therefore were not in compliance with the minimum bid price requirement for continued inclusion on The Nasdaq Capital Market under Nasdaq Listing Rule 5550(a)(2) (the “Bid Price Requirement”). We were provided 180 calendar days, or until April 26, 2023, to regain compliance with the Bid Price Requirement.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On April 27, 2023, we received an extension of 180 calendar days from Nasdaq to regain compliance with the Bid Price Requirement, following the expiration of the initial 180 calendar days period to regain compliance. According to the notification from Nasdaq, the determination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stock-split, if necessary.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As a result of the extension, we now have until October 23, 2023, to regain compliance with the Bid Price Requirement. If at any time before October 23, 2023, the bid price of our common shares closes at or above $1.00 per share for a minimum of ten consecutive business days, Nasdaq will provide us with written notification that we have achieved compliance with the Bid Price Requirement. If we choose to implement a reverse stock split to regain compliance, it must be completed no later than ten business days prior to the expiration of the additional 180 calendar day period in order to timely regain compliance.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324"/>
        <w:spacing w:after="0" w:line="286" w:lineRule="auto"/>
        <w:rPr>
          <w:sz w:val="20"/>
          <w:szCs w:val="20"/>
          <w:color w:val="auto"/>
        </w:rPr>
      </w:pPr>
      <w:r>
        <w:rPr>
          <w:rFonts w:ascii="Arial" w:cs="Arial" w:eastAsia="Arial" w:hAnsi="Arial"/>
          <w:sz w:val="17"/>
          <w:szCs w:val="17"/>
          <w:color w:val="231F20"/>
        </w:rPr>
        <w:t>If we do not regain compliance with the Bid Price Requirement by October 23, 2023, Nasdaq will provide written notification to us that its shares will be subject to delisting. At such time, we may appeal the delisting determination to a Nasdaq Hearings Panel. We would remain listed pending the Panel’s decision. There can be no assurance that, if we do appeal a subsequent delisting determination, such appeal would be successful.</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plan to regain compliance with the Nasdaq Listing rules includes effecting the reverse stock split for which we are seeking stockholder approval in this Proposal 3. We cannot assure you that our share price will comply with the requirements for continued listing of our common shares on The Nasdaq Capital Market in the future or that we will comply with the other continued listing requirements. If our Common Stock loses its listing on The Nasdaq Capital Market, our Common Stock would likely trade in the over-the- counter market.</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231F20"/>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231F20"/>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 See “</w:t>
      </w:r>
      <w:r>
        <w:rPr>
          <w:rFonts w:ascii="Arial" w:cs="Arial" w:eastAsia="Arial" w:hAnsi="Arial"/>
          <w:sz w:val="16"/>
          <w:szCs w:val="16"/>
          <w:i w:val="1"/>
          <w:iCs w:val="1"/>
          <w:color w:val="231F20"/>
        </w:rPr>
        <w:t>Certain Risk Factors Associated with the Reverse Stock Split or Nasdaq Delisting— Nasdaq may delist the</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Company’s Common Stock, which could seriously harm the liquidity of the Common Stock and the Company’s ability to raise capital” </w:t>
      </w:r>
      <w:r>
        <w:rPr>
          <w:rFonts w:ascii="Arial" w:cs="Arial" w:eastAsia="Arial" w:hAnsi="Arial"/>
          <w:sz w:val="16"/>
          <w:szCs w:val="16"/>
          <w:color w:val="231F20"/>
        </w:rPr>
        <w:t>below.</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Facilitation of future capital raising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As of the date of this proxy statement, the Company has relatively few authorized shares of Common Stock that are not issued and outstanding or reserved for future issuance, and as a result its ability to raise additional equity capital is significantly constrained. The Board of Directors believes it is critically important for the Company to maintain its flexibility in accessing the equity capital markets.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The Reverse Stock Split would reduce the number of shares of Common Stock outstanding without reducing the total number of authorized shares of Common Stock. As a result, the Company would have a larger number of authorized but unissued shares from which to issue additional shares of Common Stock, or securities convertible into or exercisable for shares of Common Stock, in equity financing transactions.</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As the Reverse Stock Split does not impact the number of shares of the Company’s Common Stock authorized for issuance, the Company will have additional authorized but unissued shares available for issuance if the Reverse Stock Split is implemented. The additional authorized shares of Common Stock would be available for issuance from time to time for corporate purposes, including raising additional capital through equity financing. The Company believes that the availability of these shares of Common Stock following the Reverse Stock Split will provide the Company with the flexibility to raise capital to execute its business plans, and to otherwise take advantage of favorable opportunities as they arise.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Institutional Investor Interest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Furthermore, the Board of Directors believes that an increased stock price may encourage investor interest and improve the marketability of the Common Stock to a broader range of investors, and thus potentially improve liquidity.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of Directors believes that the anticipated higher market price resulting from a reverse stock split would enable institutional investors and brokerage firms with policies and practices such as those described above to invest in the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324"/>
        <w:spacing w:after="0" w:line="277" w:lineRule="auto"/>
        <w:rPr>
          <w:sz w:val="20"/>
          <w:szCs w:val="20"/>
          <w:color w:val="auto"/>
        </w:rPr>
      </w:pPr>
      <w:r>
        <w:rPr>
          <w:rFonts w:ascii="Arial" w:cs="Arial" w:eastAsia="Arial" w:hAnsi="Arial"/>
          <w:sz w:val="18"/>
          <w:szCs w:val="18"/>
          <w:color w:val="231F20"/>
        </w:rPr>
        <w:t>The Board of Directors reserves its right to elect not to proceed with the Reverse Stock Split if it determines, in its sole discretion, that this proposal is no longer in the best interests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Material Effects of Proposed Reverse Stock Split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Board of Directors’ discretion, subject to applicable limitations. Any future issuances of shares of Common Stock will have the effect of diluting the percentage of stock ownership and voting rights of the present holders of Common Stock.</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231F20"/>
        </w:rPr>
        <w:t>The Board of Directors believes that the Reverse Stock Split will increase the price level of the Common Stock in order to, among other things, generate interest in the Company among investors, and in particular institutional investors that have investment policies that prohibit investment in lower-priced securities and to ensure continued compliance with the Nasdaq’s minimum per share listing requirements. The Board of Directors cannot predict, however, the effect of the Reverse Stock Split upon the market price for the Common Stock, and the history of similar reverse stock splits for companies in like circumstances is varied. The market price per share of Common Stock after the Reverse Stock Split may not rise in proportion to the reduction in the number of shares of Common Stock outstanding resulting from the Reverse Stock Split, which would reduce the market capitalization of the Company. The market price per post- reverse split share may not remain in excess of the $1.00 minimum per share price as required by the Nasdaq, or the Company may not otherwise meet the additional requirements for continued listing on the Nasdaq. The market price of the Common Stock may also be based on our performance and other factors, the effect of which the Board of Directors cannot predict.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The Reverse Stock Split will affect all stockholders of the Company uniformly and will not affect any stockholder’s percentage ownership interests or proportionate voting power, except to the extent that the Reverse Stock Split results in any stockholder owning a fractional share. In lieu of issuing fractional shares, the Company will directly pay each stockholder who would otherwise have been entitled to a fraction of a share an amount in cash based on the closing sale price of the Common Stock, as quoted on the Nasdaq on the Effective Date, multiplied by the fractional share amount.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231F20"/>
        </w:rPr>
        <w:t>If the Reverse Stock Split had been effected on July 11, 2023, its principal effect would have been that the number of shares of Common Stock issued and outstanding would have been reduced from 83,418,535 shares to a range of approximately 4,170,927 to to 10,427,317 shares, depending on the exact split ratio chosen by the Board of Directors or a committee of the Board of Directors within the Ratio Range. In addition, all outstanding options, restricted stock and restricted stock units (collectively, the “Outstanding Equity Rights”) entitling the holders thereof to acquire, through purchase, exchange or otherwise, shares of Common Stock will enable such holders to acquire upon exercise of their respective Outstanding Equity Rights that the number of shares of Common Stock, as adjusted based on the final ratio selected by the Board, which such holders would have been able to purchase upon exercise or conversion, as and to the extent applicable, of their respective Outstanding Equity Rights immediately preceding the Reverse Stock Split, at an exercise price or conversion rate, as and to the extent applicable, equal to the exercise price or conversion rate, as applicable, specified before the reverse split, as adjusted by the Ratio Range, resulting in the same aggregate price being required to be paid upon exercise or conversion thereof immediately preceding the Reverse Stock Split. Furthermore, the number of shares reserved for issuance pursuant to the 2020 Equity Incentive Plan will be reduced based on the final reverse stock split ratio selected by the Board.</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Reverse Stock Split may result in some stockholders owning “odd lots” of less than 100 shares of Common Stock. Odd lot shares may be more difficult to sell, and brokerage commissions and other costs of transactions in odd lots may be higher than the costs of transactions in “round lots” of even multiples of 100 shares. See “</w:t>
      </w:r>
      <w:r>
        <w:rPr>
          <w:rFonts w:ascii="Arial" w:cs="Arial" w:eastAsia="Arial" w:hAnsi="Arial"/>
          <w:sz w:val="18"/>
          <w:szCs w:val="18"/>
          <w:i w:val="1"/>
          <w:iCs w:val="1"/>
          <w:color w:val="231F20"/>
        </w:rPr>
        <w:t>Certain Risk Factors Associated with the Reverse Stock Split or Nasdaq Delisting—A reverse stock split may negatively</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impact the market for our Common Stock” </w:t>
      </w:r>
      <w:r>
        <w:rPr>
          <w:rFonts w:ascii="Arial" w:cs="Arial" w:eastAsia="Arial" w:hAnsi="Arial"/>
          <w:sz w:val="18"/>
          <w:szCs w:val="18"/>
          <w:color w:val="231F20"/>
        </w:rPr>
        <w:t>below</w:t>
      </w:r>
      <w:r>
        <w:rPr>
          <w:rFonts w:ascii="Arial" w:cs="Arial" w:eastAsia="Arial" w:hAnsi="Arial"/>
          <w:sz w:val="18"/>
          <w:szCs w:val="18"/>
          <w:i w:val="1"/>
          <w:iCs w:val="1"/>
          <w:color w:val="231F20"/>
        </w:rPr>
        <w: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The Reverse Stock Split will not affect the par value of the Common Stock. As a result, on the Effective Date, the value of the stated capital on the Company’s balance sheet attributable to the Common Stock will be reduced based on the applicable ratio within the Ratio Range, and the additional paid-in capital account will be credited with the amount by which the stated capital is reduced. The per share net income or loss and net book value of the Common Stock will be retroactively increased for each period because there will be fewer shares of Common Stock outstanding.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324"/>
        <w:spacing w:after="0" w:line="273" w:lineRule="auto"/>
        <w:rPr>
          <w:sz w:val="20"/>
          <w:szCs w:val="20"/>
          <w:color w:val="auto"/>
        </w:rPr>
      </w:pPr>
      <w:r>
        <w:rPr>
          <w:rFonts w:ascii="Arial" w:cs="Arial" w:eastAsia="Arial" w:hAnsi="Arial"/>
          <w:sz w:val="17"/>
          <w:szCs w:val="17"/>
          <w:color w:val="231F20"/>
        </w:rPr>
        <w:t>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Each stockholder’s percentage ownership of the Company based on holdings of Common Stock will not be altered except for the effect of eliminating fractional shares. The Common Stock issued pursuant to the Reverse Stock Split will remain fully paid and non-assessable. The Reverse Stock Split is not intended as, and will not have the effect of, a “going private transaction” covered by Rule 13e-3 under the Exchange Act. Following the Reverse Stock Split, the Company will continue to be subject to the periodic reporting requirements of the Exchange Act.</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231F20"/>
        </w:rPr>
        <w:t>Because the proposed Charter amendment provides that the number of authorized shares of Common Stock will be unaffected by the Reverse Stock Split, the amendment that is filed with the Secretary of State of the State of Delaware, if any such amendment is filed, will result in a relative increase in the number of authorized but unissued shares of our Common Stock in relation to the number of outstanding shares of our Common Stock after the Reverse Stock Split and, could, under certain circumstances, have an anti- takeover effect, although this is not the purpose or intent of the Board of Directors. The primary purposes of the proposed Reverse Stock Split are to increase the authorized but unissued shares to better enable the Company to raise funds to finance its planned operations, and to provide the Board of Directors with a mechanism to raise the per share trading price of our Common Stock in order to improve liquidity and help ensure that the price per share of our Common Stock remains above the minimum amount required to maintain our listing on the Nasdaq. However, a relative increase in the number of our authorized shares of Common Stock could enable the Board of Directors to render more difficult or discourage an attempt by a party attempting to obtain control of the Company by tender offer or other means. The issuance of Common Stock in a public or private sale, merger or similar transaction would increase the number of outstanding shares of Common Stock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of Directors could make it more difficult to remove incumbent officers and directors from office even if such change were favorable to stockholders generally. The Company has no present intent to use the relative increase in the number of authorized shares of Common Stock for anti-takeover purposes, and the proposed amendment to the Charter is not part of a plan by the Board of Directors to adopt any anti-takeover provisions. However, if the proposed amendment is approved by the stockholders, then a greater number of shares of our Common Stock would be available for such purpose than currently is available. The Company is not aware of any pending or threatened efforts to obtain control of the Company, and the Board of Directors has no present intent to authorize the issuance of additional shares of Common Stock to discourage such efforts if they were to arise.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Risk Factors Associated with the Reverse Stock Split or Nasdaq Delisting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reverse stock split may negatively impact the market for our Common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Factors such as our financial results, market conditions and the market perception of our business may adversely affect the market price of our Common Stock. As a result, there can be no assurance that the total market capitalization of our Common Stock after the proposed reverse stock split will be equal to or greater than the total market capitalization before the proposed reverse stock split or that the per share market price of our Common Stock outstanding before the reverse stock split.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In addition, the reverse stock split may increase the number of stockholders who own odd lots (less than 100 shares). Any stockholder who owns fewer than 800 to 2,000 shares of Common Stock, depending on the final ratio, prior to the reverse stock split will own fewer than 100 shares of Common Stock following the reverse stock split. Stockholders who hold odd lots typically experience an increase in the cost of selling their shares and may have greater difficulty in effecting sales. Furthermore, some stockholders may cease being stockholders of the Company following the reverse stock split. Any stockholder who owns fewer than 8 to 20 shares of Common Stock, depending on the final ratio, prior to the reverse stock split will own less than one share of Common Stock following the reverse stock split and therefore such stockholder will receive cash equal to the market value of such fractional share and cease being a stockholder of the Company, as further described below under “—Procedure for Effecting Reverse Split and Exchange of Stock Certificates —Fractional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324"/>
        <w:spacing w:after="0" w:line="259" w:lineRule="auto"/>
        <w:rPr>
          <w:sz w:val="20"/>
          <w:szCs w:val="20"/>
          <w:color w:val="auto"/>
        </w:rPr>
      </w:pPr>
      <w:r>
        <w:rPr>
          <w:rFonts w:ascii="Arial" w:cs="Arial" w:eastAsia="Arial" w:hAnsi="Arial"/>
          <w:sz w:val="18"/>
          <w:szCs w:val="18"/>
          <w:color w:val="231F20"/>
        </w:rPr>
        <w:t>The market price of our Common Stock will also be based on our performance and other factors, including those factors listed under the heading “Risk Factors” and elsewhere in our Annual Report on Form 10-K, as amended, for the year ended December 31, 2022, and other reports that we file with the SEC. There can also be no assurance that the minimum bid price per share of our Common Stock will remain in excess of $1.00 following the reverse stock split for a sustained period of time,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Nasdaq may delist the Company’s Common Stock, which could seriously harm the liquidity of the Common Stock and the Company’s ability to raise capital.</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If the Company is unable to regain compliance with the Minimum Bid Price Requirement or other listing requirements, the Company could lose eligibility for continued listing on the Nasdaq Capital Market or any comparable trading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If we cease to be eligible to trade on Nasdaq:</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We may have to pursue trading on a less recognized or accepted market, such as the OTC Bulletin Board or the “pink sheets”;</w:t>
      </w:r>
    </w:p>
    <w:p>
      <w:pPr>
        <w:spacing w:after="0" w:line="225"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Shares of our Common Stock could be less liquid and marketable, thereby reducing the ability of stockholders to purchase or sell our shares as quickly and as inexpensively as they have done historically;</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7"/>
          <w:szCs w:val="17"/>
          <w:color w:val="231F20"/>
        </w:rPr>
      </w:pPr>
      <w:r>
        <w:rPr>
          <w:rFonts w:ascii="Arial" w:cs="Arial" w:eastAsia="Arial" w:hAnsi="Arial"/>
          <w:sz w:val="17"/>
          <w:szCs w:val="17"/>
          <w:color w:val="231F20"/>
        </w:rPr>
        <w:t>Our Common Stock may be deemed a “penny stock,” and transactions in our Common Stock would be more difficult and cumbersome;</w:t>
      </w:r>
    </w:p>
    <w:p>
      <w:pPr>
        <w:spacing w:after="0" w:line="236" w:lineRule="exact"/>
        <w:rPr>
          <w:rFonts w:ascii="Arial" w:cs="Arial" w:eastAsia="Arial" w:hAnsi="Arial"/>
          <w:sz w:val="17"/>
          <w:szCs w:val="17"/>
          <w:color w:val="231F20"/>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183"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The market price of the Common Stock may further decline.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A reverse stock split would increase the Company’s authorized but unissued shares of Common Stock, which could negatively impact a potential investor if they purchased shares of Common Stock.</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Because the number of authorized shares of the Company’s Common Stock will not be reduced proportionately, the reverse stock split will increase the Board of Director’s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1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The Company expects to require additional financing to fund its ongoing activities. Other than the foregoing, and except for the Company’s obligation to issue Common Stock upon the exercise of outstanding options and warrants, the Company has no specific plan, commitment, arrangement, understanding or agreement, either oral or written, regarding the issuance of Common Stock subsequent to the reverse stock split at this time.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Procedure for Effecting Reverse Split and Exchange of Stock Certificates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 xml:space="preserve">If the Reverse Stock Split is approved by the Company’s stockholders, and the Board of Directors or a committee of the Board of Directors determines it is in the best interests of the Company to effect the split, then the Reverse Stock Split would become effective at such time as set forth in the certificate of amendment to the Charter, the form of which is attached as </w:t>
      </w:r>
      <w:r>
        <w:rPr>
          <w:rFonts w:ascii="Arial" w:cs="Arial" w:eastAsia="Arial" w:hAnsi="Arial"/>
          <w:sz w:val="16"/>
          <w:szCs w:val="16"/>
          <w:u w:val="single" w:color="auto"/>
          <w:color w:val="231F20"/>
        </w:rPr>
        <w:t>Appendix A</w:t>
      </w:r>
      <w:r>
        <w:rPr>
          <w:rFonts w:ascii="Arial" w:cs="Arial" w:eastAsia="Arial" w:hAnsi="Arial"/>
          <w:sz w:val="16"/>
          <w:szCs w:val="16"/>
          <w:color w:val="231F20"/>
        </w:rPr>
        <w:t xml:space="preserve"> to this proxy statement, filed with the Secretary of State of the State of Delaware.</w:t>
      </w:r>
    </w:p>
    <w:p>
      <w:pPr>
        <w:spacing w:after="0" w:line="1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As soon as practicable after the Effective Date, stockholders will be notified that the Reverse Stock Split has been effected. American Stock Transfer &amp; Trust Company, LLC, the Company’s transfer agent, will act as exchange agent for purposes of implementing the exchange of stock certificates.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324"/>
        <w:spacing w:after="0" w:line="255" w:lineRule="auto"/>
        <w:rPr>
          <w:sz w:val="20"/>
          <w:szCs w:val="20"/>
          <w:color w:val="auto"/>
        </w:rPr>
      </w:pPr>
      <w:r>
        <w:rPr>
          <w:rFonts w:ascii="Arial" w:cs="Arial" w:eastAsia="Arial" w:hAnsi="Arial"/>
          <w:sz w:val="18"/>
          <w:szCs w:val="18"/>
          <w:color w:val="231F20"/>
        </w:rPr>
        <w:t>Certain registered holders of our Common Stock may hold some or all of their respective shares electronically in book-entry form with the transfer agent. These stockholders do not have stock certificates evidencing their ownership of the Common Stock. They are, however, provided with a periodic statement reflecting the number of shares of Common Stock registered in their accounts. Stockholders who hold shares electronically in book-entry form with the transfer agent will not need to take action to receive whole shares of post-Reverse Stock Split Common Stock, because the exchange will be automatic. The effect of the Reverse Stock Split on the number of shares of Common Stock held by stockholders electronically in book-entry form will be reflected in subsequent periodic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Fractional Shares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The Company will not issue fractional certificates for post-Reverse Stock Split shares in connection with the Reverse Stock Split. Instead, any stockholder who would otherwise be entitled to a fractional share of common stock as a result of the Reverse Stock Split will be entitled to receive a cash payment equal to (1) the resulting fractional interest in one share of Common Stock multiplied by (2) an amount based on the closing trading price of our common stock on the Nasdaq Capital Market on the trading day immediately preceding the effective time of the amendment.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Criteria to be Used for Decision to Apply the Reverse Stock Split</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If the stockholders approve the Reverse Stock Split, then the Board of Directors or a committee of the Board of Directors will be authorized to proceed with the Reverse Stock Split within the time period indicated. In determining whether to proceed with the Reverse Stock Split and setting the exact amount of split within the Ratio Range, if any, the Board of Directors or a committee of the Board of Directors will consider a number of factors, including the Company’s additional funding requirements and the amount of the Company’s authorized but unissued Common Stock, market conditions, existing and expected trading prices of the Company’s Common Stock and the Nasdaq listing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Dissenter’s Rights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Under the DGCL, stockholders will not be entitled to dissenter’s rights with respect to the proposed amendment to the Charter to effect the Reverse Stock Split, and the Company does not intend to independently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Material U.S. Federal Income Tax Consequences of the Reverse Stock Split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following is a summary of certain material U.S. federal income tax consequences of the Reverse Stock Split to U.S. Holders (as defined below). This discussion assumes that a U.S. Holder owns their shares of our Common Stock as “capital assets” within the meaning of section 1221 the Internal Revenue Code of 1986, as amended (the “Code”) (generally, assets held for investment).</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231F20"/>
        </w:rPr>
        <w:t>This discussion is included for general information purposes only and does not address all aspects of U.S. federal income taxation that may be relevant to shareholders that may be subject to special tax rules, including, without limitation: (i) shareholders subject to the alternative minimum tax: (ii) banks, insurance companies, or other financial institutions; (iii) tax-exempt organizations; (iv) dealers in securities or commodities; (v) regulated investment companies or real estate investment trusts; (vi) partnerships (or other flow-through entities for US. federal income tax purposes and their partners or members); (vii) traders in securities that elect to use a mark-to-market method of accounting for their securities holding; (viii) U.S. Holders whose “functional currency” is not the U.S. dollar; (ix) persons holding our Common Stock as a position in a hedging transaction, “straddle,” “conversion transaction” or other risk reduction transaction; (x) persons who acquire shares of our Common Stock in connection with employment on other performance services; (xi) U.S. expatriates; (xii) persons who are not U.S. Holders; (xiii) controlled foreign corporations or passive foreign investment companies; or (xix) persons who own or are deemed to own 10% or more of our Common Stock. In addition, this summary does not address other U.S. federal tax laws (such as gift or estate tax laws), or tax consequences arising under the laws of any foreign, state or local jurisdiction.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This summary is based upon the provisions of the Code, the Treasury regulations promulgated thereunder, administrative ruling and judicial decision as of the date hereof, all of which may change, possibly with retroactive effect, resulting in U.S. federal income tax consequences that may differ from those discussed below. We have not sought, and will not seek, an opinion of counsel or a ruling from the Internal Revenue Service (“IRS”) regarding the United States federal income tax consequences of the Reverse Stock Split and there can be no assurance the IRS will not challenge the statements set forth below or that a court would not sustain any such challenge.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324"/>
        <w:spacing w:after="0" w:line="266" w:lineRule="auto"/>
        <w:rPr>
          <w:sz w:val="20"/>
          <w:szCs w:val="20"/>
          <w:color w:val="auto"/>
        </w:rPr>
      </w:pPr>
      <w:r>
        <w:rPr>
          <w:rFonts w:ascii="Arial" w:cs="Arial" w:eastAsia="Arial" w:hAnsi="Arial"/>
          <w:sz w:val="18"/>
          <w:szCs w:val="18"/>
          <w:color w:val="231F20"/>
        </w:rPr>
        <w:t xml:space="preserve">The following discussion is for information purposes only and is not intended as tax or legal advice. </w:t>
      </w:r>
      <w:r>
        <w:rPr>
          <w:rFonts w:ascii="Arial" w:cs="Arial" w:eastAsia="Arial" w:hAnsi="Arial"/>
          <w:sz w:val="18"/>
          <w:szCs w:val="18"/>
          <w:b w:val="1"/>
          <w:bCs w:val="1"/>
          <w:color w:val="231F20"/>
        </w:rPr>
        <w:t>EACH SHAREHOLDER OF COMMON</w:t>
      </w:r>
      <w:r>
        <w:rPr>
          <w:rFonts w:ascii="Arial" w:cs="Arial" w:eastAsia="Arial" w:hAnsi="Arial"/>
          <w:sz w:val="18"/>
          <w:szCs w:val="18"/>
          <w:color w:val="231F20"/>
        </w:rPr>
        <w:t xml:space="preserve"> </w:t>
      </w:r>
      <w:r>
        <w:rPr>
          <w:rFonts w:ascii="Arial" w:cs="Arial" w:eastAsia="Arial" w:hAnsi="Arial"/>
          <w:sz w:val="18"/>
          <w:szCs w:val="18"/>
          <w:b w:val="1"/>
          <w:bCs w:val="1"/>
          <w:color w:val="231F20"/>
        </w:rPr>
        <w:t>STOCK SHOULD CONSULT SUCH SHAREHOLDER’S TAX ADVISOR WITH RESPECT TO THE PARTICULAR TAX CONSEQUENCES OF THE REVERSE STOCK SPLIT TO SUCH SHAREHOLDER.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For purposes of this discussion, a “U.S. Holder” is a beneficial owner of shares of our Common Stock that for U.S. federal income tax purposes is:</w:t>
      </w:r>
    </w:p>
    <w:p>
      <w:pPr>
        <w:spacing w:after="0" w:line="46" w:lineRule="exact"/>
        <w:rPr>
          <w:sz w:val="20"/>
          <w:szCs w:val="20"/>
          <w:color w:val="auto"/>
        </w:rPr>
      </w:pPr>
    </w:p>
    <w:p>
      <w:pPr>
        <w:jc w:val="both"/>
        <w:ind w:firstLine="8"/>
        <w:spacing w:after="0" w:line="253" w:lineRule="auto"/>
        <w:tabs>
          <w:tab w:leader="none" w:pos="282"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an individual citizen or resident of the United States; (2) a corporation (including any entity treated as a corporation for U.S. federal income tax purposes) created or organized in or under the laws of the United States, any state or political subdivision thereof; (3) an estate the income of which is subject to U.S. federal income taxation regardless of its source; or (4) a trust, the administration of which is subject to the primary supervision of a U.S. court and as to which one or more U.S. persons have the authority to control all substantial decisions of the trust, or that has a valid election in effect to be treated as a U.S. person.</w:t>
      </w:r>
    </w:p>
    <w:p>
      <w:pPr>
        <w:spacing w:after="0" w:line="19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31F20"/>
        </w:rPr>
        <w:t>If a partnership (or other entity or arrangement treated as a partnership for U.S. federal income tax purposes) holds shares of our Common Stock, the tax treatment of a partner in the partnership generally will depend upon the status of the partner and the activities of the partnership. If you are a partner of a partnership holding our Common Stock, you should consult your own tax advisors as to the consequences to you of the Reverse Stock Split.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Tax Consequences of Reverse Stock Split Generally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The Reverse Stock Split is intended to constitute a reorganization within the meaning of Section 368(a) of the Code. Assuming the Reverse Stock Split qualifies as a reorganization, no gain or loss should be recognized by a U.S. Holder as a result of the Reverse Stock Split, other than as a result of cash payments for fractional shares, as discussed further below. In general, the aggregate tax basis in the shares of our Common Stock received pursuant to the Reverse Stock Split should equal the aggregate tax basis of the shares of our Common Stock surrendered therefor (excluding any portion of such basis that is allocated to any fractional share of our Common Stock for which cash is received). A U.S. Holder’s holding period in the shares of our Common Stock received should include the holding period in the shares of our Common Stock surrendered pursuant to the Reverse Stock Split.</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Treasury regulations promulgated under the Code provide detailed rules for allocating the tax basis and holding period of the shares of our Common Stock surrendered to the shares of our Common Stock received pursuant to the Reverse Stock Split. U.S. Holders that acquired shares of our Common Stock on different dates and at different prices should consult their tax advisors regarding the allocation of the tax basis and holding period of such shares as a result of the Reverse Stock Split.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Tax Consequences of Cash Received in Lieu of Fractional Shares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U.S. Holders of our Common Stock that receive cash in lieu of fractional shares will recognize either dividend income, or capital gain or loss, depending on their particular facts and circumstances. To the extent the cash received in lieu of fractional shares is treated as giving rise to dividend income, U.S. Holders who are individuals may be taxed at a reduced rate. To the extent the cash received in lieu of fractional shares is treated as a payment in exchange for such fractional shares, a U.S. Holder will recognize capital gain or loss equal to the difference between the amount of cash received by such U.S. Holder and the adjusted tax basis deemed to be allocated to the fractional shares pursuant to the rules discussed above. Any capital gain or loss realized will be treated as long-term capital gain or loss if the U.S. Holder’s holding period for our Common Stock surrendered is greater than one year. Long-term capital gains of U.S. Holders who are individuals are eligible for reduced rates of taxation. The deductibility of capital losses is subject to limitations.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Shareholders of our Common Stock should consult their own advisors as to the proper treatment of any cash received in lieu of fractional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 Tax Information Reporting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U.S. Holders may be subject to information reporting with respect to the receipt of cash in lieu of fractional shares unless such shareholders can establish an exemption therefrom. In addition, U.S. Holders may be subject to a backup withholding tax on the cash paid in lieu of fractional shares if they do not provide their taxpayer identification numbers in the manner required or otherwise fail to comply with applicable backup withholding tax rules. In general, backup withholding will not apply to cash paid in lieu of fractional shares to a U.S. Holder if the U.S. Holder provides a properly completed and duly executed IRS Form W-9.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324"/>
        <w:spacing w:after="0" w:line="277" w:lineRule="auto"/>
        <w:rPr>
          <w:sz w:val="20"/>
          <w:szCs w:val="20"/>
          <w:color w:val="auto"/>
        </w:rPr>
      </w:pPr>
      <w:r>
        <w:rPr>
          <w:rFonts w:ascii="Arial" w:cs="Arial" w:eastAsia="Arial" w:hAnsi="Arial"/>
          <w:sz w:val="18"/>
          <w:szCs w:val="18"/>
          <w:color w:val="231F20"/>
        </w:rPr>
        <w:t>Backup withholding is not an additional tax, and any amounts withheld under the backup withholding rules will be allowed as a refund or credit against a shareholder’s U.S. federal income tax liability provided the required information is timely furnished to the IRS.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31F20"/>
        </w:rPr>
        <w:t>TAX MATTERS ARE COMPLICATED, AND THE TAX CONSEQUENCES OF THE REVERSE STOCK SPLIT DEPEND UPON THE PARTICULAR CIRCUMSTANCES OF EACH SHAREHOLDER. ACCORDINGLY, EACH SHAREHOLDER IS ADVISED TO CONSULT THE SHAREHOLDER’S TAX ADVISOR WITH RESPECT TO ALL OF THE POTENTIAL TAX CONSEQUENCES TO THE SHAREHOLDER OF A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 and Vote Required</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231F20"/>
        </w:rPr>
        <w:t xml:space="preserve">The Board of Directors recommends that stockholders vote “FOR” the approval of the amendment to the Company’s Charter to effect a reverse stock split of the Company’s Common Stock. </w:t>
      </w:r>
      <w:r>
        <w:rPr>
          <w:rFonts w:ascii="Arial" w:cs="Arial" w:eastAsia="Arial" w:hAnsi="Arial"/>
          <w:sz w:val="18"/>
          <w:szCs w:val="18"/>
          <w:color w:val="231F20"/>
        </w:rPr>
        <w:t>The proxy holders will vote all proxies received for approval of this proposal unless instructed</w:t>
      </w:r>
      <w:r>
        <w:rPr>
          <w:rFonts w:ascii="Arial" w:cs="Arial" w:eastAsia="Arial" w:hAnsi="Arial"/>
          <w:sz w:val="18"/>
          <w:szCs w:val="18"/>
          <w:b w:val="1"/>
          <w:bCs w:val="1"/>
          <w:color w:val="231F20"/>
        </w:rPr>
        <w:t xml:space="preserve"> </w:t>
      </w:r>
      <w:r>
        <w:rPr>
          <w:rFonts w:ascii="Arial" w:cs="Arial" w:eastAsia="Arial" w:hAnsi="Arial"/>
          <w:sz w:val="18"/>
          <w:szCs w:val="18"/>
          <w:color w:val="231F20"/>
        </w:rPr>
        <w:t>otherwise.</w:t>
      </w:r>
    </w:p>
    <w:p>
      <w:pPr>
        <w:spacing w:after="0" w:line="1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231F20"/>
        </w:rPr>
        <w:t>Under current law, approval of this proposal requires the affirmative vote of a majority of the shares of Common Stock issued and outstanding as of the Record Date. On May 16, 2023 and June 30, 2023, respectively, the Senate and House of Representatives of the State of Delaware passed SB 114 proposing the Proposed 2023 DGCL Amendments to the DGCL, including an amendment to Section 242 of the DGCL that would reduce the stockholder vote threshold required for certain amendments to a corporation’s certificate of incorporation in connection with a proposed reverse stock split. If the Proposed 2023 DGCL Amendments are enacted into law, effective as of August 1, 2023, the stockholder vote threshold required to approve this Proposal 3 will be reduced such that, presuming a quorum is present, such matter will be approved if the votes cast for approval the reverse stock split exceed the votes cast against reverse stock split, in each case by holders present and entitled to vote on the matter either virtually or by proxy at the annual meeting. Under current law, abstentions will be treated as votes AGAINST this proposal, but under the Proposed 2023 DGCL Amendments, abstentions will have no effect on the results of the vote. We believe that the Reverse Stock Split Proposal would be considered a “routine” matter under NYSE rules and, as a result, if you hold shares of our common stock in street name, in the absence of timely directions, your broker will have discretion to vote your shares on this proposal. Under the current law, if a broker does not exercise this authority, such broker non-votes will have the same effect as a vote AGAINST such proposal. However, under the Proposed 2023 DGCL Amendments, if a broker does not exercise this authority, such broker non-votes will have no effect on the results of this vote.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231F20"/>
        </w:rPr>
        <w:t>PROPOSAL 4: ADVISORY VOTE ON APPROVAL OF EXECUTIVE COMPENSATION AS DISCLOSED IN THIS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(Notice Item 4)</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We are seeking your advisory vote as required by Section 14A of the Securities Exchange Act of 1934, as amended, on the approval of the compensation of our named executive officers as disclosed pursuant to the compensation disclosure rules of the Securities and Exchange Commission in the compensation tables and the related material disclosed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2024 annual meeting of stockholders.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compensation program consists of these general elements:</w:t>
      </w:r>
    </w:p>
    <w:p>
      <w:pPr>
        <w:spacing w:after="0" w:line="225"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 fixed portion of compensation, in the form of a base salary, to retain and provide a base level of compensation to our named executive officers; and</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6"/>
          <w:szCs w:val="16"/>
          <w:color w:val="231F20"/>
        </w:rPr>
      </w:pPr>
      <w:r>
        <w:rPr>
          <w:rFonts w:ascii="Arial" w:cs="Arial" w:eastAsia="Arial" w:hAnsi="Arial"/>
          <w:sz w:val="16"/>
          <w:szCs w:val="16"/>
          <w:color w:val="231F20"/>
        </w:rPr>
        <w:t>a long-term performance element in the form of equity, to incentivize our named executive officers to achieve superior corporate performance.</w:t>
      </w:r>
    </w:p>
    <w:p>
      <w:pPr>
        <w:spacing w:after="0" w:line="24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231F20"/>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2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competitive position;</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financial performance and the contribution of each individual to our financial performance;</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individual performance, including past and expected contribution to our corporate goals and execution of our business plan and strategy; and</w:t>
      </w:r>
    </w:p>
    <w:p>
      <w:pPr>
        <w:spacing w:after="0" w:line="236" w:lineRule="exact"/>
        <w:rPr>
          <w:rFonts w:ascii="Arial" w:cs="Arial" w:eastAsia="Arial" w:hAnsi="Arial"/>
          <w:sz w:val="17"/>
          <w:szCs w:val="17"/>
          <w:color w:val="231F20"/>
        </w:rPr>
      </w:pPr>
    </w:p>
    <w:p>
      <w:pPr>
        <w:ind w:left="660" w:hanging="328"/>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our long-term needs and operational goals, including attracting and retaining key management personnel.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In accordance with the rules of the SEC, the following resolution, commonly known as a “say-on-pay” vote, is being submitted for a stockholder vote at the 2023 annual meeting: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 and Board of Directors’ Recommendation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231F20"/>
        </w:rPr>
        <w:t>THE BOARD OF DIRECTORS RECOMMENDS A VOTE “FOR” APPROVAL OF THE COMPENSATION OF OUR NAMED EXECUTIVE OFFICERS, AND PROXIES SOLICITED BY THE BOARD OF DIRECTORS WILL BE VOTED IN FAVOR OF SUCH APPROVAL UNLESS A STOCKHOLDER INDICATES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left="340" w:right="20"/>
        <w:spacing w:after="0" w:line="282" w:lineRule="auto"/>
        <w:rPr>
          <w:sz w:val="20"/>
          <w:szCs w:val="20"/>
          <w:color w:val="auto"/>
        </w:rPr>
      </w:pPr>
      <w:r>
        <w:rPr>
          <w:rFonts w:ascii="Arial" w:cs="Arial" w:eastAsia="Arial" w:hAnsi="Arial"/>
          <w:sz w:val="18"/>
          <w:szCs w:val="18"/>
          <w:b w:val="1"/>
          <w:bCs w:val="1"/>
          <w:color w:val="231F20"/>
        </w:rPr>
        <w:t>PROPOSAL 5: APPROVAL OF THE ADJOURNMENT OF THE ANNUAL MEETING TO SOLICIT ADDITIONAL PROXIES IF THERE ARE NOT SUFFICIENT VOTES IN FAVOR OF PROPOSALS 2 THROUGH 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(Notice Item 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We are asking our stockholders to vote on a proposal to approve the adjournment of the annual meeting to solicit additional proxies if there are not sufficient votes in favor of Proposals 2 through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 and Board of Directors’ Recommendation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Approval of the adjournment of the annual meeting to solicit additional proxies if there are not sufficient votes in favor of the Proposals 2 through 4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5. For purposes of the vote on this Proposal 6, an abstention will have the same effect as a vote “AGAINST” such proposal.</w:t>
      </w:r>
    </w:p>
    <w:p>
      <w:pPr>
        <w:spacing w:after="0" w:line="1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231F20"/>
        </w:rPr>
        <w:t>THE BOARD OF DIRECTORS RECOMMENDS A VOTE “FOR” THE ADJOURNMENT OF THE ANNUAL MEETING TO SOLICIT ADDITIONAL PROXIES IF THERE ARE NOT SUFFICIENT VOTES IN FAVOR OF PROPOSALS 2 THROUGH 4, AND PROXIES SOLICITED BY THE BOARD OF DIRECTORS WILL BE VOTED IN FAVOR OF SUCH APPROVAL UNLESS A STOCKHOLDER INDICATES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231F20"/>
        </w:rPr>
        <w:t>CODE OF CONDUCT AND ETHICS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7"/>
          <w:szCs w:val="17"/>
          <w:i w:val="1"/>
          <w:iCs w:val="1"/>
          <w:color w:val="231F20"/>
        </w:rPr>
        <w:t>www.xwell.com/corporate-governance</w:t>
      </w:r>
      <w:r>
        <w:rPr>
          <w:rFonts w:ascii="Arial" w:cs="Arial" w:eastAsia="Arial" w:hAnsi="Arial"/>
          <w:sz w:val="17"/>
          <w:szCs w:val="17"/>
          <w:color w:val="231F20"/>
        </w:rPr>
        <w:t>, and will be made available to stockholders without charge, upon 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OTHER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Board of Directors knows of no other business which will be presented to the annual meeting. If any other business is properly brought before the annual meeting, proxies will be voted in accordance with the judgment of the persons acting as proxies.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STOCKHOLDER PROPOSALS AND NOMINATIONS FOR DIRECTOR</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To be considered for inclusion in the proxy statement relating to our 2024 annual meeting of stockholders, we must receive stockholder proposals (other than for director nominations) no later than March 26, 2024, which is 120 days prior to the date that is one year from this year’s release date. All stockholder proposals should be sent to the attention of XWELL, Inc., 254 West 31st Street, 11th Floor, New York, New York 10001, attention Cara Soffer, General Counsel.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31F20"/>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July 14,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231F20"/>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CERTIFICATE OF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XWELL, INC.</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Pursuant to Section 242 of the General Corporation Law of the State of Delaware, XWELL,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332"/>
        <w:spacing w:after="0" w:line="273" w:lineRule="auto"/>
        <w:tabs>
          <w:tab w:leader="none" w:pos="659"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 The name of the Corporation was changed to XWELL, Inc. by filing a Certificate of Amendment to the Certificate of Incorporation with the Secretary of State of the State of Delaware on October 24, 2022</w:t>
      </w:r>
    </w:p>
    <w:p>
      <w:pPr>
        <w:spacing w:after="0" w:line="177" w:lineRule="exact"/>
        <w:rPr>
          <w:rFonts w:ascii="Arial" w:cs="Arial" w:eastAsia="Arial" w:hAnsi="Arial"/>
          <w:sz w:val="17"/>
          <w:szCs w:val="17"/>
          <w:color w:val="231F20"/>
        </w:rPr>
      </w:pPr>
    </w:p>
    <w:p>
      <w:pPr>
        <w:jc w:val="both"/>
        <w:ind w:firstLine="332"/>
        <w:spacing w:after="0" w:line="301" w:lineRule="auto"/>
        <w:tabs>
          <w:tab w:leader="none" w:pos="672"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Sections (3) and (4) of Article IV of the Corporation’s Amended and Restated Certificate of Incorporation are hereby amended and restated in their entirety to read as follows:</w:t>
      </w:r>
    </w:p>
    <w:p>
      <w:pPr>
        <w:spacing w:after="0" w:line="170"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231F20"/>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shall be reclassified as, and shall be combined and changed into, a smaller number of shares such that each eight (8) to twenty (20) shares of issued Common Stock immediately prior to the Effective Time shall be reclassified into and become one share of Common Stock, the exact reverse split ratio within such 8-to-20 range to be determined by the Board of Directors of the Corporation and publicly announced by the Corporation prior to the Effective Time.</w:t>
      </w:r>
    </w:p>
    <w:p>
      <w:pPr>
        <w:spacing w:after="0" w:line="178"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231F20"/>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preceding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5" w:lineRule="exact"/>
        <w:rPr>
          <w:sz w:val="20"/>
          <w:szCs w:val="20"/>
          <w:color w:val="auto"/>
        </w:rPr>
      </w:pPr>
    </w:p>
    <w:p>
      <w:pPr>
        <w:jc w:val="both"/>
        <w:ind w:left="340" w:firstLine="316"/>
        <w:spacing w:after="0" w:line="290" w:lineRule="auto"/>
        <w:tabs>
          <w:tab w:leader="none" w:pos="936"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tabs>
          <w:tab w:leader="none" w:pos="4920" w:val="left"/>
          <w:tab w:leader="none" w:pos="5460" w:val="left"/>
          <w:tab w:leader="none" w:pos="6040" w:val="left"/>
          <w:tab w:leader="none" w:pos="6400" w:val="left"/>
        </w:tabs>
        <w:rPr>
          <w:sz w:val="20"/>
          <w:szCs w:val="20"/>
          <w:color w:val="auto"/>
        </w:rPr>
      </w:pPr>
      <w:r>
        <w:rPr>
          <w:rFonts w:ascii="Arial" w:cs="Arial" w:eastAsia="Arial" w:hAnsi="Arial"/>
          <w:sz w:val="18"/>
          <w:szCs w:val="18"/>
          <w:color w:val="231F20"/>
        </w:rPr>
        <w:t>This Certificate of Amendment shall be effective on</w:t>
      </w:r>
      <w:r>
        <w:rPr>
          <w:sz w:val="20"/>
          <w:szCs w:val="20"/>
          <w:color w:val="auto"/>
        </w:rPr>
        <w:tab/>
      </w:r>
      <w:r>
        <w:rPr>
          <w:rFonts w:ascii="Arial" w:cs="Arial" w:eastAsia="Arial" w:hAnsi="Arial"/>
          <w:sz w:val="18"/>
          <w:szCs w:val="18"/>
          <w:color w:val="231F20"/>
        </w:rPr>
        <w:t>, 20</w:t>
        <w:tab/>
        <w:t>at</w:t>
      </w:r>
      <w:r>
        <w:rPr>
          <w:sz w:val="20"/>
          <w:szCs w:val="20"/>
          <w:color w:val="auto"/>
        </w:rPr>
        <w:tab/>
      </w:r>
      <w:r>
        <w:rPr>
          <w:rFonts w:ascii="Arial" w:cs="Arial" w:eastAsia="Arial" w:hAnsi="Arial"/>
          <w:sz w:val="18"/>
          <w:szCs w:val="18"/>
          <w:color w:val="231F20"/>
        </w:rPr>
        <w:t> </w:t>
      </w:r>
      <w:r>
        <w:rPr>
          <w:sz w:val="20"/>
          <w:szCs w:val="20"/>
          <w:color w:val="auto"/>
        </w:rPr>
        <w:tab/>
      </w:r>
      <w:r>
        <w:rPr>
          <w:rFonts w:ascii="Arial" w:cs="Arial" w:eastAsia="Arial" w:hAnsi="Arial"/>
          <w:sz w:val="16"/>
          <w:szCs w:val="16"/>
          <w:color w:val="231F20"/>
        </w:rPr>
        <w:t>Eastern Time.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 WITNESS WHEREOF</w:t>
      </w:r>
      <w:r>
        <w:rPr>
          <w:rFonts w:ascii="Arial" w:cs="Arial" w:eastAsia="Arial" w:hAnsi="Arial"/>
          <w:sz w:val="16"/>
          <w:szCs w:val="16"/>
          <w:color w:val="231F20"/>
        </w:rPr>
        <w:t>, the Corporation has caused this Certificate of Amendment to be signed by its Chief Executive Officer on this</w:t>
      </w:r>
    </w:p>
    <w:p>
      <w:pPr>
        <w:spacing w:after="0" w:line="5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231F20"/>
              </w:rPr>
              <w:t>day of</w:t>
            </w:r>
          </w:p>
        </w:tc>
        <w:tc>
          <w:tcPr>
            <w:tcW w:w="980" w:type="dxa"/>
            <w:vAlign w:val="bottom"/>
          </w:tcPr>
          <w:p>
            <w:pPr>
              <w:jc w:val="right"/>
              <w:spacing w:after="0"/>
              <w:rPr>
                <w:sz w:val="20"/>
                <w:szCs w:val="20"/>
                <w:color w:val="auto"/>
              </w:rPr>
            </w:pPr>
            <w:r>
              <w:rPr>
                <w:rFonts w:ascii="Arial" w:cs="Arial" w:eastAsia="Arial" w:hAnsi="Arial"/>
                <w:sz w:val="18"/>
                <w:szCs w:val="18"/>
                <w:color w:val="231F20"/>
              </w:rPr>
              <w:t>, 20 .</w:t>
            </w:r>
          </w:p>
        </w:tc>
      </w:tr>
    </w:tbl>
    <w:p>
      <w:pPr>
        <w:spacing w:after="0" w:line="18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231F20"/>
        </w:rPr>
        <w:t>XWELL, INC.</w:t>
      </w: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8"/>
          <w:szCs w:val="18"/>
          <w:color w:val="231F2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6350</wp:posOffset>
            </wp:positionV>
            <wp:extent cx="33521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Name: Scott R. Milford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231F20"/>
        </w:rPr>
        <w:t>Title: Chief Executive Officer</w:t>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660" w:top="908" w:right="1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231F20"/>
        </w:rPr>
        <w:t>XWELL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31F20"/>
        </w:rPr>
        <w:t>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652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65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87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387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5"/>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5"/>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o"/>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2023-07-14T15:47:06Z</dcterms:created>
  <dcterms:modified xsi:type="dcterms:W3CDTF">2023-07-14T15:47:06Z</dcterms:modified>
</cp:coreProperties>
</file>