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176530</wp:posOffset>
            </wp:positionV>
            <wp:extent cx="18097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195580</wp:posOffset>
            </wp:positionV>
            <wp:extent cx="18097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ind w:left="4880"/>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ind w:left="4500"/>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July 26,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189230</wp:posOffset>
            </wp:positionV>
            <wp:extent cx="18097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3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HOLDINGS CORP.</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176530</wp:posOffset>
            </wp:positionV>
            <wp:extent cx="18097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tbl>
      <w:tblPr>
        <w:tblLayout w:type="fixed"/>
        <w:tblInd w:w="420" w:type="dxa"/>
        <w:tblCellMar>
          <w:top w:w="0" w:type="dxa"/>
          <w:left w:w="0" w:type="dxa"/>
          <w:bottom w:w="0" w:type="dxa"/>
          <w:right w:w="0" w:type="dxa"/>
        </w:tblCellMar>
      </w:tblPr>
      <w:tr>
        <w:trPr>
          <w:trHeight w:val="220"/>
        </w:trPr>
        <w:tc>
          <w:tcPr>
            <w:tcW w:w="296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Delaware</w:t>
            </w:r>
          </w:p>
        </w:tc>
        <w:tc>
          <w:tcPr>
            <w:tcW w:w="5040" w:type="dxa"/>
            <w:vAlign w:val="bottom"/>
          </w:tcPr>
          <w:p>
            <w:pPr>
              <w:jc w:val="center"/>
              <w:ind w:right="250"/>
              <w:spacing w:after="0"/>
              <w:rPr>
                <w:sz w:val="20"/>
                <w:szCs w:val="20"/>
                <w:color w:val="auto"/>
              </w:rPr>
            </w:pPr>
            <w:r>
              <w:rPr>
                <w:rFonts w:ascii="Arial" w:cs="Arial" w:eastAsia="Arial" w:hAnsi="Arial"/>
                <w:sz w:val="18"/>
                <w:szCs w:val="18"/>
                <w:b w:val="1"/>
                <w:bCs w:val="1"/>
                <w:color w:val="auto"/>
                <w:w w:val="90"/>
              </w:rPr>
              <w:t>001-34785</w:t>
            </w:r>
          </w:p>
        </w:tc>
        <w:tc>
          <w:tcPr>
            <w:tcW w:w="1840" w:type="dxa"/>
            <w:vAlign w:val="bottom"/>
          </w:tcPr>
          <w:p>
            <w:pPr>
              <w:jc w:val="right"/>
              <w:ind w:right="130"/>
              <w:spacing w:after="0"/>
              <w:rPr>
                <w:sz w:val="20"/>
                <w:szCs w:val="20"/>
                <w:color w:val="auto"/>
              </w:rPr>
            </w:pPr>
            <w:r>
              <w:rPr>
                <w:rFonts w:ascii="Arial" w:cs="Arial" w:eastAsia="Arial" w:hAnsi="Arial"/>
                <w:sz w:val="18"/>
                <w:szCs w:val="18"/>
                <w:b w:val="1"/>
                <w:bCs w:val="1"/>
                <w:color w:val="auto"/>
              </w:rPr>
              <w:t>20-4988129</w:t>
            </w:r>
          </w:p>
        </w:tc>
      </w:tr>
      <w:tr>
        <w:trPr>
          <w:trHeight w:val="216"/>
        </w:trPr>
        <w:tc>
          <w:tcPr>
            <w:tcW w:w="2960" w:type="dxa"/>
            <w:vAlign w:val="bottom"/>
          </w:tcPr>
          <w:p>
            <w:pPr>
              <w:jc w:val="center"/>
              <w:ind w:right="30"/>
              <w:spacing w:after="0"/>
              <w:rPr>
                <w:sz w:val="20"/>
                <w:szCs w:val="20"/>
                <w:color w:val="auto"/>
              </w:rPr>
            </w:pPr>
            <w:r>
              <w:rPr>
                <w:rFonts w:ascii="Arial" w:cs="Arial" w:eastAsia="Arial" w:hAnsi="Arial"/>
                <w:sz w:val="18"/>
                <w:szCs w:val="18"/>
                <w:color w:val="auto"/>
                <w:w w:val="92"/>
              </w:rPr>
              <w:t>(State or other jurisdiction of</w:t>
            </w:r>
          </w:p>
        </w:tc>
        <w:tc>
          <w:tcPr>
            <w:tcW w:w="5040" w:type="dxa"/>
            <w:vAlign w:val="bottom"/>
          </w:tcPr>
          <w:p>
            <w:pPr>
              <w:jc w:val="center"/>
              <w:ind w:right="250"/>
              <w:spacing w:after="0"/>
              <w:rPr>
                <w:sz w:val="20"/>
                <w:szCs w:val="20"/>
                <w:color w:val="auto"/>
              </w:rPr>
            </w:pPr>
            <w:r>
              <w:rPr>
                <w:rFonts w:ascii="Arial" w:cs="Arial" w:eastAsia="Arial" w:hAnsi="Arial"/>
                <w:sz w:val="18"/>
                <w:szCs w:val="18"/>
                <w:color w:val="auto"/>
                <w:w w:val="93"/>
              </w:rPr>
              <w:t>(Commission File</w:t>
            </w:r>
          </w:p>
        </w:tc>
        <w:tc>
          <w:tcPr>
            <w:tcW w:w="1840" w:type="dxa"/>
            <w:vAlign w:val="bottom"/>
          </w:tcPr>
          <w:p>
            <w:pPr>
              <w:jc w:val="center"/>
              <w:ind w:left="410"/>
              <w:spacing w:after="0"/>
              <w:rPr>
                <w:sz w:val="20"/>
                <w:szCs w:val="20"/>
                <w:color w:val="auto"/>
              </w:rPr>
            </w:pPr>
            <w:r>
              <w:rPr>
                <w:rFonts w:ascii="Arial" w:cs="Arial" w:eastAsia="Arial" w:hAnsi="Arial"/>
                <w:sz w:val="18"/>
                <w:szCs w:val="18"/>
                <w:color w:val="auto"/>
                <w:w w:val="93"/>
              </w:rPr>
              <w:t>(IRS Employer</w:t>
            </w:r>
          </w:p>
        </w:tc>
      </w:tr>
      <w:tr>
        <w:trPr>
          <w:trHeight w:val="230"/>
        </w:trPr>
        <w:tc>
          <w:tcPr>
            <w:tcW w:w="2960" w:type="dxa"/>
            <w:vAlign w:val="bottom"/>
          </w:tcPr>
          <w:p>
            <w:pPr>
              <w:jc w:val="center"/>
              <w:ind w:right="30"/>
              <w:spacing w:after="0"/>
              <w:rPr>
                <w:sz w:val="20"/>
                <w:szCs w:val="20"/>
                <w:color w:val="auto"/>
              </w:rPr>
            </w:pPr>
            <w:r>
              <w:rPr>
                <w:rFonts w:ascii="Arial" w:cs="Arial" w:eastAsia="Arial" w:hAnsi="Arial"/>
                <w:sz w:val="18"/>
                <w:szCs w:val="18"/>
                <w:color w:val="auto"/>
                <w:w w:val="94"/>
              </w:rPr>
              <w:t>incorporation)</w:t>
            </w:r>
          </w:p>
        </w:tc>
        <w:tc>
          <w:tcPr>
            <w:tcW w:w="5040" w:type="dxa"/>
            <w:vAlign w:val="bottom"/>
          </w:tcPr>
          <w:p>
            <w:pPr>
              <w:jc w:val="center"/>
              <w:ind w:right="250"/>
              <w:spacing w:after="0"/>
              <w:rPr>
                <w:sz w:val="20"/>
                <w:szCs w:val="20"/>
                <w:color w:val="auto"/>
              </w:rPr>
            </w:pPr>
            <w:r>
              <w:rPr>
                <w:rFonts w:ascii="Arial" w:cs="Arial" w:eastAsia="Arial" w:hAnsi="Arial"/>
                <w:sz w:val="18"/>
                <w:szCs w:val="18"/>
                <w:color w:val="auto"/>
                <w:w w:val="94"/>
              </w:rPr>
              <w:t>Number)</w:t>
            </w:r>
          </w:p>
        </w:tc>
        <w:tc>
          <w:tcPr>
            <w:tcW w:w="1840" w:type="dxa"/>
            <w:vAlign w:val="bottom"/>
          </w:tcPr>
          <w:p>
            <w:pPr>
              <w:jc w:val="center"/>
              <w:ind w:left="410"/>
              <w:spacing w:after="0"/>
              <w:rPr>
                <w:sz w:val="20"/>
                <w:szCs w:val="20"/>
                <w:color w:val="auto"/>
              </w:rPr>
            </w:pPr>
            <w:r>
              <w:rPr>
                <w:rFonts w:ascii="Arial" w:cs="Arial" w:eastAsia="Arial" w:hAnsi="Arial"/>
                <w:sz w:val="18"/>
                <w:szCs w:val="18"/>
                <w:color w:val="auto"/>
                <w:w w:val="95"/>
              </w:rPr>
              <w:t>Identification No.)</w:t>
            </w:r>
          </w:p>
        </w:tc>
      </w:tr>
      <w:tr>
        <w:trPr>
          <w:trHeight w:val="454"/>
        </w:trPr>
        <w:tc>
          <w:tcPr>
            <w:tcW w:w="296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780 Third Avenue, 12</w:t>
            </w:r>
            <w:r>
              <w:rPr>
                <w:rFonts w:ascii="Arial" w:cs="Arial" w:eastAsia="Arial" w:hAnsi="Arial"/>
                <w:sz w:val="30"/>
                <w:szCs w:val="30"/>
                <w:b w:val="1"/>
                <w:bCs w:val="1"/>
                <w:color w:val="auto"/>
                <w:w w:val="89"/>
                <w:vertAlign w:val="superscript"/>
              </w:rPr>
              <w:t>th</w:t>
            </w:r>
            <w:r>
              <w:rPr>
                <w:rFonts w:ascii="Arial" w:cs="Arial" w:eastAsia="Arial" w:hAnsi="Arial"/>
                <w:sz w:val="18"/>
                <w:szCs w:val="18"/>
                <w:b w:val="1"/>
                <w:bCs w:val="1"/>
                <w:color w:val="auto"/>
                <w:w w:val="89"/>
              </w:rPr>
              <w:t xml:space="preserve"> Floor</w:t>
            </w:r>
          </w:p>
        </w:tc>
        <w:tc>
          <w:tcPr>
            <w:tcW w:w="504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20"/>
        </w:trPr>
        <w:tc>
          <w:tcPr>
            <w:tcW w:w="2960" w:type="dxa"/>
            <w:vAlign w:val="bottom"/>
          </w:tcPr>
          <w:p>
            <w:pPr>
              <w:jc w:val="center"/>
              <w:ind w:right="50"/>
              <w:spacing w:after="0"/>
              <w:rPr>
                <w:sz w:val="20"/>
                <w:szCs w:val="20"/>
                <w:color w:val="auto"/>
              </w:rPr>
            </w:pPr>
            <w:r>
              <w:rPr>
                <w:rFonts w:ascii="Arial" w:cs="Arial" w:eastAsia="Arial" w:hAnsi="Arial"/>
                <w:sz w:val="18"/>
                <w:szCs w:val="18"/>
                <w:b w:val="1"/>
                <w:bCs w:val="1"/>
                <w:color w:val="auto"/>
                <w:w w:val="93"/>
              </w:rPr>
              <w:t>New York, New York</w:t>
            </w:r>
          </w:p>
        </w:tc>
        <w:tc>
          <w:tcPr>
            <w:tcW w:w="5040" w:type="dxa"/>
            <w:vAlign w:val="bottom"/>
          </w:tcPr>
          <w:p>
            <w:pPr>
              <w:spacing w:after="0"/>
              <w:rPr>
                <w:sz w:val="19"/>
                <w:szCs w:val="19"/>
                <w:color w:val="auto"/>
              </w:rPr>
            </w:pPr>
          </w:p>
        </w:tc>
        <w:tc>
          <w:tcPr>
            <w:tcW w:w="1840" w:type="dxa"/>
            <w:vAlign w:val="bottom"/>
          </w:tcPr>
          <w:p>
            <w:pPr>
              <w:jc w:val="right"/>
              <w:ind w:right="350"/>
              <w:spacing w:after="0"/>
              <w:rPr>
                <w:sz w:val="20"/>
                <w:szCs w:val="20"/>
                <w:color w:val="auto"/>
              </w:rPr>
            </w:pPr>
            <w:r>
              <w:rPr>
                <w:rFonts w:ascii="Arial" w:cs="Arial" w:eastAsia="Arial" w:hAnsi="Arial"/>
                <w:sz w:val="18"/>
                <w:szCs w:val="18"/>
                <w:b w:val="1"/>
                <w:bCs w:val="1"/>
                <w:color w:val="auto"/>
              </w:rPr>
              <w:t>10017</w:t>
            </w:r>
          </w:p>
        </w:tc>
      </w:tr>
      <w:tr>
        <w:trPr>
          <w:trHeight w:val="230"/>
        </w:trPr>
        <w:tc>
          <w:tcPr>
            <w:tcW w:w="2960" w:type="dxa"/>
            <w:vAlign w:val="bottom"/>
          </w:tcPr>
          <w:p>
            <w:pPr>
              <w:jc w:val="center"/>
              <w:ind w:right="30"/>
              <w:spacing w:after="0"/>
              <w:rPr>
                <w:sz w:val="20"/>
                <w:szCs w:val="20"/>
                <w:color w:val="auto"/>
              </w:rPr>
            </w:pPr>
            <w:r>
              <w:rPr>
                <w:rFonts w:ascii="Arial" w:cs="Arial" w:eastAsia="Arial" w:hAnsi="Arial"/>
                <w:sz w:val="18"/>
                <w:szCs w:val="18"/>
                <w:color w:val="auto"/>
                <w:w w:val="92"/>
              </w:rPr>
              <w:t>(Address of principal executive offices)</w:t>
            </w:r>
          </w:p>
        </w:tc>
        <w:tc>
          <w:tcPr>
            <w:tcW w:w="5040" w:type="dxa"/>
            <w:vAlign w:val="bottom"/>
          </w:tcPr>
          <w:p>
            <w:pPr>
              <w:spacing w:after="0"/>
              <w:rPr>
                <w:sz w:val="20"/>
                <w:szCs w:val="20"/>
                <w:color w:val="auto"/>
              </w:rPr>
            </w:pPr>
          </w:p>
        </w:tc>
        <w:tc>
          <w:tcPr>
            <w:tcW w:w="1840" w:type="dxa"/>
            <w:vAlign w:val="bottom"/>
          </w:tcPr>
          <w:p>
            <w:pPr>
              <w:jc w:val="center"/>
              <w:ind w:left="430"/>
              <w:spacing w:after="0"/>
              <w:rPr>
                <w:sz w:val="20"/>
                <w:szCs w:val="20"/>
                <w:color w:val="auto"/>
              </w:rPr>
            </w:pPr>
            <w:r>
              <w:rPr>
                <w:rFonts w:ascii="Arial" w:cs="Arial" w:eastAsia="Arial" w:hAnsi="Arial"/>
                <w:sz w:val="18"/>
                <w:szCs w:val="18"/>
                <w:color w:val="auto"/>
                <w:w w:val="94"/>
              </w:rPr>
              <w:t>(Zip Code)</w:t>
            </w:r>
          </w:p>
        </w:tc>
      </w:tr>
      <w:tr>
        <w:trPr>
          <w:trHeight w:val="418"/>
        </w:trPr>
        <w:tc>
          <w:tcPr>
            <w:tcW w:w="2960" w:type="dxa"/>
            <w:vAlign w:val="bottom"/>
          </w:tcPr>
          <w:p>
            <w:pPr>
              <w:spacing w:after="0"/>
              <w:rPr>
                <w:sz w:val="24"/>
                <w:szCs w:val="24"/>
                <w:color w:val="auto"/>
              </w:rPr>
            </w:pPr>
          </w:p>
        </w:tc>
        <w:tc>
          <w:tcPr>
            <w:tcW w:w="5040" w:type="dxa"/>
            <w:vAlign w:val="bottom"/>
          </w:tcPr>
          <w:p>
            <w:pPr>
              <w:jc w:val="center"/>
              <w:ind w:right="270"/>
              <w:spacing w:after="0"/>
              <w:rPr>
                <w:sz w:val="20"/>
                <w:szCs w:val="20"/>
                <w:color w:val="auto"/>
              </w:rPr>
            </w:pPr>
            <w:r>
              <w:rPr>
                <w:rFonts w:ascii="Arial" w:cs="Arial" w:eastAsia="Arial" w:hAnsi="Arial"/>
                <w:sz w:val="18"/>
                <w:szCs w:val="18"/>
                <w:b w:val="1"/>
                <w:bCs w:val="1"/>
                <w:color w:val="auto"/>
                <w:w w:val="90"/>
              </w:rPr>
              <w:t>(646) 525-4319</w:t>
            </w:r>
          </w:p>
        </w:tc>
        <w:tc>
          <w:tcPr>
            <w:tcW w:w="1840" w:type="dxa"/>
            <w:vAlign w:val="bottom"/>
          </w:tcPr>
          <w:p>
            <w:pPr>
              <w:spacing w:after="0"/>
              <w:rPr>
                <w:sz w:val="24"/>
                <w:szCs w:val="24"/>
                <w:color w:val="auto"/>
              </w:rPr>
            </w:pPr>
          </w:p>
        </w:tc>
      </w:tr>
      <w:tr>
        <w:trPr>
          <w:trHeight w:val="230"/>
        </w:trPr>
        <w:tc>
          <w:tcPr>
            <w:tcW w:w="2960" w:type="dxa"/>
            <w:vAlign w:val="bottom"/>
          </w:tcPr>
          <w:p>
            <w:pPr>
              <w:spacing w:after="0"/>
              <w:rPr>
                <w:sz w:val="20"/>
                <w:szCs w:val="20"/>
                <w:color w:val="auto"/>
              </w:rPr>
            </w:pPr>
          </w:p>
        </w:tc>
        <w:tc>
          <w:tcPr>
            <w:tcW w:w="5040" w:type="dxa"/>
            <w:vAlign w:val="bottom"/>
          </w:tcPr>
          <w:p>
            <w:pPr>
              <w:jc w:val="center"/>
              <w:ind w:right="290"/>
              <w:spacing w:after="0"/>
              <w:rPr>
                <w:sz w:val="20"/>
                <w:szCs w:val="20"/>
                <w:color w:val="auto"/>
              </w:rPr>
            </w:pPr>
            <w:r>
              <w:rPr>
                <w:rFonts w:ascii="Arial" w:cs="Arial" w:eastAsia="Arial" w:hAnsi="Arial"/>
                <w:sz w:val="18"/>
                <w:szCs w:val="18"/>
                <w:color w:val="auto"/>
                <w:w w:val="89"/>
              </w:rPr>
              <w:t>Registrant’s telephone number, including area code</w:t>
            </w:r>
          </w:p>
        </w:tc>
        <w:tc>
          <w:tcPr>
            <w:tcW w:w="1840" w:type="dxa"/>
            <w:vAlign w:val="bottom"/>
          </w:tcPr>
          <w:p>
            <w:pPr>
              <w:spacing w:after="0"/>
              <w:rPr>
                <w:sz w:val="20"/>
                <w:szCs w:val="20"/>
                <w:color w:val="auto"/>
              </w:rPr>
            </w:pPr>
          </w:p>
        </w:tc>
      </w:tr>
      <w:tr>
        <w:trPr>
          <w:trHeight w:val="418"/>
        </w:trPr>
        <w:tc>
          <w:tcPr>
            <w:tcW w:w="2960" w:type="dxa"/>
            <w:vAlign w:val="bottom"/>
          </w:tcPr>
          <w:p>
            <w:pPr>
              <w:spacing w:after="0"/>
              <w:rPr>
                <w:sz w:val="24"/>
                <w:szCs w:val="24"/>
                <w:color w:val="auto"/>
              </w:rPr>
            </w:pPr>
          </w:p>
        </w:tc>
        <w:tc>
          <w:tcPr>
            <w:tcW w:w="5040" w:type="dxa"/>
            <w:vAlign w:val="bottom"/>
          </w:tcPr>
          <w:p>
            <w:pPr>
              <w:ind w:left="1760"/>
              <w:spacing w:after="0"/>
              <w:rPr>
                <w:sz w:val="20"/>
                <w:szCs w:val="20"/>
                <w:color w:val="auto"/>
              </w:rPr>
            </w:pPr>
            <w:r>
              <w:rPr>
                <w:rFonts w:ascii="Arial" w:cs="Arial" w:eastAsia="Arial" w:hAnsi="Arial"/>
                <w:sz w:val="18"/>
                <w:szCs w:val="18"/>
                <w:b w:val="1"/>
                <w:bCs w:val="1"/>
                <w:color w:val="auto"/>
              </w:rPr>
              <w:t>Not applicable</w:t>
            </w:r>
          </w:p>
        </w:tc>
        <w:tc>
          <w:tcPr>
            <w:tcW w:w="1840" w:type="dxa"/>
            <w:vAlign w:val="bottom"/>
          </w:tcPr>
          <w:p>
            <w:pPr>
              <w:spacing w:after="0"/>
              <w:rPr>
                <w:sz w:val="24"/>
                <w:szCs w:val="24"/>
                <w:color w:val="auto"/>
              </w:rPr>
            </w:pPr>
          </w:p>
        </w:tc>
      </w:tr>
      <w:tr>
        <w:trPr>
          <w:trHeight w:val="230"/>
        </w:trPr>
        <w:tc>
          <w:tcPr>
            <w:tcW w:w="2960" w:type="dxa"/>
            <w:vAlign w:val="bottom"/>
          </w:tcPr>
          <w:p>
            <w:pPr>
              <w:spacing w:after="0"/>
              <w:rPr>
                <w:sz w:val="20"/>
                <w:szCs w:val="20"/>
                <w:color w:val="auto"/>
              </w:rPr>
            </w:pPr>
          </w:p>
        </w:tc>
        <w:tc>
          <w:tcPr>
            <w:tcW w:w="5040" w:type="dxa"/>
            <w:vAlign w:val="bottom"/>
          </w:tcPr>
          <w:p>
            <w:pPr>
              <w:jc w:val="center"/>
              <w:ind w:right="290"/>
              <w:spacing w:after="0"/>
              <w:rPr>
                <w:sz w:val="20"/>
                <w:szCs w:val="20"/>
                <w:color w:val="auto"/>
              </w:rPr>
            </w:pPr>
            <w:r>
              <w:rPr>
                <w:rFonts w:ascii="Arial" w:cs="Arial" w:eastAsia="Arial" w:hAnsi="Arial"/>
                <w:sz w:val="18"/>
                <w:szCs w:val="18"/>
                <w:color w:val="auto"/>
                <w:w w:val="89"/>
              </w:rPr>
              <w:t>(Former name or former address, if changed since last report)</w:t>
            </w:r>
          </w:p>
        </w:tc>
        <w:tc>
          <w:tcPr>
            <w:tcW w:w="184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171450</wp:posOffset>
            </wp:positionV>
            <wp:extent cx="18097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o</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06"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jc w:val="both"/>
        <w:ind w:firstLine="881"/>
        <w:spacing w:after="0" w:line="253" w:lineRule="auto"/>
        <w:rPr>
          <w:sz w:val="20"/>
          <w:szCs w:val="20"/>
          <w:color w:val="auto"/>
        </w:rPr>
      </w:pPr>
      <w:r>
        <w:rPr>
          <w:rFonts w:ascii="Arial" w:cs="Arial" w:eastAsia="Arial" w:hAnsi="Arial"/>
          <w:sz w:val="18"/>
          <w:szCs w:val="18"/>
          <w:color w:val="auto"/>
        </w:rPr>
        <w:t>On July 26, 2017, FORM Holdings Corp. (the “</w:t>
      </w:r>
      <w:r>
        <w:rPr>
          <w:rFonts w:ascii="Arial" w:cs="Arial" w:eastAsia="Arial" w:hAnsi="Arial"/>
          <w:sz w:val="18"/>
          <w:szCs w:val="18"/>
          <w:u w:val="single" w:color="auto"/>
          <w:color w:val="auto"/>
        </w:rPr>
        <w:t>Company</w:t>
      </w:r>
      <w:r>
        <w:rPr>
          <w:rFonts w:ascii="Arial" w:cs="Arial" w:eastAsia="Arial" w:hAnsi="Arial"/>
          <w:sz w:val="18"/>
          <w:szCs w:val="18"/>
          <w:color w:val="auto"/>
        </w:rPr>
        <w:t>”) entered into an underwriting agreement (the “</w:t>
      </w:r>
      <w:r>
        <w:rPr>
          <w:rFonts w:ascii="Arial" w:cs="Arial" w:eastAsia="Arial" w:hAnsi="Arial"/>
          <w:sz w:val="18"/>
          <w:szCs w:val="18"/>
          <w:u w:val="single" w:color="auto"/>
          <w:color w:val="auto"/>
        </w:rPr>
        <w:t>Underwriting Agreement</w:t>
      </w:r>
      <w:r>
        <w:rPr>
          <w:rFonts w:ascii="Arial" w:cs="Arial" w:eastAsia="Arial" w:hAnsi="Arial"/>
          <w:sz w:val="18"/>
          <w:szCs w:val="18"/>
          <w:color w:val="auto"/>
        </w:rPr>
        <w:t>”) with Roth Capital Partners, LLC, acting as the representative of the several underwriters named therein (collectively, the “</w:t>
      </w:r>
      <w:r>
        <w:rPr>
          <w:rFonts w:ascii="Arial" w:cs="Arial" w:eastAsia="Arial" w:hAnsi="Arial"/>
          <w:sz w:val="18"/>
          <w:szCs w:val="18"/>
          <w:u w:val="single" w:color="auto"/>
          <w:color w:val="auto"/>
        </w:rPr>
        <w:t>Underwriters</w:t>
      </w:r>
      <w:r>
        <w:rPr>
          <w:rFonts w:ascii="Arial" w:cs="Arial" w:eastAsia="Arial" w:hAnsi="Arial"/>
          <w:sz w:val="18"/>
          <w:szCs w:val="18"/>
          <w:color w:val="auto"/>
        </w:rPr>
        <w:t>”), relating to the issuance and sale (the “</w:t>
      </w:r>
      <w:r>
        <w:rPr>
          <w:rFonts w:ascii="Arial" w:cs="Arial" w:eastAsia="Arial" w:hAnsi="Arial"/>
          <w:sz w:val="18"/>
          <w:szCs w:val="18"/>
          <w:u w:val="single" w:color="auto"/>
          <w:color w:val="auto"/>
        </w:rPr>
        <w:t>Offering</w:t>
      </w:r>
      <w:r>
        <w:rPr>
          <w:rFonts w:ascii="Arial" w:cs="Arial" w:eastAsia="Arial" w:hAnsi="Arial"/>
          <w:sz w:val="18"/>
          <w:szCs w:val="18"/>
          <w:color w:val="auto"/>
        </w:rPr>
        <w:t>”) of 6,000,000 shares of the Company’s common stock, par value $0.01 per share (“</w:t>
      </w:r>
      <w:r>
        <w:rPr>
          <w:rFonts w:ascii="Arial" w:cs="Arial" w:eastAsia="Arial" w:hAnsi="Arial"/>
          <w:sz w:val="18"/>
          <w:szCs w:val="18"/>
          <w:u w:val="single" w:color="auto"/>
          <w:color w:val="auto"/>
        </w:rPr>
        <w:t>Common Stock</w:t>
      </w:r>
      <w:r>
        <w:rPr>
          <w:rFonts w:ascii="Arial" w:cs="Arial" w:eastAsia="Arial" w:hAnsi="Arial"/>
          <w:sz w:val="18"/>
          <w:szCs w:val="18"/>
          <w:color w:val="auto"/>
        </w:rPr>
        <w:t>”), of the Company. The price to the public in the Offering is $1.10 per share, and the Underwriters have agreed to purchase the shares from the Company pursuant to the Underwriting Agreement at a purchase price of $1.023 per share (the “</w:t>
      </w:r>
      <w:r>
        <w:rPr>
          <w:rFonts w:ascii="Arial" w:cs="Arial" w:eastAsia="Arial" w:hAnsi="Arial"/>
          <w:sz w:val="18"/>
          <w:szCs w:val="18"/>
          <w:u w:val="single" w:color="auto"/>
          <w:color w:val="auto"/>
        </w:rPr>
        <w:t>Offering Price</w:t>
      </w:r>
      <w:r>
        <w:rPr>
          <w:rFonts w:ascii="Arial" w:cs="Arial" w:eastAsia="Arial" w:hAnsi="Arial"/>
          <w:sz w:val="18"/>
          <w:szCs w:val="18"/>
          <w:color w:val="auto"/>
        </w:rPr>
        <w:t>”). The net proceeds to the Company from the Offering are expected to be approximately $5.8 million after deducting underwriting discounts and commissions and other estimated offering expenses. Under the terms of the Underwriting Agreement, the Underwriters have an option, exercisable for 30 days, to purchase up to an additional 900,000 shares of the Common Stock at the Offering Price. All of the shares in the Offering are being sold by the Company. The Offering is expected to close on or about July 31, 2017, subject to satisfaction of customary closing conditions.</w:t>
      </w:r>
    </w:p>
    <w:p>
      <w:pPr>
        <w:spacing w:after="0" w:line="197" w:lineRule="exact"/>
        <w:rPr>
          <w:sz w:val="20"/>
          <w:szCs w:val="20"/>
          <w:color w:val="auto"/>
        </w:rPr>
      </w:pPr>
    </w:p>
    <w:p>
      <w:pPr>
        <w:jc w:val="both"/>
        <w:ind w:firstLine="881"/>
        <w:spacing w:after="0" w:line="264" w:lineRule="auto"/>
        <w:rPr>
          <w:sz w:val="20"/>
          <w:szCs w:val="20"/>
          <w:color w:val="auto"/>
        </w:rPr>
      </w:pPr>
      <w:r>
        <w:rPr>
          <w:rFonts w:ascii="Arial" w:cs="Arial" w:eastAsia="Arial" w:hAnsi="Arial"/>
          <w:sz w:val="18"/>
          <w:szCs w:val="18"/>
          <w:color w:val="auto"/>
        </w:rPr>
        <w:t>The shares will be issued pursuant to the Company’s shelf registration statement on Form S-3 (File No. 333-205303) which was declared effective by the Securities and Exchange Commission (the “</w:t>
      </w:r>
      <w:r>
        <w:rPr>
          <w:rFonts w:ascii="Arial" w:cs="Arial" w:eastAsia="Arial" w:hAnsi="Arial"/>
          <w:sz w:val="18"/>
          <w:szCs w:val="18"/>
          <w:u w:val="single" w:color="auto"/>
          <w:color w:val="auto"/>
        </w:rPr>
        <w:t>Commission</w:t>
      </w:r>
      <w:r>
        <w:rPr>
          <w:rFonts w:ascii="Arial" w:cs="Arial" w:eastAsia="Arial" w:hAnsi="Arial"/>
          <w:sz w:val="18"/>
          <w:szCs w:val="18"/>
          <w:color w:val="auto"/>
        </w:rPr>
        <w:t>”) on July 23, 2015 (the “</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A prospectus and prospectus supplement relating to the Offering have been filed with the Commission.</w:t>
      </w:r>
    </w:p>
    <w:p>
      <w:pPr>
        <w:spacing w:after="0" w:line="181" w:lineRule="exact"/>
        <w:rPr>
          <w:sz w:val="20"/>
          <w:szCs w:val="20"/>
          <w:color w:val="auto"/>
        </w:rPr>
      </w:pPr>
    </w:p>
    <w:p>
      <w:pPr>
        <w:jc w:val="both"/>
        <w:ind w:firstLine="881"/>
        <w:spacing w:after="0" w:line="291" w:lineRule="auto"/>
        <w:rPr>
          <w:sz w:val="20"/>
          <w:szCs w:val="20"/>
          <w:color w:val="auto"/>
        </w:rPr>
      </w:pPr>
      <w:r>
        <w:rPr>
          <w:rFonts w:ascii="Arial" w:cs="Arial" w:eastAsia="Arial" w:hAnsi="Arial"/>
          <w:sz w:val="16"/>
          <w:szCs w:val="16"/>
          <w:color w:val="auto"/>
        </w:rPr>
        <w:t>The Underwriting Agreement contains customary representations, warranties and agreements by the Company, customary conditions to closing, indemnification obligations of the Company and the Underwriters, including for liabilities arising under the Securities Act of 1933, as amended, other obligations of the parties and termination provisions. The representations, warranties and covenants contained in the Underwriting Agreement were made only for the purposes of such agreement and as of specific dates, were solely for the benefit of the parties to such agreement, and may be subject to limitations agreed upon by the contracting parties. The foregoing description of the terms of the Underwriting Agreement is qualified in its entirety by reference to the Underwriting Agreement, which is attached as Exhibit 1.1 hereto and incorporated by reference herein. A copy of the legal opinion of Mintz, Levin, Cohn, Ferris, Glovsky and Popeo, P.C. relating to the validity of the issuance and sale of the shares in the Offering is attached as Exhibit 5.1 hereto.</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On July 25, 2017, the Company issued a press release announcing the Offering and on July 26, 2017, the Company issues a press release announcing the pricing of the Offering. A copy of each press release is attached hereto as Exhibit 99.1 and Exhibit 99.2, respectively, and are incorporated herein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00" w:type="dxa"/>
            <w:vAlign w:val="bottom"/>
            <w:gridSpan w:val="2"/>
          </w:tcPr>
          <w:p>
            <w:pPr>
              <w:spacing w:after="0"/>
              <w:rPr>
                <w:sz w:val="20"/>
                <w:szCs w:val="20"/>
                <w:color w:val="auto"/>
              </w:rPr>
            </w:pPr>
            <w:r>
              <w:rPr>
                <w:rFonts w:ascii="Arial" w:cs="Arial" w:eastAsia="Arial" w:hAnsi="Arial"/>
                <w:sz w:val="18"/>
                <w:szCs w:val="18"/>
                <w:color w:val="auto"/>
              </w:rPr>
              <w:t>(d) Exhibits</w:t>
            </w:r>
          </w:p>
        </w:tc>
        <w:tc>
          <w:tcPr>
            <w:tcW w:w="840" w:type="dxa"/>
            <w:vAlign w:val="bottom"/>
          </w:tcPr>
          <w:p>
            <w:pPr>
              <w:spacing w:after="0"/>
              <w:rPr>
                <w:sz w:val="20"/>
                <w:szCs w:val="20"/>
                <w:color w:val="auto"/>
              </w:rPr>
            </w:pPr>
          </w:p>
        </w:tc>
        <w:tc>
          <w:tcPr>
            <w:tcW w:w="9280" w:type="dxa"/>
            <w:vAlign w:val="bottom"/>
          </w:tcPr>
          <w:p>
            <w:pPr>
              <w:spacing w:after="0"/>
              <w:rPr>
                <w:sz w:val="20"/>
                <w:szCs w:val="20"/>
                <w:color w:val="auto"/>
              </w:rPr>
            </w:pPr>
          </w:p>
        </w:tc>
      </w:tr>
      <w:tr>
        <w:trPr>
          <w:trHeight w:val="418"/>
        </w:trPr>
        <w:tc>
          <w:tcPr>
            <w:tcW w:w="130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840" w:type="dxa"/>
            <w:vAlign w:val="bottom"/>
          </w:tcPr>
          <w:p>
            <w:pPr>
              <w:spacing w:after="0"/>
              <w:rPr>
                <w:sz w:val="24"/>
                <w:szCs w:val="24"/>
                <w:color w:val="auto"/>
              </w:rPr>
            </w:pPr>
          </w:p>
        </w:tc>
        <w:tc>
          <w:tcPr>
            <w:tcW w:w="9280" w:type="dxa"/>
            <w:vAlign w:val="bottom"/>
          </w:tcPr>
          <w:p>
            <w:pPr>
              <w:spacing w:after="0"/>
              <w:rPr>
                <w:sz w:val="24"/>
                <w:szCs w:val="24"/>
                <w:color w:val="auto"/>
              </w:rPr>
            </w:pPr>
          </w:p>
        </w:tc>
      </w:tr>
      <w:tr>
        <w:trPr>
          <w:trHeight w:val="190"/>
        </w:trPr>
        <w:tc>
          <w:tcPr>
            <w:tcW w:w="600" w:type="dxa"/>
            <w:vAlign w:val="bottom"/>
          </w:tcPr>
          <w:p>
            <w:pPr>
              <w:spacing w:after="0" w:line="190" w:lineRule="exact"/>
              <w:rPr>
                <w:sz w:val="20"/>
                <w:szCs w:val="20"/>
                <w:color w:val="auto"/>
              </w:rPr>
            </w:pPr>
            <w:r>
              <w:rPr>
                <w:rFonts w:ascii="Arial" w:cs="Arial" w:eastAsia="Arial" w:hAnsi="Arial"/>
                <w:sz w:val="18"/>
                <w:szCs w:val="18"/>
                <w:color w:val="auto"/>
                <w:w w:val="90"/>
              </w:rPr>
              <w:t>Number</w:t>
            </w:r>
          </w:p>
        </w:tc>
        <w:tc>
          <w:tcPr>
            <w:tcW w:w="700" w:type="dxa"/>
            <w:vAlign w:val="bottom"/>
          </w:tcPr>
          <w:p>
            <w:pPr>
              <w:spacing w:after="0"/>
              <w:rPr>
                <w:sz w:val="16"/>
                <w:szCs w:val="16"/>
                <w:color w:val="auto"/>
              </w:rPr>
            </w:pPr>
          </w:p>
        </w:tc>
        <w:tc>
          <w:tcPr>
            <w:tcW w:w="10120" w:type="dxa"/>
            <w:vAlign w:val="bottom"/>
            <w:gridSpan w:val="2"/>
          </w:tcPr>
          <w:p>
            <w:pPr>
              <w:spacing w:after="0" w:line="190" w:lineRule="exact"/>
              <w:rPr>
                <w:sz w:val="20"/>
                <w:szCs w:val="20"/>
                <w:color w:val="auto"/>
              </w:rPr>
            </w:pPr>
            <w:r>
              <w:rPr>
                <w:rFonts w:ascii="Arial" w:cs="Arial" w:eastAsia="Arial" w:hAnsi="Arial"/>
                <w:sz w:val="18"/>
                <w:szCs w:val="18"/>
                <w:color w:val="auto"/>
              </w:rPr>
              <w:t>Description</w:t>
            </w:r>
          </w:p>
        </w:tc>
      </w:tr>
      <w:tr>
        <w:trPr>
          <w:trHeight w:val="20"/>
        </w:trPr>
        <w:tc>
          <w:tcPr>
            <w:tcW w:w="6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9280" w:type="dxa"/>
            <w:vAlign w:val="bottom"/>
          </w:tcPr>
          <w:p>
            <w:pPr>
              <w:spacing w:after="0" w:line="20" w:lineRule="exact"/>
              <w:rPr>
                <w:sz w:val="1"/>
                <w:szCs w:val="1"/>
                <w:color w:val="auto"/>
              </w:rPr>
            </w:pPr>
          </w:p>
        </w:tc>
      </w:tr>
      <w:tr>
        <w:trPr>
          <w:trHeight w:val="453"/>
        </w:trPr>
        <w:tc>
          <w:tcPr>
            <w:tcW w:w="600" w:type="dxa"/>
            <w:vAlign w:val="bottom"/>
          </w:tcPr>
          <w:p>
            <w:pPr>
              <w:spacing w:after="0"/>
              <w:rPr>
                <w:sz w:val="20"/>
                <w:szCs w:val="20"/>
                <w:color w:val="auto"/>
              </w:rPr>
            </w:pPr>
            <w:r>
              <w:rPr>
                <w:rFonts w:ascii="Arial" w:cs="Arial" w:eastAsia="Arial" w:hAnsi="Arial"/>
                <w:sz w:val="18"/>
                <w:szCs w:val="18"/>
                <w:color w:val="auto"/>
              </w:rPr>
              <w:t>1.1</w:t>
            </w:r>
          </w:p>
        </w:tc>
        <w:tc>
          <w:tcPr>
            <w:tcW w:w="700" w:type="dxa"/>
            <w:vAlign w:val="bottom"/>
          </w:tcPr>
          <w:p>
            <w:pPr>
              <w:spacing w:after="0"/>
              <w:rPr>
                <w:sz w:val="24"/>
                <w:szCs w:val="24"/>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rPr>
              <w:t>Underwriting Agreement, dated July 26, 2017, by and between the Company and Roth Capital Partners, LLC.</w:t>
            </w:r>
          </w:p>
        </w:tc>
      </w:tr>
      <w:tr>
        <w:trPr>
          <w:trHeight w:val="432"/>
        </w:trPr>
        <w:tc>
          <w:tcPr>
            <w:tcW w:w="600" w:type="dxa"/>
            <w:vAlign w:val="bottom"/>
          </w:tcPr>
          <w:p>
            <w:pPr>
              <w:spacing w:after="0"/>
              <w:rPr>
                <w:sz w:val="20"/>
                <w:szCs w:val="20"/>
                <w:color w:val="auto"/>
              </w:rPr>
            </w:pPr>
            <w:r>
              <w:rPr>
                <w:rFonts w:ascii="Arial" w:cs="Arial" w:eastAsia="Arial" w:hAnsi="Arial"/>
                <w:sz w:val="18"/>
                <w:szCs w:val="18"/>
                <w:color w:val="auto"/>
              </w:rPr>
              <w:t>5.1</w:t>
            </w:r>
          </w:p>
        </w:tc>
        <w:tc>
          <w:tcPr>
            <w:tcW w:w="700" w:type="dxa"/>
            <w:vAlign w:val="bottom"/>
          </w:tcPr>
          <w:p>
            <w:pPr>
              <w:spacing w:after="0"/>
              <w:rPr>
                <w:sz w:val="24"/>
                <w:szCs w:val="24"/>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rPr>
              <w:t>Opinion of Mintz, Levin, Cohn, Ferris, Glovsky and Popeo, P.C.</w:t>
            </w:r>
          </w:p>
        </w:tc>
      </w:tr>
      <w:tr>
        <w:trPr>
          <w:trHeight w:val="432"/>
        </w:trPr>
        <w:tc>
          <w:tcPr>
            <w:tcW w:w="600" w:type="dxa"/>
            <w:vAlign w:val="bottom"/>
          </w:tcPr>
          <w:p>
            <w:pPr>
              <w:spacing w:after="0"/>
              <w:rPr>
                <w:sz w:val="20"/>
                <w:szCs w:val="20"/>
                <w:color w:val="auto"/>
              </w:rPr>
            </w:pPr>
            <w:r>
              <w:rPr>
                <w:rFonts w:ascii="Arial" w:cs="Arial" w:eastAsia="Arial" w:hAnsi="Arial"/>
                <w:sz w:val="18"/>
                <w:szCs w:val="18"/>
                <w:color w:val="auto"/>
              </w:rPr>
              <w:t>23.1</w:t>
            </w:r>
          </w:p>
        </w:tc>
        <w:tc>
          <w:tcPr>
            <w:tcW w:w="700" w:type="dxa"/>
            <w:vAlign w:val="bottom"/>
          </w:tcPr>
          <w:p>
            <w:pPr>
              <w:spacing w:after="0"/>
              <w:rPr>
                <w:sz w:val="24"/>
                <w:szCs w:val="24"/>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rPr>
              <w:t>Consent of Mintz, Levin, Cohn, Ferris, Glovsky and Popeo, P.C. (included in Exhibit 5.1 above).</w:t>
            </w:r>
          </w:p>
        </w:tc>
      </w:tr>
      <w:tr>
        <w:trPr>
          <w:trHeight w:val="432"/>
        </w:trPr>
        <w:tc>
          <w:tcPr>
            <w:tcW w:w="600" w:type="dxa"/>
            <w:vAlign w:val="bottom"/>
          </w:tcPr>
          <w:p>
            <w:pPr>
              <w:spacing w:after="0"/>
              <w:rPr>
                <w:sz w:val="20"/>
                <w:szCs w:val="20"/>
                <w:color w:val="auto"/>
              </w:rPr>
            </w:pPr>
            <w:r>
              <w:rPr>
                <w:rFonts w:ascii="Arial" w:cs="Arial" w:eastAsia="Arial" w:hAnsi="Arial"/>
                <w:sz w:val="18"/>
                <w:szCs w:val="18"/>
                <w:color w:val="auto"/>
              </w:rPr>
              <w:t>99.1</w:t>
            </w:r>
          </w:p>
        </w:tc>
        <w:tc>
          <w:tcPr>
            <w:tcW w:w="700" w:type="dxa"/>
            <w:vAlign w:val="bottom"/>
          </w:tcPr>
          <w:p>
            <w:pPr>
              <w:spacing w:after="0"/>
              <w:rPr>
                <w:sz w:val="24"/>
                <w:szCs w:val="24"/>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rPr>
              <w:t>Press Release of FORM Holdings Corp., dated July 25, 2017</w:t>
            </w:r>
          </w:p>
        </w:tc>
      </w:tr>
      <w:tr>
        <w:trPr>
          <w:trHeight w:val="432"/>
        </w:trPr>
        <w:tc>
          <w:tcPr>
            <w:tcW w:w="600" w:type="dxa"/>
            <w:vAlign w:val="bottom"/>
          </w:tcPr>
          <w:p>
            <w:pPr>
              <w:spacing w:after="0"/>
              <w:rPr>
                <w:sz w:val="20"/>
                <w:szCs w:val="20"/>
                <w:color w:val="auto"/>
              </w:rPr>
            </w:pPr>
            <w:r>
              <w:rPr>
                <w:rFonts w:ascii="Arial" w:cs="Arial" w:eastAsia="Arial" w:hAnsi="Arial"/>
                <w:sz w:val="18"/>
                <w:szCs w:val="18"/>
                <w:color w:val="auto"/>
              </w:rPr>
              <w:t>99.2</w:t>
            </w:r>
          </w:p>
        </w:tc>
        <w:tc>
          <w:tcPr>
            <w:tcW w:w="700" w:type="dxa"/>
            <w:vAlign w:val="bottom"/>
          </w:tcPr>
          <w:p>
            <w:pPr>
              <w:spacing w:after="0"/>
              <w:rPr>
                <w:sz w:val="24"/>
                <w:szCs w:val="24"/>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rPr>
              <w:t>Press Release of FORM Holdings Corp., dated July 26, 2017</w:t>
            </w:r>
          </w:p>
        </w:tc>
      </w:tr>
      <w:tr>
        <w:trPr>
          <w:trHeight w:val="702"/>
        </w:trPr>
        <w:tc>
          <w:tcPr>
            <w:tcW w:w="6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92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7720" w:type="dxa"/>
            <w:vAlign w:val="bottom"/>
            <w:gridSpan w:val="2"/>
          </w:tcPr>
          <w:p>
            <w:pPr>
              <w:ind w:left="2200"/>
              <w:spacing w:after="0"/>
              <w:rPr>
                <w:sz w:val="20"/>
                <w:szCs w:val="20"/>
                <w:color w:val="auto"/>
              </w:rPr>
            </w:pPr>
            <w:r>
              <w:rPr>
                <w:rFonts w:ascii="Arial" w:cs="Arial" w:eastAsia="Arial" w:hAnsi="Arial"/>
                <w:sz w:val="18"/>
                <w:szCs w:val="18"/>
                <w:b w:val="1"/>
                <w:bCs w:val="1"/>
                <w:color w:val="auto"/>
              </w:rPr>
              <w:t>FORM HOLDINGS CORP.</w:t>
            </w:r>
          </w:p>
        </w:tc>
      </w:tr>
      <w:tr>
        <w:trPr>
          <w:trHeight w:val="432"/>
        </w:trPr>
        <w:tc>
          <w:tcPr>
            <w:tcW w:w="3700" w:type="dxa"/>
            <w:vAlign w:val="bottom"/>
          </w:tcPr>
          <w:p>
            <w:pPr>
              <w:spacing w:after="0"/>
              <w:rPr>
                <w:sz w:val="20"/>
                <w:szCs w:val="20"/>
                <w:color w:val="auto"/>
              </w:rPr>
            </w:pPr>
            <w:r>
              <w:rPr>
                <w:rFonts w:ascii="Arial" w:cs="Arial" w:eastAsia="Arial" w:hAnsi="Arial"/>
                <w:sz w:val="18"/>
                <w:szCs w:val="18"/>
                <w:color w:val="auto"/>
              </w:rPr>
              <w:t>Dated: July 26, 2017</w:t>
            </w:r>
          </w:p>
        </w:tc>
        <w:tc>
          <w:tcPr>
            <w:tcW w:w="7720" w:type="dxa"/>
            <w:vAlign w:val="bottom"/>
            <w:gridSpan w:val="2"/>
          </w:tcPr>
          <w:p>
            <w:pPr>
              <w:ind w:left="2200"/>
              <w:spacing w:after="0"/>
              <w:rPr>
                <w:sz w:val="20"/>
                <w:szCs w:val="20"/>
                <w:color w:val="auto"/>
              </w:rPr>
            </w:pPr>
            <w:r>
              <w:rPr>
                <w:rFonts w:ascii="Arial" w:cs="Arial" w:eastAsia="Arial" w:hAnsi="Arial"/>
                <w:sz w:val="18"/>
                <w:szCs w:val="18"/>
                <w:color w:val="auto"/>
              </w:rPr>
              <w:t>By: /s/ Andrew D. Perlman</w:t>
            </w:r>
          </w:p>
        </w:tc>
      </w:tr>
      <w:tr>
        <w:trPr>
          <w:trHeight w:val="195"/>
        </w:trPr>
        <w:tc>
          <w:tcPr>
            <w:tcW w:w="370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5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Andrew D. Perlman</w:t>
            </w:r>
          </w:p>
        </w:tc>
      </w:tr>
      <w:tr>
        <w:trPr>
          <w:trHeight w:val="230"/>
        </w:trPr>
        <w:tc>
          <w:tcPr>
            <w:tcW w:w="370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Title:  Chief Executive Officer</w:t>
            </w:r>
          </w:p>
        </w:tc>
      </w:tr>
      <w:tr>
        <w:trPr>
          <w:trHeight w:val="675"/>
        </w:trPr>
        <w:tc>
          <w:tcPr>
            <w:tcW w:w="370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51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6,000,000 Shares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HOLDINGS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Stock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UNDERWRITING AGREEMENT</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July 26,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Roth Capital Partners,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888 San Clemente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Newport Beach, California 92660</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as Representative of the several</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Underwriters named in Schedule I hereto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FORM Holdings Corp.,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proposes, subject to the terms and conditions contained herein, to sell to Roth Capital Partners, LLC (“</w:t>
      </w:r>
      <w:r>
        <w:rPr>
          <w:rFonts w:ascii="Arial" w:cs="Arial" w:eastAsia="Arial" w:hAnsi="Arial"/>
          <w:sz w:val="18"/>
          <w:szCs w:val="18"/>
          <w:u w:val="single" w:color="auto"/>
          <w:color w:val="auto"/>
        </w:rPr>
        <w:t>Roth</w:t>
      </w:r>
      <w:r>
        <w:rPr>
          <w:rFonts w:ascii="Arial" w:cs="Arial" w:eastAsia="Arial" w:hAnsi="Arial"/>
          <w:sz w:val="18"/>
          <w:szCs w:val="18"/>
          <w:color w:val="auto"/>
        </w:rPr>
        <w:t>”) and the other underwriters named on Schedule I hereto (the “</w:t>
      </w:r>
      <w:r>
        <w:rPr>
          <w:rFonts w:ascii="Arial" w:cs="Arial" w:eastAsia="Arial" w:hAnsi="Arial"/>
          <w:sz w:val="18"/>
          <w:szCs w:val="18"/>
          <w:u w:val="single" w:color="auto"/>
          <w:color w:val="auto"/>
        </w:rPr>
        <w:t>Underwriters</w:t>
      </w:r>
      <w:r>
        <w:rPr>
          <w:rFonts w:ascii="Arial" w:cs="Arial" w:eastAsia="Arial" w:hAnsi="Arial"/>
          <w:sz w:val="18"/>
          <w:szCs w:val="18"/>
          <w:color w:val="auto"/>
        </w:rPr>
        <w:t>”), for whom Roth is acting as representative (the “</w:t>
      </w:r>
      <w:r>
        <w:rPr>
          <w:rFonts w:ascii="Arial" w:cs="Arial" w:eastAsia="Arial" w:hAnsi="Arial"/>
          <w:sz w:val="18"/>
          <w:szCs w:val="18"/>
          <w:u w:val="single" w:color="auto"/>
          <w:color w:val="auto"/>
        </w:rPr>
        <w:t>Representative</w:t>
      </w:r>
      <w:r>
        <w:rPr>
          <w:rFonts w:ascii="Arial" w:cs="Arial" w:eastAsia="Arial" w:hAnsi="Arial"/>
          <w:sz w:val="18"/>
          <w:szCs w:val="18"/>
          <w:color w:val="auto"/>
        </w:rPr>
        <w:t>”), an aggregate of 6,000,000 shares (the “</w:t>
      </w:r>
      <w:r>
        <w:rPr>
          <w:rFonts w:ascii="Arial" w:cs="Arial" w:eastAsia="Arial" w:hAnsi="Arial"/>
          <w:sz w:val="18"/>
          <w:szCs w:val="18"/>
          <w:u w:val="single" w:color="auto"/>
          <w:color w:val="auto"/>
        </w:rPr>
        <w:t>Firm Shares</w:t>
      </w:r>
      <w:r>
        <w:rPr>
          <w:rFonts w:ascii="Arial" w:cs="Arial" w:eastAsia="Arial" w:hAnsi="Arial"/>
          <w:sz w:val="18"/>
          <w:szCs w:val="18"/>
          <w:color w:val="auto"/>
        </w:rPr>
        <w:t>”) of the Company’s common stock, $0.01 par value per share (the “</w:t>
      </w:r>
      <w:r>
        <w:rPr>
          <w:rFonts w:ascii="Arial" w:cs="Arial" w:eastAsia="Arial" w:hAnsi="Arial"/>
          <w:sz w:val="18"/>
          <w:szCs w:val="18"/>
          <w:u w:val="single" w:color="auto"/>
          <w:color w:val="auto"/>
        </w:rPr>
        <w:t>Common</w:t>
      </w:r>
      <w:r>
        <w:rPr>
          <w:rFonts w:ascii="Arial" w:cs="Arial" w:eastAsia="Arial" w:hAnsi="Arial"/>
          <w:sz w:val="18"/>
          <w:szCs w:val="18"/>
          <w:color w:val="auto"/>
        </w:rPr>
        <w:t xml:space="preserve"> </w:t>
      </w:r>
      <w:r>
        <w:rPr>
          <w:rFonts w:ascii="Arial" w:cs="Arial" w:eastAsia="Arial" w:hAnsi="Arial"/>
          <w:sz w:val="18"/>
          <w:szCs w:val="18"/>
          <w:u w:val="single" w:color="auto"/>
          <w:color w:val="auto"/>
        </w:rPr>
        <w:t>Stock</w:t>
      </w:r>
      <w:r>
        <w:rPr>
          <w:rFonts w:ascii="Arial" w:cs="Arial" w:eastAsia="Arial" w:hAnsi="Arial"/>
          <w:sz w:val="18"/>
          <w:szCs w:val="18"/>
          <w:color w:val="auto"/>
        </w:rPr>
        <w:t>”). The respective amounts of the Firm Shares to be purchased by each of the several Underwriters are set forth opposite their names on Schedule I hereto. In addition, the Company proposes to grant to the Underwriters an option to purchase up to an additional 900,000 shares (the “</w:t>
      </w:r>
      <w:r>
        <w:rPr>
          <w:rFonts w:ascii="Arial" w:cs="Arial" w:eastAsia="Arial" w:hAnsi="Arial"/>
          <w:sz w:val="18"/>
          <w:szCs w:val="18"/>
          <w:u w:val="single" w:color="auto"/>
          <w:color w:val="auto"/>
        </w:rPr>
        <w:t>Option Shares</w:t>
      </w:r>
      <w:r>
        <w:rPr>
          <w:rFonts w:ascii="Arial" w:cs="Arial" w:eastAsia="Arial" w:hAnsi="Arial"/>
          <w:sz w:val="18"/>
          <w:szCs w:val="18"/>
          <w:color w:val="auto"/>
        </w:rPr>
        <w:t>”) of Common Stock for the purpose of covering over-allotments in connection with the sale of the Firm Shares. The Firm Shares and the Option Shares are collectively called the “</w:t>
      </w:r>
      <w:r>
        <w:rPr>
          <w:rFonts w:ascii="Arial" w:cs="Arial" w:eastAsia="Arial" w:hAnsi="Arial"/>
          <w:sz w:val="18"/>
          <w:szCs w:val="18"/>
          <w:u w:val="single" w:color="auto"/>
          <w:color w:val="auto"/>
        </w:rPr>
        <w:t>Shares</w:t>
      </w:r>
      <w:r>
        <w:rPr>
          <w:rFonts w:ascii="Arial" w:cs="Arial" w:eastAsia="Arial" w:hAnsi="Arial"/>
          <w:sz w:val="18"/>
          <w:szCs w:val="18"/>
          <w:color w:val="auto"/>
        </w:rPr>
        <w:t>.”</w:t>
      </w:r>
    </w:p>
    <w:p>
      <w:pPr>
        <w:spacing w:after="0" w:line="189" w:lineRule="exact"/>
        <w:rPr>
          <w:sz w:val="20"/>
          <w:szCs w:val="20"/>
          <w:color w:val="auto"/>
        </w:rPr>
      </w:pPr>
    </w:p>
    <w:p>
      <w:pPr>
        <w:jc w:val="both"/>
        <w:ind w:firstLine="1297"/>
        <w:spacing w:after="0" w:line="272" w:lineRule="auto"/>
        <w:rPr>
          <w:sz w:val="20"/>
          <w:szCs w:val="20"/>
          <w:color w:val="auto"/>
        </w:rPr>
      </w:pPr>
      <w:r>
        <w:rPr>
          <w:rFonts w:ascii="Arial" w:cs="Arial" w:eastAsia="Arial" w:hAnsi="Arial"/>
          <w:sz w:val="17"/>
          <w:szCs w:val="17"/>
          <w:color w:val="auto"/>
        </w:rPr>
        <w:t>The Company has prepared and filed in conformity with the requirements of the Securities Act of 1933, as amended (the “</w:t>
      </w:r>
      <w:r>
        <w:rPr>
          <w:rFonts w:ascii="Arial" w:cs="Arial" w:eastAsia="Arial" w:hAnsi="Arial"/>
          <w:sz w:val="17"/>
          <w:szCs w:val="17"/>
          <w:u w:val="single" w:color="auto"/>
          <w:color w:val="auto"/>
        </w:rPr>
        <w:t>Securities Act</w:t>
      </w:r>
      <w:r>
        <w:rPr>
          <w:rFonts w:ascii="Arial" w:cs="Arial" w:eastAsia="Arial" w:hAnsi="Arial"/>
          <w:sz w:val="17"/>
          <w:szCs w:val="17"/>
          <w:color w:val="auto"/>
        </w:rPr>
        <w:t>”), and the published rules and regulations thereunder (the “</w:t>
      </w:r>
      <w:r>
        <w:rPr>
          <w:rFonts w:ascii="Arial" w:cs="Arial" w:eastAsia="Arial" w:hAnsi="Arial"/>
          <w:sz w:val="17"/>
          <w:szCs w:val="17"/>
          <w:u w:val="single" w:color="auto"/>
          <w:color w:val="auto"/>
        </w:rPr>
        <w:t>Rules</w:t>
      </w:r>
      <w:r>
        <w:rPr>
          <w:rFonts w:ascii="Arial" w:cs="Arial" w:eastAsia="Arial" w:hAnsi="Arial"/>
          <w:sz w:val="17"/>
          <w:szCs w:val="17"/>
          <w:color w:val="auto"/>
        </w:rPr>
        <w:t>”) adopted by the Securities and Exchange Commission (the “</w:t>
      </w:r>
      <w:r>
        <w:rPr>
          <w:rFonts w:ascii="Arial" w:cs="Arial" w:eastAsia="Arial" w:hAnsi="Arial"/>
          <w:sz w:val="17"/>
          <w:szCs w:val="17"/>
          <w:u w:val="single" w:color="auto"/>
          <w:color w:val="auto"/>
        </w:rPr>
        <w:t>Commission</w:t>
      </w:r>
      <w:r>
        <w:rPr>
          <w:rFonts w:ascii="Arial" w:cs="Arial" w:eastAsia="Arial" w:hAnsi="Arial"/>
          <w:sz w:val="17"/>
          <w:szCs w:val="17"/>
          <w:color w:val="auto"/>
        </w:rPr>
        <w:t>”) a “shelf” registration statement on Form S-3 (No. 333-205303), which became effective as of July 23, 2015, including a base prospectus (the “</w:t>
      </w:r>
      <w:r>
        <w:rPr>
          <w:rFonts w:ascii="Arial" w:cs="Arial" w:eastAsia="Arial" w:hAnsi="Arial"/>
          <w:sz w:val="17"/>
          <w:szCs w:val="17"/>
          <w:u w:val="single" w:color="auto"/>
          <w:color w:val="auto"/>
        </w:rPr>
        <w:t>Base Prospectus</w:t>
      </w:r>
      <w:r>
        <w:rPr>
          <w:rFonts w:ascii="Arial" w:cs="Arial" w:eastAsia="Arial" w:hAnsi="Arial"/>
          <w:sz w:val="17"/>
          <w:szCs w:val="17"/>
          <w:color w:val="auto"/>
        </w:rPr>
        <w:t>”) relating to common stock, preferred stock, debt securities, warrants, rights, purchase contracts and units of the Company that may be sold from time to time by the Company in accordance with Rule 415 of the Securities Act, and such amendments thereof as may have been required to the date of this Agreement. Copies of such Registration Statement (including all amendments thereof and all documents deemed incorporated by reference therein) and of the related Base Prospectus have heretofore been delivered by the Company or are otherwise available to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 w:name="page5"/>
    <w:bookmarkEnd w:id="4"/>
    <w:p>
      <w:pPr>
        <w:jc w:val="both"/>
        <w:ind w:firstLine="1297"/>
        <w:spacing w:after="0" w:line="259"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as used in this Agreement means the registration statement, including all exhibits, financial schedules and all documents and information deemed to be part of the Registration Statement by incorporation by reference or otherwise, as amended from time to time, including the information (if any) contained in the form of final prospectus filed with the Commission pursuant to Rule 424(b) of the Rules and deemed to be part thereof at the time of effectiveness pursuant to Rule 430A of the Rules.</w:t>
      </w:r>
    </w:p>
    <w:p>
      <w:pPr>
        <w:spacing w:after="0" w:line="187"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6"/>
          <w:szCs w:val="16"/>
          <w:color w:val="auto"/>
        </w:rPr>
        <w:t>If the Company has filed an abbreviated registration statement to register additional Shares pursuant to Rule 462(b) under the Rules (the “</w:t>
      </w:r>
      <w:r>
        <w:rPr>
          <w:rFonts w:ascii="Arial" w:cs="Arial" w:eastAsia="Arial" w:hAnsi="Arial"/>
          <w:sz w:val="16"/>
          <w:szCs w:val="16"/>
          <w:u w:val="single" w:color="auto"/>
          <w:color w:val="auto"/>
        </w:rPr>
        <w:t>462(b) Registration Statement</w:t>
      </w:r>
      <w:r>
        <w:rPr>
          <w:rFonts w:ascii="Arial" w:cs="Arial" w:eastAsia="Arial" w:hAnsi="Arial"/>
          <w:sz w:val="16"/>
          <w:szCs w:val="16"/>
          <w:color w:val="auto"/>
        </w:rPr>
        <w:t>”), then any reference herein to the Registration Statement shall also be deemed to include such 462(b) Registration Statement. The term “</w:t>
      </w:r>
      <w:r>
        <w:rPr>
          <w:rFonts w:ascii="Arial" w:cs="Arial" w:eastAsia="Arial" w:hAnsi="Arial"/>
          <w:sz w:val="16"/>
          <w:szCs w:val="16"/>
          <w:u w:val="single" w:color="auto"/>
          <w:color w:val="auto"/>
        </w:rPr>
        <w:t>Preliminary Prospectus</w:t>
      </w:r>
      <w:r>
        <w:rPr>
          <w:rFonts w:ascii="Arial" w:cs="Arial" w:eastAsia="Arial" w:hAnsi="Arial"/>
          <w:sz w:val="16"/>
          <w:szCs w:val="16"/>
          <w:color w:val="auto"/>
        </w:rPr>
        <w:t>” means the Base Prospectus, together with any preliminary prospectus supplement used or filed with the Commission pursuant to Rule 424 of the Rules, in the form provided to the Underwriters by the Company for use in connection with the offering of the Shares. The term “</w:t>
      </w:r>
      <w:r>
        <w:rPr>
          <w:rFonts w:ascii="Arial" w:cs="Arial" w:eastAsia="Arial" w:hAnsi="Arial"/>
          <w:sz w:val="16"/>
          <w:szCs w:val="16"/>
          <w:u w:val="single" w:color="auto"/>
          <w:color w:val="auto"/>
        </w:rPr>
        <w:t>Prospectus</w:t>
      </w:r>
      <w:r>
        <w:rPr>
          <w:rFonts w:ascii="Arial" w:cs="Arial" w:eastAsia="Arial" w:hAnsi="Arial"/>
          <w:sz w:val="16"/>
          <w:szCs w:val="16"/>
          <w:color w:val="auto"/>
        </w:rPr>
        <w:t>” means the Base Prospectus together with any final prospectus supplement filed pursuant to Rule 424 of the Rules in connection with the proposed sale of the Shares contemplated by this Agreement. The term “</w:t>
      </w:r>
      <w:r>
        <w:rPr>
          <w:rFonts w:ascii="Arial" w:cs="Arial" w:eastAsia="Arial" w:hAnsi="Arial"/>
          <w:sz w:val="16"/>
          <w:szCs w:val="16"/>
          <w:u w:val="single" w:color="auto"/>
          <w:color w:val="auto"/>
        </w:rPr>
        <w:t>Effective Date</w:t>
      </w:r>
      <w:r>
        <w:rPr>
          <w:rFonts w:ascii="Arial" w:cs="Arial" w:eastAsia="Arial" w:hAnsi="Arial"/>
          <w:sz w:val="16"/>
          <w:szCs w:val="16"/>
          <w:color w:val="auto"/>
        </w:rPr>
        <w:t>” shall mean each date that the Registration Statement and any post-effective amendment or amendments thereto became or become effective. Unless otherwise stated herein, any reference herein to the Registration Statement, any Preliminary Prospectus, the Statutory Prospectus (as hereinafter defined) and the Prospectus shall be deemed to refer to and include the documents incorporated by reference therein, including pursuant to Item 12 of Form S-3 under the Securities Act, which were filed under the Securities Exchange Act of 1934, as amended (the “</w:t>
      </w:r>
      <w:r>
        <w:rPr>
          <w:rFonts w:ascii="Arial" w:cs="Arial" w:eastAsia="Arial" w:hAnsi="Arial"/>
          <w:sz w:val="16"/>
          <w:szCs w:val="16"/>
          <w:u w:val="single" w:color="auto"/>
          <w:color w:val="auto"/>
        </w:rPr>
        <w:t>Exchange Act</w:t>
      </w:r>
      <w:r>
        <w:rPr>
          <w:rFonts w:ascii="Arial" w:cs="Arial" w:eastAsia="Arial" w:hAnsi="Arial"/>
          <w:sz w:val="16"/>
          <w:szCs w:val="16"/>
          <w:color w:val="auto"/>
        </w:rPr>
        <w:t>”) on or before the date hereof or are so filed hereafter. Any reference herein to the terms “amend,” “amendment” or “supplement” with respect to the Registration Statement, any Preliminary Prospectus, the Statutory Prospectus or the Prospectus shall be deemed to refer to and include any such document filed or to be filed under the Exchange Act after the date of the Registration Statement, any such Preliminary Prospectus, Statutory Prospectus or Prospectus, as the case may be, and deemed to be incorporated therein by reference.</w:t>
      </w:r>
    </w:p>
    <w:p>
      <w:pPr>
        <w:spacing w:after="0" w:line="175" w:lineRule="exact"/>
        <w:rPr>
          <w:sz w:val="20"/>
          <w:szCs w:val="20"/>
          <w:color w:val="auto"/>
        </w:rPr>
      </w:pPr>
    </w:p>
    <w:p>
      <w:pPr>
        <w:jc w:val="both"/>
        <w:ind w:firstLine="1297"/>
        <w:spacing w:after="0" w:line="276" w:lineRule="auto"/>
        <w:rPr>
          <w:sz w:val="20"/>
          <w:szCs w:val="20"/>
          <w:color w:val="auto"/>
        </w:rPr>
      </w:pPr>
      <w:r>
        <w:rPr>
          <w:rFonts w:ascii="Arial" w:cs="Arial" w:eastAsia="Arial" w:hAnsi="Arial"/>
          <w:sz w:val="17"/>
          <w:szCs w:val="17"/>
          <w:color w:val="auto"/>
        </w:rPr>
        <w:t>The Company understands that the Underwriters propose to make a public offering of the Shares, as set forth in and pursuant to the Statutory Prospectus (as hereinafter defined) and the Prospectus, as soon after the Effective Date and the date of this Agreement as the Representative deems advisable. The Company hereby confirms that the Underwriters and dealers have been authorized to distribute or cause to be distributed each Preliminary Prospectus, and each Issuer Free Writing Prospectus (as hereinafter defined) and are authorized to distribute the Prospectus (as from time to time amended or supplemented if the Company furnishes amendments or supplements thereto to the Underwriters).</w:t>
      </w:r>
    </w:p>
    <w:p>
      <w:pPr>
        <w:spacing w:after="0" w:line="173" w:lineRule="exact"/>
        <w:rPr>
          <w:sz w:val="20"/>
          <w:szCs w:val="20"/>
          <w:color w:val="auto"/>
        </w:rPr>
      </w:pPr>
    </w:p>
    <w:p>
      <w:pPr>
        <w:ind w:firstLine="656"/>
        <w:spacing w:after="0" w:line="277" w:lineRule="auto"/>
        <w:tabs>
          <w:tab w:leader="none" w:pos="144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Sale, Purchase, Delivery and Payment for the Shares</w:t>
      </w:r>
      <w:r>
        <w:rPr>
          <w:rFonts w:ascii="Arial" w:cs="Arial" w:eastAsia="Arial" w:hAnsi="Arial"/>
          <w:sz w:val="18"/>
          <w:szCs w:val="18"/>
          <w:color w:val="auto"/>
        </w:rPr>
        <w:t>. On the basis of the representations, warranties and agreements contained in, and subject to the terms and conditions of, this Agreement:</w:t>
      </w:r>
    </w:p>
    <w:p>
      <w:pPr>
        <w:spacing w:after="0" w:line="170" w:lineRule="exact"/>
        <w:rPr>
          <w:rFonts w:ascii="Arial" w:cs="Arial" w:eastAsia="Arial" w:hAnsi="Arial"/>
          <w:sz w:val="18"/>
          <w:szCs w:val="18"/>
          <w:color w:val="auto"/>
        </w:rPr>
      </w:pPr>
    </w:p>
    <w:p>
      <w:pPr>
        <w:jc w:val="both"/>
        <w:ind w:firstLine="1305"/>
        <w:spacing w:after="0" w:line="279" w:lineRule="auto"/>
        <w:tabs>
          <w:tab w:leader="none" w:pos="2000" w:val="left"/>
        </w:tabs>
        <w:numPr>
          <w:ilvl w:val="1"/>
          <w:numId w:val="2"/>
        </w:numPr>
        <w:rPr>
          <w:rFonts w:ascii="Arial" w:cs="Arial" w:eastAsia="Arial" w:hAnsi="Arial"/>
          <w:sz w:val="17"/>
          <w:szCs w:val="17"/>
          <w:color w:val="auto"/>
        </w:rPr>
      </w:pPr>
      <w:r>
        <w:rPr>
          <w:rFonts w:ascii="Arial" w:cs="Arial" w:eastAsia="Arial" w:hAnsi="Arial"/>
          <w:sz w:val="17"/>
          <w:szCs w:val="17"/>
          <w:color w:val="auto"/>
        </w:rPr>
        <w:t>The Company agrees to issue and sell to each of the Underwriters, and each of the Underwriters agrees, severally and not jointly, to purchase from the Company, at a purchase price of $1.023 per share (which, for the avoidance of doubt, equals 93% of the per Firm Share public offering price) (the “</w:t>
      </w:r>
      <w:r>
        <w:rPr>
          <w:rFonts w:ascii="Arial" w:cs="Arial" w:eastAsia="Arial" w:hAnsi="Arial"/>
          <w:sz w:val="17"/>
          <w:szCs w:val="17"/>
          <w:u w:val="single" w:color="auto"/>
          <w:color w:val="auto"/>
        </w:rPr>
        <w:t>Initial Price</w:t>
      </w:r>
      <w:r>
        <w:rPr>
          <w:rFonts w:ascii="Arial" w:cs="Arial" w:eastAsia="Arial" w:hAnsi="Arial"/>
          <w:sz w:val="17"/>
          <w:szCs w:val="17"/>
          <w:color w:val="auto"/>
        </w:rPr>
        <w:t>”), the number of Firm Shares set forth opposite the name of such Underwriter under the column “Number of Firm Shares to be Purchased from the Company” on Schedule I to this Agreement, subject to adjustment in accordance with Section 8 hereof.</w:t>
      </w:r>
    </w:p>
    <w:p>
      <w:pPr>
        <w:spacing w:after="0" w:line="380"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 w:name="page6"/>
    <w:bookmarkEnd w:id="5"/>
    <w:p>
      <w:pPr>
        <w:jc w:val="both"/>
        <w:ind w:firstLine="1305"/>
        <w:spacing w:after="0" w:line="289" w:lineRule="auto"/>
        <w:tabs>
          <w:tab w:leader="none" w:pos="2097"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Company hereby grants to the several Underwriters an option to purchase, severally and not jointly, all or any part of the Option Shares at the Initial Price. The number of Option Shares to be purchased by each Underwriter shall be the same percentage (adjusted by the Representative to eliminate fractions) of the total number of Option Shares to be purchased by the Underwriters as such Underwriter is purchasing of the Firm Shares. Such option may be exercised only to cover over-allotments in the sales of the Firm Shares by the Underwriters and may be exercised in whole or in part at any time on or before 12:00 noon, New York City time, on the business day before the Firm Shares Closing Date (as hereinafter defined), and from time to time thereafter within 30 days after the date of this Agreement, in each case upon written or facsimile notice, or verbal or telephonic notice confirmed by written or facsimile notice, by the Representative to the Company no later than 12:00 noon, New York City time, on the business day before the Firm Shares Closing Date or at least one business day before the Option Shares Closing Date (as hereinafter defined), as the case may be, setting forth the number of Option Shares to be purchased and the time and date (if other than the Firm Shares Closing Date) of such purchase.</w:t>
      </w:r>
    </w:p>
    <w:p>
      <w:pPr>
        <w:spacing w:after="0" w:line="166" w:lineRule="exact"/>
        <w:rPr>
          <w:rFonts w:ascii="Arial" w:cs="Arial" w:eastAsia="Arial" w:hAnsi="Arial"/>
          <w:sz w:val="16"/>
          <w:szCs w:val="16"/>
          <w:color w:val="auto"/>
        </w:rPr>
      </w:pPr>
    </w:p>
    <w:p>
      <w:pPr>
        <w:jc w:val="both"/>
        <w:ind w:firstLine="1305"/>
        <w:spacing w:after="0" w:line="253" w:lineRule="auto"/>
        <w:tabs>
          <w:tab w:leader="none" w:pos="2147" w:val="left"/>
        </w:tabs>
        <w:numPr>
          <w:ilvl w:val="0"/>
          <w:numId w:val="3"/>
        </w:numPr>
        <w:rPr>
          <w:rFonts w:ascii="Arial" w:cs="Arial" w:eastAsia="Arial" w:hAnsi="Arial"/>
          <w:sz w:val="18"/>
          <w:szCs w:val="18"/>
          <w:color w:val="auto"/>
        </w:rPr>
      </w:pPr>
      <w:r>
        <w:rPr>
          <w:rFonts w:ascii="Arial" w:cs="Arial" w:eastAsia="Arial" w:hAnsi="Arial"/>
          <w:sz w:val="18"/>
          <w:szCs w:val="18"/>
          <w:color w:val="auto"/>
        </w:rPr>
        <w:t>Payment of the purchase price, and delivery of certificates for the Firm Shares, shall be made at the offices of Roth Capital Partners, LLC, 888 San Clemente Drive, Newport Beach, CA 92660, at 10:00 a.m. New York City time, on the third business day following the date of this Agreement or, if the Shares are priced after 4:30 p.m. New York City time as contemplated by Rule 15c6-1c under the Exchange Act, on the fourth business day following the date of this Agreement or at such time on such other date, not later than ten (10) business days after the date of this Agreement, as shall be agreed upon by the Company and the Representative (such time and date of delivery and payment are called the “</w:t>
      </w:r>
      <w:r>
        <w:rPr>
          <w:rFonts w:ascii="Arial" w:cs="Arial" w:eastAsia="Arial" w:hAnsi="Arial"/>
          <w:sz w:val="18"/>
          <w:szCs w:val="18"/>
          <w:u w:val="single" w:color="auto"/>
          <w:color w:val="auto"/>
        </w:rPr>
        <w:t>Firm Shares Closing Date</w:t>
      </w:r>
      <w:r>
        <w:rPr>
          <w:rFonts w:ascii="Arial" w:cs="Arial" w:eastAsia="Arial" w:hAnsi="Arial"/>
          <w:sz w:val="18"/>
          <w:szCs w:val="18"/>
          <w:color w:val="auto"/>
        </w:rPr>
        <w:t>”). In addition, in the event that any or all of the Option Shares are purchased by the Underwriters, payment of the purchase price, and delivery of the certificates, for such Option Shares shall be made at the above-mentioned offices, or at such other place as shall be agreed upon by the Representative and the Company, on each date of delivery as specified in the notice from the Representative to the Company (such time and date of delivery and payment are called the “</w:t>
      </w:r>
      <w:r>
        <w:rPr>
          <w:rFonts w:ascii="Arial" w:cs="Arial" w:eastAsia="Arial" w:hAnsi="Arial"/>
          <w:sz w:val="18"/>
          <w:szCs w:val="18"/>
          <w:u w:val="single" w:color="auto"/>
          <w:color w:val="auto"/>
        </w:rPr>
        <w:t>Option Shares</w:t>
      </w:r>
      <w:r>
        <w:rPr>
          <w:rFonts w:ascii="Arial" w:cs="Arial" w:eastAsia="Arial" w:hAnsi="Arial"/>
          <w:sz w:val="18"/>
          <w:szCs w:val="18"/>
          <w:color w:val="auto"/>
        </w:rPr>
        <w:t xml:space="preserve"> </w:t>
      </w:r>
      <w:r>
        <w:rPr>
          <w:rFonts w:ascii="Arial" w:cs="Arial" w:eastAsia="Arial" w:hAnsi="Arial"/>
          <w:sz w:val="18"/>
          <w:szCs w:val="18"/>
          <w:u w:val="single" w:color="auto"/>
          <w:color w:val="auto"/>
        </w:rPr>
        <w:t>Closing Date</w:t>
      </w:r>
      <w:r>
        <w:rPr>
          <w:rFonts w:ascii="Arial" w:cs="Arial" w:eastAsia="Arial" w:hAnsi="Arial"/>
          <w:sz w:val="18"/>
          <w:szCs w:val="18"/>
          <w:color w:val="auto"/>
        </w:rPr>
        <w:t>”). The Firm Shares Closing Date and any Option Shares Closing Date are called, individually, a “</w:t>
      </w:r>
      <w:r>
        <w:rPr>
          <w:rFonts w:ascii="Arial" w:cs="Arial" w:eastAsia="Arial" w:hAnsi="Arial"/>
          <w:sz w:val="18"/>
          <w:szCs w:val="18"/>
          <w:u w:val="single" w:color="auto"/>
          <w:color w:val="auto"/>
        </w:rPr>
        <w:t>Closing Date</w:t>
      </w:r>
      <w:r>
        <w:rPr>
          <w:rFonts w:ascii="Arial" w:cs="Arial" w:eastAsia="Arial" w:hAnsi="Arial"/>
          <w:sz w:val="18"/>
          <w:szCs w:val="18"/>
          <w:color w:val="auto"/>
        </w:rPr>
        <w:t>” and, together, the “</w:t>
      </w:r>
      <w:r>
        <w:rPr>
          <w:rFonts w:ascii="Arial" w:cs="Arial" w:eastAsia="Arial" w:hAnsi="Arial"/>
          <w:sz w:val="18"/>
          <w:szCs w:val="18"/>
          <w:u w:val="single" w:color="auto"/>
          <w:color w:val="auto"/>
        </w:rPr>
        <w:t>Closing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Dates</w:t>
      </w:r>
      <w:r>
        <w:rPr>
          <w:rFonts w:ascii="Arial" w:cs="Arial" w:eastAsia="Arial" w:hAnsi="Arial"/>
          <w:sz w:val="18"/>
          <w:szCs w:val="18"/>
          <w:color w:val="auto"/>
        </w:rPr>
        <w:t>.”</w:t>
      </w:r>
    </w:p>
    <w:p>
      <w:pPr>
        <w:spacing w:after="0" w:line="194" w:lineRule="exact"/>
        <w:rPr>
          <w:rFonts w:ascii="Arial" w:cs="Arial" w:eastAsia="Arial" w:hAnsi="Arial"/>
          <w:sz w:val="18"/>
          <w:szCs w:val="18"/>
          <w:color w:val="auto"/>
        </w:rPr>
      </w:pPr>
    </w:p>
    <w:p>
      <w:pPr>
        <w:jc w:val="both"/>
        <w:ind w:firstLine="1305"/>
        <w:spacing w:after="0" w:line="291" w:lineRule="auto"/>
        <w:tabs>
          <w:tab w:leader="none" w:pos="2018" w:val="left"/>
        </w:tabs>
        <w:numPr>
          <w:ilvl w:val="0"/>
          <w:numId w:val="3"/>
        </w:numPr>
        <w:rPr>
          <w:rFonts w:ascii="Arial" w:cs="Arial" w:eastAsia="Arial" w:hAnsi="Arial"/>
          <w:sz w:val="16"/>
          <w:szCs w:val="16"/>
          <w:color w:val="auto"/>
        </w:rPr>
      </w:pPr>
      <w:r>
        <w:rPr>
          <w:rFonts w:ascii="Arial" w:cs="Arial" w:eastAsia="Arial" w:hAnsi="Arial"/>
          <w:sz w:val="16"/>
          <w:szCs w:val="16"/>
          <w:color w:val="auto"/>
        </w:rPr>
        <w:t>Payment for the Shares to be purchased on the Firm Shares Closing Date or the Option Shares Closing Date, as the case may be, shall be made by wire transfer of same day Federal funds to an account or accounts designated in writing by the Company, against delivery to the Representative for the respective accounts of the several Underwriters of the Shares to be purchased on such Firm Shares Closing Date or the Option Shares Closing Date, as the case may be, with any transfer taxes payable in connection with the sale of such Shares duly paid by the Company. Delivery of the Shares shall be made through the facilities of The Depository Trust Company (“</w:t>
      </w:r>
      <w:r>
        <w:rPr>
          <w:rFonts w:ascii="Arial" w:cs="Arial" w:eastAsia="Arial" w:hAnsi="Arial"/>
          <w:sz w:val="16"/>
          <w:szCs w:val="16"/>
          <w:u w:val="single" w:color="auto"/>
          <w:color w:val="auto"/>
        </w:rPr>
        <w:t>DTC</w:t>
      </w:r>
      <w:r>
        <w:rPr>
          <w:rFonts w:ascii="Arial" w:cs="Arial" w:eastAsia="Arial" w:hAnsi="Arial"/>
          <w:sz w:val="16"/>
          <w:szCs w:val="16"/>
          <w:color w:val="auto"/>
        </w:rPr>
        <w:t>”) unless the Representative shall otherwise instruct. If requested, the certificates for the Shares will be made available for inspection and packaging by the Representative at the office of DTC or its designated custodian not later than 1:00 p.m. New York City time, on the business day prior to the Firm Shares Closing Date or the Option Shares Closing Date, as the case may be.</w:t>
      </w:r>
    </w:p>
    <w:p>
      <w:pPr>
        <w:spacing w:after="0" w:line="37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 w:name="page7"/>
    <w:bookmarkEnd w:id="6"/>
    <w:p>
      <w:pPr>
        <w:ind w:right="20" w:firstLine="656"/>
        <w:spacing w:after="0" w:line="277" w:lineRule="auto"/>
        <w:tabs>
          <w:tab w:leader="none" w:pos="1305"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the Company</w:t>
      </w:r>
      <w:r>
        <w:rPr>
          <w:rFonts w:ascii="Arial" w:cs="Arial" w:eastAsia="Arial" w:hAnsi="Arial"/>
          <w:sz w:val="18"/>
          <w:szCs w:val="18"/>
          <w:color w:val="auto"/>
        </w:rPr>
        <w:t>. The Company represents and warrants to each Underwriter as of the date hereof, as of the Firm Shares Closing Date and as of each Option Shares Closing Date (if any), as follows:</w:t>
      </w:r>
    </w:p>
    <w:p>
      <w:pPr>
        <w:spacing w:after="0" w:line="170" w:lineRule="exact"/>
        <w:rPr>
          <w:rFonts w:ascii="Arial" w:cs="Arial" w:eastAsia="Arial" w:hAnsi="Arial"/>
          <w:sz w:val="18"/>
          <w:szCs w:val="18"/>
          <w:color w:val="auto"/>
        </w:rPr>
      </w:pPr>
    </w:p>
    <w:p>
      <w:pPr>
        <w:jc w:val="both"/>
        <w:ind w:firstLine="1305"/>
        <w:spacing w:after="0" w:line="282" w:lineRule="auto"/>
        <w:tabs>
          <w:tab w:leader="none" w:pos="1990" w:val="left"/>
        </w:tabs>
        <w:numPr>
          <w:ilvl w:val="1"/>
          <w:numId w:val="4"/>
        </w:numPr>
        <w:rPr>
          <w:rFonts w:ascii="Arial" w:cs="Arial" w:eastAsia="Arial" w:hAnsi="Arial"/>
          <w:sz w:val="16"/>
          <w:szCs w:val="16"/>
          <w:color w:val="auto"/>
        </w:rPr>
      </w:pPr>
      <w:r>
        <w:rPr>
          <w:rFonts w:ascii="Arial" w:cs="Arial" w:eastAsia="Arial" w:hAnsi="Arial"/>
          <w:sz w:val="16"/>
          <w:szCs w:val="16"/>
          <w:color w:val="auto"/>
        </w:rPr>
        <w:t>The Company meets the requirements for use of Form S-3 under the Securities Act including the registrant requirements set forth in General Instruction I.A and the transaction requirements set forth in General Instruction I.B.6 of such form. The aggregate market value of securities sold by or on behalf of the Company under the Registration Statement during the 12 month period immediately prior to, and including the sale of the Shares pursuant to this Agreement, is no more than one-third of the aggregate market value of the voting and non-voting common equity held by non-affiliates of the Company, as determined pursuant to General Instruction I.B.6 of Form S-3. The Company is not, and has not been for at least 12 calendar months prior to the filing of the Registration Statement, a shell company (as defined in Rule 405 of the Rules). The Company filed with the Commission the Registration Statement on such Form S-3, including a Base Prospectus, for registration under the Securities Act of the offering and sale of the Shares, and the Company has prepared and used a Preliminary Prospectus in connection with the offer and sale of the Shares. When the Registration Statement or any amendment thereof or supplement thereto was or is declared effective and as of the date of the most recent amendment to the Registration Statement, it (i) complied or will comply, in all material respects, with the requirements of the Securities Act and the Rules and the Exchange Act and the rules and regulations of the Commission thereunder and (ii) did not or will not contain any untrue statement of a material fact or omit to state any material fact required to be stated therein or necessary in order to make the statements therein not misleading. When any Preliminary Prospectus was first filed with the Commission (whether filed as part of the Registration Statement or any amendment thereto or pursuant to Rule 424 of the Rules) and when any amendment thereof or supplement thereto was first filed with the Commission, such Preliminary Prospectus as amended or supplemented complied in all material respects with the applicable provisions of the Securities Act and the Rules and did not or will not contain any untrue statement of a material fact or omit to state any material fact required to be stated therein or necessary in order to make the statements therein not misleading. When any Prospectus was first filed with the Commission (whether filed as part of the Registration Statement or any amendment thereto or pursuant to Rule 424 of the Rules), when any amendment thereof or supplement thereto was first filed with the Commission and as of the Firm Shares Closing Date and each Option Shares Closing Date (if any), such Prospectus complied in all material respects with the applicable provisions of the Securities Act and the Rules and did not or will not contain any untrue statement of a material fact or omit to state any material fact required to be stated therein or necessary in order to make the statements therein, in the light of the circumstances under which they were made, not misleading. If applicable, each Preliminary Prospectus and the Prospectus delivered to the Underwriters for use in connection with this offering was identical to the electronically transmitted copies thereof filed with the Commission pursuant to EDGAR, except to the extent permitted by Regulation S-T. Notwithstanding the foregoing, none of the representations and warranties in this paragraph 2(a) shall apply to statements in, or omissions from, the Registration Statement, any Preliminary Prospectus or the Prospectus made in reliance upon, and in conformity with, information herein or otherwise furnished in writing by the Representatives on behalf of the several Underwriters specifically for use in the Registration Statement, any Preliminary Prospectus or the Prospectus. With respect to the preceding sentence, the Company acknowledges that the only information furnished in writing by the Representatives on behalf of the several Underwriters for use in the Registration Statement, any Preliminary Prospectus or the Prospectus are the statements</w:t>
      </w:r>
    </w:p>
    <w:p>
      <w:pPr>
        <w:spacing w:after="0" w:line="12" w:lineRule="exact"/>
        <w:rPr>
          <w:sz w:val="20"/>
          <w:szCs w:val="20"/>
          <w:color w:val="auto"/>
        </w:rPr>
      </w:pPr>
    </w:p>
    <w:p>
      <w:pPr>
        <w:spacing w:after="0" w:line="205" w:lineRule="auto"/>
        <w:rPr>
          <w:sz w:val="20"/>
          <w:szCs w:val="20"/>
          <w:color w:val="auto"/>
        </w:rPr>
      </w:pPr>
      <w:r>
        <w:rPr>
          <w:rFonts w:ascii="Arial" w:cs="Arial" w:eastAsia="Arial" w:hAnsi="Arial"/>
          <w:sz w:val="18"/>
          <w:szCs w:val="18"/>
          <w:color w:val="auto"/>
        </w:rPr>
        <w:t>in the 5</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and 13</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paragraphs and last sentence of the 14</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paragraph under the caption “Underwriting” in the Prospectus (collectively, the “</w:t>
      </w:r>
      <w:r>
        <w:rPr>
          <w:rFonts w:ascii="Arial" w:cs="Arial" w:eastAsia="Arial" w:hAnsi="Arial"/>
          <w:sz w:val="18"/>
          <w:szCs w:val="18"/>
          <w:u w:val="single" w:color="auto"/>
          <w:color w:val="auto"/>
        </w:rPr>
        <w:t>Underwriter</w:t>
      </w:r>
      <w:r>
        <w:rPr>
          <w:rFonts w:ascii="Arial" w:cs="Arial" w:eastAsia="Arial" w:hAnsi="Arial"/>
          <w:sz w:val="18"/>
          <w:szCs w:val="18"/>
          <w:color w:val="auto"/>
        </w:rPr>
        <w:t xml:space="preserve"> </w:t>
      </w:r>
      <w:r>
        <w:rPr>
          <w:rFonts w:ascii="Arial" w:cs="Arial" w:eastAsia="Arial" w:hAnsi="Arial"/>
          <w:sz w:val="18"/>
          <w:szCs w:val="18"/>
          <w:u w:val="single" w:color="auto"/>
          <w:color w:val="auto"/>
        </w:rPr>
        <w:t>Information</w:t>
      </w:r>
      <w:r>
        <w:rPr>
          <w:rFonts w:ascii="Arial" w:cs="Arial" w:eastAsia="Arial" w:hAnsi="Arial"/>
          <w:sz w:val="18"/>
          <w:szCs w:val="18"/>
          <w:color w:val="auto"/>
        </w:rPr>
        <w:t>”).</w:t>
      </w:r>
    </w:p>
    <w:p>
      <w:pPr>
        <w:spacing w:after="0" w:line="200" w:lineRule="exact"/>
        <w:rPr>
          <w:sz w:val="20"/>
          <w:szCs w:val="20"/>
          <w:color w:val="auto"/>
        </w:rPr>
      </w:pPr>
    </w:p>
    <w:p>
      <w:pPr>
        <w:spacing w:after="0" w:line="212"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 w:name="page8"/>
    <w:bookmarkEnd w:id="7"/>
    <w:p>
      <w:pPr>
        <w:jc w:val="both"/>
        <w:ind w:firstLine="1305"/>
        <w:spacing w:after="0" w:line="255" w:lineRule="auto"/>
        <w:tabs>
          <w:tab w:leader="none" w:pos="1972" w:val="left"/>
        </w:tabs>
        <w:numPr>
          <w:ilvl w:val="0"/>
          <w:numId w:val="5"/>
        </w:numPr>
        <w:rPr>
          <w:rFonts w:ascii="Arial" w:cs="Arial" w:eastAsia="Arial" w:hAnsi="Arial"/>
          <w:sz w:val="18"/>
          <w:szCs w:val="18"/>
          <w:color w:val="auto"/>
        </w:rPr>
      </w:pPr>
      <w:r>
        <w:rPr>
          <w:rFonts w:ascii="Arial" w:cs="Arial" w:eastAsia="Arial" w:hAnsi="Arial"/>
          <w:sz w:val="18"/>
          <w:szCs w:val="18"/>
          <w:color w:val="auto"/>
        </w:rPr>
        <w:t>As of the Applicable Time (as hereinafter defined), as of the Firm Shares Closing Date and as of each Option Shares Closing Date (if any), neither (i) the General Disclosure Package, nor (ii) any individual Issuer Free Writing Prospectus when considered together with the General Disclosure Package included any untrue statement of a material fact or omitted to state any material fact required to be stated therein or necessary in order to make the statements therein, in the light of the circumstances under which they were made, not misleading; provided, however, that this representation and warranty shall not apply to statements in or omissions in the General Disclosure Package made in reliance upon and in conformity with the Underwriter Information.</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Each Issuer Free Writing Prospectus (as hereinafter defined), including any electronic road show (including without limitation any “bona fide electronic road show” as defined in Rule 433(h)(5) under the Securities Act) (each, a “</w:t>
      </w:r>
      <w:r>
        <w:rPr>
          <w:rFonts w:ascii="Arial" w:cs="Arial" w:eastAsia="Arial" w:hAnsi="Arial"/>
          <w:sz w:val="18"/>
          <w:szCs w:val="18"/>
          <w:u w:val="single" w:color="auto"/>
          <w:color w:val="auto"/>
        </w:rPr>
        <w:t>Road Show</w:t>
      </w:r>
      <w:r>
        <w:rPr>
          <w:rFonts w:ascii="Arial" w:cs="Arial" w:eastAsia="Arial" w:hAnsi="Arial"/>
          <w:sz w:val="18"/>
          <w:szCs w:val="18"/>
          <w:color w:val="auto"/>
        </w:rPr>
        <w:t>”) (i) is identified in Schedule II hereto and (ii) complied when issued, and complies, in all material respects with the requirements of the Securities Act and the Rules and the Exchange Act and the rules and regulations of the Commission thereunder.</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used in this Section and elsewhere in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Time</w:t>
      </w:r>
      <w:r>
        <w:rPr>
          <w:rFonts w:ascii="Arial" w:cs="Arial" w:eastAsia="Arial" w:hAnsi="Arial"/>
          <w:sz w:val="18"/>
          <w:szCs w:val="18"/>
          <w:color w:val="auto"/>
        </w:rPr>
        <w:t>” means 8:40 a.m. (New York City time) on the date of this Underwriting Agreement.</w:t>
      </w:r>
    </w:p>
    <w:p>
      <w:pPr>
        <w:spacing w:after="0" w:line="225"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General Disclosure Package</w:t>
      </w:r>
      <w:r>
        <w:rPr>
          <w:rFonts w:ascii="Arial" w:cs="Arial" w:eastAsia="Arial" w:hAnsi="Arial"/>
          <w:sz w:val="18"/>
          <w:szCs w:val="18"/>
          <w:color w:val="auto"/>
        </w:rPr>
        <w:t>” means the Statutory Prospectus and each Issuer Free Writing Prospectus identified on Schedule II hereto as included in the General Disclosure Package, together with the price to public and number of shares offered and sold as indicated on the cover of the Prospectus.</w:t>
      </w:r>
    </w:p>
    <w:p>
      <w:pPr>
        <w:spacing w:after="0" w:line="181"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Statutory Prospectus</w:t>
      </w:r>
      <w:r>
        <w:rPr>
          <w:rFonts w:ascii="Arial" w:cs="Arial" w:eastAsia="Arial" w:hAnsi="Arial"/>
          <w:sz w:val="18"/>
          <w:szCs w:val="18"/>
          <w:color w:val="auto"/>
        </w:rPr>
        <w:t>” as of any time means the Preliminary Prospectus relating to the Shares immediately prior to the Applicable Time, including any document incorporated by reference therein and any prospectus supplement deemed to be a part thereof.</w:t>
      </w:r>
    </w:p>
    <w:p>
      <w:pPr>
        <w:spacing w:after="0" w:line="170" w:lineRule="exact"/>
        <w:rPr>
          <w:sz w:val="20"/>
          <w:szCs w:val="20"/>
          <w:color w:val="auto"/>
        </w:rPr>
      </w:pPr>
    </w:p>
    <w:p>
      <w:pPr>
        <w:jc w:val="both"/>
        <w:ind w:left="66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Issuer Free Writing Prospectus</w:t>
      </w:r>
      <w:r>
        <w:rPr>
          <w:rFonts w:ascii="Arial" w:cs="Arial" w:eastAsia="Arial" w:hAnsi="Arial"/>
          <w:sz w:val="17"/>
          <w:szCs w:val="17"/>
          <w:color w:val="auto"/>
        </w:rPr>
        <w:t>” means each “free writing prospectus” (as defined in Rule 405 of the Rules) prepared by or on behalf of the Company or used or referred to by the Company in connection with the offering of the Shares, including, without limitation, each Road Show.</w:t>
      </w:r>
    </w:p>
    <w:p>
      <w:pPr>
        <w:spacing w:after="0" w:line="147" w:lineRule="exact"/>
        <w:rPr>
          <w:sz w:val="20"/>
          <w:szCs w:val="20"/>
          <w:color w:val="auto"/>
        </w:rPr>
      </w:pPr>
    </w:p>
    <w:p>
      <w:pPr>
        <w:jc w:val="both"/>
        <w:ind w:firstLine="1305"/>
        <w:spacing w:after="0" w:line="293" w:lineRule="auto"/>
        <w:tabs>
          <w:tab w:leader="none" w:pos="1948"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Registration Statement is effective under the Securities Act and no stop order preventing or suspending the effectiveness of the Registration Statement or suspending or preventing the use of any Preliminary Prospectus, the Prospectus or any “free writing prospectus”, as defined in Rule 405 under the Rules, has been issued by the Commission and no proceedings for that purpose have been instituted or are threatened under the Securities Act. Any required filing of any Preliminary Prospectus and/or the Prospectus and any supplement thereto pursuant to Rule 424(b) of the Rules has been or will be made in the manner and within the time period required by such Rule 424(b) of the Rules. Any material required to be filed by the Company pursuant to Rule 433(d) or Rule 163(b)(2) of the Rules has been or will be made in the manner and within the time period required by such Rules.</w:t>
      </w:r>
    </w:p>
    <w:p>
      <w:pPr>
        <w:spacing w:after="0" w:line="37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 w:name="page9"/>
    <w:bookmarkEnd w:id="8"/>
    <w:p>
      <w:pPr>
        <w:jc w:val="both"/>
        <w:ind w:firstLine="1305"/>
        <w:spacing w:after="0" w:line="270" w:lineRule="auto"/>
        <w:tabs>
          <w:tab w:leader="none" w:pos="1953"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documents incorporated by reference in the Registration Statement, any Preliminary Prospectus and the Prospectus, at the time they became effective or were filed with the Commission, as the case may be, complied in all material respects with the requirements of the Securities Act or the Exchange Act, as applicable, and the rules and regulations of the Commission thereunder, and none of such documents contained an untrue statement of a material fact or omitted to state a material fact required to be stated therein or necessary in order to make the statements therein, in the light of the circumstances under which they were made, not misleading, and any further documents so filed and incorporated by reference in the Registration Statement, any Preliminary Prospectus and the Prospectus, when such documents become effective or are filed with the Commission, as the case may be, will conform in all material respects to the requirements of the Securities Act or the Exchange Act, as applicable, and the rules and regulations of the Commission thereunder and will not contain an untrue statement of a material fact or omit to state a material fact required to be stated therein or necessary to make the statements therein, in the light of the circumstances under which they are made, not misleading.</w:t>
      </w:r>
    </w:p>
    <w:p>
      <w:pPr>
        <w:spacing w:after="0" w:line="181" w:lineRule="exact"/>
        <w:rPr>
          <w:rFonts w:ascii="Arial" w:cs="Arial" w:eastAsia="Arial" w:hAnsi="Arial"/>
          <w:sz w:val="17"/>
          <w:szCs w:val="17"/>
          <w:color w:val="auto"/>
        </w:rPr>
      </w:pPr>
    </w:p>
    <w:p>
      <w:pPr>
        <w:jc w:val="both"/>
        <w:ind w:firstLine="1305"/>
        <w:spacing w:after="0" w:line="257" w:lineRule="auto"/>
        <w:tabs>
          <w:tab w:leader="none" w:pos="2035" w:val="left"/>
        </w:tabs>
        <w:numPr>
          <w:ilvl w:val="0"/>
          <w:numId w:val="7"/>
        </w:numPr>
        <w:rPr>
          <w:rFonts w:ascii="Arial" w:cs="Arial" w:eastAsia="Arial" w:hAnsi="Arial"/>
          <w:sz w:val="18"/>
          <w:szCs w:val="18"/>
          <w:color w:val="auto"/>
        </w:rPr>
      </w:pPr>
      <w:r>
        <w:rPr>
          <w:rFonts w:ascii="Arial" w:cs="Arial" w:eastAsia="Arial" w:hAnsi="Arial"/>
          <w:sz w:val="18"/>
          <w:szCs w:val="18"/>
          <w:color w:val="auto"/>
        </w:rPr>
        <w:t>Each Issuer Free Writing Prospectus, if any, as of its issue date and at all subsequent times through the completion of the public offer and sale of the Shares or until any earlier date that the Company notified or notifies the Representative as described in the next sentence, did not, does not and will not include any information that conflicted, conflicts or will conflict with the information contained in the Registration Statement, including any document incorporated by reference therein and any prospectus supplement deemed to be a part thereof that has not been superseded or modified, the Statutory Prospectus or the Prospectus.</w:t>
      </w:r>
    </w:p>
    <w:p>
      <w:pPr>
        <w:spacing w:after="0" w:line="188" w:lineRule="exact"/>
        <w:rPr>
          <w:sz w:val="20"/>
          <w:szCs w:val="20"/>
          <w:color w:val="auto"/>
        </w:rPr>
      </w:pPr>
    </w:p>
    <w:p>
      <w:pPr>
        <w:jc w:val="both"/>
        <w:ind w:firstLine="1297"/>
        <w:spacing w:after="0" w:line="273" w:lineRule="auto"/>
        <w:rPr>
          <w:sz w:val="20"/>
          <w:szCs w:val="20"/>
          <w:color w:val="auto"/>
        </w:rPr>
      </w:pPr>
      <w:r>
        <w:rPr>
          <w:rFonts w:ascii="Arial" w:cs="Arial" w:eastAsia="Arial" w:hAnsi="Arial"/>
          <w:sz w:val="17"/>
          <w:szCs w:val="17"/>
          <w:color w:val="auto"/>
        </w:rPr>
        <w:t>If at any time following issuance of an Issuer Free Writing Prospectus there occurred or occurs an event or development as a result of which such Issuer Free Writing Prospectus conflicted or would conflict with the information contained in the Registration Statement, the Statutory Prospectus or the Prospectus or included or would include an untrue statement of a material fact or omitted or would omit to state a material fact required to be stated therein or necessary in order to make the statements therein, in the light of the circumstances prevailing at the subsequent time, not misleading, the Company has promptly notified or will promptly notify the Representative in writing and has promptly amended or will promptly amend or supplement, at its own expense, such Issuer Free Writing Prospectus to eliminate or correct such conflict, untrue statement or omission.</w:t>
      </w:r>
    </w:p>
    <w:p>
      <w:pPr>
        <w:spacing w:after="0" w:line="178" w:lineRule="exact"/>
        <w:rPr>
          <w:sz w:val="20"/>
          <w:szCs w:val="20"/>
          <w:color w:val="auto"/>
        </w:rPr>
      </w:pPr>
    </w:p>
    <w:p>
      <w:pPr>
        <w:jc w:val="both"/>
        <w:ind w:firstLine="1305"/>
        <w:spacing w:after="0" w:line="271" w:lineRule="auto"/>
        <w:tabs>
          <w:tab w:leader="none" w:pos="2008"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financial statements of the Company and its consolidated subsidiaries and of XpresSpa Holdings, LLC (“XpresSpa”) and its consolidated subsidiaries (in each case, including all notes and schedules thereto) included or incorporated by reference in the General Disclosure Package, the Registration Statement, the Statutory Prospectus and Prospectus (the “</w:t>
      </w:r>
      <w:r>
        <w:rPr>
          <w:rFonts w:ascii="Arial" w:cs="Arial" w:eastAsia="Arial" w:hAnsi="Arial"/>
          <w:sz w:val="17"/>
          <w:szCs w:val="17"/>
          <w:u w:val="single" w:color="auto"/>
          <w:color w:val="auto"/>
        </w:rPr>
        <w:t>Company Financial Statements</w:t>
      </w:r>
      <w:r>
        <w:rPr>
          <w:rFonts w:ascii="Arial" w:cs="Arial" w:eastAsia="Arial" w:hAnsi="Arial"/>
          <w:sz w:val="17"/>
          <w:szCs w:val="17"/>
          <w:color w:val="auto"/>
        </w:rPr>
        <w:t>”) present fairly in all material respects the financial position of each of the Company and its consolidated subsidiaries and XpresSpa and its consolidated subsidiaries at the dates indicated and the statement of operations, stockholders’ equity and cash flows of the Company and its consolidated subsidiaries and XpresSpa and its consolidated subsidiaries for the periods specified; and such financial statements and related schedules and notes thereto, and the unaudited financial information filed with the Commission as part of the Registration Statement, have been prepared in conformity with generally accepted accounting principles in the United States (“</w:t>
      </w:r>
      <w:r>
        <w:rPr>
          <w:rFonts w:ascii="Arial" w:cs="Arial" w:eastAsia="Arial" w:hAnsi="Arial"/>
          <w:sz w:val="17"/>
          <w:szCs w:val="17"/>
          <w:u w:val="single" w:color="auto"/>
          <w:color w:val="auto"/>
        </w:rPr>
        <w:t>GAAP</w:t>
      </w:r>
      <w:r>
        <w:rPr>
          <w:rFonts w:ascii="Arial" w:cs="Arial" w:eastAsia="Arial" w:hAnsi="Arial"/>
          <w:sz w:val="17"/>
          <w:szCs w:val="17"/>
          <w:color w:val="auto"/>
        </w:rPr>
        <w:t>”), consistently applied throughout the periods involved.</w:t>
      </w:r>
    </w:p>
    <w:p>
      <w:pPr>
        <w:spacing w:after="0" w:line="388"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 w:name="page10"/>
    <w:bookmarkEnd w:id="9"/>
    <w:p>
      <w:pPr>
        <w:jc w:val="both"/>
        <w:ind w:firstLine="1305"/>
        <w:spacing w:after="0" w:line="297" w:lineRule="auto"/>
        <w:tabs>
          <w:tab w:leader="none" w:pos="2114" w:val="left"/>
        </w:tabs>
        <w:numPr>
          <w:ilvl w:val="0"/>
          <w:numId w:val="9"/>
        </w:numPr>
        <w:rPr>
          <w:rFonts w:ascii="Arial" w:cs="Arial" w:eastAsia="Arial" w:hAnsi="Arial"/>
          <w:sz w:val="16"/>
          <w:szCs w:val="16"/>
          <w:color w:val="auto"/>
        </w:rPr>
      </w:pPr>
      <w:r>
        <w:rPr>
          <w:rFonts w:ascii="Arial" w:cs="Arial" w:eastAsia="Arial" w:hAnsi="Arial"/>
          <w:sz w:val="16"/>
          <w:szCs w:val="16"/>
          <w:color w:val="auto"/>
        </w:rPr>
        <w:t>CohnReznick LLP “</w:t>
      </w:r>
      <w:r>
        <w:rPr>
          <w:rFonts w:ascii="Arial" w:cs="Arial" w:eastAsia="Arial" w:hAnsi="Arial"/>
          <w:sz w:val="16"/>
          <w:szCs w:val="16"/>
          <w:u w:val="single" w:color="auto"/>
          <w:color w:val="auto"/>
        </w:rPr>
        <w:t>CohnReznick</w:t>
      </w:r>
      <w:r>
        <w:rPr>
          <w:rFonts w:ascii="Arial" w:cs="Arial" w:eastAsia="Arial" w:hAnsi="Arial"/>
          <w:sz w:val="16"/>
          <w:szCs w:val="16"/>
          <w:color w:val="auto"/>
        </w:rPr>
        <w:t>”), whose reports are filed with the Commission as a part of the Registration Statement, the General Disclosure Package and the Prospectus are and, during the periods covered by their reports, were independent registered public accountants as required by the Securities Act and the Rules. BDO USA, LLP (“BDO” and, together with CohnReznick, each an “</w:t>
      </w:r>
      <w:r>
        <w:rPr>
          <w:rFonts w:ascii="Arial" w:cs="Arial" w:eastAsia="Arial" w:hAnsi="Arial"/>
          <w:sz w:val="16"/>
          <w:szCs w:val="16"/>
          <w:u w:val="single" w:color="auto"/>
          <w:color w:val="auto"/>
        </w:rPr>
        <w:t>Auditor</w:t>
      </w:r>
      <w:r>
        <w:rPr>
          <w:rFonts w:ascii="Arial" w:cs="Arial" w:eastAsia="Arial" w:hAnsi="Arial"/>
          <w:sz w:val="16"/>
          <w:szCs w:val="16"/>
          <w:color w:val="auto"/>
        </w:rPr>
        <w:t>” and collectively the “</w:t>
      </w:r>
      <w:r>
        <w:rPr>
          <w:rFonts w:ascii="Arial" w:cs="Arial" w:eastAsia="Arial" w:hAnsi="Arial"/>
          <w:sz w:val="16"/>
          <w:szCs w:val="16"/>
          <w:u w:val="single" w:color="auto"/>
          <w:color w:val="auto"/>
        </w:rPr>
        <w:t>Auditors</w:t>
      </w:r>
      <w:r>
        <w:rPr>
          <w:rFonts w:ascii="Arial" w:cs="Arial" w:eastAsia="Arial" w:hAnsi="Arial"/>
          <w:sz w:val="16"/>
          <w:szCs w:val="16"/>
          <w:color w:val="auto"/>
        </w:rPr>
        <w:t>”), whose reports are filed with the Commission as a part of the Registration Statement, the General Disclosure Package and the Prospectus are and, during the periods covered by their reports, were independent registered public accountants with respect to XpresSpa, as required by the Securities Act and the Rules.</w:t>
      </w:r>
    </w:p>
    <w:p>
      <w:pPr>
        <w:spacing w:after="0" w:line="158" w:lineRule="exact"/>
        <w:rPr>
          <w:rFonts w:ascii="Arial" w:cs="Arial" w:eastAsia="Arial" w:hAnsi="Arial"/>
          <w:sz w:val="16"/>
          <w:szCs w:val="16"/>
          <w:color w:val="auto"/>
        </w:rPr>
      </w:pPr>
    </w:p>
    <w:p>
      <w:pPr>
        <w:jc w:val="both"/>
        <w:ind w:firstLine="1305"/>
        <w:spacing w:after="0" w:line="268" w:lineRule="auto"/>
        <w:tabs>
          <w:tab w:leader="none" w:pos="2374"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Company and each of its significant subsidiaries (as defined in Regulation S-X, Item 1-02(w)) (the “</w:t>
      </w:r>
      <w:r>
        <w:rPr>
          <w:rFonts w:ascii="Arial" w:cs="Arial" w:eastAsia="Arial" w:hAnsi="Arial"/>
          <w:sz w:val="17"/>
          <w:szCs w:val="17"/>
          <w:u w:val="single" w:color="auto"/>
          <w:color w:val="auto"/>
        </w:rPr>
        <w:t>Significant</w:t>
      </w:r>
      <w:r>
        <w:rPr>
          <w:rFonts w:ascii="Arial" w:cs="Arial" w:eastAsia="Arial" w:hAnsi="Arial"/>
          <w:sz w:val="17"/>
          <w:szCs w:val="17"/>
          <w:color w:val="auto"/>
        </w:rPr>
        <w:t xml:space="preserve"> </w:t>
      </w:r>
      <w:r>
        <w:rPr>
          <w:rFonts w:ascii="Arial" w:cs="Arial" w:eastAsia="Arial" w:hAnsi="Arial"/>
          <w:sz w:val="17"/>
          <w:szCs w:val="17"/>
          <w:u w:val="single" w:color="auto"/>
          <w:color w:val="auto"/>
        </w:rPr>
        <w:t>Subsidiaries</w:t>
      </w:r>
      <w:r>
        <w:rPr>
          <w:rFonts w:ascii="Arial" w:cs="Arial" w:eastAsia="Arial" w:hAnsi="Arial"/>
          <w:sz w:val="17"/>
          <w:szCs w:val="17"/>
          <w:color w:val="auto"/>
        </w:rPr>
        <w:t>”), including each entity (corporation, partnership, joint venture, association or other business organization) controlled directly or indirectly by the Company (each, a “</w:t>
      </w:r>
      <w:r>
        <w:rPr>
          <w:rFonts w:ascii="Arial" w:cs="Arial" w:eastAsia="Arial" w:hAnsi="Arial"/>
          <w:sz w:val="17"/>
          <w:szCs w:val="17"/>
          <w:u w:val="single" w:color="auto"/>
          <w:color w:val="auto"/>
        </w:rPr>
        <w:t>subsidiary</w:t>
      </w:r>
      <w:r>
        <w:rPr>
          <w:rFonts w:ascii="Arial" w:cs="Arial" w:eastAsia="Arial" w:hAnsi="Arial"/>
          <w:sz w:val="17"/>
          <w:szCs w:val="17"/>
          <w:color w:val="auto"/>
        </w:rPr>
        <w:t>”), is duly organized, validly existing and in good standing under the laws of their respective jurisdictions of incorporation or organization and each such entity has all requisite power and authority to carry on its business as is currently being conducted and as described in the General Disclosure Package, the Statutory Prospectus and the Prospectus, and to own, lease and operate its properties. All of the issued shares of capital stock of, or other ownership interests in, each subsidiary have been duly and validly authorized and issued and are fully paid and non-assessable and are owned, directly or indirectly, by the Company, free and clear of any lien, charge, mortgage, pledge, security interest, claim, limitation on voting rights, equity, trust or other encumbrance, preferential arrangement, defect or restriction of any kind whatsoever except as otherwise disclosed in the Prospectus. The Company and each of the Significant Subsidiaries is duly qualified to do business and is in good standing as a foreign corporation in each jurisdiction in which the nature of the business conducted by it or location of the assets or properties owned, leased or licensed by it requires such qualification, except for such jurisdictions where the failure to so qualify individually or in the aggregate would not reasonably be expected to have a material adverse effect on the assets, liabilities, properties, condition (financial or otherwise), results of operations, business or business prospects of the Company and its subsidiaries considered as a whole (a “</w:t>
      </w:r>
      <w:r>
        <w:rPr>
          <w:rFonts w:ascii="Arial" w:cs="Arial" w:eastAsia="Arial" w:hAnsi="Arial"/>
          <w:sz w:val="17"/>
          <w:szCs w:val="17"/>
          <w:u w:val="single" w:color="auto"/>
          <w:color w:val="auto"/>
        </w:rPr>
        <w:t>Material Adverse Effect</w:t>
      </w:r>
      <w:r>
        <w:rPr>
          <w:rFonts w:ascii="Arial" w:cs="Arial" w:eastAsia="Arial" w:hAnsi="Arial"/>
          <w:sz w:val="17"/>
          <w:szCs w:val="17"/>
          <w:color w:val="auto"/>
        </w:rPr>
        <w:t>”); and to the Company’s knowledge, no proceeding has been instituted in any such jurisdiction revoking, limiting or curtailing, or seeking to revoke, limit or curtail, such power and authority or qualification. As of the date hereof, the only Significant Subsidiaries of the Company are XpresSpa Holdings LLC and Group Mobile International, LLC.</w:t>
      </w:r>
    </w:p>
    <w:p>
      <w:pPr>
        <w:spacing w:after="0" w:line="183" w:lineRule="exact"/>
        <w:rPr>
          <w:rFonts w:ascii="Arial" w:cs="Arial" w:eastAsia="Arial" w:hAnsi="Arial"/>
          <w:sz w:val="17"/>
          <w:szCs w:val="17"/>
          <w:color w:val="auto"/>
        </w:rPr>
      </w:pPr>
    </w:p>
    <w:p>
      <w:pPr>
        <w:jc w:val="both"/>
        <w:ind w:firstLine="1305"/>
        <w:spacing w:after="0" w:line="293" w:lineRule="auto"/>
        <w:tabs>
          <w:tab w:leader="none" w:pos="2121"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Registration Statement initially became effective within three years of the date hereof. If, immediately prior to the third anniversary of the initial effective date of the Registration Statement, any of the Shares remain unsold by the Underwriters, the Company will, prior to that third anniversary file, if it has not already done so, a new “shelf” registration statement relating to the Shares, in a form reasonably satisfactory to the Representatives, will use its reasonable best efforts to cause such registration statement to be declared effective within 180 days after that third anniversary, and will take all other action necessary or appropriate to permit the public offering and sale of the Shares to continue as contemplated in the expired Registration Statement. References herein to the registration statement relating to the Shares shall include such new shelf registration statement.</w:t>
      </w:r>
    </w:p>
    <w:p>
      <w:pPr>
        <w:spacing w:after="0" w:line="37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 w:name="page11"/>
    <w:bookmarkEnd w:id="10"/>
    <w:p>
      <w:pPr>
        <w:jc w:val="both"/>
        <w:ind w:firstLine="1305"/>
        <w:spacing w:after="0" w:line="270" w:lineRule="auto"/>
        <w:tabs>
          <w:tab w:leader="none" w:pos="2233"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Company and each of the Significant Subsidiaries has all requisite corporate power and authority, and all necessary authorizations, approvals, consents, orders, licenses, certificates and permits of and from all governmental or regulatory bodies or any other person or entity (collectively, the “</w:t>
      </w:r>
      <w:r>
        <w:rPr>
          <w:rFonts w:ascii="Arial" w:cs="Arial" w:eastAsia="Arial" w:hAnsi="Arial"/>
          <w:sz w:val="17"/>
          <w:szCs w:val="17"/>
          <w:u w:val="single" w:color="auto"/>
          <w:color w:val="auto"/>
        </w:rPr>
        <w:t>Permits</w:t>
      </w:r>
      <w:r>
        <w:rPr>
          <w:rFonts w:ascii="Arial" w:cs="Arial" w:eastAsia="Arial" w:hAnsi="Arial"/>
          <w:sz w:val="17"/>
          <w:szCs w:val="17"/>
          <w:color w:val="auto"/>
        </w:rPr>
        <w:t>”), to own, lease and license its assets and properties and conduct its business, including as described in the Registration Statement, the General Disclosure Package, the Statutory Prospectus and the Prospectus, all of which are valid and in full force and effect, except where the lack of such Permits, individually or in the aggregate, would not have a Material Adverse Effect. The Company and each of the Significant Subsidiaries has fulfilled and performed in all material respects all of its obligations with respect to such Permits and no event has occurred that allows, or after notice or lapse of time would allow, revocation or termination thereof or results in any other material impairment of the rights of such entity thereunder. Except as may be required under the Securities Act and state and foreign Blue Sky laws and as required by FINRA and the NASDAQ Capital Market, no other Permits are required to enter into, deliver and perform this Agreement and to issue and sell the Shares.</w:t>
      </w:r>
    </w:p>
    <w:p>
      <w:pPr>
        <w:spacing w:after="0" w:line="181" w:lineRule="exact"/>
        <w:rPr>
          <w:rFonts w:ascii="Arial" w:cs="Arial" w:eastAsia="Arial" w:hAnsi="Arial"/>
          <w:sz w:val="17"/>
          <w:szCs w:val="17"/>
          <w:color w:val="auto"/>
        </w:rPr>
      </w:pPr>
    </w:p>
    <w:p>
      <w:pPr>
        <w:jc w:val="both"/>
        <w:ind w:firstLine="1305"/>
        <w:spacing w:after="0" w:line="264" w:lineRule="auto"/>
        <w:tabs>
          <w:tab w:leader="none" w:pos="2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(i) At the earliest time after the filing of the Registration Statement that the Company or another offering participant made a </w:t>
      </w:r>
      <w:r>
        <w:rPr>
          <w:rFonts w:ascii="Arial" w:cs="Arial" w:eastAsia="Arial" w:hAnsi="Arial"/>
          <w:sz w:val="18"/>
          <w:szCs w:val="18"/>
          <w:i w:val="1"/>
          <w:iCs w:val="1"/>
          <w:color w:val="auto"/>
        </w:rPr>
        <w:t>bona</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fide </w:t>
      </w:r>
      <w:r>
        <w:rPr>
          <w:rFonts w:ascii="Arial" w:cs="Arial" w:eastAsia="Arial" w:hAnsi="Arial"/>
          <w:sz w:val="18"/>
          <w:szCs w:val="18"/>
          <w:color w:val="auto"/>
        </w:rPr>
        <w:t>offer (within the meaning of Rule 164(h)(2) of the Rules) for the Shares and (ii) at the date hereof, the Company was not and is not an “ineligible issuer,”</w:t>
      </w:r>
      <w:r>
        <w:rPr>
          <w:rFonts w:ascii="Arial" w:cs="Arial" w:eastAsia="Arial" w:hAnsi="Arial"/>
          <w:sz w:val="18"/>
          <w:szCs w:val="18"/>
          <w:i w:val="1"/>
          <w:iCs w:val="1"/>
          <w:color w:val="auto"/>
        </w:rPr>
        <w:t xml:space="preserve"> </w:t>
      </w:r>
      <w:r>
        <w:rPr>
          <w:rFonts w:ascii="Arial" w:cs="Arial" w:eastAsia="Arial" w:hAnsi="Arial"/>
          <w:sz w:val="18"/>
          <w:szCs w:val="18"/>
          <w:color w:val="auto"/>
        </w:rPr>
        <w:t>as defined in Rule 405 of the Rules.</w:t>
      </w:r>
    </w:p>
    <w:p>
      <w:pPr>
        <w:spacing w:after="0" w:line="181" w:lineRule="exact"/>
        <w:rPr>
          <w:rFonts w:ascii="Arial" w:cs="Arial" w:eastAsia="Arial" w:hAnsi="Arial"/>
          <w:sz w:val="18"/>
          <w:szCs w:val="18"/>
          <w:color w:val="auto"/>
        </w:rPr>
      </w:pPr>
    </w:p>
    <w:p>
      <w:pPr>
        <w:jc w:val="both"/>
        <w:ind w:firstLine="1305"/>
        <w:spacing w:after="0" w:line="273" w:lineRule="auto"/>
        <w:tabs>
          <w:tab w:leader="none" w:pos="1934"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Company and each of the Significant Subsidiaries has good and marketable title to all real property, and good and valid title to all other material property owned by it, in each case free and clear of all liens, encumbrances, claims, security interests and defects, except such as do not materially interfere with the use made or proposed to be made of such property by the Company and Significant Subsidiaries or as are disclosed in the Prospectus. All property held under lease by the Company and its subsidiaries is held by them under valid, existing and enforceable leases, free and clear of all liens, encumbrances, claims, security interests and defects, except such as do not materially interfere with the use made or proposed to be made of such property by the Company and the Significant Subsidiaries or as are disclosed in the Prospectus.</w:t>
      </w:r>
    </w:p>
    <w:p>
      <w:pPr>
        <w:spacing w:after="0" w:line="178" w:lineRule="exact"/>
        <w:rPr>
          <w:rFonts w:ascii="Arial" w:cs="Arial" w:eastAsia="Arial" w:hAnsi="Arial"/>
          <w:sz w:val="17"/>
          <w:szCs w:val="17"/>
          <w:color w:val="auto"/>
        </w:rPr>
      </w:pPr>
    </w:p>
    <w:p>
      <w:pPr>
        <w:jc w:val="both"/>
        <w:ind w:firstLine="1305"/>
        <w:spacing w:after="0" w:line="268" w:lineRule="auto"/>
        <w:tabs>
          <w:tab w:leader="none" w:pos="1958"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Company and each of the Significant Subsidiaries owns or possesses adequate rights or licenses to use all material trademarks, trade names, service marks, service mark registrations, service names, patents, patent rights, copyrights, original works, inventions, licenses, approvals, governmental authorizations, trade secrets and other intellectual property rights and all applications and registrations therefor (“</w:t>
      </w:r>
      <w:r>
        <w:rPr>
          <w:rFonts w:ascii="Arial" w:cs="Arial" w:eastAsia="Arial" w:hAnsi="Arial"/>
          <w:sz w:val="17"/>
          <w:szCs w:val="17"/>
          <w:u w:val="single" w:color="auto"/>
          <w:color w:val="auto"/>
        </w:rPr>
        <w:t>Intellectual Property Rights</w:t>
      </w:r>
      <w:r>
        <w:rPr>
          <w:rFonts w:ascii="Arial" w:cs="Arial" w:eastAsia="Arial" w:hAnsi="Arial"/>
          <w:sz w:val="17"/>
          <w:szCs w:val="17"/>
          <w:color w:val="auto"/>
        </w:rPr>
        <w:t>”) necessary to conduct their respective businesses as now conducted and as presently proposed to be conducted. None of the Company’s or the Significant Subsidiaries’ Intellectual Property Rights, which are materially necessary to conduct their respective businesses, have expired, terminated or been abandoned, or are expected to expire, terminate or be abandoned, within three years from the date of this Agreement. The Company has no knowledge of any infringement by the Company or any of the Significant Subsidiaries of Intellectual Property Rights of others. Except as disclosed in the Registration Statement, the Statutory Prospectus and the Prospectus, there is no claim, action or proceeding being made or brought, or to the knowledge of the Company or any of the Significant Subsidiaries, being threatened, against the Company or any of the Significant Subsidiaries regarding their Intellectual Property Rights which would reasonably be expected to have a Material Adverse Effect. The Company is not aware of any facts or circumstances which might give rise to any of the foregoing infringements or claims, actions or proceedings. The Company and each of the Significant Subsidiaries have taken reasonable security measures to protect the secrecy, confidentiality and value of all of their Intellectual Property Rights which are materially necessary to conduct their respective businesses.</w:t>
      </w:r>
    </w:p>
    <w:p>
      <w:pPr>
        <w:spacing w:after="0" w:line="397"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 w:name="page12"/>
    <w:bookmarkEnd w:id="11"/>
    <w:p>
      <w:pPr>
        <w:jc w:val="both"/>
        <w:ind w:firstLine="1305"/>
        <w:spacing w:after="0" w:line="287" w:lineRule="auto"/>
        <w:tabs>
          <w:tab w:leader="none" w:pos="1966" w:val="left"/>
        </w:tabs>
        <w:numPr>
          <w:ilvl w:val="0"/>
          <w:numId w:val="11"/>
        </w:numPr>
        <w:rPr>
          <w:rFonts w:ascii="Arial" w:cs="Arial" w:eastAsia="Arial" w:hAnsi="Arial"/>
          <w:sz w:val="16"/>
          <w:szCs w:val="16"/>
          <w:color w:val="auto"/>
        </w:rPr>
      </w:pPr>
      <w:r>
        <w:rPr>
          <w:rFonts w:ascii="Arial" w:cs="Arial" w:eastAsia="Arial" w:hAnsi="Arial"/>
          <w:sz w:val="16"/>
          <w:szCs w:val="16"/>
          <w:color w:val="auto"/>
        </w:rPr>
        <w:t>Subsequent to the respective dates as of which information is given in the Registration Statement, the General Disclosure Package, the Statutory Prospectus and the Prospectus, (i) there has not been any event which would reasonably be expected to have a Material Adverse Effect; (ii) neither the Company nor any of the Significant Subsidiaries has sustained any material loss or interference with its assets, businesses or properties (whether owned or leased) from fire, explosion, earthquake, flood or other calamity, whether or not covered by insurance, or from any labor dispute or any court or legislative or other governmental action, order or decree; and (iii) since the date of the latest balance sheet included in the Registration Statement and the Prospectus, neither the Company nor any of the Significant Subsidiaries has (A) except as disclosed in the Registration Statement, issued any securities other than upon the exercise of options or warrants, upon the conversion of outstanding preferred stock or pursuant to the Company’s 2012 Employee, Director and Consultant Equity Incentive Plan or 2006 Stock Option Plan, or incurred any liability or obligation, direct or contingent, for borrowed money, except such liabilities or obligations incurred in the ordinary course of business consistent with past practice, (B) entered into any material transaction not in the ordinary course of business consistent with past practice or (C) declared or paid any dividend or made any distribution on any shares of its stock or redeemed, purchased or otherwise acquired or agreed to redeem, purchase or otherwise acquire any shares of its capital stock.</w:t>
      </w:r>
    </w:p>
    <w:p>
      <w:pPr>
        <w:spacing w:after="0" w:line="172" w:lineRule="exact"/>
        <w:rPr>
          <w:rFonts w:ascii="Arial" w:cs="Arial" w:eastAsia="Arial" w:hAnsi="Arial"/>
          <w:sz w:val="16"/>
          <w:szCs w:val="16"/>
          <w:color w:val="auto"/>
        </w:rPr>
      </w:pPr>
    </w:p>
    <w:p>
      <w:pPr>
        <w:jc w:val="both"/>
        <w:ind w:firstLine="1305"/>
        <w:spacing w:after="0" w:line="286" w:lineRule="auto"/>
        <w:tabs>
          <w:tab w:leader="none" w:pos="2011"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There is no document, contract or other agreement required to be described in the Registration Statement, the General Disclosure Package, the Statutory Prospectus or the Prospectus or to be filed as an exhibit to the Registration Statement which is not described or filed as required by the Securities Act or Rules. Each description of a contract, document or other agreement in the Registration Statement, the General Disclosure Package, the Statutory Prospectus or the Prospectus accurately reflects in all material respects the terms of the underlying contract, document or other agreement. Each contract, document or other agreement described in the Registration Statement, the General Disclosure Package, the Statutory Prospectus or the Prospectus or listed in the Exhibits to the Registration Statement or incorporated by reference is in full force and effect and is valid and enforceable by and against the Company or any of the Significant Subsidiaries, as the case may be, in accordance with its terms. Neither the Company nor any of the Significant Subsidiaries, if a Significant Subsidiary is a party, nor to the Company’s knowledge after reasonable investigation, any other party is in default in the observance or performance of any material term or obligation to be performed by it under any such agreement, and no event has occurred which with notice or lapse of time or both would constitute such a default. No default exists, and no event has occurred which with notice or lapse of time or both would constitute a default, in the due performance and observance of any term, covenant or condition, by the Company or any of the Significant Subsidiaries, if a Significant Subsidiary is a party thereto, of any other agreement or instrument to which the Company or any of the Significant Subsidiaries is a party or by which Company or its properties or business or any Significant Subsidiary or its properties or business may be bound or affected which default or event, individually or in the aggregate, would reasonably be expected to have a Material Adverse Effect.</w:t>
      </w:r>
    </w:p>
    <w:p>
      <w:pPr>
        <w:spacing w:after="0" w:line="381"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2" w:name="page13"/>
    <w:bookmarkEnd w:id="12"/>
    <w:p>
      <w:pPr>
        <w:ind w:firstLine="1305"/>
        <w:spacing w:after="0" w:line="277" w:lineRule="auto"/>
        <w:tabs>
          <w:tab w:leader="none" w:pos="2151"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statistical and market related data included in the Registration Statement, the General Disclosure Package, the Statutory Prospectus or the Prospectus are based on or derived from sources that the Company believes to be reliable and accurate.</w:t>
      </w:r>
    </w:p>
    <w:p>
      <w:pPr>
        <w:spacing w:after="0" w:line="170" w:lineRule="exact"/>
        <w:rPr>
          <w:rFonts w:ascii="Arial" w:cs="Arial" w:eastAsia="Arial" w:hAnsi="Arial"/>
          <w:sz w:val="18"/>
          <w:szCs w:val="18"/>
          <w:color w:val="auto"/>
        </w:rPr>
      </w:pPr>
    </w:p>
    <w:p>
      <w:pPr>
        <w:jc w:val="both"/>
        <w:ind w:firstLine="1305"/>
        <w:spacing w:after="0" w:line="270" w:lineRule="auto"/>
        <w:tabs>
          <w:tab w:leader="none" w:pos="2178" w:val="left"/>
        </w:tabs>
        <w:numPr>
          <w:ilvl w:val="0"/>
          <w:numId w:val="12"/>
        </w:numPr>
        <w:rPr>
          <w:rFonts w:ascii="Arial" w:cs="Arial" w:eastAsia="Arial" w:hAnsi="Arial"/>
          <w:sz w:val="17"/>
          <w:szCs w:val="17"/>
          <w:color w:val="auto"/>
        </w:rPr>
      </w:pPr>
      <w:r>
        <w:rPr>
          <w:rFonts w:ascii="Arial" w:cs="Arial" w:eastAsia="Arial" w:hAnsi="Arial"/>
          <w:sz w:val="17"/>
          <w:szCs w:val="17"/>
          <w:color w:val="auto"/>
        </w:rPr>
        <w:t>Neither the Company nor any Significant Subsidiary (i) is in violation of its certificate or articles of incorporation, bylaws, certificate of formation, limited liability company agreement, partnership agreement or other organizational documents, (ii) is in default under (except for such defaults as have been waived), and no event has occurred which, with notice or lapse of time, or both, would constitute a default under, or result in the creation or imposition of any lien, charge, mortgage, pledge, security interest, claim, limitation on voting rights, equity, trust or other encumbrance, preferential arrangement, defect or restriction of any kind whatsoever, upon, any property or assets of the Company or any Significant Subsidiary pursuant to, any bond, debenture, note, indenture, mortgage, deed of trust, loan agreement or other agreement or instrument to which it is a party or by which it is bound or to which any of its properties or assets is subject or (iii) is in violation of any statute, law, rule, regulation, ordinance, directive, judgment, decree or order of any judicial, regulatory or other legal or governmental agency or body, foreign or domestic, except (in the case of clauses (ii) and (iii) above) for defaults or violations that could not (individually or in the aggregate) reasonably be expected to have a Material Adverse Effect.</w:t>
      </w:r>
    </w:p>
    <w:p>
      <w:pPr>
        <w:spacing w:after="0" w:line="181" w:lineRule="exact"/>
        <w:rPr>
          <w:rFonts w:ascii="Arial" w:cs="Arial" w:eastAsia="Arial" w:hAnsi="Arial"/>
          <w:sz w:val="17"/>
          <w:szCs w:val="17"/>
          <w:color w:val="auto"/>
        </w:rPr>
      </w:pPr>
    </w:p>
    <w:p>
      <w:pPr>
        <w:ind w:left="1940" w:hanging="635"/>
        <w:spacing w:after="0"/>
        <w:tabs>
          <w:tab w:leader="none" w:pos="1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This Agreement has been duly authorized, executed and delivered by the Company.</w:t>
      </w:r>
    </w:p>
    <w:p>
      <w:pPr>
        <w:spacing w:after="0" w:line="225" w:lineRule="exact"/>
        <w:rPr>
          <w:rFonts w:ascii="Arial" w:cs="Arial" w:eastAsia="Arial" w:hAnsi="Arial"/>
          <w:sz w:val="18"/>
          <w:szCs w:val="18"/>
          <w:color w:val="auto"/>
        </w:rPr>
      </w:pPr>
    </w:p>
    <w:p>
      <w:pPr>
        <w:jc w:val="both"/>
        <w:ind w:firstLine="1305"/>
        <w:spacing w:after="0" w:line="289" w:lineRule="auto"/>
        <w:tabs>
          <w:tab w:leader="none" w:pos="2216" w:val="left"/>
        </w:tabs>
        <w:numPr>
          <w:ilvl w:val="0"/>
          <w:numId w:val="12"/>
        </w:numPr>
        <w:rPr>
          <w:rFonts w:ascii="Arial" w:cs="Arial" w:eastAsia="Arial" w:hAnsi="Arial"/>
          <w:sz w:val="16"/>
          <w:szCs w:val="16"/>
          <w:color w:val="auto"/>
        </w:rPr>
      </w:pPr>
      <w:r>
        <w:rPr>
          <w:rFonts w:ascii="Arial" w:cs="Arial" w:eastAsia="Arial" w:hAnsi="Arial"/>
          <w:sz w:val="16"/>
          <w:szCs w:val="16"/>
          <w:color w:val="auto"/>
        </w:rPr>
        <w:t>Neither the execution, delivery and performance of this Agreement by the Company nor the consummation of any of the transactions contemplated hereby, including, without limitation, the issuance and sale by the Company of the Shares, will give rise to a right to terminate or accelerate the due date of any payment due under, or conflict with or result in the breach of any term or provision of, or constitute a default (or an event which with notice or lapse of time or both would constitute a default) under, or require any consent or waiver under, or result in the execution or imposition of any lien, charge or encumbrance upon any properties or assets of the Company or the Significant Subsidiaries pursuant to the terms of, any bond, debenture, note, indenture, mortgage, deed of trust or other agreement or instrument to which the Company or any of the Significant Subsidiaries is a party or by which either the Company or any of the Significant Subsidiaries or any of their properties or businesses is bound, or any franchise, license, permit, judgment, decree, order, statute, rule or regulation applicable to the Company or any of the Significant Subsidiaries or violate any provision of the charter or bylaws of the Company or any of the Significant Subsidiaries, except for such consents or waivers which have already been obtained and are in full force and effect.</w:t>
      </w:r>
    </w:p>
    <w:p>
      <w:pPr>
        <w:spacing w:after="0" w:line="37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3" w:name="page14"/>
    <w:bookmarkEnd w:id="13"/>
    <w:p>
      <w:pPr>
        <w:jc w:val="both"/>
        <w:ind w:firstLine="1305"/>
        <w:spacing w:after="0" w:line="285" w:lineRule="auto"/>
        <w:tabs>
          <w:tab w:leader="none" w:pos="2188"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Company has authorized and outstanding capital stock as set forth under the caption “Capitalization” in the Statutory Prospectus and the Prospectus. The certificates evidencing the Shares are in due and proper legal form and have been duly authorized for issuance by the Company. All of the issued and outstanding shares of Common Stock and Series D Convertible Preferred Stock have been duly and validly issued and are fully paid and non-assessable. There are no statutory preemptive or other similar rights to subscribe for or to purchase or acquire any shares of Common Stock or Series D Convertible Preferred Stock of the Company or any of the Significant Subsidiaries or any such rights pursuant to its Amended and Restated Certificate of Incorporation or Second Amended and Restated Bylaws or any agreement or instrument to or by which the Company or any of the Significant Subsidiaries is a party or bound. The Shares to be sold by the Company have been duly authorized and, when issued and sold pursuant to this Agreement will be duly and validly issued, fully paid and non-assessable and none of them will be subject to, or issued in violation of, any preemptive or other similar right. Except as disclosed in the Registration Statement, the Statutory Prospectus and the Prospectus, there is no outstanding option, warrant or other right calling for the issuance of, and there is no commitment, plan or arrangement to issue, any share of capital stock of the Company or any of the Significant Subsidiaries or any security convertible into, or exercisable or exchangeable for, such stock. The exercise price of each option to acquire Common Stock (each, a “</w:t>
      </w:r>
      <w:r>
        <w:rPr>
          <w:rFonts w:ascii="Arial" w:cs="Arial" w:eastAsia="Arial" w:hAnsi="Arial"/>
          <w:sz w:val="16"/>
          <w:szCs w:val="16"/>
          <w:u w:val="single" w:color="auto"/>
          <w:color w:val="auto"/>
        </w:rPr>
        <w:t>Company Stock Option</w:t>
      </w:r>
      <w:r>
        <w:rPr>
          <w:rFonts w:ascii="Arial" w:cs="Arial" w:eastAsia="Arial" w:hAnsi="Arial"/>
          <w:sz w:val="16"/>
          <w:szCs w:val="16"/>
          <w:color w:val="auto"/>
        </w:rPr>
        <w:t>”) is no less than the fair market value of a share of Common Stock as determined on the date of grant of such Company Stock Option. All grants of Company Stock Options were validly issued and duly authorized and approved by the Board of Directors of the Company (or committees thereof) in compliance in all material respects with all applicable laws and the terms of the plans under which such Company Stock Options were issued and were recorded on the Company Financial Statements in accordance with GAAP, and no such grants involved any “back dating”, “forward dating,” “spring loading” or similar practices with respect to the effective date of grant. The Common Stock, the Series D Convertible Preferred Stock and the Shares conform in all material respects to all statements in relation thereto contained in the Registration Statement and the Statutory Prospectus and the Prospectus. All outstanding shares of capital stock of each of the Significant Subsidiaries have been duly authorized and validly issued, and are fully paid and non-assessable and are owned directly by the Company or by another wholly-owned subsidiary of the Company free and clear of any security interests, liens, encumbrances, equities or claims, other than those described in the Statutory Prospectus and the Prospectus.</w:t>
      </w:r>
    </w:p>
    <w:p>
      <w:pPr>
        <w:spacing w:after="0" w:line="168" w:lineRule="exact"/>
        <w:rPr>
          <w:rFonts w:ascii="Arial" w:cs="Arial" w:eastAsia="Arial" w:hAnsi="Arial"/>
          <w:sz w:val="16"/>
          <w:szCs w:val="16"/>
          <w:color w:val="auto"/>
        </w:rPr>
      </w:pPr>
    </w:p>
    <w:p>
      <w:pPr>
        <w:jc w:val="both"/>
        <w:ind w:firstLine="1305"/>
        <w:spacing w:after="0" w:line="259" w:lineRule="auto"/>
        <w:tabs>
          <w:tab w:leader="none" w:pos="2026"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 holder of any security of the Company has any right, which has not been waived, to have any security owned by such holder included in the Registration Statement or included in the offering contemplated by this Agreement. Each director and executive officer of the Company and each stockholder of the Company listed on Schedule III hereto has delivered to the Representative an enforceable written lock-up agreement in the form attached to this Agreement as Exhibit A hereto (“</w:t>
      </w:r>
      <w:r>
        <w:rPr>
          <w:rFonts w:ascii="Arial" w:cs="Arial" w:eastAsia="Arial" w:hAnsi="Arial"/>
          <w:sz w:val="18"/>
          <w:szCs w:val="18"/>
          <w:u w:val="single" w:color="auto"/>
          <w:color w:val="auto"/>
        </w:rPr>
        <w:t>Lock-Up Agreement</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jc w:val="both"/>
        <w:ind w:firstLine="1305"/>
        <w:spacing w:after="0" w:line="259" w:lineRule="auto"/>
        <w:tabs>
          <w:tab w:leader="none" w:pos="194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There are no legal or governmental proceedings pending to which the Company or any of the Significant Subsidiaries is a party or of which any property of the Company or any of the Significant Subsidiaries is the subject which, if determined adversely to the Company or any of the Significant Subsidiaries would reasonably be expected to have a Material Adverse Effect; and, to the knowledge of the Company, no such proceedings are threatened or contemplated by governmental authorities or threatened by others.</w:t>
      </w:r>
    </w:p>
    <w:p>
      <w:pPr>
        <w:spacing w:after="0" w:line="39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4" w:name="page15"/>
    <w:bookmarkEnd w:id="14"/>
    <w:p>
      <w:pPr>
        <w:ind w:right="20" w:firstLine="1305"/>
        <w:spacing w:after="0" w:line="277" w:lineRule="auto"/>
        <w:tabs>
          <w:tab w:leader="none" w:pos="2266"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 necessary corporate action has been duly and validly taken by the Company to authorize the execution, delivery and performance of this Agreement and the issuance and sale of the Shares by the Company.</w:t>
      </w:r>
    </w:p>
    <w:p>
      <w:pPr>
        <w:spacing w:after="0" w:line="170" w:lineRule="exact"/>
        <w:rPr>
          <w:rFonts w:ascii="Arial" w:cs="Arial" w:eastAsia="Arial" w:hAnsi="Arial"/>
          <w:sz w:val="18"/>
          <w:szCs w:val="18"/>
          <w:color w:val="auto"/>
        </w:rPr>
      </w:pPr>
    </w:p>
    <w:p>
      <w:pPr>
        <w:jc w:val="both"/>
        <w:ind w:firstLine="1305"/>
        <w:spacing w:after="0" w:line="255" w:lineRule="auto"/>
        <w:tabs>
          <w:tab w:leader="none" w:pos="2186"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Neither the Company nor any of the Significant Subsidiaries is involved in any labor dispute and, to the knowledge of the Company, is any such dispute threatened, in each case would reasonably be expected to have a Material Adverse Effect. The Company is not aware of any existing or imminent labor disturbance by the employees of any of its principal suppliers or contractors which would be material to the Company and the Significant Subsidiaries taken as a whole. The Company is not aware of any threatened or pending litigation between the Company or the Significant Subsidiaries and any of its executive officers which, if adversely determined, would reasonably be expected to have a Material Adverse Effect and has no reason to believe that such officers will not remain in the employment of the Company.</w:t>
      </w:r>
    </w:p>
    <w:p>
      <w:pPr>
        <w:spacing w:after="0" w:line="193" w:lineRule="exact"/>
        <w:rPr>
          <w:rFonts w:ascii="Arial" w:cs="Arial" w:eastAsia="Arial" w:hAnsi="Arial"/>
          <w:sz w:val="18"/>
          <w:szCs w:val="18"/>
          <w:color w:val="auto"/>
        </w:rPr>
      </w:pPr>
    </w:p>
    <w:p>
      <w:pPr>
        <w:jc w:val="both"/>
        <w:ind w:firstLine="1305"/>
        <w:spacing w:after="0" w:line="264" w:lineRule="auto"/>
        <w:tabs>
          <w:tab w:leader="none" w:pos="2046"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 transaction has occurred between or among the Company and any of its officers or directors, stockholders or any affiliate or affiliates of any such officer or director or stockholder that is required to be described in and is not described in the Registration Statement, the General Disclosure Package, the Statutory Prospectus and the Prospectus.</w:t>
      </w:r>
    </w:p>
    <w:p>
      <w:pPr>
        <w:spacing w:after="0" w:line="181" w:lineRule="exact"/>
        <w:rPr>
          <w:rFonts w:ascii="Arial" w:cs="Arial" w:eastAsia="Arial" w:hAnsi="Arial"/>
          <w:sz w:val="18"/>
          <w:szCs w:val="18"/>
          <w:color w:val="auto"/>
        </w:rPr>
      </w:pPr>
    </w:p>
    <w:p>
      <w:pPr>
        <w:jc w:val="both"/>
        <w:ind w:firstLine="1305"/>
        <w:spacing w:after="0" w:line="264" w:lineRule="auto"/>
        <w:tabs>
          <w:tab w:leader="none" w:pos="1987"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Company has not taken, nor will it take, directly or indirectly, any action designed to or which would reasonably be expected to cause or result in, or which has constituted or which would reasonably be expected to constitute, the stabilization or manipulation of the price of the Common Stock or any security of the Company to facilitate the sale or resale of any of the Shares.</w:t>
      </w:r>
    </w:p>
    <w:p>
      <w:pPr>
        <w:spacing w:after="0" w:line="181" w:lineRule="exact"/>
        <w:rPr>
          <w:sz w:val="20"/>
          <w:szCs w:val="20"/>
          <w:color w:val="auto"/>
        </w:rPr>
      </w:pPr>
    </w:p>
    <w:p>
      <w:pPr>
        <w:jc w:val="both"/>
        <w:ind w:firstLine="1305"/>
        <w:spacing w:after="0" w:line="276" w:lineRule="auto"/>
        <w:tabs>
          <w:tab w:leader="none" w:pos="2075"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Company and each of the Significant Subsidiaries has filed (or filed an extension of time within which to file) all Federal, state, local and foreign tax returns which are required to be filed through the date hereof, which returns are true and correct in all material respects or has received timely extensions thereof, and has paid all taxes shown on such returns and all assessments received by it to the extent that the same have become due. There are no tax audits or investigations pending, which if adversely determined would reasonably be expected to have a Material Adverse Effect; nor are there any material proposed additional tax assessments against the Company or any of the Significant Subsidiaries.</w:t>
      </w:r>
    </w:p>
    <w:p>
      <w:pPr>
        <w:spacing w:after="0" w:line="172" w:lineRule="exact"/>
        <w:rPr>
          <w:rFonts w:ascii="Arial" w:cs="Arial" w:eastAsia="Arial" w:hAnsi="Arial"/>
          <w:sz w:val="17"/>
          <w:szCs w:val="17"/>
          <w:color w:val="auto"/>
        </w:rPr>
      </w:pPr>
    </w:p>
    <w:p>
      <w:pPr>
        <w:jc w:val="both"/>
        <w:ind w:firstLine="1305"/>
        <w:spacing w:after="0" w:line="264" w:lineRule="auto"/>
        <w:tabs>
          <w:tab w:leader="none" w:pos="2067"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Company has taken no action designed to, or likely to have the effect of, terminating the registration of the Common Stock under the Exchange Act or listing on the NASDAQ Capital Market, nor has the Company received any notification that the Commission or the NASDAQ Capital Market is contemplating terminating such registration or listing.</w:t>
      </w:r>
    </w:p>
    <w:p>
      <w:pPr>
        <w:spacing w:after="0" w:line="181" w:lineRule="exact"/>
        <w:rPr>
          <w:rFonts w:ascii="Arial" w:cs="Arial" w:eastAsia="Arial" w:hAnsi="Arial"/>
          <w:sz w:val="18"/>
          <w:szCs w:val="18"/>
          <w:color w:val="auto"/>
        </w:rPr>
      </w:pPr>
    </w:p>
    <w:p>
      <w:pPr>
        <w:jc w:val="both"/>
        <w:ind w:firstLine="1305"/>
        <w:spacing w:after="0" w:line="270" w:lineRule="auto"/>
        <w:tabs>
          <w:tab w:leader="none" w:pos="2202"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books, records and accounts of the Company and the Significant Subsidiaries accurately and fairly reflect all material transactions in, and dispositions of, the assets of, and the liabilities and results of operations of, the Company and the Significant Subsidiaries. The Company and each of the Significant Subsidiaries maintains a system of internal accounting controls sufficient to provide reasonable assurances that (i) transactions are executed in accordance with management’s general or specific authorizations, (ii) transactions are recorded as necessary to permit preparation of financial statements in accordance with GAAP and to maintain asset accountability, (iii) access to assets is permitted only in accordance with management’s general or specific authorization, (iv) the recorded accountability for assets is compared with the existing assets at reasonable intervals and appropriate action is taken with respect to any differences and (v) interactive data in eXtensible Business Reporting Language included or incorporated by reference in the Registration Statement, if any, fairly presents the information called for in all material respects and is prepared in accordance with the Commission’s rules and guidelines applicable thereto.</w:t>
      </w:r>
    </w:p>
    <w:p>
      <w:pPr>
        <w:spacing w:after="0" w:line="391"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5" w:name="page16"/>
    <w:bookmarkEnd w:id="15"/>
    <w:p>
      <w:pPr>
        <w:jc w:val="both"/>
        <w:ind w:firstLine="1305"/>
        <w:spacing w:after="0" w:line="264" w:lineRule="auto"/>
        <w:tabs>
          <w:tab w:leader="none" w:pos="2241"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interactive data in eXtensible Business Reporting Language included or incorporated by reference in the Registration Statement, if any, fairly presents the information called for in all material respects and has been prepared in accordance with the Commission’s rules and guidelines applicable thereto.</w:t>
      </w:r>
    </w:p>
    <w:p>
      <w:pPr>
        <w:spacing w:after="0" w:line="181" w:lineRule="exact"/>
        <w:rPr>
          <w:rFonts w:ascii="Arial" w:cs="Arial" w:eastAsia="Arial" w:hAnsi="Arial"/>
          <w:sz w:val="18"/>
          <w:szCs w:val="18"/>
          <w:color w:val="auto"/>
        </w:rPr>
      </w:pPr>
    </w:p>
    <w:p>
      <w:pPr>
        <w:jc w:val="both"/>
        <w:ind w:firstLine="1305"/>
        <w:spacing w:after="0" w:line="255" w:lineRule="auto"/>
        <w:tabs>
          <w:tab w:leader="none" w:pos="2008"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Company has established and maintains disclosure controls and procedures (as such term is defined in Rule 13a-15 under the Exchange Act), which: (i) are designed to ensure that material information relating to the Company and the Significant Subsidiaries is made known to the Company’s principal executive officer and its principal financial officer by others within the Company, particularly during the periods in which the periodic reports required under the Exchange Act are required to be prepared; (ii) provide for the periodic evaluation of the effectiveness of such disclosure controls and procedures at the end of the periods in which the periodic reports are required to be prepared; and (iii) are effective in all material respects to perform the functions for which they were established.</w:t>
      </w:r>
    </w:p>
    <w:p>
      <w:pPr>
        <w:spacing w:after="0" w:line="193" w:lineRule="exact"/>
        <w:rPr>
          <w:rFonts w:ascii="Arial" w:cs="Arial" w:eastAsia="Arial" w:hAnsi="Arial"/>
          <w:sz w:val="18"/>
          <w:szCs w:val="18"/>
          <w:color w:val="auto"/>
        </w:rPr>
      </w:pPr>
    </w:p>
    <w:p>
      <w:pPr>
        <w:jc w:val="both"/>
        <w:ind w:firstLine="1305"/>
        <w:spacing w:after="0" w:line="276" w:lineRule="auto"/>
        <w:tabs>
          <w:tab w:leader="none" w:pos="1991"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the evaluation of its disclosure controls and procedures as of the most recent evaluation date, except as described in the Statutory Prospectus and the Prospectus, the Company is not aware of (i) any material weakness or significant deficiency in the design or operation of internal controls which would reasonably be expected to adversely affect the Company’s or any Significant Subsidiary’s ability to record, process, summarize and report financial data or any material weaknesses in internal controls; or (ii) any fraud, whether or not material, that involves management or other employees who have a role in the Company’s or the Significant Subsidiaries’ internal controls.</w:t>
      </w:r>
    </w:p>
    <w:p>
      <w:pPr>
        <w:spacing w:after="0" w:line="172" w:lineRule="exact"/>
        <w:rPr>
          <w:rFonts w:ascii="Arial" w:cs="Arial" w:eastAsia="Arial" w:hAnsi="Arial"/>
          <w:sz w:val="17"/>
          <w:szCs w:val="17"/>
          <w:color w:val="auto"/>
        </w:rPr>
      </w:pPr>
    </w:p>
    <w:p>
      <w:pPr>
        <w:jc w:val="both"/>
        <w:ind w:firstLine="1305"/>
        <w:spacing w:after="0" w:line="264" w:lineRule="auto"/>
        <w:tabs>
          <w:tab w:leader="none" w:pos="2087"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Except as described in the Statutory Prospectus and the Prospectus and as preapproved in accordance with the requirements set forth in Section 10A of the Exchange Act, CohnReznick has not been engaged by the Company to perform any “prohibited activities” (as defined in Section 10A of the Exchange Act).</w:t>
      </w:r>
    </w:p>
    <w:p>
      <w:pPr>
        <w:spacing w:after="0" w:line="181" w:lineRule="exact"/>
        <w:rPr>
          <w:rFonts w:ascii="Arial" w:cs="Arial" w:eastAsia="Arial" w:hAnsi="Arial"/>
          <w:sz w:val="18"/>
          <w:szCs w:val="18"/>
          <w:color w:val="auto"/>
        </w:rPr>
      </w:pPr>
    </w:p>
    <w:p>
      <w:pPr>
        <w:jc w:val="both"/>
        <w:ind w:firstLine="1305"/>
        <w:spacing w:after="0" w:line="259" w:lineRule="auto"/>
        <w:tabs>
          <w:tab w:leader="none" w:pos="217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Except as described in the Statutory Prospectus and the Prospectus, there are no material off-balance sheet arrangements (as defined in Item 303 of Regulation S-K) that have or are reasonably likely to have a material current or future effect on the financial condition, revenues or expenses, changes in financial condition, results of operations, liquidity, capital expenditures or capital resources of the Company and its subsidiaries taken as a whole.</w:t>
      </w:r>
    </w:p>
    <w:p>
      <w:pPr>
        <w:spacing w:after="0" w:line="186" w:lineRule="exact"/>
        <w:rPr>
          <w:rFonts w:ascii="Arial" w:cs="Arial" w:eastAsia="Arial" w:hAnsi="Arial"/>
          <w:sz w:val="18"/>
          <w:szCs w:val="18"/>
          <w:color w:val="auto"/>
        </w:rPr>
      </w:pPr>
    </w:p>
    <w:p>
      <w:pPr>
        <w:ind w:right="20" w:firstLine="1305"/>
        <w:spacing w:after="0" w:line="308" w:lineRule="auto"/>
        <w:tabs>
          <w:tab w:leader="none" w:pos="1998"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Company’s board of directors has validly appointed an audit committee whose composition satisfies the requirements of the NASDAQ Capital Market and the audit committee has adopted a charter that satisfies the requirements of the NASDAQ Capital Market.</w:t>
      </w:r>
    </w:p>
    <w:p>
      <w:pPr>
        <w:spacing w:after="0" w:line="35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6" w:name="page17"/>
    <w:bookmarkEnd w:id="16"/>
    <w:p>
      <w:pPr>
        <w:ind w:firstLine="1305"/>
        <w:spacing w:after="0" w:line="342" w:lineRule="auto"/>
        <w:tabs>
          <w:tab w:leader="none" w:pos="1932"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There is and has been no failure on the part of the Company or any of its directors or officers, in their capacities as such, to comply with any provision of the Sarbanes-Oxley Act, including, without limitation, Section 402 related to loans and Sections 302 and 906 related to certifications.</w:t>
      </w:r>
    </w:p>
    <w:p>
      <w:pPr>
        <w:spacing w:after="0" w:line="123" w:lineRule="exact"/>
        <w:rPr>
          <w:rFonts w:ascii="Arial" w:cs="Arial" w:eastAsia="Arial" w:hAnsi="Arial"/>
          <w:sz w:val="16"/>
          <w:szCs w:val="16"/>
          <w:color w:val="auto"/>
        </w:rPr>
      </w:pPr>
    </w:p>
    <w:p>
      <w:pPr>
        <w:jc w:val="both"/>
        <w:ind w:firstLine="1305"/>
        <w:spacing w:after="0" w:line="270" w:lineRule="auto"/>
        <w:tabs>
          <w:tab w:leader="none" w:pos="2048"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Company and the Significant Subsidiaries are insured by insurers of recognized financial responsibility against such losses and risks and in such amounts as it reasonably believes is appropriate in the businesses in which they are engaged or propose to engage after giving effect to the transactions described in the Statutory Prospectus and the Prospectus; all policies of insurance and fidelity or surety bonds insuring the Company or any of the Significant Subsidiaries or the Company’s or the Significant Subsidiaries’ respective businesses, assets, employees, officers and directors are in full force and effect; the Company and each of the Significant Subsidiaries are in compliance with the terms of such policies and instruments in all material respects; and neither the Company nor any Significant Subsidiary of the Company has any reason to believe that it will not be able to renew its existing insurance coverage as and when such coverage expires or to obtain similar coverage from similar insurers as may be necessary to continue its business at a cost that is not materially greater than the current cost. Neither the Company nor any of the Significant Subsidiaries has been denied any material insurance coverage which it has sought or for which it has applied.</w:t>
      </w:r>
    </w:p>
    <w:p>
      <w:pPr>
        <w:spacing w:after="0" w:line="181" w:lineRule="exact"/>
        <w:rPr>
          <w:rFonts w:ascii="Arial" w:cs="Arial" w:eastAsia="Arial" w:hAnsi="Arial"/>
          <w:sz w:val="17"/>
          <w:szCs w:val="17"/>
          <w:color w:val="auto"/>
        </w:rPr>
      </w:pPr>
    </w:p>
    <w:p>
      <w:pPr>
        <w:jc w:val="both"/>
        <w:ind w:firstLine="1305"/>
        <w:spacing w:after="0" w:line="312" w:lineRule="auto"/>
        <w:tabs>
          <w:tab w:leader="none" w:pos="1935" w:val="left"/>
        </w:tabs>
        <w:numPr>
          <w:ilvl w:val="0"/>
          <w:numId w:val="17"/>
        </w:numPr>
        <w:rPr>
          <w:rFonts w:ascii="Arial" w:cs="Arial" w:eastAsia="Arial" w:hAnsi="Arial"/>
          <w:sz w:val="16"/>
          <w:szCs w:val="16"/>
          <w:color w:val="auto"/>
        </w:rPr>
      </w:pPr>
      <w:r>
        <w:rPr>
          <w:rFonts w:ascii="Arial" w:cs="Arial" w:eastAsia="Arial" w:hAnsi="Arial"/>
          <w:sz w:val="16"/>
          <w:szCs w:val="16"/>
          <w:color w:val="auto"/>
        </w:rPr>
        <w:t>Each approval, consent, order, authorization, designation, declaration or filing of, by or with any regulatory, administrative or other governmental body necessary in connection with the execution and delivery by the Company of this Agreement and the consummation of the transactions herein and therein contemplated required to be obtained or performed by the Company has been obtained or made and is in full force and effect.</w:t>
      </w:r>
    </w:p>
    <w:p>
      <w:pPr>
        <w:spacing w:after="0" w:line="146" w:lineRule="exact"/>
        <w:rPr>
          <w:rFonts w:ascii="Arial" w:cs="Arial" w:eastAsia="Arial" w:hAnsi="Arial"/>
          <w:sz w:val="16"/>
          <w:szCs w:val="16"/>
          <w:color w:val="auto"/>
        </w:rPr>
      </w:pPr>
    </w:p>
    <w:p>
      <w:pPr>
        <w:jc w:val="both"/>
        <w:ind w:firstLine="1305"/>
        <w:spacing w:after="0" w:line="264" w:lineRule="auto"/>
        <w:tabs>
          <w:tab w:leader="none" w:pos="219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There are no affiliations with FINRA among the Company’s officers, directors or, to the knowledge of the Company after reasonable investigation and due inquiry, any five percent or greater stockholder of the Company, except as set forth in the Registration Statement or the Prospectus or otherwise disclosed in writing to the Representative prior to the date of this Agreement.</w:t>
      </w:r>
    </w:p>
    <w:p>
      <w:pPr>
        <w:spacing w:after="0" w:line="181" w:lineRule="exact"/>
        <w:rPr>
          <w:rFonts w:ascii="Arial" w:cs="Arial" w:eastAsia="Arial" w:hAnsi="Arial"/>
          <w:sz w:val="18"/>
          <w:szCs w:val="18"/>
          <w:color w:val="auto"/>
        </w:rPr>
      </w:pPr>
    </w:p>
    <w:p>
      <w:pPr>
        <w:jc w:val="both"/>
        <w:ind w:firstLine="1305"/>
        <w:spacing w:after="0" w:line="264" w:lineRule="auto"/>
        <w:tabs>
          <w:tab w:leader="none" w:pos="2068"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Company is not a passive foreign investment company (“</w:t>
      </w:r>
      <w:r>
        <w:rPr>
          <w:rFonts w:ascii="Arial" w:cs="Arial" w:eastAsia="Arial" w:hAnsi="Arial"/>
          <w:sz w:val="18"/>
          <w:szCs w:val="18"/>
          <w:u w:val="single" w:color="auto"/>
          <w:color w:val="auto"/>
        </w:rPr>
        <w:t>PFIC</w:t>
      </w:r>
      <w:r>
        <w:rPr>
          <w:rFonts w:ascii="Arial" w:cs="Arial" w:eastAsia="Arial" w:hAnsi="Arial"/>
          <w:sz w:val="18"/>
          <w:szCs w:val="18"/>
          <w:color w:val="auto"/>
        </w:rPr>
        <w:t>”) within the meaning of Section 1297 of the United States Internal Revenue Code of 1986, as amended, and, to the Company’s knowledge, does not expect to become a PFIC for the year ending December 31, 2016 or any future year.</w:t>
      </w:r>
    </w:p>
    <w:p>
      <w:pPr>
        <w:spacing w:after="0" w:line="181" w:lineRule="exact"/>
        <w:rPr>
          <w:rFonts w:ascii="Arial" w:cs="Arial" w:eastAsia="Arial" w:hAnsi="Arial"/>
          <w:sz w:val="18"/>
          <w:szCs w:val="18"/>
          <w:color w:val="auto"/>
        </w:rPr>
      </w:pPr>
    </w:p>
    <w:p>
      <w:pPr>
        <w:jc w:val="both"/>
        <w:ind w:firstLine="1305"/>
        <w:spacing w:after="0" w:line="283" w:lineRule="auto"/>
        <w:tabs>
          <w:tab w:leader="none" w:pos="2037" w:val="left"/>
        </w:tabs>
        <w:numPr>
          <w:ilvl w:val="0"/>
          <w:numId w:val="17"/>
        </w:numPr>
        <w:rPr>
          <w:rFonts w:ascii="Arial" w:cs="Arial" w:eastAsia="Arial" w:hAnsi="Arial"/>
          <w:sz w:val="16"/>
          <w:szCs w:val="16"/>
          <w:color w:val="auto"/>
        </w:rPr>
      </w:pPr>
      <w:r>
        <w:rPr>
          <w:rFonts w:ascii="Arial" w:cs="Arial" w:eastAsia="Arial" w:hAnsi="Arial"/>
          <w:sz w:val="16"/>
          <w:szCs w:val="16"/>
          <w:color w:val="auto"/>
        </w:rPr>
        <w:t>(i) Each of the Company and each of the Significant Subsidiaries is in compliance in all material respects with all rules, laws and regulation relating to the use, treatment, storage and disposal of toxic substances and protection of health or the environment (“</w:t>
      </w:r>
      <w:r>
        <w:rPr>
          <w:rFonts w:ascii="Arial" w:cs="Arial" w:eastAsia="Arial" w:hAnsi="Arial"/>
          <w:sz w:val="16"/>
          <w:szCs w:val="16"/>
          <w:u w:val="single" w:color="auto"/>
          <w:color w:val="auto"/>
        </w:rPr>
        <w:t>Environmental Laws</w:t>
      </w:r>
      <w:r>
        <w:rPr>
          <w:rFonts w:ascii="Arial" w:cs="Arial" w:eastAsia="Arial" w:hAnsi="Arial"/>
          <w:sz w:val="16"/>
          <w:szCs w:val="16"/>
          <w:color w:val="auto"/>
        </w:rPr>
        <w:t>”) which are applicable to its business; (ii) neither the Company nor the Significant Subsidiaries has received any notice from any governmental authority or third party of an asserted claim under Environmental Laws; (iii) each of the Company and each of the Significant Subsidiaries has received all material permits, licenses or other approvals required of it under applicable Environmental Laws to conduct its business and is in material compliance with all terms and conditions of any such permit, license or approval; (iv) to the Company’s knowledge, no facts currently exist that will require the Company or any of the Significant Subsidiaries to make future material capital expenditures to comply with Environmental Laws; and (v) no property which is or has been owned, leased or occupied by the Company or the Significant Subsidiaries has been designated as a Superfund site pursuant to the Comprehensive Environmental Response, Compensation of Liability Act of 1980, as amended (42 U.S.C. Section 9601, et. seq.) (“</w:t>
      </w:r>
      <w:r>
        <w:rPr>
          <w:rFonts w:ascii="Arial" w:cs="Arial" w:eastAsia="Arial" w:hAnsi="Arial"/>
          <w:sz w:val="16"/>
          <w:szCs w:val="16"/>
          <w:u w:val="single" w:color="auto"/>
          <w:color w:val="auto"/>
        </w:rPr>
        <w:t>CERCLA</w:t>
      </w:r>
      <w:r>
        <w:rPr>
          <w:rFonts w:ascii="Arial" w:cs="Arial" w:eastAsia="Arial" w:hAnsi="Arial"/>
          <w:sz w:val="16"/>
          <w:szCs w:val="16"/>
          <w:color w:val="auto"/>
        </w:rPr>
        <w:t>”) or otherwise designated as a contaminated site under applicable state or local law. Neither the Company nor any of the Significant Subsidiaries has been named as a “potentially responsible party” under</w:t>
      </w:r>
    </w:p>
    <w:p>
      <w:pPr>
        <w:spacing w:after="0" w:line="5"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CERCLA.</w:t>
      </w:r>
    </w:p>
    <w:p>
      <w:pPr>
        <w:spacing w:after="0" w:line="200" w:lineRule="exact"/>
        <w:rPr>
          <w:sz w:val="20"/>
          <w:szCs w:val="20"/>
          <w:color w:val="auto"/>
        </w:rPr>
      </w:pPr>
    </w:p>
    <w:p>
      <w:pPr>
        <w:spacing w:after="0" w:line="220"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7" w:name="page18"/>
    <w:bookmarkEnd w:id="17"/>
    <w:p>
      <w:pPr>
        <w:jc w:val="both"/>
        <w:ind w:firstLine="1305"/>
        <w:spacing w:after="0" w:line="259" w:lineRule="auto"/>
        <w:tabs>
          <w:tab w:leader="none" w:pos="2078"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Company has reasonably concluded there are no costs and liabilities associated with Environmental Laws applicable to the Company and the Significant Subsidiaries, (including, without limitation, any capital or operating expenditures required for clean-up, closure of properties or compliance with Environmental Laws, or any permit, license or approval, any related constraints on operating activities and any potential liabilities to third parties) that would reasonably be expected to have a Material Adverse Effect.</w:t>
      </w:r>
    </w:p>
    <w:p>
      <w:pPr>
        <w:spacing w:after="0" w:line="186" w:lineRule="exact"/>
        <w:rPr>
          <w:rFonts w:ascii="Arial" w:cs="Arial" w:eastAsia="Arial" w:hAnsi="Arial"/>
          <w:sz w:val="18"/>
          <w:szCs w:val="18"/>
          <w:color w:val="auto"/>
        </w:rPr>
      </w:pPr>
    </w:p>
    <w:p>
      <w:pPr>
        <w:jc w:val="both"/>
        <w:ind w:firstLine="1305"/>
        <w:spacing w:after="0" w:line="264" w:lineRule="auto"/>
        <w:tabs>
          <w:tab w:leader="none" w:pos="2151"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Company is not and, after giving effect to the offering and sale of the Shares and the application of proceeds thereof as described in the Statutory Prospectus and the Prospectus, will not be an “investment company” within the meaning of the Investment Company Act of 1940, as amended (the “</w:t>
      </w:r>
      <w:r>
        <w:rPr>
          <w:rFonts w:ascii="Arial" w:cs="Arial" w:eastAsia="Arial" w:hAnsi="Arial"/>
          <w:sz w:val="18"/>
          <w:szCs w:val="18"/>
          <w:u w:val="single" w:color="auto"/>
          <w:color w:val="auto"/>
        </w:rPr>
        <w:t>Investment Company Act</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jc w:val="both"/>
        <w:ind w:firstLine="1305"/>
        <w:spacing w:after="0" w:line="255" w:lineRule="auto"/>
        <w:tabs>
          <w:tab w:leader="none" w:pos="2029"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Neither the Company nor any Significant Subsidiary or any other person associated with or acting on behalf of the Company or any Significant Subsidiary including, without limitation, any director, officer, agent or employee of the Company or the Significant Subsidiaries, has, directly or indirectly, while acting on behalf of the Company or the Significant Subsidiaries (i) used any corporate funds for unlawful contributions, gifts, entertainment or other unlawful expenses relating to political activity; (ii) made any unlawful payment to foreign or domestic government officials or employees or to foreign or domestic political parties or campaigns from corporate funds; (iii) violated any provision of the Foreign Corrupt Practices Act of 1977, as amended; or (iv) made any other unlawful payment.</w:t>
      </w:r>
    </w:p>
    <w:p>
      <w:pPr>
        <w:spacing w:after="0" w:line="193" w:lineRule="exact"/>
        <w:rPr>
          <w:rFonts w:ascii="Arial" w:cs="Arial" w:eastAsia="Arial" w:hAnsi="Arial"/>
          <w:sz w:val="18"/>
          <w:szCs w:val="18"/>
          <w:color w:val="auto"/>
        </w:rPr>
      </w:pPr>
    </w:p>
    <w:p>
      <w:pPr>
        <w:jc w:val="both"/>
        <w:ind w:firstLine="1305"/>
        <w:spacing w:after="0" w:line="273" w:lineRule="auto"/>
        <w:tabs>
          <w:tab w:leader="none" w:pos="2106"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operations of the Company and the Significant Subsidiaries are and have been conducted at all times in compliance with applicable financial recordkeeping and reporting requirements of the Currency and Foreign Transactions Reporting Act of 1970, as amended, the money laundering statutes of all jurisdictions, the rules and regulations thereunder and any related or similar rules, regulations or guidelines, issued, administered or enforced by any governmental agency (collectively, the “</w:t>
      </w:r>
      <w:r>
        <w:rPr>
          <w:rFonts w:ascii="Arial" w:cs="Arial" w:eastAsia="Arial" w:hAnsi="Arial"/>
          <w:sz w:val="17"/>
          <w:szCs w:val="17"/>
          <w:u w:val="single" w:color="auto"/>
          <w:color w:val="auto"/>
        </w:rPr>
        <w:t>Money Laundering Laws</w:t>
      </w:r>
      <w:r>
        <w:rPr>
          <w:rFonts w:ascii="Arial" w:cs="Arial" w:eastAsia="Arial" w:hAnsi="Arial"/>
          <w:sz w:val="17"/>
          <w:szCs w:val="17"/>
          <w:color w:val="auto"/>
        </w:rPr>
        <w:t>”) and no action, suit or proceeding by or before any court or governmental agency, authority or body or any arbitrator involving the Company or any of the Significant Subsidiaries with respect to the Money Laundering Laws is pending, or to the knowledge of the Company after reasonable investigation and due inquiry, threatened.</w:t>
      </w:r>
    </w:p>
    <w:p>
      <w:pPr>
        <w:spacing w:after="0" w:line="178" w:lineRule="exact"/>
        <w:rPr>
          <w:rFonts w:ascii="Arial" w:cs="Arial" w:eastAsia="Arial" w:hAnsi="Arial"/>
          <w:sz w:val="17"/>
          <w:szCs w:val="17"/>
          <w:color w:val="auto"/>
        </w:rPr>
      </w:pPr>
    </w:p>
    <w:p>
      <w:pPr>
        <w:jc w:val="both"/>
        <w:ind w:firstLine="1305"/>
        <w:spacing w:after="0" w:line="276" w:lineRule="auto"/>
        <w:tabs>
          <w:tab w:leader="none" w:pos="1971" w:val="left"/>
        </w:tabs>
        <w:numPr>
          <w:ilvl w:val="0"/>
          <w:numId w:val="18"/>
        </w:numPr>
        <w:rPr>
          <w:rFonts w:ascii="Arial" w:cs="Arial" w:eastAsia="Arial" w:hAnsi="Arial"/>
          <w:sz w:val="17"/>
          <w:szCs w:val="17"/>
          <w:color w:val="auto"/>
        </w:rPr>
      </w:pPr>
      <w:r>
        <w:rPr>
          <w:rFonts w:ascii="Arial" w:cs="Arial" w:eastAsia="Arial" w:hAnsi="Arial"/>
          <w:sz w:val="17"/>
          <w:szCs w:val="17"/>
          <w:color w:val="auto"/>
        </w:rPr>
        <w:t>Neither the Company nor any of the Significant Subsidiaries nor, to the knowledge of the Company after reasonable investigation and due inquiry, any director, officer, agent, employee or affiliate of the Company or any of the Significant Subsidiaries is currently subject to any U.S. sanctions administered by the Office of Foreign Assets Control of the U.S. Treasury Department (“</w:t>
      </w:r>
      <w:r>
        <w:rPr>
          <w:rFonts w:ascii="Arial" w:cs="Arial" w:eastAsia="Arial" w:hAnsi="Arial"/>
          <w:sz w:val="17"/>
          <w:szCs w:val="17"/>
          <w:u w:val="single" w:color="auto"/>
          <w:color w:val="auto"/>
        </w:rPr>
        <w:t>OFAC</w:t>
      </w:r>
      <w:r>
        <w:rPr>
          <w:rFonts w:ascii="Arial" w:cs="Arial" w:eastAsia="Arial" w:hAnsi="Arial"/>
          <w:sz w:val="17"/>
          <w:szCs w:val="17"/>
          <w:color w:val="auto"/>
        </w:rPr>
        <w:t>”); and the Company will not directly or indirectly use the proceeds of the offering, or lend, contribute or otherwise make available such proceeds to any subsidiary, joint venture partner or other person or entity, for the purpose of financing the activities of any person currently subject to any U.S. sanctions administered by OFAC.</w:t>
      </w:r>
    </w:p>
    <w:p>
      <w:pPr>
        <w:spacing w:after="0" w:line="381"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8" w:name="page19"/>
    <w:bookmarkEnd w:id="18"/>
    <w:p>
      <w:pPr>
        <w:jc w:val="both"/>
        <w:ind w:firstLine="1305"/>
        <w:spacing w:after="0" w:line="259" w:lineRule="auto"/>
        <w:tabs>
          <w:tab w:leader="none" w:pos="2001" w:val="left"/>
        </w:tabs>
        <w:numPr>
          <w:ilvl w:val="1"/>
          <w:numId w:val="19"/>
        </w:numPr>
        <w:rPr>
          <w:rFonts w:ascii="Arial" w:cs="Arial" w:eastAsia="Arial" w:hAnsi="Arial"/>
          <w:sz w:val="18"/>
          <w:szCs w:val="18"/>
          <w:color w:val="auto"/>
        </w:rPr>
      </w:pPr>
      <w:r>
        <w:rPr>
          <w:rFonts w:ascii="Arial" w:cs="Arial" w:eastAsia="Arial" w:hAnsi="Arial"/>
          <w:sz w:val="18"/>
          <w:szCs w:val="18"/>
          <w:color w:val="auto"/>
        </w:rPr>
        <w:t>Except as described in the Statutory Prospectus and the Prospectus, the Company has not sold or issued any shares of capital stock during the six-month period preceding the date of the Prospectus, including any sales pursuant to Rule 144A under, or Regulations D or S of, the Securities Act, other than shares issued pursuant to employee benefit plans, qualified stock options plans or other employee compensation plans or pursuant to outstanding options, rights or warrants.</w:t>
      </w:r>
    </w:p>
    <w:p>
      <w:pPr>
        <w:spacing w:after="0" w:line="186" w:lineRule="exact"/>
        <w:rPr>
          <w:rFonts w:ascii="Arial" w:cs="Arial" w:eastAsia="Arial" w:hAnsi="Arial"/>
          <w:sz w:val="18"/>
          <w:szCs w:val="18"/>
          <w:color w:val="auto"/>
        </w:rPr>
      </w:pPr>
    </w:p>
    <w:p>
      <w:pPr>
        <w:jc w:val="both"/>
        <w:ind w:firstLine="1305"/>
        <w:spacing w:after="0" w:line="297" w:lineRule="auto"/>
        <w:tabs>
          <w:tab w:leader="none" w:pos="2124" w:val="left"/>
        </w:tabs>
        <w:numPr>
          <w:ilvl w:val="1"/>
          <w:numId w:val="19"/>
        </w:numPr>
        <w:rPr>
          <w:rFonts w:ascii="Arial" w:cs="Arial" w:eastAsia="Arial" w:hAnsi="Arial"/>
          <w:sz w:val="16"/>
          <w:szCs w:val="16"/>
          <w:color w:val="auto"/>
        </w:rPr>
      </w:pPr>
      <w:r>
        <w:rPr>
          <w:rFonts w:ascii="Arial" w:cs="Arial" w:eastAsia="Arial" w:hAnsi="Arial"/>
          <w:sz w:val="16"/>
          <w:szCs w:val="16"/>
          <w:color w:val="auto"/>
        </w:rPr>
        <w:t>The Company has fulfilled its obligations, if any, under the minimum funding standards of Section 302 of the U.S. Employee Retirement Income Security Act of 1974 (“</w:t>
      </w:r>
      <w:r>
        <w:rPr>
          <w:rFonts w:ascii="Arial" w:cs="Arial" w:eastAsia="Arial" w:hAnsi="Arial"/>
          <w:sz w:val="16"/>
          <w:szCs w:val="16"/>
          <w:u w:val="single" w:color="auto"/>
          <w:color w:val="auto"/>
        </w:rPr>
        <w:t>ERISA</w:t>
      </w:r>
      <w:r>
        <w:rPr>
          <w:rFonts w:ascii="Arial" w:cs="Arial" w:eastAsia="Arial" w:hAnsi="Arial"/>
          <w:sz w:val="16"/>
          <w:szCs w:val="16"/>
          <w:color w:val="auto"/>
        </w:rPr>
        <w:t>”) and the regulations and published interpretations thereunder with respect to each “plan” as defined in Section 3(3) of ERISA and such regulations and published interpretations in which its employees are eligible to participate and each such plan is in compliance in all material respects with the presently applicable provisions of ERISA and such regulations and published interpretations. No “Reportable Event” (as defined in ERISA) has occurred with respect to any “Pension Plan” (as defined in ERISA) for which the Company could have any liability.</w:t>
      </w:r>
    </w:p>
    <w:p>
      <w:pPr>
        <w:spacing w:after="0" w:line="158" w:lineRule="exact"/>
        <w:rPr>
          <w:rFonts w:ascii="Arial" w:cs="Arial" w:eastAsia="Arial" w:hAnsi="Arial"/>
          <w:sz w:val="16"/>
          <w:szCs w:val="16"/>
          <w:color w:val="auto"/>
        </w:rPr>
      </w:pPr>
    </w:p>
    <w:p>
      <w:pPr>
        <w:jc w:val="both"/>
        <w:ind w:firstLine="1305"/>
        <w:spacing w:after="0" w:line="259" w:lineRule="auto"/>
        <w:tabs>
          <w:tab w:leader="none" w:pos="2246" w:val="left"/>
        </w:tabs>
        <w:numPr>
          <w:ilvl w:val="1"/>
          <w:numId w:val="19"/>
        </w:numPr>
        <w:rPr>
          <w:rFonts w:ascii="Arial" w:cs="Arial" w:eastAsia="Arial" w:hAnsi="Arial"/>
          <w:sz w:val="18"/>
          <w:szCs w:val="18"/>
          <w:color w:val="auto"/>
        </w:rPr>
      </w:pPr>
      <w:r>
        <w:rPr>
          <w:rFonts w:ascii="Arial" w:cs="Arial" w:eastAsia="Arial" w:hAnsi="Arial"/>
          <w:sz w:val="18"/>
          <w:szCs w:val="18"/>
          <w:color w:val="auto"/>
        </w:rPr>
        <w:t>None of the Company, its directors or its officers has distributed nor will distribute prior to the later of (i) the Firm Shares Closing Date, or the Option Shares Closing Date, and (ii) completion of the distribution of the Shares, any offering material in connection with the offering and sale of the Shares other than any Preliminary Prospectus, the Prospectus, the Registration Statement and other materials, if any, permitted by the Securities Act and consistent with Section 4(a) below.</w:t>
      </w:r>
    </w:p>
    <w:p>
      <w:pPr>
        <w:spacing w:after="0" w:line="186" w:lineRule="exact"/>
        <w:rPr>
          <w:rFonts w:ascii="Arial" w:cs="Arial" w:eastAsia="Arial" w:hAnsi="Arial"/>
          <w:sz w:val="18"/>
          <w:szCs w:val="18"/>
          <w:color w:val="auto"/>
        </w:rPr>
      </w:pPr>
    </w:p>
    <w:p>
      <w:pPr>
        <w:jc w:val="both"/>
        <w:ind w:firstLine="1305"/>
        <w:spacing w:after="0" w:line="302" w:lineRule="auto"/>
        <w:tabs>
          <w:tab w:leader="none" w:pos="2128" w:val="left"/>
        </w:tabs>
        <w:numPr>
          <w:ilvl w:val="1"/>
          <w:numId w:val="19"/>
        </w:numPr>
        <w:rPr>
          <w:rFonts w:ascii="Arial" w:cs="Arial" w:eastAsia="Arial" w:hAnsi="Arial"/>
          <w:sz w:val="16"/>
          <w:szCs w:val="16"/>
          <w:color w:val="auto"/>
        </w:rPr>
      </w:pPr>
      <w:r>
        <w:rPr>
          <w:rFonts w:ascii="Arial" w:cs="Arial" w:eastAsia="Arial" w:hAnsi="Arial"/>
          <w:sz w:val="16"/>
          <w:szCs w:val="16"/>
          <w:color w:val="auto"/>
        </w:rPr>
        <w:t>Without limiting any of the other representations and warranties contained in this Agreement, the Company and each of the Significant Subsidiaries have not violated in any material respect and is in compliance in all material respects with all applicable laws. Neither the Company nor any of the Significant Subsidiaries has received any notice to the effect that, or otherwise been advised that, it is not in material compliance with any laws, and the Company has no reason to anticipate that any existing circumstances are reasonably likely to result in a material violation of any law.</w:t>
      </w:r>
    </w:p>
    <w:p>
      <w:pPr>
        <w:spacing w:after="0" w:line="154" w:lineRule="exact"/>
        <w:rPr>
          <w:rFonts w:ascii="Arial" w:cs="Arial" w:eastAsia="Arial" w:hAnsi="Arial"/>
          <w:sz w:val="16"/>
          <w:szCs w:val="16"/>
          <w:color w:val="auto"/>
        </w:rPr>
      </w:pPr>
    </w:p>
    <w:p>
      <w:pPr>
        <w:ind w:right="20" w:firstLine="656"/>
        <w:spacing w:after="0" w:line="277" w:lineRule="auto"/>
        <w:tabs>
          <w:tab w:leader="none" w:pos="1467"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Conditions of the Underwriters’ Obligations</w:t>
      </w:r>
      <w:r>
        <w:rPr>
          <w:rFonts w:ascii="Arial" w:cs="Arial" w:eastAsia="Arial" w:hAnsi="Arial"/>
          <w:sz w:val="18"/>
          <w:szCs w:val="18"/>
          <w:color w:val="auto"/>
        </w:rPr>
        <w:t>. The obligations of the Underwriters under this Agreement are several and not joint. The respective obligations of the Underwriters to purchase the Shares are subject to each of the following terms and conditions:</w:t>
      </w:r>
    </w:p>
    <w:p>
      <w:pPr>
        <w:spacing w:after="0" w:line="170" w:lineRule="exact"/>
        <w:rPr>
          <w:rFonts w:ascii="Arial" w:cs="Arial" w:eastAsia="Arial" w:hAnsi="Arial"/>
          <w:sz w:val="18"/>
          <w:szCs w:val="18"/>
          <w:color w:val="auto"/>
        </w:rPr>
      </w:pPr>
    </w:p>
    <w:p>
      <w:pPr>
        <w:jc w:val="both"/>
        <w:ind w:firstLine="1305"/>
        <w:spacing w:after="0" w:line="286" w:lineRule="auto"/>
        <w:tabs>
          <w:tab w:leader="none" w:pos="2242" w:val="left"/>
        </w:tabs>
        <w:numPr>
          <w:ilvl w:val="1"/>
          <w:numId w:val="20"/>
        </w:numPr>
        <w:rPr>
          <w:rFonts w:ascii="Arial" w:cs="Arial" w:eastAsia="Arial" w:hAnsi="Arial"/>
          <w:sz w:val="17"/>
          <w:szCs w:val="17"/>
          <w:color w:val="auto"/>
        </w:rPr>
      </w:pPr>
      <w:r>
        <w:rPr>
          <w:rFonts w:ascii="Arial" w:cs="Arial" w:eastAsia="Arial" w:hAnsi="Arial"/>
          <w:sz w:val="17"/>
          <w:szCs w:val="17"/>
          <w:color w:val="auto"/>
        </w:rPr>
        <w:t>Notification that the Registration Statement has become effective shall have been received by the Representative and the Prospectus shall have been timely filed with the Commission in accordance with Section 4(a) of this Agreement and any material required to be filed by the Company pursuant to Rule 433(d) of the Rules shall have been timely filed with the Commission in accordance with such rule.</w:t>
      </w:r>
    </w:p>
    <w:p>
      <w:pPr>
        <w:spacing w:after="0" w:line="37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9" w:name="page20"/>
    <w:bookmarkEnd w:id="19"/>
    <w:p>
      <w:pPr>
        <w:jc w:val="both"/>
        <w:ind w:firstLine="1305"/>
        <w:spacing w:after="0" w:line="271" w:lineRule="auto"/>
        <w:tabs>
          <w:tab w:leader="none" w:pos="2106" w:val="left"/>
        </w:tabs>
        <w:numPr>
          <w:ilvl w:val="0"/>
          <w:numId w:val="21"/>
        </w:numPr>
        <w:rPr>
          <w:rFonts w:ascii="Arial" w:cs="Arial" w:eastAsia="Arial" w:hAnsi="Arial"/>
          <w:sz w:val="17"/>
          <w:szCs w:val="17"/>
          <w:color w:val="auto"/>
        </w:rPr>
      </w:pPr>
      <w:r>
        <w:rPr>
          <w:rFonts w:ascii="Arial" w:cs="Arial" w:eastAsia="Arial" w:hAnsi="Arial"/>
          <w:sz w:val="17"/>
          <w:szCs w:val="17"/>
          <w:color w:val="auto"/>
        </w:rPr>
        <w:t>No order preventing or suspending the use of any Preliminary Prospectus, the Prospectus or any “free writing prospectus” (as defined in Rule 405 of the Rules) shall have been or shall be in effect and no order suspending the effectiveness of the Registration Statement shall be in effect and no proceedings for such purpose shall be pending before or threatened by the Commission, and any requests for additional information on the part of the Commission (to be included in the Registration Statement or the Prospectus or otherwise) shall have been complied with to the satisfaction of the Commission and the Representative. If the Company has elected to rely upon Rule 430A, information previously omitted from the effective Registration Statement pursuant to Rule 430A shall have been transmitted to the Commission for filing pursuant to Rule 424(b) within the prescribed time period and the Company shall have provided evidence satisfactory to the Representative of such timely filing, or a post-effective amendment providing such information shall have been promptly filed and declared effective in accordance with the requirements of Rule 430A.</w:t>
      </w:r>
    </w:p>
    <w:p>
      <w:pPr>
        <w:spacing w:after="0" w:line="178" w:lineRule="exact"/>
        <w:rPr>
          <w:rFonts w:ascii="Arial" w:cs="Arial" w:eastAsia="Arial" w:hAnsi="Arial"/>
          <w:sz w:val="17"/>
          <w:szCs w:val="17"/>
          <w:color w:val="auto"/>
        </w:rPr>
      </w:pPr>
    </w:p>
    <w:p>
      <w:pPr>
        <w:jc w:val="both"/>
        <w:ind w:firstLine="1305"/>
        <w:spacing w:after="0" w:line="257" w:lineRule="auto"/>
        <w:tabs>
          <w:tab w:leader="none" w:pos="1991"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representations and warranties of the Company contained in this Agreement shall be true and correct, and the representations and warranties of the Company contained in the certificates delivered pursuant to Section 3(d) shall be true and correct in all material respects, when made and on and as of each Closing Date as if made on such date (provided, that each representation and warranty that contains a materiality qualifier shall be true and correct in all respects). The Company shall have performed all covenants and agreements and satisfied all the conditions contained in this Agreement required to be performed or satisfied by it at or before such Closing Date.</w:t>
      </w:r>
    </w:p>
    <w:p>
      <w:pPr>
        <w:spacing w:after="0" w:line="188" w:lineRule="exact"/>
        <w:rPr>
          <w:rFonts w:ascii="Arial" w:cs="Arial" w:eastAsia="Arial" w:hAnsi="Arial"/>
          <w:sz w:val="18"/>
          <w:szCs w:val="18"/>
          <w:color w:val="auto"/>
        </w:rPr>
      </w:pPr>
    </w:p>
    <w:p>
      <w:pPr>
        <w:jc w:val="both"/>
        <w:ind w:firstLine="1305"/>
        <w:spacing w:after="0" w:line="285" w:lineRule="auto"/>
        <w:tabs>
          <w:tab w:leader="none" w:pos="2021"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Representative shall have received on each Closing Date a certificate, addressed to the Underwriters and dated such Closing Date, of the chief executive officer and the chief financial officer or chief accounting officer of the Company to the effect that: (i) the representations, warranties and agreements of the Company in this Agreement were true and correct when made and are true and correct in all material respects as of such Closing Date (provided, that each representation and warranty that contains a materiality qualifier shall be true and correct in all respects); (ii) the Company has performed all covenants and agreements and satisfied all conditions contained herein; (iii) they have carefully examined the Registration Statement, the Prospectus, the General Disclosure Package, and any individual Issuer Free Writing Prospectus and, in their opinion (A) (1) as of the Effective Date the Registration Statement did not or will not contain any untrue statement of a material fact or omit to state any material fact required to be stated therein or necessary in order to make the statements therein not misleading, (2) as of the date thereof or as of the date hereof the Prospectus did not contain and does not contain any untrue statement of a material fact or omitted to state a material fact necessary in order to make the statements therein, in the light of the circumstances under which they were made, not misleading, and (3) as of the Applicable Time, neither (</w:t>
      </w:r>
      <w:r>
        <w:rPr>
          <w:rFonts w:ascii="Arial" w:cs="Arial" w:eastAsia="Arial" w:hAnsi="Arial"/>
          <w:sz w:val="16"/>
          <w:szCs w:val="16"/>
          <w:i w:val="1"/>
          <w:iCs w:val="1"/>
          <w:color w:val="auto"/>
        </w:rPr>
        <w:t>x</w:t>
      </w:r>
      <w:r>
        <w:rPr>
          <w:rFonts w:ascii="Arial" w:cs="Arial" w:eastAsia="Arial" w:hAnsi="Arial"/>
          <w:sz w:val="16"/>
          <w:szCs w:val="16"/>
          <w:color w:val="auto"/>
        </w:rPr>
        <w:t>) the General Disclosure Package, nor (</w:t>
      </w:r>
      <w:r>
        <w:rPr>
          <w:rFonts w:ascii="Arial" w:cs="Arial" w:eastAsia="Arial" w:hAnsi="Arial"/>
          <w:sz w:val="16"/>
          <w:szCs w:val="16"/>
          <w:i w:val="1"/>
          <w:iCs w:val="1"/>
          <w:color w:val="auto"/>
        </w:rPr>
        <w:t>y</w:t>
      </w:r>
      <w:r>
        <w:rPr>
          <w:rFonts w:ascii="Arial" w:cs="Arial" w:eastAsia="Arial" w:hAnsi="Arial"/>
          <w:sz w:val="16"/>
          <w:szCs w:val="16"/>
          <w:color w:val="auto"/>
        </w:rPr>
        <w:t>) any individual Issuer Free Writing Prospectus, when considered together with the General Disclosure Package, included any untrue statement of a material fact or omitted to state a material fact required to be stated therein or necessary in order to make the statements therein, in the light of the circumstances under which they were made, not misleading, and (B) since the Effective Date no event has occurred which should have been set forth in a supplement or otherwise required an amendment to the Registration Statement, the Statutory Prospectus or the Prospectus; (iv) no stop order suspending the effectiveness of the Registration Statement has been issued and, to their knowledge, no proceedings for that purpose have been instituted or are pending under the Securities Act and (v) there has not occurred any material adverse change in the assets, properties, condition, financial or otherwise, or in the results of operations, business affairs or business prospects of the Company and its subsidiaries considered as a whole.</w:t>
      </w:r>
    </w:p>
    <w:p>
      <w:pPr>
        <w:spacing w:after="0" w:line="38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0" w:name="page21"/>
    <w:bookmarkEnd w:id="20"/>
    <w:p>
      <w:pPr>
        <w:jc w:val="both"/>
        <w:ind w:firstLine="1305"/>
        <w:spacing w:after="0" w:line="272" w:lineRule="auto"/>
        <w:tabs>
          <w:tab w:leader="none" w:pos="2027"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Representative shall have received: (i) simultaneously with the execution of this Agreement a signed letter from each of the Auditors addressed to the Underwriters and dated the date of this Agreement, in form and substance reasonably satisfactory to the Representative, containing statements and information of the type ordinarily included in accountants’ “comfort letters” to underwriters with respect to the financial statements and certain financial information contained in the Registration Statement and the General Disclosure Package, and (ii) on each Closing Date, a signed letter from each of the Auditors addressed to the Representative and dated the date of such Closing Date(s), in form and substance reasonably satisfactory to the Representative containing statements and information of the type ordinarily included in accountants’ “comfort letters” to underwriters with respect to the financial statements and certain financial information contained in the Registration Statement and the Prospectus.</w:t>
      </w:r>
    </w:p>
    <w:p>
      <w:pPr>
        <w:spacing w:after="0" w:line="177" w:lineRule="exact"/>
        <w:rPr>
          <w:rFonts w:ascii="Arial" w:cs="Arial" w:eastAsia="Arial" w:hAnsi="Arial"/>
          <w:sz w:val="17"/>
          <w:szCs w:val="17"/>
          <w:color w:val="auto"/>
        </w:rPr>
      </w:pPr>
    </w:p>
    <w:p>
      <w:pPr>
        <w:jc w:val="both"/>
        <w:ind w:firstLine="1305"/>
        <w:spacing w:after="0" w:line="286" w:lineRule="auto"/>
        <w:tabs>
          <w:tab w:leader="none" w:pos="1976"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Representative shall have received on each Closing Date from Mintz, Levin, Cohn, Ferris, Glovsky, and Popeo, P.C., counsel for the Company, an opinion and negative assurance letter, addressed to the Underwriters and dated such Closing Date, substantially in the form attached hereto as Exhibit B (which shall be subject to customary assumptions, exceptions, limitations and qualifications).</w:t>
      </w:r>
    </w:p>
    <w:p>
      <w:pPr>
        <w:spacing w:after="0" w:line="165" w:lineRule="exact"/>
        <w:rPr>
          <w:rFonts w:ascii="Arial" w:cs="Arial" w:eastAsia="Arial" w:hAnsi="Arial"/>
          <w:sz w:val="17"/>
          <w:szCs w:val="17"/>
          <w:color w:val="auto"/>
        </w:rPr>
      </w:pPr>
    </w:p>
    <w:p>
      <w:pPr>
        <w:jc w:val="both"/>
        <w:ind w:firstLine="1305"/>
        <w:spacing w:after="0" w:line="259" w:lineRule="auto"/>
        <w:tabs>
          <w:tab w:leader="none" w:pos="2203"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Representative shall have received on each Closing Date from Pillsbury Winthrop Shaw Pittman LLP, counsel for the Underwriters, an opinion, addressed to the Representative and dated such Closing Date, with respect to such matters as the Representative may reasonably require, and the Company shall have furnished or provided access to such counsel such documents as they request for enabling them to pass upon such matters.</w:t>
      </w:r>
    </w:p>
    <w:p>
      <w:pPr>
        <w:spacing w:after="0" w:line="186" w:lineRule="exact"/>
        <w:rPr>
          <w:rFonts w:ascii="Arial" w:cs="Arial" w:eastAsia="Arial" w:hAnsi="Arial"/>
          <w:sz w:val="18"/>
          <w:szCs w:val="18"/>
          <w:color w:val="auto"/>
        </w:rPr>
      </w:pPr>
    </w:p>
    <w:p>
      <w:pPr>
        <w:ind w:firstLine="1305"/>
        <w:spacing w:after="0" w:line="277" w:lineRule="auto"/>
        <w:tabs>
          <w:tab w:leader="none" w:pos="2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All proceedings taken in connection with the sale of the Firm Shares and the Option Shares as herein contemplated shall be reasonably satisfactory in form and substance to the Representative and its counsel.</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Representative shall have received copies of the Lock-up Agreements executed by each entity or person listed on Schedule III</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hereto.</w:t>
      </w:r>
    </w:p>
    <w:p>
      <w:pPr>
        <w:spacing w:after="0" w:line="210" w:lineRule="exact"/>
        <w:rPr>
          <w:rFonts w:ascii="Arial" w:cs="Arial" w:eastAsia="Arial" w:hAnsi="Arial"/>
          <w:sz w:val="16"/>
          <w:szCs w:val="16"/>
          <w:color w:val="auto"/>
        </w:rPr>
      </w:pPr>
    </w:p>
    <w:p>
      <w:pPr>
        <w:ind w:left="1920" w:hanging="615"/>
        <w:spacing w:after="0"/>
        <w:tabs>
          <w:tab w:leader="none" w:pos="19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Shares shall have been approved for listing on the NASDAQ Capital Market, subject only to official notice of issuance.</w:t>
      </w:r>
    </w:p>
    <w:p>
      <w:pPr>
        <w:spacing w:after="0" w:line="200" w:lineRule="exact"/>
        <w:rPr>
          <w:sz w:val="20"/>
          <w:szCs w:val="20"/>
          <w:color w:val="auto"/>
        </w:rPr>
      </w:pPr>
    </w:p>
    <w:p>
      <w:pPr>
        <w:spacing w:after="0" w:line="24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1" w:name="page22"/>
    <w:bookmarkEnd w:id="21"/>
    <w:p>
      <w:pPr>
        <w:jc w:val="both"/>
        <w:ind w:firstLine="1305"/>
        <w:spacing w:after="0" w:line="286" w:lineRule="auto"/>
        <w:tabs>
          <w:tab w:leader="none" w:pos="1972"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Representative shall be reasonably satisfied that since the respective dates as of which information is given in the Registration Statement, the Statutory Prospectus, the General Disclosure Package and the Prospectus, (i) there shall not have been any material change in the capital stock of the Company or any Significant Subsidiary or any material change in the indebtedness (other than in the ordinary course of business consistent with past practice) of the Company or any of its Significant Subsidiaries, (ii) except as set forth or contemplated by the Registration Statement, the Statutory Prospectus, the General Disclosure Package or the Prospectus, no material oral or written agreement or other transaction shall have been entered into by the Company or its Significant Subsidiaries that is not in the ordinary course of business consistent with past practice or that could reasonably be expected to result in a material reduction in the future earnings of the Company, (iii) no loss or damage (whether or not insured) to the property of the Company or any Significant Subsidiary shall have been sustained that had or could reasonably be expected to have a Material Adverse Effect, (iv) no legal or governmental action, suit or proceeding affecting the Company, any of its Significant Subsidiaries or any of their respective properties that is material to the Company or any of its Significant Subsidiaries or that affects or could reasonably be expected to affect the transactions contemplated by this Agreement shall have been instituted or threatened and (v) there shall not have been any material change in the assets, properties, condition (financial or otherwise), or in the results of operations, business affairs or business prospects of the Company or its Significant Subsidiaries considered as a whole that makes it impractical or inadvisable in the Representative’s judgment to proceed with the purchase or offering of the Shares as contemplated hereby.</w:t>
      </w:r>
    </w:p>
    <w:p>
      <w:pPr>
        <w:spacing w:after="0" w:line="174" w:lineRule="exact"/>
        <w:rPr>
          <w:rFonts w:ascii="Arial" w:cs="Arial" w:eastAsia="Arial" w:hAnsi="Arial"/>
          <w:sz w:val="16"/>
          <w:szCs w:val="16"/>
          <w:color w:val="auto"/>
        </w:rPr>
      </w:pPr>
    </w:p>
    <w:p>
      <w:pPr>
        <w:ind w:right="20" w:firstLine="1305"/>
        <w:spacing w:after="0" w:line="277" w:lineRule="auto"/>
        <w:tabs>
          <w:tab w:leader="none" w:pos="202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Company shall have furnished or caused to be furnished to the Representative such further certificates or documents as the Representative shall have reasonably requested.</w:t>
      </w:r>
    </w:p>
    <w:p>
      <w:pPr>
        <w:spacing w:after="0" w:line="170"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If any condition specified in this Section shall not have been fulfilled when and as required to be fulfilled, this Agreement, and the obligation of the Underwriters to purchase the Firm Shares or Option Shares, as the case may be, may be terminated by the Representative by written notice to the Company at any time at or prior to Closing Date, and, except for an intentional or willful breach of this Agreement, such termination shall be without liability of any party to any other party except as provided in Section 4(b); provided, however, that Sections 4(b), 5, 6, 7 and 9 shall survive any such termination and remain in full force and effect.</w:t>
      </w:r>
    </w:p>
    <w:p>
      <w:pPr>
        <w:spacing w:after="0" w:line="188" w:lineRule="exact"/>
        <w:rPr>
          <w:sz w:val="20"/>
          <w:szCs w:val="20"/>
          <w:color w:val="auto"/>
        </w:rPr>
      </w:pPr>
    </w:p>
    <w:p>
      <w:pPr>
        <w:ind w:left="1280" w:hanging="624"/>
        <w:spacing w:after="0"/>
        <w:tabs>
          <w:tab w:leader="none" w:pos="128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Covenants and other Agreements of the Company and the Underwriters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280" w:hanging="651"/>
        <w:spacing w:after="0"/>
        <w:tabs>
          <w:tab w:leader="none" w:pos="22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The Company covenants and agrees as follows:</w:t>
      </w:r>
    </w:p>
    <w:p>
      <w:pPr>
        <w:spacing w:after="0" w:line="225" w:lineRule="exact"/>
        <w:rPr>
          <w:rFonts w:ascii="Arial" w:cs="Arial" w:eastAsia="Arial" w:hAnsi="Arial"/>
          <w:sz w:val="18"/>
          <w:szCs w:val="18"/>
          <w:color w:val="auto"/>
        </w:rPr>
      </w:pPr>
    </w:p>
    <w:p>
      <w:pPr>
        <w:jc w:val="both"/>
        <w:ind w:left="1620" w:firstLine="657"/>
        <w:spacing w:after="0" w:line="293" w:lineRule="auto"/>
        <w:tabs>
          <w:tab w:leader="none" w:pos="2983" w:val="left"/>
        </w:tabs>
        <w:numPr>
          <w:ilvl w:val="2"/>
          <w:numId w:val="24"/>
        </w:numPr>
        <w:rPr>
          <w:rFonts w:ascii="Arial" w:cs="Arial" w:eastAsia="Arial" w:hAnsi="Arial"/>
          <w:sz w:val="16"/>
          <w:szCs w:val="16"/>
          <w:color w:val="auto"/>
        </w:rPr>
      </w:pPr>
      <w:r>
        <w:rPr>
          <w:rFonts w:ascii="Arial" w:cs="Arial" w:eastAsia="Arial" w:hAnsi="Arial"/>
          <w:sz w:val="16"/>
          <w:szCs w:val="16"/>
          <w:color w:val="auto"/>
        </w:rPr>
        <w:t>The Company will use its reasonable best efforts to cause the Registration Statement, if not effective at the time of execution of this Agreement, and any amendments thereto, to become effective as promptly as possible. The Company shall prepare the Preliminary Prospectus and Prospectus in a form approved by the Representative and file such Prospectus pursuant to Rule 424(b) under the Securities Act not later than the Commission’s close of business on the second business day following the execution and delivery of this Agreement, or, if applicable, such earlier time as may be required by the Rules. The Company will file with the Commission all Issuer Free Writing Prospectuses in the time and manner required under Rules 433(d) or 163(b)(2), as the case may be.</w:t>
      </w:r>
    </w:p>
    <w:p>
      <w:pPr>
        <w:spacing w:after="0" w:line="37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2" w:name="page23"/>
    <w:bookmarkEnd w:id="22"/>
    <w:p>
      <w:pPr>
        <w:jc w:val="both"/>
        <w:ind w:left="420" w:firstLine="657"/>
        <w:spacing w:after="0" w:line="269" w:lineRule="auto"/>
        <w:tabs>
          <w:tab w:leader="none" w:pos="1827"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Company shall promptly advise the Representative in writing (A) when any post-effective amendment to the Registration Statement shall have become effective, or any supplement to the Prospectus shall have been filed (B) of any request by the Commission for any amendment of the Registration Statement or the Prospectus or for any additional information, (C) of the issuance by the Commission of any stop order suspending the effectiveness of the Registration Statement or of any order preventing or suspending the use of any preliminary prospectus or any “free writing prospectus”, as defined in Rule 405 of the Rules, or the institution or threatening of any proceeding for that purpose and (D) of the receipt by the Company of any notification with respect to the suspension of the qualification of the Shares for sale in any jurisdiction or the initiation or threatening of any proceeding for such purpose. The Company shall not file any amendment of the Registration Statement or supplement to the Prospectus or any document incorporated by reference in the Registration Statement or any Issuer Free Writing Prospectus unless the Company has furnished the Representative a copy for its review prior to filing and shall not file any such proposed amendment or supplement to which the Representative reasonably objects. The Company shall use its reasonable best efforts to prevent the issuance of any such stop order and, if issued, to obtain as soon as possible the withdrawal thereof.</w:t>
      </w:r>
    </w:p>
    <w:p>
      <w:pPr>
        <w:spacing w:after="0" w:line="179" w:lineRule="exact"/>
        <w:rPr>
          <w:rFonts w:ascii="Arial" w:cs="Arial" w:eastAsia="Arial" w:hAnsi="Arial"/>
          <w:sz w:val="17"/>
          <w:szCs w:val="17"/>
          <w:color w:val="auto"/>
        </w:rPr>
      </w:pPr>
    </w:p>
    <w:p>
      <w:pPr>
        <w:jc w:val="both"/>
        <w:ind w:left="420" w:firstLine="657"/>
        <w:spacing w:after="0" w:line="272" w:lineRule="auto"/>
        <w:tabs>
          <w:tab w:leader="none" w:pos="1716" w:val="left"/>
        </w:tabs>
        <w:numPr>
          <w:ilvl w:val="0"/>
          <w:numId w:val="25"/>
        </w:numPr>
        <w:rPr>
          <w:rFonts w:ascii="Arial" w:cs="Arial" w:eastAsia="Arial" w:hAnsi="Arial"/>
          <w:sz w:val="17"/>
          <w:szCs w:val="17"/>
          <w:color w:val="auto"/>
        </w:rPr>
      </w:pPr>
      <w:r>
        <w:rPr>
          <w:rFonts w:ascii="Arial" w:cs="Arial" w:eastAsia="Arial" w:hAnsi="Arial"/>
          <w:sz w:val="17"/>
          <w:szCs w:val="17"/>
          <w:color w:val="auto"/>
        </w:rPr>
        <w:t>If, at any time when a prospectus relating to the Shares (or, in lieu thereof, the notice referred to in Rule 173(a) of the Rules) is required to be delivered under the Securities Act and the Rules, any event occurs as a result of which the Prospectus as then amended or supplemented would include any untrue statement of a material fact or omit to state any material fact necessary to make the statements therein in the light of the circumstances under which they were made not misleading, or if it shall be necessary to amend or supplement the Prospectus to comply with the Securities Act or the Rules, the Company promptly shall prepare and file with the Commission, subject to the second sentence of paragraph (ii) of this Section 4(a), an amendment or supplement which shall correct such statement or omission or an amendment which shall effect such compliance.</w:t>
      </w:r>
    </w:p>
    <w:p>
      <w:pPr>
        <w:spacing w:after="0" w:line="177" w:lineRule="exact"/>
        <w:rPr>
          <w:rFonts w:ascii="Arial" w:cs="Arial" w:eastAsia="Arial" w:hAnsi="Arial"/>
          <w:sz w:val="17"/>
          <w:szCs w:val="17"/>
          <w:color w:val="auto"/>
        </w:rPr>
      </w:pPr>
    </w:p>
    <w:p>
      <w:pPr>
        <w:jc w:val="both"/>
        <w:ind w:left="420" w:firstLine="657"/>
        <w:spacing w:after="0" w:line="273" w:lineRule="auto"/>
        <w:tabs>
          <w:tab w:leader="none" w:pos="1812" w:val="left"/>
        </w:tabs>
        <w:numPr>
          <w:ilvl w:val="0"/>
          <w:numId w:val="25"/>
        </w:numPr>
        <w:rPr>
          <w:rFonts w:ascii="Arial" w:cs="Arial" w:eastAsia="Arial" w:hAnsi="Arial"/>
          <w:sz w:val="17"/>
          <w:szCs w:val="17"/>
          <w:color w:val="auto"/>
        </w:rPr>
      </w:pPr>
      <w:r>
        <w:rPr>
          <w:rFonts w:ascii="Arial" w:cs="Arial" w:eastAsia="Arial" w:hAnsi="Arial"/>
          <w:sz w:val="17"/>
          <w:szCs w:val="17"/>
          <w:color w:val="auto"/>
        </w:rPr>
        <w:t>If at any time following issuance of an Issuer Free Writing Prospectus there occurs an event or development as a result of which such Issuer Free Writing Prospectus would conflict with the information contained in the Registration Statement or would include an untrue statement of a material fact or would omit to state a material fact required to be stated therein or necessary in order to make the statements therein, in the light of the circumstances prevailing at the subsequent time, not misleading, the Company will promptly notify the Representative and will promptly amend or supplement, at its own expense, such Issuer Free Writing Prospectus to eliminate or correct such conflict, untrue statement or omission.</w:t>
      </w:r>
    </w:p>
    <w:p>
      <w:pPr>
        <w:spacing w:after="0" w:line="178" w:lineRule="exact"/>
        <w:rPr>
          <w:rFonts w:ascii="Arial" w:cs="Arial" w:eastAsia="Arial" w:hAnsi="Arial"/>
          <w:sz w:val="17"/>
          <w:szCs w:val="17"/>
          <w:color w:val="auto"/>
        </w:rPr>
      </w:pPr>
    </w:p>
    <w:p>
      <w:pPr>
        <w:jc w:val="both"/>
        <w:ind w:left="420" w:firstLine="657"/>
        <w:spacing w:after="0" w:line="257" w:lineRule="auto"/>
        <w:tabs>
          <w:tab w:leader="none" w:pos="1736"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Company shall make generally available to its security holders and to the Representative as soon as practicable, but not later than 45 days after the end of the 12-month period beginning at the end of the fiscal quarter of the Company during which the Effective Date occurs (or 90 days if such 12-month period coincides with the Company’s fiscal year), an earnings statement (which need not be audited) of the Company, covering such 12-month period, which shall satisfy the provisions of Section 11(a) of the Securities Act and Rule 158 of the Rules.</w:t>
      </w:r>
    </w:p>
    <w:p>
      <w:pPr>
        <w:spacing w:after="0" w:line="397"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7620</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23" w:name="page24"/>
    <w:bookmarkEnd w:id="23"/>
    <w:p>
      <w:pPr>
        <w:jc w:val="both"/>
        <w:ind w:left="420" w:firstLine="657"/>
        <w:spacing w:after="0" w:line="253" w:lineRule="auto"/>
        <w:tabs>
          <w:tab w:leader="none" w:pos="1739"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Company shall furnish to the Representative and counsel for the Underwriters, without charge, signed copies of the Registration Statement (including all exhibits thereto and amendments thereof) (if requested) and to each other Underwriter, without charge, a copy of the Registration Statement (without exhibits thereto) and all amendments thereof and, so long as delivery of a prospectus by an Underwriter or dealer may be required by the Securities Act or the Rules, as many copies of any Preliminary Prospectus, any Issuer Free Writing Prospectus and the Prospectus and any amendments thereof and supplements thereto as the Representative may reasonably request. If applicable, the copies of the Registration Statement, Preliminary Prospectus, any Issuer Free Writing Prospectus and Prospectus and each amendment and supplement thereto furnished to the Underwriters will be identical to the electronically transmitted copies thereof filed with the Commission pursuant to EDGAR, except to the extent permitted by Regulation S-T.</w:t>
      </w:r>
    </w:p>
    <w:p>
      <w:pPr>
        <w:spacing w:after="0" w:line="197" w:lineRule="exact"/>
        <w:rPr>
          <w:rFonts w:ascii="Arial" w:cs="Arial" w:eastAsia="Arial" w:hAnsi="Arial"/>
          <w:sz w:val="18"/>
          <w:szCs w:val="18"/>
          <w:color w:val="auto"/>
        </w:rPr>
      </w:pPr>
    </w:p>
    <w:p>
      <w:pPr>
        <w:jc w:val="both"/>
        <w:ind w:left="420" w:firstLine="657"/>
        <w:spacing w:after="0" w:line="297" w:lineRule="auto"/>
        <w:tabs>
          <w:tab w:leader="none" w:pos="1749"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Company shall cooperate with the Representative and its counsel in endeavoring to qualify the Shares for offer and sale in connection with the offering under the laws of such jurisdictions as the Representative may designate and shall use its reasonable best efforts to maintain such qualifications in effect so long as required for the distribution of the Shares; provided, however, that the Company shall not be required in connection therewith, as a condition thereof, to qualify as a foreign corporation or to execute a general consent to service of process in any jurisdiction or subject itself to taxation as doing business in any jurisdiction.</w:t>
      </w:r>
    </w:p>
    <w:p>
      <w:pPr>
        <w:spacing w:after="0" w:line="158" w:lineRule="exact"/>
        <w:rPr>
          <w:rFonts w:ascii="Arial" w:cs="Arial" w:eastAsia="Arial" w:hAnsi="Arial"/>
          <w:sz w:val="16"/>
          <w:szCs w:val="16"/>
          <w:color w:val="auto"/>
        </w:rPr>
      </w:pPr>
    </w:p>
    <w:p>
      <w:pPr>
        <w:jc w:val="both"/>
        <w:ind w:left="420" w:firstLine="657"/>
        <w:spacing w:after="0" w:line="259" w:lineRule="auto"/>
        <w:tabs>
          <w:tab w:leader="none" w:pos="1739"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Company, during the period when the Prospectus (or in lieu thereof, the notice referred to in Rule 173(a) of the Rules) is required to be delivered under the Securities Act and the Rules or the Exchange Act, will file all reports and other documents required to be filed with the Commission pursuant to Section 13, 14 or 15 of the Exchange Act within the time periods required by the Exchange Act and the regulations promulgated thereunder.</w:t>
      </w:r>
    </w:p>
    <w:p>
      <w:pPr>
        <w:spacing w:after="0" w:line="396"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7620</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24" w:name="page25"/>
    <w:bookmarkEnd w:id="24"/>
    <w:p>
      <w:pPr>
        <w:jc w:val="both"/>
        <w:ind w:left="420" w:firstLine="657"/>
        <w:spacing w:after="0" w:line="283" w:lineRule="auto"/>
        <w:tabs>
          <w:tab w:leader="none" w:pos="1793" w:val="left"/>
        </w:tabs>
        <w:numPr>
          <w:ilvl w:val="1"/>
          <w:numId w:val="27"/>
        </w:numPr>
        <w:rPr>
          <w:rFonts w:ascii="Arial" w:cs="Arial" w:eastAsia="Arial" w:hAnsi="Arial"/>
          <w:sz w:val="16"/>
          <w:szCs w:val="16"/>
          <w:color w:val="auto"/>
        </w:rPr>
      </w:pPr>
      <w:r>
        <w:rPr>
          <w:rFonts w:ascii="Arial" w:cs="Arial" w:eastAsia="Arial" w:hAnsi="Arial"/>
          <w:sz w:val="16"/>
          <w:szCs w:val="16"/>
          <w:color w:val="auto"/>
        </w:rPr>
        <w:t>Without the prior written consent of the Representative, for a period of 90 days after the date of the Prospectus, the Company shall not (i) offer, pledge, issue, sell, contract to sell, purchase, contract to purchase, lend or otherwise transfer or dispose of, directly or indirectly, any shares of Common Stock or any securities convertible into or exercisable or exchangeable for Common Stock; (ii) enter into any swap or other arrangement that transfers, in whole or in part, any of the economic consequences of ownership of shares of Common Stock; or (iii) file any registration statement with the Commission relating to the offering of any shares of Common Stock or any securities convertible into or exercisable or exchangeable for shares of common stock, except for: (i) the issuance of the Shares pursuant to this Agreement, (ii) the issuance of shares pursuant to the Company’s existing stock option plan, stock purchase plan or bonus plan as described in the Registration Statement and the Prospectus; (iii) the issuance of shares pursuant to outstanding warrants and the vesting of restricted stock awards or units as described in the Registration Statement and the Prospectus;</w:t>
      </w:r>
    </w:p>
    <w:p>
      <w:pPr>
        <w:spacing w:after="0" w:line="6" w:lineRule="exact"/>
        <w:rPr>
          <w:rFonts w:ascii="Arial" w:cs="Arial" w:eastAsia="Arial" w:hAnsi="Arial"/>
          <w:sz w:val="16"/>
          <w:szCs w:val="16"/>
          <w:color w:val="auto"/>
        </w:rPr>
      </w:pPr>
    </w:p>
    <w:p>
      <w:pPr>
        <w:jc w:val="both"/>
        <w:ind w:left="420" w:firstLine="9"/>
        <w:spacing w:after="0" w:line="286" w:lineRule="auto"/>
        <w:tabs>
          <w:tab w:leader="none" w:pos="735"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issuance of shares upon conversion of the Company’s Series D Convertible Preferred Stock; and (v) the issuance of shares of Common Stock or any securities convertible into, or exercisable or exchangeable for, Common Stock, in connection with any merger or acquisition of securities, businesses, property or other assets or strategic investment (including any joint venture, strategic alliance, partnership, equipment leasing arrangement or debt financing) as long as the aggregate number of shares of Common Stock issued or issuable does not exceed 5% of the number of shares outstanding immediately after the issuance and sale of the shares of Common Stock pursuant to this Agreement and each recipient of any such shares executes and delivers to the Representative on the closing date of such acquisition or strategic investment a Lock-Up Agreement and agrees to be bound by the restrictions contained therein during such 90-day period. The Company represents and warrants that each director, officer and holder of five percent (5%) or more of Common Stock as of the Applicable Time who is affiliated with the Company or otherwise known to the Company shall be subject to lockup restrictions in the form set forth on Exhibit A attached hereto and covenants and agrees that it shall impose stop-transfer restrictions on any such sale or other transfer or disposition of such shares in violation thereof until the end of the applicable period.</w:t>
      </w:r>
    </w:p>
    <w:p>
      <w:pPr>
        <w:spacing w:after="0" w:line="166" w:lineRule="exact"/>
        <w:rPr>
          <w:rFonts w:ascii="Arial" w:cs="Arial" w:eastAsia="Arial" w:hAnsi="Arial"/>
          <w:sz w:val="16"/>
          <w:szCs w:val="16"/>
          <w:color w:val="auto"/>
        </w:rPr>
      </w:pPr>
    </w:p>
    <w:p>
      <w:pPr>
        <w:ind w:left="420" w:right="20" w:firstLine="657"/>
        <w:spacing w:after="0" w:line="277" w:lineRule="auto"/>
        <w:tabs>
          <w:tab w:leader="none" w:pos="1738" w:val="left"/>
        </w:tabs>
        <w:numPr>
          <w:ilvl w:val="1"/>
          <w:numId w:val="28"/>
        </w:numPr>
        <w:rPr>
          <w:rFonts w:ascii="Arial" w:cs="Arial" w:eastAsia="Arial" w:hAnsi="Arial"/>
          <w:sz w:val="18"/>
          <w:szCs w:val="18"/>
          <w:color w:val="auto"/>
        </w:rPr>
      </w:pPr>
      <w:r>
        <w:rPr>
          <w:rFonts w:ascii="Arial" w:cs="Arial" w:eastAsia="Arial" w:hAnsi="Arial"/>
          <w:sz w:val="18"/>
          <w:szCs w:val="18"/>
          <w:color w:val="auto"/>
        </w:rPr>
        <w:t>On or before completion of the offering, the Company shall make all filings required under applicable securities laws and by the NASDAQ Capital Market (including any required registration under the Exchange Act).</w:t>
      </w:r>
    </w:p>
    <w:p>
      <w:pPr>
        <w:spacing w:after="0" w:line="170" w:lineRule="exact"/>
        <w:rPr>
          <w:rFonts w:ascii="Arial" w:cs="Arial" w:eastAsia="Arial" w:hAnsi="Arial"/>
          <w:sz w:val="18"/>
          <w:szCs w:val="18"/>
          <w:color w:val="auto"/>
        </w:rPr>
      </w:pPr>
    </w:p>
    <w:p>
      <w:pPr>
        <w:jc w:val="both"/>
        <w:ind w:left="420" w:firstLine="657"/>
        <w:spacing w:after="0" w:line="257" w:lineRule="auto"/>
        <w:tabs>
          <w:tab w:leader="none" w:pos="1958" w:val="left"/>
        </w:tabs>
        <w:numPr>
          <w:ilvl w:val="1"/>
          <w:numId w:val="28"/>
        </w:numPr>
        <w:rPr>
          <w:rFonts w:ascii="Arial" w:cs="Arial" w:eastAsia="Arial" w:hAnsi="Arial"/>
          <w:sz w:val="18"/>
          <w:szCs w:val="18"/>
          <w:color w:val="auto"/>
        </w:rPr>
      </w:pPr>
      <w:r>
        <w:rPr>
          <w:rFonts w:ascii="Arial" w:cs="Arial" w:eastAsia="Arial" w:hAnsi="Arial"/>
          <w:sz w:val="18"/>
          <w:szCs w:val="18"/>
          <w:color w:val="auto"/>
        </w:rPr>
        <w:t>Prior to the Closing Date, the Company shall not issue any press release or other communications directly or indirectly and shall not hold a press conference with respect to the Company or its Significant Subsidiaries, or to the condition (financial or otherwise) or the earnings, business affairs or business prospects of any of them, or the offering of the Shares without the prior written consent of the Representative unless in the judgment of the Company and its counsel, and after notification to the Representative, such press release or communication is required by law.</w:t>
      </w:r>
    </w:p>
    <w:p>
      <w:pPr>
        <w:spacing w:after="0" w:line="188" w:lineRule="exact"/>
        <w:rPr>
          <w:rFonts w:ascii="Arial" w:cs="Arial" w:eastAsia="Arial" w:hAnsi="Arial"/>
          <w:sz w:val="18"/>
          <w:szCs w:val="18"/>
          <w:color w:val="auto"/>
        </w:rPr>
      </w:pPr>
    </w:p>
    <w:p>
      <w:pPr>
        <w:ind w:left="420" w:right="20" w:firstLine="657"/>
        <w:spacing w:after="0" w:line="277" w:lineRule="auto"/>
        <w:tabs>
          <w:tab w:leader="none" w:pos="1866"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Company will apply the net proceeds from the offering of the Shares in the manner set forth under “Use of Proceeds” in the Prospectus.</w:t>
      </w:r>
    </w:p>
    <w:p>
      <w:pPr>
        <w:spacing w:after="0" w:line="379"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7620</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25" w:name="page26"/>
    <w:bookmarkEnd w:id="25"/>
    <w:p>
      <w:pPr>
        <w:jc w:val="both"/>
        <w:ind w:firstLine="1549"/>
        <w:spacing w:after="0" w:line="285" w:lineRule="auto"/>
        <w:tabs>
          <w:tab w:leader="none" w:pos="2249"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Company agrees to pay, or reimburse if paid by the Representative, whether or not the transactions contemplated hereby are consummated or this Agreement is terminated, all costs and expenses incident to the public offering of the Shares and the performance of the obligations of the Company under this Agreement including those relating to: (i) the preparation, printing, reproduction, filing and distribution of the Registration Statement including all exhibits thereto, each Preliminary Prospectus, the Prospectus, any Issuer Free Writing Prospectus, all amendments and supplements thereto and any document incorporated by reference therein, and the printing, filing and distribution of this Agreement; (ii) the preparation and delivery of certificates for the Shares to the Underwriters; (iii) the registration or qualification of the Shares for offer and sale under the securities or Blue Sky laws of the various jurisdictions referred to in Section 4(a)(vii), including the reasonable fees and disbursements of counsel for the Underwriters in connection with such registration and qualification and the preparation, printing, distribution and shipment of preliminary and supplementary Blue Sky memoranda; (iv) the furnishing (including costs of shipping and mailing) to the Representative and to the Underwriters of copies of each Preliminary Prospectus, the Prospectus and all amendments or supplements to the Prospectus, any Issuer Free Writing Prospectus, and of the several documents required by this Section to be so furnished, as may be reasonably requested for use in connection with the offering and sale of the Shares by the Underwriters or by dealers to whom Shares may be sold; (v) inclusion of the Shares for listing on the NASDAQ Capital Market; (vi) all transfer taxes, if any, with respect to the sale and delivery of the Shares by the Company to the Underwriters; (vii) the reasonable filing fees and reasonable fees and disbursements of underwriters’ counsel incident to any required review and approval by FINRA of the terms of the sale of the Shares; (viii) all fees and disbursements of counsel for the Underwriters in connection with the purchase and sale of the Shares and the transactions contemplated hereby; and (ix) all reasonable and documented out of pocket expenses incurred by the Representative in connection with this Agreement and the transactions contemplated hereby; provided that in no event shall the Company be obligated to reimburse the Underwriters under this Section 4(b) for more than $135,000 in the aggregate, including the fees and disbursements of its counsel (whether described under clauses (iii), (vii), (viii) or (ix) or otherwise (the “</w:t>
      </w:r>
      <w:r>
        <w:rPr>
          <w:rFonts w:ascii="Arial" w:cs="Arial" w:eastAsia="Arial" w:hAnsi="Arial"/>
          <w:sz w:val="16"/>
          <w:szCs w:val="16"/>
          <w:u w:val="single" w:color="auto"/>
          <w:color w:val="auto"/>
        </w:rPr>
        <w:t>Cap</w:t>
      </w:r>
      <w:r>
        <w:rPr>
          <w:rFonts w:ascii="Arial" w:cs="Arial" w:eastAsia="Arial" w:hAnsi="Arial"/>
          <w:sz w:val="16"/>
          <w:szCs w:val="16"/>
          <w:color w:val="auto"/>
        </w:rPr>
        <w:t>”)).</w:t>
      </w:r>
    </w:p>
    <w:p>
      <w:pPr>
        <w:spacing w:after="0" w:line="172" w:lineRule="exact"/>
        <w:rPr>
          <w:rFonts w:ascii="Arial" w:cs="Arial" w:eastAsia="Arial" w:hAnsi="Arial"/>
          <w:sz w:val="16"/>
          <w:szCs w:val="16"/>
          <w:color w:val="auto"/>
        </w:rPr>
      </w:pPr>
    </w:p>
    <w:p>
      <w:pPr>
        <w:jc w:val="both"/>
        <w:ind w:firstLine="1549"/>
        <w:spacing w:after="0" w:line="269" w:lineRule="auto"/>
        <w:tabs>
          <w:tab w:leader="none" w:pos="2365"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Company acknowledges and agrees that each of the Underwriters has acted and is acting solely in the capacity of a principal in an arm’s length transaction between the Company, on the one hand, and the Underwriters, on the other hand, with respect to the offering of Shares contemplated hereby (including in connection with determining the terms of the offering) and not as a financial advisor, agent or fiduciary to the Company or any other person. Additionally, the Company acknowledges and agrees that the Underwriters have not and will not advise the Company or any other person as to any legal, tax, investment, accounting or regulatory matters in any jurisdiction. The Company has consulted with its own advisors concerning such matters and shall be responsible for making their own independent investigation and appraisal of the transactions contemplated hereby, and the Underwriters shall have no responsibility or liability to the Company or any other person with respect thereto, whether arising prior to or after the date hereof. Any review by the Underwriters of the Company, the transactions contemplated hereby or other matters relating to such transactions have been and will be performed solely for the benefit of the Underwriters and shall not be on behalf of the Company. The Company agrees that it will not claim that the Underwriters, or any of them, has rendered advisory services of any nature or respect, or owes a fiduciary duty to the Company or any other person in connection with any such transaction or the process leading thereto.</w:t>
      </w:r>
    </w:p>
    <w:p>
      <w:pPr>
        <w:spacing w:after="0" w:line="182" w:lineRule="exact"/>
        <w:rPr>
          <w:rFonts w:ascii="Arial" w:cs="Arial" w:eastAsia="Arial" w:hAnsi="Arial"/>
          <w:sz w:val="17"/>
          <w:szCs w:val="17"/>
          <w:color w:val="auto"/>
        </w:rPr>
      </w:pPr>
    </w:p>
    <w:p>
      <w:pPr>
        <w:jc w:val="both"/>
        <w:ind w:firstLine="1549"/>
        <w:spacing w:after="0" w:line="259" w:lineRule="auto"/>
        <w:tabs>
          <w:tab w:leader="none" w:pos="2421"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requested by the Representative, the Company will prepare a final term sheet relating to the Shares, containing only information that describes the final terms of the Shares and otherwise in a form consented to by the Representative, and will file such final term sheet within the period required by Rule 433(d)(5)(ii) following the date such final terms have been established. Any such final term sheet shall be an Issuer Free Writing Prospectus for purposes of this Agreement.</w:t>
      </w:r>
    </w:p>
    <w:p>
      <w:pPr>
        <w:spacing w:after="0" w:line="396" w:lineRule="exact"/>
        <w:rPr>
          <w:sz w:val="20"/>
          <w:szCs w:val="20"/>
          <w:color w:val="auto"/>
        </w:rPr>
      </w:pPr>
    </w:p>
    <w:p>
      <w:pPr>
        <w:jc w:val="center"/>
        <w:ind w:right="140"/>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7620</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320" w:top="908" w:right="239" w:bottom="1440" w:gutter="0" w:footer="0" w:header="0"/>
        </w:sectPr>
      </w:pPr>
    </w:p>
    <w:bookmarkStart w:id="26" w:name="page27"/>
    <w:bookmarkEnd w:id="26"/>
    <w:p>
      <w:pPr>
        <w:jc w:val="both"/>
        <w:ind w:firstLine="1549"/>
        <w:spacing w:after="0" w:line="290" w:lineRule="auto"/>
        <w:tabs>
          <w:tab w:leader="none" w:pos="2501" w:val="left"/>
        </w:tabs>
        <w:numPr>
          <w:ilvl w:val="1"/>
          <w:numId w:val="30"/>
        </w:numPr>
        <w:rPr>
          <w:rFonts w:ascii="Arial" w:cs="Arial" w:eastAsia="Arial" w:hAnsi="Arial"/>
          <w:sz w:val="16"/>
          <w:szCs w:val="16"/>
          <w:color w:val="auto"/>
        </w:rPr>
      </w:pPr>
      <w:r>
        <w:rPr>
          <w:rFonts w:ascii="Arial" w:cs="Arial" w:eastAsia="Arial" w:hAnsi="Arial"/>
          <w:sz w:val="16"/>
          <w:szCs w:val="16"/>
          <w:color w:val="auto"/>
        </w:rPr>
        <w:t>The Company represents and agrees that, unless it obtains the prior written consent of the Representative, and each Underwriter represents and agrees that, unless it obtains the prior written consent of the Company and the Representative, it has not made and will not make any offer relating to the Shares that would constitute an “issuer free writing prospectus,” as defined in Rule 433, or that would otherwise constitute a “free writing prospectus,” as defined in Rule 405, required to be filed with the Commission. The Company has complied and will comply with the requirements of Rule 433 under the Act applicable to any Issuer Free Writing Prospectus, including timely filing with the Commission where required, legending and record keeping. The Company represents that is has satisfied and agrees that it will satisfy the conditions set forth in Rule 433 of the Rules to avoid a requirement to file with the Commission any Road Show. The Company consents to the use by any Underwriter of a free writing prospectus that (a) is not an “issuer free writing prospectus” as defined in Rule 433 and (b) contains only information describing the preliminary terms of the Shares or their offering.</w:t>
      </w:r>
    </w:p>
    <w:p>
      <w:pPr>
        <w:spacing w:after="0" w:line="166" w:lineRule="exact"/>
        <w:rPr>
          <w:rFonts w:ascii="Arial" w:cs="Arial" w:eastAsia="Arial" w:hAnsi="Arial"/>
          <w:sz w:val="16"/>
          <w:szCs w:val="16"/>
          <w:color w:val="auto"/>
        </w:rPr>
      </w:pPr>
    </w:p>
    <w:p>
      <w:pPr>
        <w:ind w:left="1200" w:hanging="624"/>
        <w:spacing w:after="0"/>
        <w:tabs>
          <w:tab w:leader="none" w:pos="120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549"/>
        <w:spacing w:after="0" w:line="285" w:lineRule="auto"/>
        <w:tabs>
          <w:tab w:leader="none" w:pos="2287" w:val="left"/>
        </w:tabs>
        <w:numPr>
          <w:ilvl w:val="1"/>
          <w:numId w:val="31"/>
        </w:numPr>
        <w:rPr>
          <w:rFonts w:ascii="Arial" w:cs="Arial" w:eastAsia="Arial" w:hAnsi="Arial"/>
          <w:sz w:val="16"/>
          <w:szCs w:val="16"/>
          <w:color w:val="auto"/>
        </w:rPr>
      </w:pPr>
      <w:r>
        <w:rPr>
          <w:rFonts w:ascii="Arial" w:cs="Arial" w:eastAsia="Arial" w:hAnsi="Arial"/>
          <w:sz w:val="16"/>
          <w:szCs w:val="16"/>
          <w:color w:val="auto"/>
        </w:rPr>
        <w:t>The Company agrees to indemnify and hold harmless each Underwriter, its officers and employees and each person, if any, who controls any Underwriter within the meaning of Section 15 of the Securities Act or Section 20 of the Exchange Act against any and all losses, claims, damages and liabilities, joint or several (including any reasonable investigation, legal and other expenses incurred in connection with, and any amount paid in settlement of, any action, suit or proceeding or any claim asserted), to which they, or any of them, may become subject under the Securities Act, the Exchange Act or other Federal or state law or regulation, at common law or otherwise, insofar as such losses, claims, damages or liabilities arise out of or are based upon (i) any untrue statement or alleged untrue statement of a material fact contained in the Registration Statement or any amendment thereto or arise out of or are based upon any omission or alleged omission to state therein a material fact required to be stated therein or necessary to make the statements therein not misleading, or any untrue statement or alleged untrue statement of a material fact contained in the Preliminary Prospectus, the Statutory Prospectus, the General Disclosure Package, the Prospectus, any Issuer Free Writing Prospectus or any “issuer-information” filed or required to be filed pursuant to Rule 433(d) of the Rules, any amendment thereof or supplement thereto (or in any Blue Sky application or other information or other documents executed by the Company filed in any state or other jurisdiction to qualify any or all of the Shares under the securities laws thereof (any such application, document or information being hereinafter referred to as a “</w:t>
      </w:r>
      <w:r>
        <w:rPr>
          <w:rFonts w:ascii="Arial" w:cs="Arial" w:eastAsia="Arial" w:hAnsi="Arial"/>
          <w:sz w:val="16"/>
          <w:szCs w:val="16"/>
          <w:u w:val="single" w:color="auto"/>
          <w:color w:val="auto"/>
        </w:rPr>
        <w:t>Blue Sky Application</w:t>
      </w:r>
      <w:r>
        <w:rPr>
          <w:rFonts w:ascii="Arial" w:cs="Arial" w:eastAsia="Arial" w:hAnsi="Arial"/>
          <w:sz w:val="16"/>
          <w:szCs w:val="16"/>
          <w:color w:val="auto"/>
        </w:rPr>
        <w:t>”)) or arise out of or are based upon any omission or alleged omission to state therein a material fact required to be stated therein or necessary to make the statements therein, in the light of the circumstances under which they were made, not misleading, (ii) in whole or in part, any inaccuracy or breach of any representations or warranties of the Company contemplated in this Agreement or (iii) in whole or in part, any failure of the Company to perform its obligations hereunder or under applicable law; provided, however, that such indemnity shall not inure to the benefit of any Underwriter (or any person controlling such Underwriter) on account of any losses, claims, damages or liabilities arising from the sale of the Shares to any person by such Underwriter if such untrue statement or omission or alleged untrue statement or omission was made in such Preliminary Prospectus, the Registration Statement, the Prospectus, the Statutory Prospectus, the General Disclosure Package, any Issuer Free Writing Prospectus or such amendment or supplement thereto, or in any Blue Sky Application in reliance upon and in conformity with the Underwriter Information. This indemnity agreement will be in addition to any liability which the Company may otherwise have.</w:t>
      </w:r>
    </w:p>
    <w:p>
      <w:pPr>
        <w:spacing w:after="0" w:line="377" w:lineRule="exact"/>
        <w:rPr>
          <w:sz w:val="20"/>
          <w:szCs w:val="20"/>
          <w:color w:val="auto"/>
        </w:rPr>
      </w:pPr>
    </w:p>
    <w:p>
      <w:pPr>
        <w:jc w:val="center"/>
        <w:ind w:right="140"/>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7620</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320" w:top="908" w:right="239" w:bottom="1440" w:gutter="0" w:footer="0" w:header="0"/>
        </w:sectPr>
      </w:pPr>
    </w:p>
    <w:bookmarkStart w:id="27" w:name="page28"/>
    <w:bookmarkEnd w:id="27"/>
    <w:p>
      <w:pPr>
        <w:jc w:val="both"/>
        <w:ind w:firstLine="1549"/>
        <w:spacing w:after="0" w:line="286" w:lineRule="auto"/>
        <w:tabs>
          <w:tab w:leader="none" w:pos="2214" w:val="left"/>
        </w:tabs>
        <w:numPr>
          <w:ilvl w:val="1"/>
          <w:numId w:val="32"/>
        </w:numPr>
        <w:rPr>
          <w:rFonts w:ascii="Arial" w:cs="Arial" w:eastAsia="Arial" w:hAnsi="Arial"/>
          <w:sz w:val="16"/>
          <w:szCs w:val="16"/>
          <w:color w:val="auto"/>
        </w:rPr>
      </w:pPr>
      <w:r>
        <w:rPr>
          <w:rFonts w:ascii="Arial" w:cs="Arial" w:eastAsia="Arial" w:hAnsi="Arial"/>
          <w:sz w:val="16"/>
          <w:szCs w:val="16"/>
          <w:color w:val="auto"/>
        </w:rPr>
        <w:t>Each Underwriter, severally and not jointly, agrees to indemnify and hold harmless the Company and each person, if any, who controls the Company within the meaning of Section 15 of the Securities Act or Section 20 of the Exchange Act, each director of the Company, and each officer of the Company who signs the Registration Statement, against any losses, claims, damages or liabilities to which such party may become subject, under the Securities Act or otherwise, insofar as such losses, claims, damages or liabilities (or actions in respect thereof) arise out of or are based upon an untrue statement or alleged untrue statement of a material fact contained in the Registration Statement or any amendment or supplement thereto or arise out of or are based upon the omission or alleged omission to state therein a material fact required to be stated therein or necessary to make the statements therein not misleading, or an untrue statement or alleged untrue statement of a material fact contained in the Preliminary Prospectus, the Prospectus, or any amendment or supplement thereto, or arise out of or are based upon the omission or alleged omission to state therein a material fact required to be stated therein or necessary to make the statements therein, in the light of the circumstances under which they were made, not misleading, in each case to the extent, but only to the extent, that such untrue statement or alleged untrue statement or omission or alleged omission was made in the Preliminary Prospectus, the Registration Statement or the Prospectus or any such amendment or supplement in reliance upon and in conformity with the Underwriter Information; provided, however, that the obligation of each Underwriter to indemnify the Company (including any controlling person, director or officer thereof) shall be limited to the amount of the underwriting discount and commissions applicable to the Shares purchased by such Underwriter hereunder.</w:t>
      </w:r>
    </w:p>
    <w:p>
      <w:pPr>
        <w:spacing w:after="0" w:line="174" w:lineRule="exact"/>
        <w:rPr>
          <w:rFonts w:ascii="Arial" w:cs="Arial" w:eastAsia="Arial" w:hAnsi="Arial"/>
          <w:sz w:val="16"/>
          <w:szCs w:val="16"/>
          <w:color w:val="auto"/>
        </w:rPr>
      </w:pPr>
    </w:p>
    <w:p>
      <w:pPr>
        <w:jc w:val="both"/>
        <w:ind w:firstLine="1549"/>
        <w:spacing w:after="0" w:line="282" w:lineRule="auto"/>
        <w:tabs>
          <w:tab w:leader="none" w:pos="2382" w:val="left"/>
        </w:tabs>
        <w:numPr>
          <w:ilvl w:val="1"/>
          <w:numId w:val="32"/>
        </w:numPr>
        <w:rPr>
          <w:rFonts w:ascii="Arial" w:cs="Arial" w:eastAsia="Arial" w:hAnsi="Arial"/>
          <w:sz w:val="16"/>
          <w:szCs w:val="16"/>
          <w:color w:val="auto"/>
        </w:rPr>
      </w:pPr>
      <w:r>
        <w:rPr>
          <w:rFonts w:ascii="Arial" w:cs="Arial" w:eastAsia="Arial" w:hAnsi="Arial"/>
          <w:sz w:val="16"/>
          <w:szCs w:val="16"/>
          <w:color w:val="auto"/>
        </w:rPr>
        <w:t xml:space="preserve">Any party that proposes to assert the right to be indemnified under this Section will, promptly after receipt of notice of commencement of any action, suit or proceeding against such party in respect of which a claim is to be made against an indemnifying party or parties under this Section, notify each such indemnifying party of the commencement of such action, suit or proceeding, enclosing a copy of all papers served;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failure to notify the indemnifying party shall not relieve such indemnifying party from any liability it may have under this Section 5, except solely to the extent it has been materially and adversely prejudiced by such failure and has forfeited substantive defenses that would otherwise be available;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omission so to notify such indemnifying party of any such action, suit or proceeding shall not relieve it from any liability that it may have to any indemnified party for contribution or otherwise than under this Section. In case any such action, suit or proceeding shall be brought against any indemnified party and it shall notify the indemnifying party of the commencement thereof, the indemnifying party shall be entitled to participate in, and, to the extent that it shall wish, jointly with any other indemnifying party similarly notified, to assume the defense thereof, with counsel reasonably satisfactory to such indemnified party, and after notice from the indemnifying party to such indemnified party of its election so to assume the defense thereof and the approval by the indemnified party of such counsel, the indemnifying party shall not be liable to such indemnified party for any legal or other expenses, except as provided below and except for the reasonable costs of investigation incurred by such indemnified party in connection with the defense thereof. The indemnified party shall have the right to employ its counsel in any such action, but, except as provided above (or under the circumstances of clauses (i) – (iii) below), the fees and expenses of such counsel shall be at the expense of such indemnified party unless (i) the employment of counsel by such indemnified party has been authorized in writing by the indemnifying party, (ii) the indemnified party has reasonably concluded (based on the advice of counsel) that there may be one or more legal defenses available to it which are different from or in addition to those available to the indemnifying party (in which case the indemnifying party shall not have the right to direct the defense of such action on behalf of the indemnified party) or</w:t>
      </w:r>
    </w:p>
    <w:p>
      <w:pPr>
        <w:spacing w:after="0" w:line="12" w:lineRule="exact"/>
        <w:rPr>
          <w:rFonts w:ascii="Arial" w:cs="Arial" w:eastAsia="Arial" w:hAnsi="Arial"/>
          <w:sz w:val="16"/>
          <w:szCs w:val="16"/>
          <w:color w:val="auto"/>
        </w:rPr>
      </w:pPr>
    </w:p>
    <w:p>
      <w:pPr>
        <w:jc w:val="both"/>
        <w:ind w:firstLine="9"/>
        <w:spacing w:after="0" w:line="254" w:lineRule="auto"/>
        <w:tabs>
          <w:tab w:leader="none" w:pos="319"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indemnifying party shall not have employed counsel reasonably satisfactory to the indemnified party to diligently assume the defense of such action within a reasonable time after notice of the commencement thereof, in each of which cases the reasonable fees and expenses of one such separate counsel shall be at the expense of the indemnifying party. An indemnifying party shall not be liable for any settlement of any action, suit, and proceeding or claim effected without its written consent, which consent shall not be unreasonably withheld or delayed.</w:t>
      </w:r>
    </w:p>
    <w:p>
      <w:pPr>
        <w:spacing w:after="0" w:line="399" w:lineRule="exact"/>
        <w:rPr>
          <w:sz w:val="20"/>
          <w:szCs w:val="20"/>
          <w:color w:val="auto"/>
        </w:rPr>
      </w:pPr>
    </w:p>
    <w:p>
      <w:pPr>
        <w:jc w:val="center"/>
        <w:ind w:right="140"/>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7620</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320" w:top="908" w:right="239" w:bottom="1440" w:gutter="0" w:footer="0" w:header="0"/>
        </w:sectPr>
      </w:pPr>
    </w:p>
    <w:bookmarkStart w:id="28" w:name="page29"/>
    <w:bookmarkEnd w:id="28"/>
    <w:p>
      <w:pPr>
        <w:jc w:val="both"/>
        <w:ind w:firstLine="656"/>
        <w:spacing w:after="0" w:line="284" w:lineRule="auto"/>
        <w:tabs>
          <w:tab w:leader="none" w:pos="1314" w:val="left"/>
        </w:tabs>
        <w:numPr>
          <w:ilvl w:val="0"/>
          <w:numId w:val="34"/>
        </w:numPr>
        <w:rPr>
          <w:rFonts w:ascii="Arial" w:cs="Arial" w:eastAsia="Arial" w:hAnsi="Arial"/>
          <w:sz w:val="16"/>
          <w:szCs w:val="16"/>
          <w:color w:val="auto"/>
        </w:rPr>
      </w:pPr>
      <w:r>
        <w:rPr>
          <w:rFonts w:ascii="Arial" w:cs="Arial" w:eastAsia="Arial" w:hAnsi="Arial"/>
          <w:sz w:val="16"/>
          <w:szCs w:val="16"/>
          <w:u w:val="single" w:color="auto"/>
          <w:color w:val="auto"/>
        </w:rPr>
        <w:t>Contribution</w:t>
      </w:r>
      <w:r>
        <w:rPr>
          <w:rFonts w:ascii="Arial" w:cs="Arial" w:eastAsia="Arial" w:hAnsi="Arial"/>
          <w:sz w:val="16"/>
          <w:szCs w:val="16"/>
          <w:color w:val="auto"/>
        </w:rPr>
        <w:t>. In order to provide for just and equitable contribution in circumstances in which the indemnification provided for in Section 5(a) or 5(b) is due in accordance with its terms but for any reason is unavailable to or insufficient to hold harmless an indemnified party in respect to any losses, liabilities, claims, damages or expenses referred to herein, then each indemnifying party shall contribute to the aggregate losses, liabilities, claims, damages and expenses (including any investigation, legal and other expenses reasonably incurred in connection with, and any amount paid in settlement of, any action, suit or proceeding or any claims asserted, but after deducting any contribution received by any person entitled hereunder to contribution from any person who may be liable for contribution) incurred by such indemnified party, as incurred, in such proportion as is appropriate to reflect the relative benefits received by the Company on the one hand and the Underwriters on the other hand from the offering of the Shares pursuant to this Agreement or, if such allocation is not permitted by applicable law, in such proportion as is appropriate to reflect not only the relative benefits referred to above but also the relative fault of the Company on the one hand and the Underwriters on the other hand in connection with the statements or omissions which resulted in such losses, liabilities, claims, damages or expenses, as well as any other relevant equitable considerations. The Company and the Underwriters agree that it would not be just and equitable if contribution pursuant to this Section 6 were determined by pro rata allocation (even if the Underwriters were treated as one entity for such purpose) or by any other method of allocation which does not take account of the equitable considerations referred to above. The aggregate amount of losses, liabilities, claims, damages and expenses incurred by an indemnified party and referred to above shall be deemed to include any legal or other expenses reasonably incurred by such indemnified party in investigating, preparing or defending against any litigation, or any investigation or proceeding by any governmental agency or body, commenced or threatened, or any claim whatsoever based upon any such untrue or alleged untrue statement or omission or alleged omission. Notwithstanding the provisions of this Section 6, no Underwriter (except as may be provided in the Agreement Among Underwriters) shall be required to contribute any amount in excess of the underwriting discounts and commissions applicable to the Shares purchased by such Underwriter. No person guilty of fraudulent misrepresentation (within the meaning of Section 11(f) of the Securities Act) shall be entitled to contribution from any person who was not guilty of such fraudulent misrepresentation. For purposes of this Section 6, each person, if any, who controls an Underwriter within the meaning of Section 15 of the Securities Act or Section 20 of the Exchange Act shall have the same rights to contribution as such Underwriter, and each director of the Company including any person who, with his or her consent, is named in the Registration Statement as about to become a director of the Company, each officer of the Company who signed the Registration Statement, and each person, if any, who controls the Company within the meaning of the Section 15 of the Securities Act or Section 20 of the Exchange Act, shall have the same rights to contribution as the Company. Any party entitled to contribution will, promptly after receipt of notice of commencement of any action, suit or proceeding against such party in respect of which a claim for contribution may be made against another party or parties under this Section 6, notify such party or parties from whom contribution may be sought, but the omission so to notify such party or parties from whom contribution may be sought shall not relieve the party or parties from whom contribution may be sought from any other obligation it or they may have hereunder or otherwise than under this Section 6. No party shall be liable for contribution with respect to any action, suit, proceeding or claim settled without its written consent. The Underwriter’s obligations to contribute pursuant to this Section 6 are several in proportion to their respective underwriting commitments and not joint.</w:t>
      </w:r>
    </w:p>
    <w:p>
      <w:pPr>
        <w:spacing w:after="0" w:line="200" w:lineRule="exact"/>
        <w:rPr>
          <w:sz w:val="20"/>
          <w:szCs w:val="20"/>
          <w:color w:val="auto"/>
        </w:rPr>
      </w:pPr>
    </w:p>
    <w:p>
      <w:pPr>
        <w:spacing w:after="0" w:line="395"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9" w:name="page30"/>
    <w:bookmarkEnd w:id="29"/>
    <w:p>
      <w:pPr>
        <w:ind w:left="1160" w:hanging="584"/>
        <w:spacing w:after="0"/>
        <w:tabs>
          <w:tab w:leader="none" w:pos="116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549"/>
        <w:spacing w:after="0" w:line="268" w:lineRule="auto"/>
        <w:tabs>
          <w:tab w:leader="none" w:pos="2298" w:val="left"/>
        </w:tabs>
        <w:numPr>
          <w:ilvl w:val="1"/>
          <w:numId w:val="35"/>
        </w:numPr>
        <w:rPr>
          <w:rFonts w:ascii="Arial" w:cs="Arial" w:eastAsia="Arial" w:hAnsi="Arial"/>
          <w:sz w:val="17"/>
          <w:szCs w:val="17"/>
          <w:color w:val="auto"/>
        </w:rPr>
      </w:pPr>
      <w:r>
        <w:rPr>
          <w:rFonts w:ascii="Arial" w:cs="Arial" w:eastAsia="Arial" w:hAnsi="Arial"/>
          <w:sz w:val="17"/>
          <w:szCs w:val="17"/>
          <w:color w:val="auto"/>
        </w:rPr>
        <w:t>In addition to Section 3 hereof, this Agreement may be terminated with respect to the Shares to be purchased on a Closing Date by the Representative by notifying the Company at any time at or before a Closing Date in the absolute discretion of the Representative if: (i) in the judgment of the Representative, there has occurred any material adverse change in the securities markets or any event, act or occurrence that has materially disrupted, or in the judgment of the Representative, will in the future materially disrupt, the securities markets or there shall be such a material adverse change in general financial, political or economic conditions or the effect of international conditions on the financial markets in the United States is such as to make it, in the judgment of the Representative, inadvisable or impracticable to market the Shares or enforce contracts for the sale of the Shares; (ii) there has occurred any outbreak or material escalation of hostilities or acts of terrorism or other calamity or crisis the effect of which on the financial markets of the United States is such as to make it, in the judgment of the Representative, inadvisable or impracticable to market the Shares or enforce contracts for the sale of the Shares; (iii) trading in the Shares or any securities of the Company has been suspended or materially limited by the Commission or the NASDAQ Capital Market or trading generally on the NASDAQ Capital Market or the New York Stock Exchange has been suspended or materially limited, or minimum or maximum ranges for prices for securities shall have been fixed, or maximum ranges for prices for securities have been required, by any of said exchanges or by such system or by order of the Commission, FINRA, or any other governmental or regulatory authority; (iv) a banking moratorium has been declared by any state or Federal authority; or (v) in the reasonable judgment of the Representative, there has been, since the time of execution of this Agreement or since the respective dates as of which information is given in the Prospectus, any material adverse change in the assets, properties, condition, financial or otherwise, or in the results of operations, business affairs or business prospects of the Company and its subsidiaries considered as a whole, whether or not arising in the ordinary course of business.</w:t>
      </w:r>
    </w:p>
    <w:p>
      <w:pPr>
        <w:spacing w:after="0" w:line="390" w:lineRule="exact"/>
        <w:rPr>
          <w:sz w:val="20"/>
          <w:szCs w:val="20"/>
          <w:color w:val="auto"/>
        </w:rPr>
      </w:pPr>
    </w:p>
    <w:p>
      <w:pPr>
        <w:jc w:val="center"/>
        <w:ind w:right="140"/>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7620</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320" w:top="908" w:right="239" w:bottom="1440" w:gutter="0" w:footer="0" w:header="0"/>
        </w:sectPr>
      </w:pPr>
    </w:p>
    <w:bookmarkStart w:id="30" w:name="page31"/>
    <w:bookmarkEnd w:id="30"/>
    <w:p>
      <w:pPr>
        <w:jc w:val="both"/>
        <w:ind w:left="80" w:firstLine="1549"/>
        <w:spacing w:after="0" w:line="289" w:lineRule="auto"/>
        <w:tabs>
          <w:tab w:leader="none" w:pos="2523" w:val="left"/>
        </w:tabs>
        <w:numPr>
          <w:ilvl w:val="1"/>
          <w:numId w:val="36"/>
        </w:numPr>
        <w:rPr>
          <w:rFonts w:ascii="Arial" w:cs="Arial" w:eastAsia="Arial" w:hAnsi="Arial"/>
          <w:sz w:val="16"/>
          <w:szCs w:val="16"/>
          <w:color w:val="auto"/>
        </w:rPr>
      </w:pPr>
      <w:r>
        <w:rPr>
          <w:rFonts w:ascii="Arial" w:cs="Arial" w:eastAsia="Arial" w:hAnsi="Arial"/>
          <w:sz w:val="16"/>
          <w:szCs w:val="16"/>
          <w:color w:val="auto"/>
        </w:rPr>
        <w:t>If this Agreement is terminated pursuant to any of its provisions, the Company shall not be under any liability to any Underwriter (other than in the event of an intentional or willful breach of this Agreement by the Company), and no Underwriter shall be under any liability to the Company, except that (y) if this Agreement is terminated by the Representative or the Underwriters because of any failure, refusal or inability on the part of the Company to comply with the terms or to fulfill any of the conditions of this Agreement (including Section 3 or 4 hereof) or pursuant to Section 7(a), subject to the Cap, the Company shall promptly reimburse the Underwriters for their reasonable out-of-pocket expenses (including the reasonable fees and disbursements of their counsel) incurred by the Underwriters in connection with the proposed purchase and sale of the Shares or in contemplation of performing their obligations hereunder and (z) no Underwriter who shall have failed or refused to purchase the Shares agreed to be purchased by it under this Agreement, without some reason sufficient hereunder to justify cancellation or termination of its obligations under this Agreement, shall be relieved of liability to the Company or to the other Underwriters for damages occasioned by its failure or refusal.</w:t>
      </w:r>
    </w:p>
    <w:p>
      <w:pPr>
        <w:spacing w:after="0" w:line="166" w:lineRule="exact"/>
        <w:rPr>
          <w:rFonts w:ascii="Arial" w:cs="Arial" w:eastAsia="Arial" w:hAnsi="Arial"/>
          <w:sz w:val="16"/>
          <w:szCs w:val="16"/>
          <w:color w:val="auto"/>
        </w:rPr>
      </w:pPr>
    </w:p>
    <w:p>
      <w:pPr>
        <w:jc w:val="both"/>
        <w:ind w:firstLine="656"/>
        <w:spacing w:after="0" w:line="286" w:lineRule="auto"/>
        <w:tabs>
          <w:tab w:leader="none" w:pos="1382" w:val="left"/>
        </w:tabs>
        <w:numPr>
          <w:ilvl w:val="0"/>
          <w:numId w:val="37"/>
        </w:numPr>
        <w:rPr>
          <w:rFonts w:ascii="Arial" w:cs="Arial" w:eastAsia="Arial" w:hAnsi="Arial"/>
          <w:sz w:val="16"/>
          <w:szCs w:val="16"/>
          <w:color w:val="auto"/>
        </w:rPr>
      </w:pPr>
      <w:r>
        <w:rPr>
          <w:rFonts w:ascii="Arial" w:cs="Arial" w:eastAsia="Arial" w:hAnsi="Arial"/>
          <w:sz w:val="16"/>
          <w:szCs w:val="16"/>
          <w:u w:val="single" w:color="auto"/>
          <w:color w:val="auto"/>
        </w:rPr>
        <w:t>Substitution of Underwriters</w:t>
      </w:r>
      <w:r>
        <w:rPr>
          <w:rFonts w:ascii="Arial" w:cs="Arial" w:eastAsia="Arial" w:hAnsi="Arial"/>
          <w:sz w:val="16"/>
          <w:szCs w:val="16"/>
          <w:color w:val="auto"/>
        </w:rPr>
        <w:t>. If any Underwriter shall default in its obligation to purchase on any Closing Date the Shares agreed to be purchased hereunder on such Closing Date, the Representative shall have the right, within 36 hours thereafter, to make arrangements for one or more of the non-defaulting Underwriters, or any other underwriters, to purchase such Shares on the terms contained herein. If, however, the Representative shall not have completed such arrangements within such 36-hour period, then the Company shall be entitled to a further period of thirty-six hours within which to procure another party or other parties satisfactory to the Underwriters to purchase such Shares on such terms. If, after giving effect to any arrangements for the purchase of the Shares of a defaulting Underwriter or Underwriters by the Representative and the Company as provided above, the aggregate number of Shares which remains unpurchased on such Closing Date does not exceed 10% of the aggregate number of all the Shares that all the Underwriters are obligated to purchase on such date, then the Company shall have the right to require each non-defaulting Underwriter to purchase the number of Shares which such Underwriter agreed to purchase hereunder at such date and, in addition, to require each non-defaulting Underwriter to purchase its pro rata share (based on the number of Shares which such Underwriter agreed to purchase hereunder) of the Shares of such defaulting Underwriter or Underwriters for which such arrangements have not been made; but nothing herein shall relieve a defaulting Underwriter from liability for its default. In any such case, either the Representative or the Company shall have the right to postpone the applicable Closing Date for a period of not more than seven days in order to effect any necessary changes and arrangements (including any necessary amendments or supplements to the Registration Statement or Prospectus or any other documents), and the Company agrees to file promptly any amendments to the Registration Statement or the Prospectus which in the opinion of the Company and the Underwriters and their counsel may thereby be made necessary.</w:t>
      </w:r>
    </w:p>
    <w:p>
      <w:pPr>
        <w:spacing w:after="0" w:line="378"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1" w:name="page32"/>
    <w:bookmarkEnd w:id="31"/>
    <w:p>
      <w:pPr>
        <w:jc w:val="both"/>
        <w:ind w:firstLine="1297"/>
        <w:spacing w:after="0" w:line="271" w:lineRule="auto"/>
        <w:rPr>
          <w:sz w:val="20"/>
          <w:szCs w:val="20"/>
          <w:color w:val="auto"/>
        </w:rPr>
      </w:pPr>
      <w:r>
        <w:rPr>
          <w:rFonts w:ascii="Arial" w:cs="Arial" w:eastAsia="Arial" w:hAnsi="Arial"/>
          <w:sz w:val="17"/>
          <w:szCs w:val="17"/>
          <w:color w:val="auto"/>
        </w:rPr>
        <w:t>If, after giving effect to any arrangements for the purchase of the Shares of a defaulting Underwriter or Underwriters by the Representative and the Company as provided above, the aggregate number of such Shares which remains unpurchased exceeds 10% of the aggregate number of all the Shares to be purchased at such date, then this Agreement, or, with respect to a Closing Date which occurs after the Firm Shares Closing Date, the obligations of the Underwriters to purchase and of the Company to sell the Option Shares to be purchased and sold on such date, shall terminate, without liability on the part of any non-defaulting Underwriter to the Company, and without liability on the part of the Company, except as provided in Sections 4(b), 5, 6 and 7. The provisions of this Section 8 shall not in any way affect the liability of any defaulting Underwriter to the Company or the non-defaulting Underwriters arising out of such default. The term “Underwriter” as used in this Agreement shall include any person substituted under this Section 8 with like effect as if such person had originally been a party to this Agreement with respect to such Shares.</w:t>
      </w:r>
    </w:p>
    <w:p>
      <w:pPr>
        <w:spacing w:after="0" w:line="179" w:lineRule="exact"/>
        <w:rPr>
          <w:sz w:val="20"/>
          <w:szCs w:val="20"/>
          <w:color w:val="auto"/>
        </w:rPr>
      </w:pPr>
    </w:p>
    <w:p>
      <w:pPr>
        <w:jc w:val="both"/>
        <w:ind w:firstLine="656"/>
        <w:spacing w:after="0" w:line="276" w:lineRule="auto"/>
        <w:tabs>
          <w:tab w:leader="none" w:pos="1386" w:val="left"/>
        </w:tabs>
        <w:numPr>
          <w:ilvl w:val="0"/>
          <w:numId w:val="38"/>
        </w:numPr>
        <w:rPr>
          <w:rFonts w:ascii="Arial" w:cs="Arial" w:eastAsia="Arial" w:hAnsi="Arial"/>
          <w:sz w:val="17"/>
          <w:szCs w:val="17"/>
          <w:color w:val="auto"/>
        </w:rPr>
      </w:pPr>
      <w:r>
        <w:rPr>
          <w:rFonts w:ascii="Arial" w:cs="Arial" w:eastAsia="Arial" w:hAnsi="Arial"/>
          <w:sz w:val="17"/>
          <w:szCs w:val="17"/>
          <w:u w:val="single" w:color="auto"/>
          <w:color w:val="auto"/>
        </w:rPr>
        <w:t>Miscellaneous</w:t>
      </w:r>
      <w:r>
        <w:rPr>
          <w:rFonts w:ascii="Arial" w:cs="Arial" w:eastAsia="Arial" w:hAnsi="Arial"/>
          <w:sz w:val="17"/>
          <w:szCs w:val="17"/>
          <w:color w:val="auto"/>
        </w:rPr>
        <w:t>. The respective agreements, representations, warranties, indemnities and other statements of the Company and the several Underwriters, as set forth in this Agreement or made by or on behalf of them pursuant to this Agreement, shall remain in full force and effect, regardless of any investigation (or any statement as to the results thereof) made by or on behalf of any Underwriter or the Company or any of their respective officers, directors or controlling persons referred to in Sections 5 and 6 hereof, and shall survive delivery of and payment for the Shares. In addition, the provisions of Sections 4(b), 5, 6, 7, 8 and 9 shall survive the termination or cancellation of this Agreement.</w:t>
      </w:r>
    </w:p>
    <w:p>
      <w:pPr>
        <w:spacing w:after="0" w:line="173" w:lineRule="exact"/>
        <w:rPr>
          <w:sz w:val="20"/>
          <w:szCs w:val="20"/>
          <w:color w:val="auto"/>
        </w:rPr>
      </w:pPr>
    </w:p>
    <w:p>
      <w:pPr>
        <w:jc w:val="both"/>
        <w:ind w:firstLine="1297"/>
        <w:spacing w:after="0" w:line="279" w:lineRule="auto"/>
        <w:rPr>
          <w:sz w:val="20"/>
          <w:szCs w:val="20"/>
          <w:color w:val="auto"/>
        </w:rPr>
      </w:pPr>
      <w:r>
        <w:rPr>
          <w:rFonts w:ascii="Arial" w:cs="Arial" w:eastAsia="Arial" w:hAnsi="Arial"/>
          <w:sz w:val="17"/>
          <w:szCs w:val="17"/>
          <w:color w:val="auto"/>
        </w:rPr>
        <w:t>This Agreement has been and is made for the benefit of the Underwriters, the Company and their respective successors and assigns, and, to the extent expressed herein, for the benefit of persons controlling any of the Underwriters, or the Company, and directors and officers of the Company, and their respective successors and assigns, and no other person shall acquire or have any right under or by virtue of this Agreement. The term “successors and assigns” shall not include any purchaser of Shares from any Underwriter merely because of such purchase.</w:t>
      </w:r>
    </w:p>
    <w:p>
      <w:pPr>
        <w:spacing w:after="0" w:line="171" w:lineRule="exact"/>
        <w:rPr>
          <w:sz w:val="20"/>
          <w:szCs w:val="20"/>
          <w:color w:val="auto"/>
        </w:rPr>
      </w:pPr>
    </w:p>
    <w:p>
      <w:pPr>
        <w:jc w:val="both"/>
        <w:ind w:firstLine="1297"/>
        <w:spacing w:after="0" w:line="274" w:lineRule="auto"/>
        <w:rPr>
          <w:sz w:val="20"/>
          <w:szCs w:val="20"/>
          <w:color w:val="auto"/>
        </w:rPr>
      </w:pPr>
      <w:r>
        <w:rPr>
          <w:rFonts w:ascii="Arial" w:cs="Arial" w:eastAsia="Arial" w:hAnsi="Arial"/>
          <w:sz w:val="17"/>
          <w:szCs w:val="17"/>
          <w:color w:val="auto"/>
        </w:rPr>
        <w:t>All notices and communications hereunder shall be in writing and mailed or delivered or by telephone or facsimile if subsequently confirmed in writing, (a) if to the Representative, c/o Roth Capital Partners, LLC, 888 San Clemente Drive, Newport Beach, CA 92660, telecopy number:</w:t>
      </w:r>
    </w:p>
    <w:p>
      <w:pPr>
        <w:jc w:val="both"/>
        <w:ind w:firstLine="8"/>
        <w:spacing w:after="0" w:line="254" w:lineRule="auto"/>
        <w:tabs>
          <w:tab w:leader="none" w:pos="441" w:val="left"/>
        </w:tabs>
        <w:numPr>
          <w:ilvl w:val="0"/>
          <w:numId w:val="39"/>
        </w:numPr>
        <w:rPr>
          <w:rFonts w:ascii="Arial" w:cs="Arial" w:eastAsia="Arial" w:hAnsi="Arial"/>
          <w:sz w:val="18"/>
          <w:szCs w:val="18"/>
          <w:color w:val="auto"/>
        </w:rPr>
      </w:pPr>
      <w:r>
        <w:rPr>
          <w:rFonts w:ascii="Arial" w:cs="Arial" w:eastAsia="Arial" w:hAnsi="Arial"/>
          <w:sz w:val="18"/>
          <w:szCs w:val="18"/>
          <w:color w:val="auto"/>
        </w:rPr>
        <w:t>720-7227, Attention: Equity Capital Markets with a copy to Pillsbury Winthrop Shaw Pittman LLP, 1540 Broadway, New York, NY 10036, Attention: Jonathan J. Russo, Esq., Facsimile: 212-858-1500 and (b) if to the Company, at its address as it appears on the cover page of the Registration Statement, Attention: Legal with a copy to Mintz, Levin, Cohn, Ferris, Glovsky, and Popeo, P.C., 666 Third Avenue, New York, New York 10017, Attention: Kenneth R. Koch and Jeffrey P. Schultz, Esq., Facsimile: (212) 983-3115.</w:t>
      </w:r>
    </w:p>
    <w:p>
      <w:pPr>
        <w:spacing w:after="0" w:line="190"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The Company (on its behalf and, to the extent permitted by applicable law, on behalf of its stockholders and affiliates) and each Underwriter each hereby irrevocably waives, to the fullest extent permitted by applicable law, any and all right to trial by jury in any legal proceeding arising out of or relating to this Agreement or the transactions contemplated hereby.</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This Agreement shall be governed by and construed in accordance with the laws of the State of New York.</w:t>
      </w:r>
    </w:p>
    <w:p>
      <w:pPr>
        <w:spacing w:after="0" w:line="200" w:lineRule="exact"/>
        <w:rPr>
          <w:sz w:val="20"/>
          <w:szCs w:val="20"/>
          <w:color w:val="auto"/>
        </w:rPr>
      </w:pPr>
    </w:p>
    <w:p>
      <w:pPr>
        <w:spacing w:after="0" w:line="238"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2" w:name="page33"/>
    <w:bookmarkEnd w:id="32"/>
    <w:p>
      <w:pPr>
        <w:jc w:val="both"/>
        <w:ind w:firstLine="1297"/>
        <w:spacing w:after="0" w:line="253" w:lineRule="auto"/>
        <w:rPr>
          <w:sz w:val="20"/>
          <w:szCs w:val="20"/>
          <w:color w:val="auto"/>
        </w:rPr>
      </w:pPr>
      <w:r>
        <w:rPr>
          <w:rFonts w:ascii="Arial" w:cs="Arial" w:eastAsia="Arial" w:hAnsi="Arial"/>
          <w:sz w:val="18"/>
          <w:szCs w:val="18"/>
          <w:color w:val="auto"/>
        </w:rPr>
        <w:t>Any legal suit, action or proceeding arising out of or based upon this Agreement or the transactions contemplated hereby shall be instituted in (i) the federal courts of the United States of America located in the City and County of New York, Borough of Manhattan or (ii) the courts of the State of New York located in the City and County of New York, Borough of Manhattan (collectively, the “</w:t>
      </w:r>
      <w:r>
        <w:rPr>
          <w:rFonts w:ascii="Arial" w:cs="Arial" w:eastAsia="Arial" w:hAnsi="Arial"/>
          <w:sz w:val="18"/>
          <w:szCs w:val="18"/>
          <w:u w:val="single" w:color="auto"/>
          <w:color w:val="auto"/>
        </w:rPr>
        <w:t>Specified Courts</w:t>
      </w:r>
      <w:r>
        <w:rPr>
          <w:rFonts w:ascii="Arial" w:cs="Arial" w:eastAsia="Arial" w:hAnsi="Arial"/>
          <w:sz w:val="18"/>
          <w:szCs w:val="18"/>
          <w:color w:val="auto"/>
        </w:rPr>
        <w:t>”), and each party irrevocably submits to the exclusive jurisdiction (except for proceedings instituted in regard to the enforcement of a judgment of any such court, as to which such jurisdiction is non-exclusive) of such courts in any such suit, action or proceeding. Service of any process, summons, notice or document by mail to such party’s address set forth above shall be effective service of process for any suit, action or other proceeding brought in any such court. The parties irrevocably and unconditionally waive any objection to the laying of venue of any suit, action or other proceeding in the Specified Courts and irrevocably and unconditionally waive and agree not to plead or claim in any such court that any such suit, action or other proceeding brought in any such court has been brought in an inconvenient forum.</w:t>
      </w:r>
    </w:p>
    <w:p>
      <w:pPr>
        <w:spacing w:after="0" w:line="197"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TIME SHALL BE OF THE ESSENCE OF THIS AGREEMENT. EXCEPT AS OTHERWISE SET FORTH HEREIN, SPECIFIED TIMES OF DAY REFER TO NEW YORK CITY TIME.</w:t>
      </w:r>
    </w:p>
    <w:p>
      <w:pPr>
        <w:spacing w:after="0" w:line="170"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This Agreement may be executed in any number of counterparts, each of which shall be deemed to be an original, but all such counterparts shall together constitute one and the same agreement.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Section headings herein are for convenience only and shall not affect the construction hereof.</w:t>
      </w:r>
    </w:p>
    <w:p>
      <w:pPr>
        <w:spacing w:after="0" w:line="200" w:lineRule="exact"/>
        <w:rPr>
          <w:sz w:val="20"/>
          <w:szCs w:val="20"/>
          <w:color w:val="auto"/>
        </w:rPr>
      </w:pPr>
    </w:p>
    <w:p>
      <w:pPr>
        <w:spacing w:after="0" w:line="23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3" w:name="page34"/>
    <w:bookmarkEnd w:id="33"/>
    <w:p>
      <w:pPr>
        <w:ind w:firstLine="1297"/>
        <w:spacing w:after="0" w:line="277" w:lineRule="auto"/>
        <w:rPr>
          <w:sz w:val="20"/>
          <w:szCs w:val="20"/>
          <w:color w:val="auto"/>
        </w:rPr>
      </w:pPr>
      <w:r>
        <w:rPr>
          <w:rFonts w:ascii="Arial" w:cs="Arial" w:eastAsia="Arial" w:hAnsi="Arial"/>
          <w:sz w:val="18"/>
          <w:szCs w:val="18"/>
          <w:color w:val="auto"/>
        </w:rPr>
        <w:t>This Agreement may be signed in any number of counterparts, each of which shall be an original, with the same effect as if the signatures thereto and hereto were upon the same instrument.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Please confirm that the foregoing correctly sets forth the agreement among us.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FORM HOLDINGS CORP.</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Anastasia Nyrkovskaya</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 Anastasia Nyrkovskaya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-130810</wp:posOffset>
            </wp:positionV>
            <wp:extent cx="340487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Title: CFO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Confirmed: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ROTH CAPITAL PARTNERS, LLC</w:t>
      </w:r>
    </w:p>
    <w:p>
      <w:pPr>
        <w:spacing w:after="0" w:line="22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Acting severally on behalf of itself</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and as representative of the several</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Underwriters named in Schedule I annexed hereto.</w:t>
      </w:r>
    </w:p>
    <w:p>
      <w:pPr>
        <w:spacing w:after="0" w:line="21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ROTH CAPITAL PARTNERS, LLC</w:t>
      </w:r>
    </w:p>
    <w:p>
      <w:pPr>
        <w:spacing w:after="0" w:line="225" w:lineRule="exact"/>
        <w:rPr>
          <w:sz w:val="20"/>
          <w:szCs w:val="20"/>
          <w:color w:val="auto"/>
        </w:rPr>
      </w:pPr>
    </w:p>
    <w:p>
      <w:pPr>
        <w:ind w:left="680"/>
        <w:spacing w:after="0"/>
        <w:tabs>
          <w:tab w:leader="none" w:pos="1120" w:val="left"/>
        </w:tabs>
        <w:rPr>
          <w:sz w:val="20"/>
          <w:szCs w:val="20"/>
          <w:color w:val="auto"/>
        </w:rPr>
      </w:pPr>
      <w:r>
        <w:rPr>
          <w:rFonts w:ascii="Arial" w:cs="Arial" w:eastAsia="Arial" w:hAnsi="Arial"/>
          <w:sz w:val="18"/>
          <w:szCs w:val="18"/>
          <w:color w:val="auto"/>
        </w:rPr>
        <w:t>By:</w:t>
        <w:tab/>
        <w:t>/s/ Aaron M. Gurewitz</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Name: Aaron M. Gurewitz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-130810</wp:posOffset>
            </wp:positionV>
            <wp:extent cx="333629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Title: Head of Equity Capital Markets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the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6820" w:type="dxa"/>
            <w:vAlign w:val="bottom"/>
            <w:gridSpan w:val="3"/>
          </w:tcPr>
          <w:p>
            <w:pPr>
              <w:ind w:left="5180"/>
              <w:spacing w:after="0"/>
              <w:rPr>
                <w:sz w:val="20"/>
                <w:szCs w:val="20"/>
                <w:color w:val="auto"/>
              </w:rPr>
            </w:pPr>
            <w:r>
              <w:rPr>
                <w:rFonts w:ascii="Arial" w:cs="Arial" w:eastAsia="Arial" w:hAnsi="Arial"/>
                <w:sz w:val="18"/>
                <w:szCs w:val="18"/>
                <w:color w:val="auto"/>
              </w:rPr>
              <w:t>SCHEDULE I</w:t>
            </w:r>
          </w:p>
        </w:tc>
        <w:tc>
          <w:tcPr>
            <w:tcW w:w="4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4"/>
        </w:trPr>
        <w:tc>
          <w:tcPr>
            <w:tcW w:w="2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580" w:type="dxa"/>
            <w:vAlign w:val="bottom"/>
            <w:gridSpan w:val="2"/>
          </w:tcPr>
          <w:p>
            <w:pPr>
              <w:ind w:left="620"/>
              <w:spacing w:after="0"/>
              <w:rPr>
                <w:sz w:val="20"/>
                <w:szCs w:val="20"/>
                <w:color w:val="auto"/>
              </w:rPr>
            </w:pPr>
            <w:r>
              <w:rPr>
                <w:rFonts w:ascii="Arial" w:cs="Arial" w:eastAsia="Arial" w:hAnsi="Arial"/>
                <w:sz w:val="18"/>
                <w:szCs w:val="18"/>
                <w:color w:val="auto"/>
              </w:rPr>
              <w:t>Number of Firm Shares to Be</w:t>
            </w:r>
          </w:p>
        </w:tc>
        <w:tc>
          <w:tcPr>
            <w:tcW w:w="0" w:type="dxa"/>
            <w:vAlign w:val="bottom"/>
          </w:tcPr>
          <w:p>
            <w:pPr>
              <w:spacing w:after="0"/>
              <w:rPr>
                <w:sz w:val="1"/>
                <w:szCs w:val="1"/>
                <w:color w:val="auto"/>
              </w:rPr>
            </w:pPr>
          </w:p>
        </w:tc>
      </w:tr>
      <w:tr>
        <w:trPr>
          <w:trHeight w:val="230"/>
        </w:trPr>
        <w:tc>
          <w:tcPr>
            <w:tcW w:w="6840" w:type="dxa"/>
            <w:vAlign w:val="bottom"/>
            <w:gridSpan w:val="4"/>
          </w:tcPr>
          <w:p>
            <w:pPr>
              <w:spacing w:after="0"/>
              <w:rPr>
                <w:sz w:val="20"/>
                <w:szCs w:val="20"/>
                <w:color w:val="auto"/>
              </w:rPr>
            </w:pPr>
            <w:r>
              <w:rPr>
                <w:rFonts w:ascii="Arial" w:cs="Arial" w:eastAsia="Arial" w:hAnsi="Arial"/>
                <w:sz w:val="18"/>
                <w:szCs w:val="18"/>
                <w:color w:val="auto"/>
              </w:rPr>
              <w:t>Name</w:t>
            </w:r>
          </w:p>
        </w:tc>
        <w:tc>
          <w:tcPr>
            <w:tcW w:w="4580" w:type="dxa"/>
            <w:vAlign w:val="bottom"/>
            <w:gridSpan w:val="2"/>
          </w:tcPr>
          <w:p>
            <w:pPr>
              <w:ind w:left="600"/>
              <w:spacing w:after="0"/>
              <w:rPr>
                <w:sz w:val="20"/>
                <w:szCs w:val="20"/>
                <w:color w:val="auto"/>
              </w:rPr>
            </w:pPr>
            <w:r>
              <w:rPr>
                <w:rFonts w:ascii="Arial" w:cs="Arial" w:eastAsia="Arial" w:hAnsi="Arial"/>
                <w:sz w:val="18"/>
                <w:szCs w:val="18"/>
                <w:color w:val="auto"/>
              </w:rPr>
              <w:t>Purchased From the Company</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44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Roth Capital Partners, LLC</w:t>
            </w:r>
          </w:p>
        </w:tc>
        <w:tc>
          <w:tcPr>
            <w:tcW w:w="4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44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3"/>
            <w:shd w:val="clear" w:color="auto" w:fill="CCEEFF"/>
          </w:tcPr>
          <w:p>
            <w:pPr>
              <w:ind w:left="5160"/>
              <w:spacing w:after="0"/>
              <w:rPr>
                <w:sz w:val="20"/>
                <w:szCs w:val="20"/>
                <w:color w:val="auto"/>
              </w:rPr>
            </w:pPr>
            <w:r>
              <w:rPr>
                <w:rFonts w:ascii="Arial" w:cs="Arial" w:eastAsia="Arial" w:hAnsi="Arial"/>
                <w:sz w:val="18"/>
                <w:szCs w:val="18"/>
                <w:color w:val="auto"/>
              </w:rPr>
              <w:t>Total</w:t>
            </w:r>
          </w:p>
        </w:tc>
        <w:tc>
          <w:tcPr>
            <w:tcW w:w="4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S-I-1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5" w:name="page36"/>
    <w:bookmarkEnd w:id="35"/>
    <w:p>
      <w:pPr>
        <w:ind w:left="5160"/>
        <w:spacing w:after="0"/>
        <w:rPr>
          <w:sz w:val="20"/>
          <w:szCs w:val="20"/>
          <w:color w:val="auto"/>
        </w:rPr>
      </w:pPr>
      <w:r>
        <w:rPr>
          <w:rFonts w:ascii="Arial" w:cs="Arial" w:eastAsia="Arial" w:hAnsi="Arial"/>
          <w:sz w:val="17"/>
          <w:szCs w:val="17"/>
          <w:color w:val="auto"/>
        </w:rPr>
        <w:t>SCHEDULE II</w:t>
      </w: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Issuer Free Writing Prospectuses included in the General Disclosure Package</w:t>
      </w:r>
      <w:r>
        <w:rPr>
          <w:rFonts w:ascii="Arial" w:cs="Arial" w:eastAsia="Arial" w:hAnsi="Arial"/>
          <w:sz w:val="16"/>
          <w:szCs w:val="16"/>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Free Writing Prospectus dated July 26, 2017 (Press Release)</w:t>
      </w:r>
    </w:p>
    <w:p>
      <w:pPr>
        <w:spacing w:after="0" w:line="200" w:lineRule="exact"/>
        <w:rPr>
          <w:sz w:val="20"/>
          <w:szCs w:val="20"/>
          <w:color w:val="auto"/>
        </w:rPr>
      </w:pPr>
    </w:p>
    <w:p>
      <w:pPr>
        <w:spacing w:after="0" w:line="234" w:lineRule="exact"/>
        <w:rPr>
          <w:sz w:val="20"/>
          <w:szCs w:val="20"/>
          <w:color w:val="auto"/>
        </w:rPr>
      </w:pPr>
    </w:p>
    <w:p>
      <w:pPr>
        <w:ind w:left="5420"/>
        <w:spacing w:after="0"/>
        <w:rPr>
          <w:sz w:val="20"/>
          <w:szCs w:val="20"/>
          <w:color w:val="auto"/>
        </w:rPr>
      </w:pPr>
      <w:r>
        <w:rPr>
          <w:rFonts w:ascii="Arial" w:cs="Arial" w:eastAsia="Arial" w:hAnsi="Arial"/>
          <w:sz w:val="22"/>
          <w:szCs w:val="22"/>
          <w:color w:val="auto"/>
        </w:rPr>
        <w:t>S-II-1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8" w:right="1440" w:bottom="1440" w:gutter="0" w:footer="0" w:header="0"/>
        </w:sectPr>
      </w:pPr>
    </w:p>
    <w:bookmarkStart w:id="36" w:name="page37"/>
    <w:bookmarkEnd w:id="36"/>
    <w:p>
      <w:pPr>
        <w:jc w:val="right"/>
        <w:ind w:right="3919"/>
        <w:spacing w:after="0"/>
        <w:rPr>
          <w:sz w:val="20"/>
          <w:szCs w:val="20"/>
          <w:color w:val="auto"/>
        </w:rPr>
      </w:pPr>
      <w:r>
        <w:rPr>
          <w:rFonts w:ascii="Arial" w:cs="Arial" w:eastAsia="Arial" w:hAnsi="Arial"/>
          <w:sz w:val="18"/>
          <w:szCs w:val="18"/>
          <w:color w:val="auto"/>
        </w:rPr>
        <w:t>SCHEDULE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Lock-up Signatories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Andrew D. Perlman</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Anastasia Nyrkovskaya</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Jason Charkow</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Edward Jankowski</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John Engelman</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Donald E. Stout</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Salvatore Giardina</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Bruce T. Bernstein</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Richard K. Abbe</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Andrew R. Heyer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Mistral Spa Holdings, LLC</w:t>
      </w:r>
    </w:p>
    <w:p>
      <w:pPr>
        <w:spacing w:after="0" w:line="200" w:lineRule="exact"/>
        <w:rPr>
          <w:sz w:val="20"/>
          <w:szCs w:val="20"/>
          <w:color w:val="auto"/>
        </w:rPr>
      </w:pPr>
    </w:p>
    <w:p>
      <w:pPr>
        <w:spacing w:after="0" w:line="220" w:lineRule="exact"/>
        <w:rPr>
          <w:sz w:val="20"/>
          <w:szCs w:val="20"/>
          <w:color w:val="auto"/>
        </w:rPr>
      </w:pPr>
    </w:p>
    <w:p>
      <w:pPr>
        <w:ind w:left="5400"/>
        <w:spacing w:after="0"/>
        <w:rPr>
          <w:sz w:val="20"/>
          <w:szCs w:val="20"/>
          <w:color w:val="auto"/>
        </w:rPr>
      </w:pPr>
      <w:r>
        <w:rPr>
          <w:rFonts w:ascii="Arial" w:cs="Arial" w:eastAsia="Arial" w:hAnsi="Arial"/>
          <w:sz w:val="22"/>
          <w:szCs w:val="22"/>
          <w:color w:val="auto"/>
        </w:rPr>
        <w:t>S-III-1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8" w:right="1440" w:bottom="1440" w:gutter="0" w:footer="0" w:header="0"/>
        </w:sectPr>
      </w:pPr>
    </w:p>
    <w:bookmarkStart w:id="37" w:name="page38"/>
    <w:bookmarkEnd w:id="37"/>
    <w:p>
      <w:pPr>
        <w:jc w:val="right"/>
        <w:spacing w:after="0"/>
        <w:rPr>
          <w:sz w:val="20"/>
          <w:szCs w:val="20"/>
          <w:color w:val="auto"/>
        </w:rPr>
      </w:pPr>
      <w:r>
        <w:rPr>
          <w:rFonts w:ascii="Arial" w:cs="Arial" w:eastAsia="Arial" w:hAnsi="Arial"/>
          <w:sz w:val="22"/>
          <w:szCs w:val="22"/>
          <w:b w:val="1"/>
          <w:bCs w:val="1"/>
          <w:color w:val="auto"/>
        </w:rPr>
        <w:t>Exhibit 5.1</w:t>
      </w:r>
    </w:p>
    <w:p>
      <w:pPr>
        <w:spacing w:after="0" w:line="215" w:lineRule="exact"/>
        <w:rPr>
          <w:sz w:val="20"/>
          <w:szCs w:val="20"/>
          <w:color w:val="auto"/>
        </w:rPr>
      </w:pPr>
    </w:p>
    <w:p>
      <w:pPr>
        <w:jc w:val="right"/>
        <w:ind w:right="100"/>
        <w:spacing w:after="0"/>
        <w:rPr>
          <w:sz w:val="20"/>
          <w:szCs w:val="20"/>
          <w:color w:val="auto"/>
        </w:rPr>
      </w:pPr>
      <w:r>
        <w:rPr>
          <w:rFonts w:ascii="Arial" w:cs="Arial" w:eastAsia="Arial" w:hAnsi="Arial"/>
          <w:sz w:val="14"/>
          <w:szCs w:val="14"/>
          <w:color w:val="auto"/>
        </w:rPr>
        <w:t>Chrysler Center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1861185" cy="3600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861185" cy="360045"/>
                    </a:xfrm>
                    <a:prstGeom prst="rect">
                      <a:avLst/>
                    </a:prstGeom>
                    <a:noFill/>
                  </pic:spPr>
                </pic:pic>
              </a:graphicData>
            </a:graphic>
          </wp:anchor>
        </w:drawing>
      </w:r>
    </w:p>
    <w:p>
      <w:pPr>
        <w:jc w:val="right"/>
        <w:ind w:right="100"/>
        <w:spacing w:after="0" w:line="221" w:lineRule="auto"/>
        <w:rPr>
          <w:sz w:val="20"/>
          <w:szCs w:val="20"/>
          <w:color w:val="auto"/>
        </w:rPr>
      </w:pPr>
      <w:r>
        <w:rPr>
          <w:rFonts w:ascii="Arial" w:cs="Arial" w:eastAsia="Arial" w:hAnsi="Arial"/>
          <w:sz w:val="14"/>
          <w:szCs w:val="14"/>
          <w:color w:val="auto"/>
        </w:rPr>
        <w:t>666 Third Avenue</w:t>
      </w:r>
    </w:p>
    <w:p>
      <w:pPr>
        <w:jc w:val="right"/>
        <w:ind w:right="100"/>
        <w:spacing w:after="0" w:line="221" w:lineRule="auto"/>
        <w:rPr>
          <w:sz w:val="20"/>
          <w:szCs w:val="20"/>
          <w:color w:val="auto"/>
        </w:rPr>
      </w:pPr>
      <w:r>
        <w:rPr>
          <w:rFonts w:ascii="Arial" w:cs="Arial" w:eastAsia="Arial" w:hAnsi="Arial"/>
          <w:sz w:val="14"/>
          <w:szCs w:val="14"/>
          <w:color w:val="auto"/>
        </w:rPr>
        <w:t>New York, NY 10017</w:t>
      </w:r>
    </w:p>
    <w:p>
      <w:pPr>
        <w:jc w:val="right"/>
        <w:ind w:right="100"/>
        <w:spacing w:after="0" w:line="222" w:lineRule="auto"/>
        <w:rPr>
          <w:sz w:val="20"/>
          <w:szCs w:val="20"/>
          <w:color w:val="auto"/>
        </w:rPr>
      </w:pPr>
      <w:r>
        <w:rPr>
          <w:rFonts w:ascii="Arial" w:cs="Arial" w:eastAsia="Arial" w:hAnsi="Arial"/>
          <w:sz w:val="14"/>
          <w:szCs w:val="14"/>
          <w:color w:val="auto"/>
        </w:rPr>
        <w:t>212-935-3000</w:t>
      </w:r>
    </w:p>
    <w:p>
      <w:pPr>
        <w:jc w:val="right"/>
        <w:ind w:right="100"/>
        <w:spacing w:after="0" w:line="221" w:lineRule="auto"/>
        <w:rPr>
          <w:sz w:val="20"/>
          <w:szCs w:val="20"/>
          <w:color w:val="auto"/>
        </w:rPr>
      </w:pPr>
      <w:r>
        <w:rPr>
          <w:rFonts w:ascii="Arial" w:cs="Arial" w:eastAsia="Arial" w:hAnsi="Arial"/>
          <w:sz w:val="14"/>
          <w:szCs w:val="14"/>
          <w:color w:val="auto"/>
        </w:rPr>
        <w:t>212-983-3115 fax</w:t>
      </w:r>
    </w:p>
    <w:p>
      <w:pPr>
        <w:spacing w:after="0" w:line="1" w:lineRule="exact"/>
        <w:rPr>
          <w:sz w:val="20"/>
          <w:szCs w:val="20"/>
          <w:color w:val="auto"/>
        </w:rPr>
      </w:pPr>
    </w:p>
    <w:p>
      <w:pPr>
        <w:jc w:val="right"/>
        <w:ind w:right="100"/>
        <w:spacing w:after="0"/>
        <w:rPr>
          <w:sz w:val="20"/>
          <w:szCs w:val="20"/>
          <w:color w:val="auto"/>
        </w:rPr>
      </w:pPr>
      <w:r>
        <w:rPr>
          <w:rFonts w:ascii="Arial" w:cs="Arial" w:eastAsia="Arial" w:hAnsi="Arial"/>
          <w:sz w:val="14"/>
          <w:szCs w:val="14"/>
          <w:color w:val="auto"/>
        </w:rPr>
        <w:t>www.mintz.com</w:t>
      </w:r>
    </w:p>
    <w:p>
      <w:pPr>
        <w:spacing w:after="0" w:line="196" w:lineRule="exact"/>
        <w:rPr>
          <w:sz w:val="20"/>
          <w:szCs w:val="20"/>
          <w:color w:val="auto"/>
        </w:rPr>
      </w:pPr>
    </w:p>
    <w:p>
      <w:pPr>
        <w:ind w:left="9140"/>
        <w:spacing w:after="0"/>
        <w:rPr>
          <w:sz w:val="20"/>
          <w:szCs w:val="20"/>
          <w:color w:val="auto"/>
        </w:rPr>
      </w:pPr>
      <w:r>
        <w:rPr>
          <w:rFonts w:ascii="Arial" w:cs="Arial" w:eastAsia="Arial" w:hAnsi="Arial"/>
          <w:sz w:val="18"/>
          <w:szCs w:val="18"/>
          <w:color w:val="auto"/>
        </w:rPr>
        <w:t>July 26,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FORM Holdings Corp.</w:t>
      </w:r>
    </w:p>
    <w:p>
      <w:pPr>
        <w:spacing w:after="0" w:line="195" w:lineRule="auto"/>
        <w:rPr>
          <w:sz w:val="20"/>
          <w:szCs w:val="20"/>
          <w:color w:val="auto"/>
        </w:rPr>
      </w:pPr>
      <w:r>
        <w:rPr>
          <w:rFonts w:ascii="Arial" w:cs="Arial" w:eastAsia="Arial" w:hAnsi="Arial"/>
          <w:sz w:val="18"/>
          <w:szCs w:val="18"/>
          <w:color w:val="auto"/>
        </w:rPr>
        <w:t>780 Third Avenue, 12</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10017</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have acted as legal counsel to FORM Holdings Corp., a Delaware corporation (the “Company”), in connection with the preparation and filing with the Securities and Exchange Commission (the “Commission”) of a Prospectus Supplement, dated July 26, 2017 (the “Prospectus Supplement”), to a Registration Statement (File No. 333-205303) on Form S-3 (the “Registration Statement”), filed by the Company with the Commission under the Securities Act of 1933, as amended (the “Securities Act”). The Prospectus Supplement relates to the sale of an aggregate of 6,900,000 shares (the “Shares”) of the Company’s common stock, $0.01 par value per share (the “Common Stock”), including 900,000 shares subject to the underwriters’ option to purchase additional shares, to Roth Capital Partners, LLC, as representative of the underwriters (the “Underwriters”), pursuant to an Underwriting Agreement dated July 26, 2017 between the Company and the Underwriters (the “Underwriting Agreement”). The Underwriting Agreement will be filed as an exhibit to a Current Report on Form 8-K and incorporated by reference into the Registration Statement. This opinion is being rendered in connection with the filing of the Prospectus Supplement with the Commission. All capitalized terms used herein and not otherwise defined shall have the respective meanings given to them in the Registration Statement.</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connection with this opinion, we have examined the Company’s Amended and Restated Certificate of Incorporation, as amended, and Second Amended and Restated Bylaws, each as currently in effect, the Registration Statement and the exhibits thereto, the Prospectus Supplement and the Underwriting Agreement and such other records of the corporate proceedings of the Company and certificates of the Company’s officers as we have deemed relevant.</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our examination, we have assumed the genuineness of all signatures, the legal capacity of natural persons, the authenticity of all documents submitted to us as originals, the conformity to original documents of all documents submitted to us as certified or photostatic copies and the authenticity of the originals of such copies.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opinion is limited to the General Corporation Law of the State of Delaware and we express no opinion with respect to the laws of any other jurisdiction. No opinion is expressed herein with respect to the qualification of the Shares under the securities or blue sky laws of any state or any foreign jurisdiction.</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Mintz, Levin, Cohn, Ferris, Glovsky and Popeo, P.C.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w:t>
      </w:r>
      <w:r>
        <w:rPr>
          <w:rFonts w:ascii="Arial" w:cs="Arial" w:eastAsia="Arial" w:hAnsi="Arial"/>
          <w:sz w:val="12"/>
          <w:szCs w:val="12"/>
          <w:color w:val="auto"/>
        </w:rPr>
        <w:t>OSTON</w:t>
      </w:r>
      <w:r>
        <w:rPr>
          <w:rFonts w:ascii="Arial" w:cs="Arial" w:eastAsia="Arial" w:hAnsi="Arial"/>
          <w:sz w:val="18"/>
          <w:szCs w:val="18"/>
          <w:color w:val="auto"/>
        </w:rPr>
        <w:t xml:space="preserve"> | L</w:t>
      </w:r>
      <w:r>
        <w:rPr>
          <w:rFonts w:ascii="Arial" w:cs="Arial" w:eastAsia="Arial" w:hAnsi="Arial"/>
          <w:sz w:val="12"/>
          <w:szCs w:val="12"/>
          <w:color w:val="auto"/>
        </w:rPr>
        <w:t>ONDON</w:t>
      </w:r>
      <w:r>
        <w:rPr>
          <w:rFonts w:ascii="Arial" w:cs="Arial" w:eastAsia="Arial" w:hAnsi="Arial"/>
          <w:sz w:val="18"/>
          <w:szCs w:val="18"/>
          <w:color w:val="auto"/>
        </w:rPr>
        <w:t xml:space="preserve"> | L</w:t>
      </w:r>
      <w:r>
        <w:rPr>
          <w:rFonts w:ascii="Arial" w:cs="Arial" w:eastAsia="Arial" w:hAnsi="Arial"/>
          <w:sz w:val="12"/>
          <w:szCs w:val="12"/>
          <w:color w:val="auto"/>
        </w:rPr>
        <w:t>OS</w:t>
      </w:r>
      <w:r>
        <w:rPr>
          <w:rFonts w:ascii="Arial" w:cs="Arial" w:eastAsia="Arial" w:hAnsi="Arial"/>
          <w:sz w:val="18"/>
          <w:szCs w:val="18"/>
          <w:color w:val="auto"/>
        </w:rPr>
        <w:t xml:space="preserve"> A</w:t>
      </w:r>
      <w:r>
        <w:rPr>
          <w:rFonts w:ascii="Arial" w:cs="Arial" w:eastAsia="Arial" w:hAnsi="Arial"/>
          <w:sz w:val="12"/>
          <w:szCs w:val="12"/>
          <w:color w:val="auto"/>
        </w:rPr>
        <w:t>NGELES</w:t>
      </w:r>
      <w:r>
        <w:rPr>
          <w:rFonts w:ascii="Arial" w:cs="Arial" w:eastAsia="Arial" w:hAnsi="Arial"/>
          <w:sz w:val="18"/>
          <w:szCs w:val="18"/>
          <w:color w:val="auto"/>
        </w:rPr>
        <w:t xml:space="preserve"> | N</w:t>
      </w:r>
      <w:r>
        <w:rPr>
          <w:rFonts w:ascii="Arial" w:cs="Arial" w:eastAsia="Arial" w:hAnsi="Arial"/>
          <w:sz w:val="12"/>
          <w:szCs w:val="12"/>
          <w:color w:val="auto"/>
        </w:rPr>
        <w:t>EW</w:t>
      </w:r>
      <w:r>
        <w:rPr>
          <w:rFonts w:ascii="Arial" w:cs="Arial" w:eastAsia="Arial" w:hAnsi="Arial"/>
          <w:sz w:val="18"/>
          <w:szCs w:val="18"/>
          <w:color w:val="auto"/>
        </w:rPr>
        <w:t xml:space="preserve"> Y</w:t>
      </w:r>
      <w:r>
        <w:rPr>
          <w:rFonts w:ascii="Arial" w:cs="Arial" w:eastAsia="Arial" w:hAnsi="Arial"/>
          <w:sz w:val="12"/>
          <w:szCs w:val="12"/>
          <w:color w:val="auto"/>
        </w:rPr>
        <w:t>ORK</w:t>
      </w:r>
      <w:r>
        <w:rPr>
          <w:rFonts w:ascii="Arial" w:cs="Arial" w:eastAsia="Arial" w:hAnsi="Arial"/>
          <w:sz w:val="18"/>
          <w:szCs w:val="18"/>
          <w:color w:val="auto"/>
        </w:rPr>
        <w:t xml:space="preserve"> | S</w:t>
      </w:r>
      <w:r>
        <w:rPr>
          <w:rFonts w:ascii="Arial" w:cs="Arial" w:eastAsia="Arial" w:hAnsi="Arial"/>
          <w:sz w:val="12"/>
          <w:szCs w:val="12"/>
          <w:color w:val="auto"/>
        </w:rPr>
        <w:t>AN</w:t>
      </w:r>
      <w:r>
        <w:rPr>
          <w:rFonts w:ascii="Arial" w:cs="Arial" w:eastAsia="Arial" w:hAnsi="Arial"/>
          <w:sz w:val="18"/>
          <w:szCs w:val="18"/>
          <w:color w:val="auto"/>
        </w:rPr>
        <w:t xml:space="preserve"> D</w:t>
      </w:r>
      <w:r>
        <w:rPr>
          <w:rFonts w:ascii="Arial" w:cs="Arial" w:eastAsia="Arial" w:hAnsi="Arial"/>
          <w:sz w:val="12"/>
          <w:szCs w:val="12"/>
          <w:color w:val="auto"/>
        </w:rPr>
        <w:t>IEGO</w:t>
      </w:r>
      <w:r>
        <w:rPr>
          <w:rFonts w:ascii="Arial" w:cs="Arial" w:eastAsia="Arial" w:hAnsi="Arial"/>
          <w:sz w:val="18"/>
          <w:szCs w:val="18"/>
          <w:color w:val="auto"/>
        </w:rPr>
        <w:t xml:space="preserve"> | S</w:t>
      </w:r>
      <w:r>
        <w:rPr>
          <w:rFonts w:ascii="Arial" w:cs="Arial" w:eastAsia="Arial" w:hAnsi="Arial"/>
          <w:sz w:val="12"/>
          <w:szCs w:val="12"/>
          <w:color w:val="auto"/>
        </w:rPr>
        <w:t>AN</w:t>
      </w:r>
      <w:r>
        <w:rPr>
          <w:rFonts w:ascii="Arial" w:cs="Arial" w:eastAsia="Arial" w:hAnsi="Arial"/>
          <w:sz w:val="18"/>
          <w:szCs w:val="18"/>
          <w:color w:val="auto"/>
        </w:rPr>
        <w:t xml:space="preserve"> F</w:t>
      </w:r>
      <w:r>
        <w:rPr>
          <w:rFonts w:ascii="Arial" w:cs="Arial" w:eastAsia="Arial" w:hAnsi="Arial"/>
          <w:sz w:val="12"/>
          <w:szCs w:val="12"/>
          <w:color w:val="auto"/>
        </w:rPr>
        <w:t>RANCISCO</w:t>
      </w:r>
      <w:r>
        <w:rPr>
          <w:rFonts w:ascii="Arial" w:cs="Arial" w:eastAsia="Arial" w:hAnsi="Arial"/>
          <w:sz w:val="18"/>
          <w:szCs w:val="18"/>
          <w:color w:val="auto"/>
        </w:rPr>
        <w:t xml:space="preserve"> | S</w:t>
      </w:r>
      <w:r>
        <w:rPr>
          <w:rFonts w:ascii="Arial" w:cs="Arial" w:eastAsia="Arial" w:hAnsi="Arial"/>
          <w:sz w:val="12"/>
          <w:szCs w:val="12"/>
          <w:color w:val="auto"/>
        </w:rPr>
        <w:t>TAMFORD</w:t>
      </w:r>
      <w:r>
        <w:rPr>
          <w:rFonts w:ascii="Arial" w:cs="Arial" w:eastAsia="Arial" w:hAnsi="Arial"/>
          <w:sz w:val="18"/>
          <w:szCs w:val="18"/>
          <w:color w:val="auto"/>
        </w:rPr>
        <w:t xml:space="preserve"> | W</w:t>
      </w:r>
      <w:r>
        <w:rPr>
          <w:rFonts w:ascii="Arial" w:cs="Arial" w:eastAsia="Arial" w:hAnsi="Arial"/>
          <w:sz w:val="12"/>
          <w:szCs w:val="12"/>
          <w:color w:val="auto"/>
        </w:rPr>
        <w:t>ASHINGTON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38" w:name="page39"/>
    <w:bookmarkEnd w:id="38"/>
    <w:p>
      <w:pPr>
        <w:spacing w:after="0"/>
        <w:rPr>
          <w:sz w:val="20"/>
          <w:szCs w:val="20"/>
          <w:color w:val="auto"/>
        </w:rPr>
      </w:pPr>
      <w:r>
        <w:rPr>
          <w:rFonts w:ascii="Arial" w:cs="Arial" w:eastAsia="Arial" w:hAnsi="Arial"/>
          <w:sz w:val="14"/>
          <w:szCs w:val="14"/>
          <w:color w:val="auto"/>
        </w:rPr>
        <w:t>M</w:t>
      </w:r>
      <w:r>
        <w:rPr>
          <w:rFonts w:ascii="Arial" w:cs="Arial" w:eastAsia="Arial" w:hAnsi="Arial"/>
          <w:sz w:val="9"/>
          <w:szCs w:val="9"/>
          <w:color w:val="auto"/>
        </w:rPr>
        <w:t>INTZ</w:t>
      </w:r>
      <w:r>
        <w:rPr>
          <w:rFonts w:ascii="Arial" w:cs="Arial" w:eastAsia="Arial" w:hAnsi="Arial"/>
          <w:sz w:val="14"/>
          <w:szCs w:val="14"/>
          <w:color w:val="auto"/>
        </w:rPr>
        <w:t>, L</w:t>
      </w:r>
      <w:r>
        <w:rPr>
          <w:rFonts w:ascii="Arial" w:cs="Arial" w:eastAsia="Arial" w:hAnsi="Arial"/>
          <w:sz w:val="9"/>
          <w:szCs w:val="9"/>
          <w:color w:val="auto"/>
        </w:rPr>
        <w:t>EVIN</w:t>
      </w:r>
      <w:r>
        <w:rPr>
          <w:rFonts w:ascii="Arial" w:cs="Arial" w:eastAsia="Arial" w:hAnsi="Arial"/>
          <w:sz w:val="14"/>
          <w:szCs w:val="14"/>
          <w:color w:val="auto"/>
        </w:rPr>
        <w:t>, C</w:t>
      </w:r>
      <w:r>
        <w:rPr>
          <w:rFonts w:ascii="Arial" w:cs="Arial" w:eastAsia="Arial" w:hAnsi="Arial"/>
          <w:sz w:val="9"/>
          <w:szCs w:val="9"/>
          <w:color w:val="auto"/>
        </w:rPr>
        <w:t>OHN</w:t>
      </w:r>
      <w:r>
        <w:rPr>
          <w:rFonts w:ascii="Arial" w:cs="Arial" w:eastAsia="Arial" w:hAnsi="Arial"/>
          <w:sz w:val="14"/>
          <w:szCs w:val="14"/>
          <w:color w:val="auto"/>
        </w:rPr>
        <w:t>, F</w:t>
      </w:r>
      <w:r>
        <w:rPr>
          <w:rFonts w:ascii="Arial" w:cs="Arial" w:eastAsia="Arial" w:hAnsi="Arial"/>
          <w:sz w:val="9"/>
          <w:szCs w:val="9"/>
          <w:color w:val="auto"/>
        </w:rPr>
        <w:t>ERRIS</w:t>
      </w:r>
      <w:r>
        <w:rPr>
          <w:rFonts w:ascii="Arial" w:cs="Arial" w:eastAsia="Arial" w:hAnsi="Arial"/>
          <w:sz w:val="14"/>
          <w:szCs w:val="14"/>
          <w:color w:val="auto"/>
        </w:rPr>
        <w:t>, G</w:t>
      </w:r>
      <w:r>
        <w:rPr>
          <w:rFonts w:ascii="Arial" w:cs="Arial" w:eastAsia="Arial" w:hAnsi="Arial"/>
          <w:sz w:val="9"/>
          <w:szCs w:val="9"/>
          <w:color w:val="auto"/>
        </w:rPr>
        <w:t>LOVSKY AND</w:t>
      </w:r>
      <w:r>
        <w:rPr>
          <w:rFonts w:ascii="Arial" w:cs="Arial" w:eastAsia="Arial" w:hAnsi="Arial"/>
          <w:sz w:val="14"/>
          <w:szCs w:val="14"/>
          <w:color w:val="auto"/>
        </w:rPr>
        <w:t xml:space="preserve"> P</w:t>
      </w:r>
      <w:r>
        <w:rPr>
          <w:rFonts w:ascii="Arial" w:cs="Arial" w:eastAsia="Arial" w:hAnsi="Arial"/>
          <w:sz w:val="9"/>
          <w:szCs w:val="9"/>
          <w:color w:val="auto"/>
        </w:rPr>
        <w:t>OPEO</w:t>
      </w:r>
      <w:r>
        <w:rPr>
          <w:rFonts w:ascii="Arial" w:cs="Arial" w:eastAsia="Arial" w:hAnsi="Arial"/>
          <w:sz w:val="14"/>
          <w:szCs w:val="14"/>
          <w:color w:val="auto"/>
        </w:rPr>
        <w:t>, P.C.</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July 26, 2017</w:t>
      </w:r>
    </w:p>
    <w:p>
      <w:pPr>
        <w:spacing w:after="0"/>
        <w:rPr>
          <w:sz w:val="20"/>
          <w:szCs w:val="20"/>
          <w:color w:val="auto"/>
        </w:rPr>
      </w:pPr>
      <w:r>
        <w:rPr>
          <w:rFonts w:ascii="Arial" w:cs="Arial" w:eastAsia="Arial" w:hAnsi="Arial"/>
          <w:sz w:val="14"/>
          <w:szCs w:val="14"/>
          <w:color w:val="auto"/>
        </w:rPr>
        <w:t>Page 2</w:t>
      </w:r>
    </w:p>
    <w:p>
      <w:pPr>
        <w:spacing w:after="0" w:line="19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Please note that we are opining only as to the matters expressly set forth herein, and no opinion should be inferred as to any other matters. This opinion is based upon currently existing statutes, rules, regulations and judicial decisions, and we disclaim any obligation to advise you of any change in any of these sources of law or subsequent legal or factual developments which might affect any matters or opinions set forth herein.</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Based upon the foregoing, we are of the opinion that the Shares, when issued and sold in accordance with the Underwriting Agreement and the Prospectus Supplement, will be validly issued, fully paid and non-assessable.</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understand that you wish to file this opinion with the Commission as an exhibit to a Current Report on Form 8-K for incorporation by reference into the Registration Statement in accordance with the requirements of Item 601(b)(5) of Regulation S-K promulgated under the Securities Act and to reference the firm’s name under the caption “Legal Matters” in the Prospectus Supplement, and we hereby consent thereto. In giving this consent, we do not admit that we are within the category of persons whose consent is required under Section 7 of the Securities Act or the rules and regulations of the Commission promulgated thereunder.</w:t>
      </w:r>
    </w:p>
    <w:p>
      <w:pPr>
        <w:spacing w:after="0" w:line="200" w:lineRule="exact"/>
        <w:rPr>
          <w:sz w:val="20"/>
          <w:szCs w:val="20"/>
          <w:color w:val="auto"/>
        </w:rPr>
      </w:pPr>
    </w:p>
    <w:p>
      <w:pPr>
        <w:spacing w:after="0" w:line="20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u w:val="single" w:color="auto"/>
          <w:color w:val="auto"/>
        </w:rPr>
        <w:t>/s/ Mintz, Levin, Cohn, Ferris,</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Glovsky and Popeo, P.C.</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Mintz, Levin, Cohn, Ferris,</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Glovsky and Popeo, 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22"/>
          <w:szCs w:val="22"/>
          <w:b w:val="1"/>
          <w:bCs w:val="1"/>
          <w:color w:val="auto"/>
        </w:rPr>
        <w:t>Exhibit 99.1</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HOLDINGS ANNOUNCES PROPOSED PUBLIC OFFERING</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COMMON STOCK</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NEW YORK – July 25, 2017 – FORM Holdings Corp. (“FORM”) (NASDAQ: FH), a diversified holding company, today announced that it intends to offer shares of its common stock in an underwritten public offering. FORM intends to grant the underwriter an option to purchase an additional 15% of the shares sold in the offering. All shares in the offering are being offered by FORM. The offering is subject to market conditions and there can be no assurance as to whether the offering may be completed, or as to the actual size or terms of the offering.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Roth Capital Partners will act as the sole manager for the offering.</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FORM intends to use the net proceeds from this offering for capital expenditures associated with opening new XpresSpa locations and general corporate purposes.</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The shares described above are being offered by FORM pursuant to a shelf registration statement on Form S-3 previously filed with and declared effective by the Securities and Exchange Commission (“SEC”) on July 23, 2015. The securities may be offered only by means of a prospectus and a prospectus supplement that form a part of the registration statement. A preliminary prospectus supplement and accompanying base prospectus related to the offering will be filed with the SEC and will be available on the SEC’s website at </w:t>
      </w:r>
      <w:r>
        <w:rPr>
          <w:rFonts w:ascii="Arial" w:cs="Arial" w:eastAsia="Arial" w:hAnsi="Arial"/>
          <w:sz w:val="17"/>
          <w:szCs w:val="17"/>
          <w:u w:val="single" w:color="auto"/>
          <w:color w:val="auto"/>
        </w:rPr>
        <w:t>www.sec.gov</w:t>
      </w:r>
      <w:r>
        <w:rPr>
          <w:rFonts w:ascii="Arial" w:cs="Arial" w:eastAsia="Arial" w:hAnsi="Arial"/>
          <w:sz w:val="17"/>
          <w:szCs w:val="17"/>
          <w:color w:val="auto"/>
        </w:rPr>
        <w:t xml:space="preserve">. Copies of the preliminary prospectus supplement, when available, and accompanying base prospectus may be obtained from Roth Capital Partners, Attention: Equity Capital Markets, 888 San Clemente Drive, Suite 400, Newport Beach, California 92660, by telephone at (800) 678-9147 or e-mail at </w:t>
      </w:r>
      <w:r>
        <w:rPr>
          <w:rFonts w:ascii="Arial" w:cs="Arial" w:eastAsia="Arial" w:hAnsi="Arial"/>
          <w:sz w:val="17"/>
          <w:szCs w:val="17"/>
          <w:u w:val="single" w:color="auto"/>
          <w:color w:val="auto"/>
        </w:rPr>
        <w:t>rothecm@roth.com</w:t>
      </w:r>
      <w:r>
        <w:rPr>
          <w:rFonts w:ascii="Arial" w:cs="Arial" w:eastAsia="Arial" w:hAnsi="Arial"/>
          <w:sz w:val="17"/>
          <w:szCs w:val="17"/>
          <w:color w:val="auto"/>
        </w:rPr>
        <w:t>.</w:t>
      </w:r>
    </w:p>
    <w:p>
      <w:pPr>
        <w:spacing w:after="0" w:line="17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This press release shall not constitute an offer to sell or the solicitation of an offer to buy any securities described herein, nor shall there be any sale of the securities in any state or jurisdiction in which such offer, solicitation or sale would be unlawful prior to registration or qualification under the securities laws of any such state or jurisdiction.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FORM Holdings Corp.</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FORM Holdings Corp. (NASDAQ: FH) is a publicly held diversified holding company that specializes in identifying, investing in and developing companies with superior growth potential. FORM's current holdings include XpresSpa, Group Mobile, FLI Charge, InfoMedia and intellectual property assets. XpresSpa is the world's largest airport spa company with 52 locations across 23 major airports. Group Mobile is a provider of rugged hardware and software solutions, including laptops, tablets, and mobile printers, as well as installation and deployment services. FLI Charge designs, develops, licenses, manufactures and markets wireless conductive power and charging solutions. InfoMedia is a leading provider of customer relationship management and monetization technologies to mobile carriers and device manufacturers. FORM's intellectual property division is engaged in the monetization of patents related to content and ad delivery, remote monitoring and mobile technologies.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229"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This press release includes forward-looking statements, which may be identified by words such as "believes," "expects," "anticipates," "estimates," "projects," "intends," "should," "seeks," "future," "continuez," or the negative of such terms, or other comparable terminology. Forward-looking statements are statements that are not historical facts. Such forward-looking statements are subject to risks and uncertainties, which could cause actual results to differ materially from the forward-looking statements contained herein. The forward looking statements in this press release, including with respect to the proposed offering and the intended use of the proceeds of the offering, constitute forward-looking statements within the meaning of the Private Securities Litigation Reform Act of 1995. There are a number of important factors that could cause actual results or events to differ materially from those indicated by such forward-looking statements, including, but not limited to: the impact of our business and asset acquisitions on our operations and operating results including our ability to realize the expected value and benefits of such acquisitions; our ability to develop and introduce new products and/or develop intellectual property; our ability to protect and maintain our intellectual property rights; our ability to raise additional capital to fund our operations and business plan and the effects that such financing may have on the value of the equity instruments held by our stockholders; our ability to retain key members of our management team; general economic conditions and level of consumer and corporate spending on technology, consumer electronics, health and wellness, and travel; our ability to hire a skilled labor force and the costs associated with that labor; our ability to secure new locations, maintain existing ones, and ensure continued customer traffic at those locations; our ability to protect our customers’ financial data and other personal information; the loss of one or more of our significant suppliers or vendors; unexpected trends in the travel, health and wellness, mobile phone, telecom computing, and consumer electronics industries and potential technology and service obsolescence; market acceptance, quality, pricing, availability and useful life of our products and/or services, as well as the mix of our products and services sold; lawsuits, claims, and investigations that may be filed against us and other events that may adversely affect our reputation; our ability to license and monetize our patents, including litigation outcomes; and competitive conditions within our industries; and other risks and uncertainties and other factors discussed from time to time in our filings with the Securities and Exchange Commission ("SEC"), including FORM's Annual Report on Form 10-K for the year ended December 31, 2016 filed with the SEC on March 30, 2017, as amended on May 1, 2017, and FORM’s Quarterly Report on Form 10-Q for the three months ended March 31, 2017, filed with the SEC on May 15, 2017. FORM expressly disclaims any obligation to publicly update any forward-looking statements contained herein, whether as a result of new information, future events or otherwise, except as required by law.</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FORM Holdings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212-309-7549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info@FORMHoldings.com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22"/>
          <w:szCs w:val="22"/>
          <w:b w:val="1"/>
          <w:bCs w:val="1"/>
          <w:color w:val="auto"/>
        </w:rPr>
        <w:t>Exhibit 99.2</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HOLDINGS PRICES PUBLIC OFFERING</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COMMON STOCK</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NEW YORK – July 26, 2017 – FORM Holdings Corp. (“FORM”) (NASDAQ: FH), a diversified holding company, today announced the pricing of an underwritten public offering of 6,000,000 shares of its common stock at a public offering price of $1.10 per share.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offering is expected to close on July 31, 2017, subject to customary closing conditions. FORM has granted the underwriter a 30-day option to purchase up to an additional 900,000 shares of common stock to cover over-allotments, if 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Roth Capital Partners is acting as the sole manager for the offering.</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gross proceeds of the offering are expected to be approximately $6.6 million, before deducting underwriting discounts and commissions and other estimated offering expenses. If the over-allotment option is exercised in full, gross proceeds of the offering, before deducting underwriting discounts and commissions and other estimated offering expenses, are expected to be approximately $7.6 million. FORM intends to use the net proceeds from this offering for capital expenditures associated with opening new XpresSpa locations and general corporate purposes.</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The shares described above are being offered by FORM pursuant to a shelf registration statement on Form S-3 previously filed with and declared effective by the Securities and Exchange Commission (“SEC”) on July 23, 2015. The offering is being made only by means of a prospectus and prospectus supplement that form a part of the registration statement. A preliminary prospectus supplement and accompanying base prospectus related to the offering has been filed with the SEC and is available on the SEC’s website at </w:t>
      </w:r>
      <w:r>
        <w:rPr>
          <w:rFonts w:ascii="Arial" w:cs="Arial" w:eastAsia="Arial" w:hAnsi="Arial"/>
          <w:sz w:val="17"/>
          <w:szCs w:val="17"/>
          <w:u w:val="single" w:color="auto"/>
          <w:color w:val="auto"/>
        </w:rPr>
        <w:t>www.sec.gov</w:t>
      </w:r>
      <w:r>
        <w:rPr>
          <w:rFonts w:ascii="Arial" w:cs="Arial" w:eastAsia="Arial" w:hAnsi="Arial"/>
          <w:sz w:val="17"/>
          <w:szCs w:val="17"/>
          <w:color w:val="auto"/>
        </w:rPr>
        <w:t xml:space="preserve">. Copies of the preliminary prospectus supplement and accompanying base prospectus may be obtained from Roth Capital Partners, Attention: Equity Capital Markets, 888 San Clemente Drive, Suite 400, Newport Beach, California 92660, by telephone at (800) 678-9147, or e-mail at </w:t>
      </w:r>
      <w:r>
        <w:rPr>
          <w:rFonts w:ascii="Arial" w:cs="Arial" w:eastAsia="Arial" w:hAnsi="Arial"/>
          <w:sz w:val="17"/>
          <w:szCs w:val="17"/>
          <w:u w:val="single" w:color="auto"/>
          <w:color w:val="auto"/>
        </w:rPr>
        <w:t>rothecm@roth.com</w:t>
      </w:r>
      <w:r>
        <w:rPr>
          <w:rFonts w:ascii="Arial" w:cs="Arial" w:eastAsia="Arial" w:hAnsi="Arial"/>
          <w:sz w:val="17"/>
          <w:szCs w:val="17"/>
          <w:color w:val="auto"/>
        </w:rPr>
        <w:t>.</w:t>
      </w:r>
    </w:p>
    <w:p>
      <w:pPr>
        <w:spacing w:after="0" w:line="17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This press release shall not constitute an offer to sell or the solicitation of an offer to buy any securities described herein, nor shall there be any sale of the securities in any state or jurisdiction in which such offer, solicitation or sale would be unlawful prior to registration or qualification under the securities laws of any such state or jurisdiction.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FORM Holdings Corp.</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FORM Holdings Corp. (NASDAQ: FH) is a publicly held diversified holding company that specializes in identifying, investing in and developing companies with superior growth potential. FORM's current holdings include XpresSpa, Group Mobile, FLI Charge, InfoMedia and intellectual property assets. XpresSpa is the world's largest airport spa company with 52 locations across 23 major airports. Group Mobile is a provider of rugged hardware and software solutions, including laptops, tablets, and mobile printers, as well as installation and deployment services. FLI Charge designs, develops, licenses, manufactures and markets wireless conductive power and charging solutions. InfoMedia is a leading provider of customer relationship management and monetization technologies to mobile carriers and device manufacturers. FORM's intellectual property division is engaged in the monetization of patents related to content and ad delivery, remote monitoring and mobile technologies.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229"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This press release includes forward-looking statements, which may be identified by words such as "believes," "expects," "anticipates," "estimates," "projects," "intends," "should," "seeks," "future," "continue," or the negative of such terms, or other comparable terminology. Forward-looking statements are statements that are not historical facts. Such forward-looking statements are subject to risks and uncertainties, which could cause actual results to differ materially from the forward-looking statements contained herein. The forward looking statements in this press release, including with respect to the offering and the intended use of the proceeds of the offering, constitute forward-looking statements within the meaning of the Private Securities Litigation Reform Act of 1995. There are a number of important factors that could cause actual results or events to differ materially from those indicated by such forward-looking statements, including, but not limited to: the impact of our business and asset acquisitions on our operations and operating results including our ability to realize the expected value and benefits of such acquisitions; our ability to develop and introduce new products and/or develop intellectual property; our ability to protect and maintain our intellectual property rights; our ability to raise additional capital to fund our operations and business plan and the effects that such financing may have on the value of the equity instruments held by our stockholders; our ability to retain key members of our management team; general economic conditions and level of consumer and corporate spending on technology, consumer electronics, health and wellness, and travel; our ability to hire a skilled labor force and the costs associated with that labor; our ability to secure new locations, maintain existing ones, and ensure continued customer traffic at those locations; our ability to protect our customers’ financial data and other personal information; the loss of one or more of our significant suppliers or vendors; unexpected trends in the travel, health and wellness, mobile phone, telecom computing, and consumer electronics industries and potential technology and service obsolescence; market acceptance, quality, pricing, availability and useful life of our products and/or services, as well as the mix of our products and services sold; lawsuits, claims, and investigations that may be filed against us and other events that may adversely affect our reputation; our ability to license and monetize our patents, including litigation outcomes; and competitive conditions within our industries; and other risks and uncertainties and other factors discussed from time to time in our filings with the Securities and Exchange Commission ("SEC"), including FORM's Annual Report on Form 10-K for the year ended December 31, 2016 filed with the SEC on March 30, 2017, as amended on May 1, 2017, and FORM’s Quarterly Report on Form 10-Q for the three months ended March 31, 2017, filed with the SEC on May 15, 2017. FORM expressly disclaims any obligation to publicly update any forward-looking statements contained herein, whether as a result of new information, future events or otherwise, except as required by law.</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FORM Holdings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212-309-7549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info@FORMHoldings.com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90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BBD95A"/>
    <w:multiLevelType w:val="hybridMultilevel"/>
    <w:lvl w:ilvl="0">
      <w:lvlJc w:val="left"/>
      <w:lvlText w:val="o"/>
      <w:numFmt w:val="bullet"/>
      <w:start w:val="1"/>
    </w:lvl>
  </w:abstractNum>
  <w:abstractNum w:abstractNumId="1">
    <w:nsid w:val="436C6125"/>
    <w:multiLevelType w:val="hybridMultilevel"/>
    <w:lvl w:ilvl="0">
      <w:lvlJc w:val="left"/>
      <w:lvlText w:val="%1."/>
      <w:numFmt w:val="decimal"/>
      <w:start w:val="1"/>
    </w:lvl>
    <w:lvl w:ilvl="1">
      <w:lvlJc w:val="left"/>
      <w:lvlText w:val="(%2)"/>
      <w:numFmt w:val="lowerLetter"/>
      <w:start w:val="1"/>
    </w:lvl>
  </w:abstractNum>
  <w:abstractNum w:abstractNumId="2">
    <w:nsid w:val="628C895D"/>
    <w:multiLevelType w:val="hybridMultilevel"/>
    <w:lvl w:ilvl="0">
      <w:lvlJc w:val="left"/>
      <w:lvlText w:val="(%1)"/>
      <w:numFmt w:val="lowerLetter"/>
      <w:start w:val="2"/>
    </w:lvl>
  </w:abstractNum>
  <w:abstractNum w:abstractNumId="3">
    <w:nsid w:val="333AB105"/>
    <w:multiLevelType w:val="hybridMultilevel"/>
    <w:lvl w:ilvl="0">
      <w:lvlJc w:val="left"/>
      <w:lvlText w:val="%1."/>
      <w:numFmt w:val="decimal"/>
      <w:start w:val="2"/>
    </w:lvl>
    <w:lvl w:ilvl="1">
      <w:lvlJc w:val="left"/>
      <w:lvlText w:val="(%2)"/>
      <w:numFmt w:val="lowerLetter"/>
      <w:start w:val="1"/>
    </w:lvl>
  </w:abstractNum>
  <w:abstractNum w:abstractNumId="4">
    <w:nsid w:val="721DA317"/>
    <w:multiLevelType w:val="hybridMultilevel"/>
    <w:lvl w:ilvl="0">
      <w:lvlJc w:val="left"/>
      <w:lvlText w:val="(%1)"/>
      <w:numFmt w:val="lowerLetter"/>
      <w:start w:val="2"/>
    </w:lvl>
  </w:abstractNum>
  <w:abstractNum w:abstractNumId="5">
    <w:nsid w:val="2443A858"/>
    <w:multiLevelType w:val="hybridMultilevel"/>
    <w:lvl w:ilvl="0">
      <w:lvlJc w:val="left"/>
      <w:lvlText w:val="(%1)"/>
      <w:numFmt w:val="lowerLetter"/>
      <w:start w:val="3"/>
    </w:lvl>
  </w:abstractNum>
  <w:abstractNum w:abstractNumId="6">
    <w:nsid w:val="2D1D5AE9"/>
    <w:multiLevelType w:val="hybridMultilevel"/>
    <w:lvl w:ilvl="0">
      <w:lvlJc w:val="left"/>
      <w:lvlText w:val="(%1)"/>
      <w:numFmt w:val="lowerLetter"/>
      <w:start w:val="4"/>
    </w:lvl>
  </w:abstractNum>
  <w:abstractNum w:abstractNumId="7">
    <w:nsid w:val="6763845E"/>
    <w:multiLevelType w:val="hybridMultilevel"/>
    <w:lvl w:ilvl="0">
      <w:lvlJc w:val="left"/>
      <w:lvlText w:val="(%1)"/>
      <w:numFmt w:val="lowerLetter"/>
      <w:start w:val="6"/>
    </w:lvl>
  </w:abstractNum>
  <w:abstractNum w:abstractNumId="8">
    <w:nsid w:val="75A2A8D4"/>
    <w:multiLevelType w:val="hybridMultilevel"/>
    <w:lvl w:ilvl="0">
      <w:lvlJc w:val="left"/>
      <w:lvlText w:val="(%1)"/>
      <w:numFmt w:val="lowerLetter"/>
      <w:start w:val="7"/>
    </w:lvl>
  </w:abstractNum>
  <w:abstractNum w:abstractNumId="9">
    <w:nsid w:val="8EDBDAB"/>
    <w:multiLevelType w:val="hybridMultilevel"/>
    <w:lvl w:ilvl="0">
      <w:lvlJc w:val="left"/>
      <w:lvlText w:val="(%1)"/>
      <w:numFmt w:val="lowerLetter"/>
      <w:start w:val="10"/>
    </w:lvl>
  </w:abstractNum>
  <w:abstractNum w:abstractNumId="10">
    <w:nsid w:val="79838CB2"/>
    <w:multiLevelType w:val="hybridMultilevel"/>
    <w:lvl w:ilvl="0">
      <w:lvlJc w:val="left"/>
      <w:lvlText w:val="(%1)"/>
      <w:numFmt w:val="lowerLetter"/>
      <w:start w:val="14"/>
    </w:lvl>
  </w:abstractNum>
  <w:abstractNum w:abstractNumId="11">
    <w:nsid w:val="4353D0CD"/>
    <w:multiLevelType w:val="hybridMultilevel"/>
    <w:lvl w:ilvl="0">
      <w:lvlJc w:val="left"/>
      <w:lvlText w:val="(%1)"/>
      <w:numFmt w:val="lowerLetter"/>
      <w:start w:val="16"/>
    </w:lvl>
  </w:abstractNum>
  <w:abstractNum w:abstractNumId="12">
    <w:nsid w:val="B03E0C6"/>
    <w:multiLevelType w:val="hybridMultilevel"/>
    <w:lvl w:ilvl="0">
      <w:lvlJc w:val="left"/>
      <w:lvlText w:val="(%1)"/>
      <w:numFmt w:val="lowerLetter"/>
      <w:start w:val="20"/>
    </w:lvl>
  </w:abstractNum>
  <w:abstractNum w:abstractNumId="13">
    <w:nsid w:val="189A769B"/>
    <w:multiLevelType w:val="hybridMultilevel"/>
    <w:lvl w:ilvl="0">
      <w:lvlJc w:val="left"/>
      <w:lvlText w:val="(%1)"/>
      <w:numFmt w:val="lowerLetter"/>
      <w:start w:val="23"/>
    </w:lvl>
  </w:abstractNum>
  <w:abstractNum w:abstractNumId="14">
    <w:nsid w:val="54E49EB4"/>
    <w:multiLevelType w:val="hybridMultilevel"/>
    <w:lvl w:ilvl="0">
      <w:lvlJc w:val="left"/>
      <w:lvlText w:val="(%1)"/>
      <w:numFmt w:val="lowerLetter"/>
      <w:start w:val="27"/>
    </w:lvl>
  </w:abstractNum>
  <w:abstractNum w:abstractNumId="15">
    <w:nsid w:val="71F32454"/>
    <w:multiLevelType w:val="hybridMultilevel"/>
    <w:lvl w:ilvl="0">
      <w:lvlJc w:val="left"/>
      <w:lvlText w:val="(%1)"/>
      <w:numFmt w:val="lowerLetter"/>
      <w:start w:val="30"/>
    </w:lvl>
  </w:abstractNum>
  <w:abstractNum w:abstractNumId="16">
    <w:nsid w:val="2CA88611"/>
    <w:multiLevelType w:val="hybridMultilevel"/>
    <w:lvl w:ilvl="0">
      <w:lvlJc w:val="left"/>
      <w:lvlText w:val="(%1)"/>
      <w:numFmt w:val="lowerLetter"/>
      <w:start w:val="36"/>
    </w:lvl>
  </w:abstractNum>
  <w:abstractNum w:abstractNumId="17">
    <w:nsid w:val="836C40E"/>
    <w:multiLevelType w:val="hybridMultilevel"/>
    <w:lvl w:ilvl="0">
      <w:lvlJc w:val="left"/>
      <w:lvlText w:val="(%1)"/>
      <w:numFmt w:val="lowerLetter"/>
      <w:start w:val="42"/>
    </w:lvl>
  </w:abstractNum>
  <w:abstractNum w:abstractNumId="18">
    <w:nsid w:val="2901D82"/>
    <w:multiLevelType w:val="hybridMultilevel"/>
    <w:lvl w:ilvl="0">
      <w:lvlJc w:val="left"/>
      <w:lvlText w:val="%1"/>
      <w:numFmt w:val="decimal"/>
      <w:start w:val="1"/>
    </w:lvl>
    <w:lvl w:ilvl="1">
      <w:lvlJc w:val="left"/>
      <w:lvlText w:val="(%2)"/>
      <w:numFmt w:val="lowerLetter"/>
      <w:start w:val="47"/>
    </w:lvl>
  </w:abstractNum>
  <w:abstractNum w:abstractNumId="19">
    <w:nsid w:val="3A95F874"/>
    <w:multiLevelType w:val="hybridMultilevel"/>
    <w:lvl w:ilvl="0">
      <w:lvlJc w:val="left"/>
      <w:lvlText w:val="%1."/>
      <w:numFmt w:val="decimal"/>
      <w:start w:val="3"/>
    </w:lvl>
    <w:lvl w:ilvl="1">
      <w:lvlJc w:val="left"/>
      <w:lvlText w:val="(%2)"/>
      <w:numFmt w:val="lowerLetter"/>
      <w:start w:val="1"/>
    </w:lvl>
  </w:abstractNum>
  <w:abstractNum w:abstractNumId="20">
    <w:nsid w:val="8138641"/>
    <w:multiLevelType w:val="hybridMultilevel"/>
    <w:lvl w:ilvl="0">
      <w:lvlJc w:val="left"/>
      <w:lvlText w:val="(%1)"/>
      <w:numFmt w:val="lowerLetter"/>
      <w:start w:val="2"/>
    </w:lvl>
  </w:abstractNum>
  <w:abstractNum w:abstractNumId="21">
    <w:nsid w:val="1E7FF521"/>
    <w:multiLevelType w:val="hybridMultilevel"/>
    <w:lvl w:ilvl="0">
      <w:lvlJc w:val="left"/>
      <w:lvlText w:val="(%1)"/>
      <w:numFmt w:val="lowerLetter"/>
      <w:start w:val="5"/>
    </w:lvl>
  </w:abstractNum>
  <w:abstractNum w:abstractNumId="22">
    <w:nsid w:val="7C3DBD3D"/>
    <w:multiLevelType w:val="hybridMultilevel"/>
    <w:lvl w:ilvl="0">
      <w:lvlJc w:val="left"/>
      <w:lvlText w:val="(%1)"/>
      <w:numFmt w:val="lowerLetter"/>
      <w:start w:val="11"/>
    </w:lvl>
  </w:abstractNum>
  <w:abstractNum w:abstractNumId="23">
    <w:nsid w:val="737B8DDC"/>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9"/>
    </w:lvl>
  </w:abstractNum>
  <w:abstractNum w:abstractNumId="24">
    <w:nsid w:val="6CEAF087"/>
    <w:multiLevelType w:val="hybridMultilevel"/>
    <w:lvl w:ilvl="0">
      <w:lvlJc w:val="left"/>
      <w:lvlText w:val="(%1)"/>
      <w:numFmt w:val="lowerRoman"/>
      <w:start w:val="2"/>
    </w:lvl>
  </w:abstractNum>
  <w:abstractNum w:abstractNumId="25">
    <w:nsid w:val="22221A70"/>
    <w:multiLevelType w:val="hybridMultilevel"/>
    <w:lvl w:ilvl="0">
      <w:lvlJc w:val="left"/>
      <w:lvlText w:val="(%1)"/>
      <w:numFmt w:val="lowerRoman"/>
      <w:start w:val="6"/>
    </w:lvl>
  </w:abstractNum>
  <w:abstractNum w:abstractNumId="26">
    <w:nsid w:val="4516DDE9"/>
    <w:multiLevelType w:val="hybridMultilevel"/>
    <w:lvl w:ilvl="0">
      <w:lvlJc w:val="left"/>
      <w:lvlText w:val="%1"/>
      <w:numFmt w:val="lowerRoman"/>
      <w:start w:val="1"/>
    </w:lvl>
    <w:lvl w:ilvl="1">
      <w:lvlJc w:val="left"/>
      <w:lvlText w:val="(%2)"/>
      <w:numFmt w:val="lowerRoman"/>
      <w:start w:val="9"/>
    </w:lvl>
  </w:abstractNum>
  <w:abstractNum w:abstractNumId="27">
    <w:nsid w:val="3006C83E"/>
    <w:multiLevelType w:val="hybridMultilevel"/>
    <w:lvl w:ilvl="0">
      <w:lvlJc w:val="left"/>
      <w:lvlText w:val="(%1)"/>
      <w:numFmt w:val="lowerRoman"/>
      <w:start w:val="4"/>
    </w:lvl>
    <w:lvl w:ilvl="1">
      <w:lvlJc w:val="left"/>
      <w:lvlText w:val="(%2)"/>
      <w:numFmt w:val="lowerRoman"/>
      <w:start w:val="10"/>
    </w:lvl>
  </w:abstractNum>
  <w:abstractNum w:abstractNumId="28">
    <w:nsid w:val="614FD4A1"/>
    <w:multiLevelType w:val="hybridMultilevel"/>
    <w:lvl w:ilvl="0">
      <w:lvlJc w:val="left"/>
      <w:lvlText w:val="(%1)"/>
      <w:numFmt w:val="lowerLetter"/>
      <w:start w:val="2"/>
    </w:lvl>
  </w:abstractNum>
  <w:abstractNum w:abstractNumId="29">
    <w:nsid w:val="419AC241"/>
    <w:multiLevelType w:val="hybridMultilevel"/>
    <w:lvl w:ilvl="0">
      <w:lvlJc w:val="left"/>
      <w:lvlText w:val="%1"/>
      <w:numFmt w:val="decimal"/>
      <w:start w:val="1"/>
    </w:lvl>
    <w:lvl w:ilvl="1">
      <w:lvlJc w:val="left"/>
      <w:lvlText w:val="(%2)"/>
      <w:numFmt w:val="lowerLetter"/>
      <w:start w:val="5"/>
    </w:lvl>
  </w:abstractNum>
  <w:abstractNum w:abstractNumId="30">
    <w:nsid w:val="5577F8E1"/>
    <w:multiLevelType w:val="hybridMultilevel"/>
    <w:lvl w:ilvl="0">
      <w:lvlJc w:val="left"/>
      <w:lvlText w:val="%1."/>
      <w:numFmt w:val="decimal"/>
      <w:start w:val="5"/>
    </w:lvl>
    <w:lvl w:ilvl="1">
      <w:lvlJc w:val="left"/>
      <w:lvlText w:val="(%2)"/>
      <w:numFmt w:val="lowerLetter"/>
      <w:start w:val="1"/>
    </w:lvl>
  </w:abstractNum>
  <w:abstractNum w:abstractNumId="31">
    <w:nsid w:val="440BADFC"/>
    <w:multiLevelType w:val="hybridMultilevel"/>
    <w:lvl w:ilvl="0">
      <w:lvlJc w:val="left"/>
      <w:lvlText w:val="%1"/>
      <w:numFmt w:val="lowerLetter"/>
      <w:start w:val="1"/>
    </w:lvl>
    <w:lvl w:ilvl="1">
      <w:lvlJc w:val="left"/>
      <w:lvlText w:val="(%2)"/>
      <w:numFmt w:val="lowerLetter"/>
      <w:start w:val="2"/>
    </w:lvl>
  </w:abstractNum>
  <w:abstractNum w:abstractNumId="32">
    <w:nsid w:val="5072367"/>
    <w:multiLevelType w:val="hybridMultilevel"/>
    <w:lvl w:ilvl="0">
      <w:lvlJc w:val="left"/>
      <w:lvlText w:val="(%1)"/>
      <w:numFmt w:val="lowerLetter"/>
      <w:start w:val="61"/>
    </w:lvl>
    <w:lvl w:ilvl="1">
      <w:lvlJc w:val="left"/>
      <w:lvlText w:val="%2"/>
      <w:numFmt w:val="lowerLetter"/>
      <w:start w:val="1"/>
    </w:lvl>
  </w:abstractNum>
  <w:abstractNum w:abstractNumId="33">
    <w:nsid w:val="3804823E"/>
    <w:multiLevelType w:val="hybridMultilevel"/>
    <w:lvl w:ilvl="0">
      <w:lvlJc w:val="left"/>
      <w:lvlText w:val="%1."/>
      <w:numFmt w:val="decimal"/>
      <w:start w:val="6"/>
    </w:lvl>
  </w:abstractNum>
  <w:abstractNum w:abstractNumId="34">
    <w:nsid w:val="77465F01"/>
    <w:multiLevelType w:val="hybridMultilevel"/>
    <w:lvl w:ilvl="0">
      <w:lvlJc w:val="left"/>
      <w:lvlText w:val="%1."/>
      <w:numFmt w:val="decimal"/>
      <w:start w:val="7"/>
    </w:lvl>
    <w:lvl w:ilvl="1">
      <w:lvlJc w:val="left"/>
      <w:lvlText w:val="(%2)"/>
      <w:numFmt w:val="lowerLetter"/>
      <w:start w:val="1"/>
    </w:lvl>
  </w:abstractNum>
  <w:abstractNum w:abstractNumId="35">
    <w:nsid w:val="7724C67E"/>
    <w:multiLevelType w:val="hybridMultilevel"/>
    <w:lvl w:ilvl="0">
      <w:lvlJc w:val="left"/>
      <w:lvlText w:val="%1"/>
      <w:numFmt w:val="decimal"/>
      <w:start w:val="1"/>
    </w:lvl>
    <w:lvl w:ilvl="1">
      <w:lvlJc w:val="left"/>
      <w:lvlText w:val="(%2)"/>
      <w:numFmt w:val="lowerLetter"/>
      <w:start w:val="2"/>
    </w:lvl>
  </w:abstractNum>
  <w:abstractNum w:abstractNumId="36">
    <w:nsid w:val="5C482A97"/>
    <w:multiLevelType w:val="hybridMultilevel"/>
    <w:lvl w:ilvl="0">
      <w:lvlJc w:val="left"/>
      <w:lvlText w:val="%1."/>
      <w:numFmt w:val="decimal"/>
      <w:start w:val="8"/>
    </w:lvl>
    <w:lvl w:ilvl="1">
      <w:lvlJc w:val="left"/>
      <w:lvlText w:val="%2"/>
      <w:numFmt w:val="lowerLetter"/>
      <w:start w:val="1"/>
    </w:lvl>
  </w:abstractNum>
  <w:abstractNum w:abstractNumId="37">
    <w:nsid w:val="2463B9EA"/>
    <w:multiLevelType w:val="hybridMultilevel"/>
    <w:lvl w:ilvl="0">
      <w:lvlJc w:val="left"/>
      <w:lvlText w:val="%1."/>
      <w:numFmt w:val="decimal"/>
      <w:start w:val="9"/>
    </w:lvl>
  </w:abstractNum>
  <w:abstractNum w:abstractNumId="38">
    <w:nsid w:val="5E884ADC"/>
    <w:multiLevelType w:val="hybridMultilevel"/>
    <w:lvl w:ilvl="0">
      <w:lvlJc w:val="left"/>
      <w:lvlText w:val="(%1)"/>
      <w:numFmt w:val="decimal"/>
      <w:start w:val="94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2019-12-07T06:38:29Z</dcterms:created>
  <dcterms:modified xsi:type="dcterms:W3CDTF">2019-12-07T06:38:29Z</dcterms:modified>
</cp:coreProperties>
</file>