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152400</wp:posOffset>
            </wp:positionV>
            <wp:extent cx="4347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4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5"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hanging="332"/>
        <w:spacing w:after="0" w:line="259" w:lineRule="auto"/>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1820" w:hanging="515"/>
        <w:spacing w:after="0"/>
        <w:tabs>
          <w:tab w:leader="none" w:pos="1820" w:val="left"/>
        </w:tabs>
        <w:numPr>
          <w:ilvl w:val="2"/>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820" w:hanging="515"/>
        <w:spacing w:after="0"/>
        <w:tabs>
          <w:tab w:leader="none" w:pos="1820" w:val="left"/>
        </w:tabs>
        <w:numPr>
          <w:ilvl w:val="2"/>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820" w:hanging="515"/>
        <w:spacing w:after="0"/>
        <w:tabs>
          <w:tab w:leader="none" w:pos="1820" w:val="left"/>
        </w:tabs>
        <w:numPr>
          <w:ilvl w:val="2"/>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820" w:hanging="515"/>
        <w:spacing w:after="0"/>
        <w:tabs>
          <w:tab w:leader="none" w:pos="1820" w:val="left"/>
        </w:tabs>
        <w:numPr>
          <w:ilvl w:val="2"/>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-2865755</wp:posOffset>
            </wp:positionV>
            <wp:extent cx="3215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-2574290</wp:posOffset>
            </wp:positionV>
            <wp:extent cx="3215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-2145665</wp:posOffset>
            </wp:positionV>
            <wp:extent cx="3215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-1845310</wp:posOffset>
            </wp:positionV>
            <wp:extent cx="3215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-730885</wp:posOffset>
            </wp:positionV>
            <wp:extent cx="2246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-438785</wp:posOffset>
            </wp:positionV>
            <wp:extent cx="2246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PRELIMINARY PROXY STATEMENT — SUBJECT TO COMPLETION, DATED AUGUST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5222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22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VRINGO,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1"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You are cordially invited to attend the 2015 annual meeting of stockholders of Vringo, Inc. to be held at 11:00 a.m., Eastern time, on </w:t>
      </w:r>
      <w:r>
        <w:rPr>
          <w:rFonts w:ascii="Arial" w:cs="Arial" w:eastAsia="Arial" w:hAnsi="Arial"/>
          <w:sz w:val="17"/>
          <w:szCs w:val="17"/>
          <w:b w:val="1"/>
          <w:bCs w:val="1"/>
          <w:color w:val="auto"/>
        </w:rPr>
        <w:t>[DAY]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at the offices of Mintz, Levin, Cohn, Ferris, Glovsky and Popeo, P.C., the Chrysler Center, 666 Third Avenue, New York, New York 10017.</w:t>
      </w:r>
    </w:p>
    <w:p>
      <w:pPr>
        <w:spacing w:after="0" w:line="1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Vringo, Inc. that you should consider when you vote your shares are described in this proxy statement.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the annual meeting, six (6) persons will be elected to our Board of Directors. In addition, we will ask stockholders to consider the following proposals:</w:t>
      </w:r>
    </w:p>
    <w:p>
      <w:pPr>
        <w:spacing w:after="0" w:line="170" w:lineRule="exact"/>
        <w:rPr>
          <w:sz w:val="20"/>
          <w:szCs w:val="20"/>
          <w:color w:val="auto"/>
        </w:rPr>
      </w:pPr>
    </w:p>
    <w:p>
      <w:pPr>
        <w:jc w:val="both"/>
        <w:ind w:left="1520" w:hanging="864"/>
        <w:spacing w:after="0" w:line="264"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certificate of incorporation to effect a reverse stock split of our issued and outstanding shares common stock, at a ratio within the range of one-for-two to one-for-ten, such ratio to be determined by our Board of Directors;</w:t>
      </w:r>
    </w:p>
    <w:p>
      <w:pPr>
        <w:spacing w:after="0" w:line="181" w:lineRule="exact"/>
        <w:rPr>
          <w:rFonts w:ascii="Arial" w:cs="Arial" w:eastAsia="Arial" w:hAnsi="Arial"/>
          <w:sz w:val="18"/>
          <w:szCs w:val="18"/>
          <w:color w:val="auto"/>
        </w:rPr>
      </w:pPr>
    </w:p>
    <w:p>
      <w:pPr>
        <w:jc w:val="both"/>
        <w:ind w:left="1520" w:hanging="864"/>
        <w:spacing w:after="0" w:line="259"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186" w:lineRule="exact"/>
        <w:rPr>
          <w:rFonts w:ascii="Arial" w:cs="Arial" w:eastAsia="Arial" w:hAnsi="Arial"/>
          <w:sz w:val="18"/>
          <w:szCs w:val="18"/>
          <w:color w:val="auto"/>
        </w:rPr>
      </w:pPr>
    </w:p>
    <w:p>
      <w:pPr>
        <w:ind w:left="1520" w:hanging="864"/>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certificate of incorporation to increase the number of our authorized shares of common stock by 100,000,000, from 150,000,000 to 250,000,000 shares;</w:t>
      </w:r>
    </w:p>
    <w:p>
      <w:pPr>
        <w:spacing w:after="0" w:line="170" w:lineRule="exact"/>
        <w:rPr>
          <w:rFonts w:ascii="Arial" w:cs="Arial" w:eastAsia="Arial" w:hAnsi="Arial"/>
          <w:sz w:val="18"/>
          <w:szCs w:val="18"/>
          <w:color w:val="auto"/>
        </w:rPr>
      </w:pPr>
    </w:p>
    <w:p>
      <w:pPr>
        <w:jc w:val="both"/>
        <w:ind w:left="1520" w:hanging="864"/>
        <w:spacing w:after="0" w:line="264"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proposed amendment to Vringo, Inc. 2012 Employee, Director and Consultant Equity Incentive Plan, or the Plan, to increase the number of shares of common stock reserved for issuance under the Plan to up to a maximum of 21,000,000 shares (on a pre-split basis);</w:t>
      </w:r>
    </w:p>
    <w:p>
      <w:pPr>
        <w:spacing w:after="0" w:line="181" w:lineRule="exact"/>
        <w:rPr>
          <w:rFonts w:ascii="Arial" w:cs="Arial" w:eastAsia="Arial" w:hAnsi="Arial"/>
          <w:sz w:val="18"/>
          <w:szCs w:val="18"/>
          <w:color w:val="auto"/>
        </w:rPr>
      </w:pPr>
    </w:p>
    <w:p>
      <w:pPr>
        <w:ind w:left="1520" w:right="20" w:hanging="864"/>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CohnReznik LLP as our independent registered public accounting firm for the fiscal year ending December 31, 2015;</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by an advisory vote, the compensation of our named executive officers, as disclosed in this proxy statement, and</w:t>
      </w:r>
    </w:p>
    <w:p>
      <w:pPr>
        <w:spacing w:after="0" w:line="236" w:lineRule="exact"/>
        <w:rPr>
          <w:rFonts w:ascii="Arial" w:cs="Arial" w:eastAsia="Arial" w:hAnsi="Arial"/>
          <w:sz w:val="17"/>
          <w:szCs w:val="17"/>
          <w:color w:val="auto"/>
        </w:rPr>
      </w:pPr>
    </w:p>
    <w:p>
      <w:pPr>
        <w:ind w:left="1520" w:hanging="864"/>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(i) through (iv).</w:t>
      </w:r>
    </w:p>
    <w:p>
      <w:pPr>
        <w:spacing w:after="0" w:line="166"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 transacted as may properly come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89" w:lineRule="auto"/>
        <w:rPr>
          <w:sz w:val="20"/>
          <w:szCs w:val="20"/>
          <w:color w:val="auto"/>
        </w:rPr>
      </w:pPr>
      <w:r>
        <w:rPr>
          <w:rFonts w:ascii="Arial" w:cs="Arial" w:eastAsia="Arial" w:hAnsi="Arial"/>
          <w:sz w:val="16"/>
          <w:szCs w:val="16"/>
          <w:b w:val="1"/>
          <w:bCs w:val="1"/>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_________,</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2015, we mailed to our stockholders a Notice of Internet Availability of Proxy Materials (the “Notice”) containing instructions on how to access our proxy statement for our 2015 annual meeting of stockholders and our 2014 annual report to stockholders. The Notice also provides instructions on how to vote online or by telephone and includes instructions on how to receive a paper copy of the proxy materials by mail.</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continued support of Vringo, Inc. We look forward to seeing you at the annual meeting.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152400</wp:posOffset>
            </wp:positionV>
            <wp:extent cx="7804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804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1140"/>
        <w:spacing w:after="0"/>
        <w:rPr>
          <w:sz w:val="20"/>
          <w:szCs w:val="20"/>
          <w:color w:val="auto"/>
        </w:rPr>
      </w:pPr>
      <w:r>
        <w:rPr>
          <w:rFonts w:ascii="Arial" w:cs="Arial" w:eastAsia="Arial" w:hAnsi="Arial"/>
          <w:sz w:val="18"/>
          <w:szCs w:val="18"/>
          <w:b w:val="1"/>
          <w:bCs w:val="1"/>
          <w:color w:val="auto"/>
        </w:rPr>
        <w:t>PRELIMINARY PROXY STATEMENT — SUBJECT TO COMPLETION, DATED AUGUST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154940</wp:posOffset>
            </wp:positionV>
            <wp:extent cx="125222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22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VRINGO, INC.</w:t>
      </w:r>
    </w:p>
    <w:p>
      <w:pPr>
        <w:ind w:left="402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NOTICE OF 2015 ANNUAL MEETING OF STOCKHOLDERS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14605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14605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14605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225" w:lineRule="exact"/>
        <w:rPr>
          <w:sz w:val="20"/>
          <w:szCs w:val="20"/>
          <w:color w:val="auto"/>
        </w:rPr>
      </w:pPr>
    </w:p>
    <w:p>
      <w:pPr>
        <w:ind w:left="720" w:hanging="644"/>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six (6) directors, each to serve a one-year term expiring in 2016 or until such director’s successor is elected and qualified or until such director’s earlier death, resignation or removal;</w:t>
      </w:r>
    </w:p>
    <w:p>
      <w:pPr>
        <w:spacing w:after="0" w:line="170" w:lineRule="exact"/>
        <w:rPr>
          <w:rFonts w:ascii="Arial" w:cs="Arial" w:eastAsia="Arial" w:hAnsi="Arial"/>
          <w:sz w:val="18"/>
          <w:szCs w:val="18"/>
          <w:color w:val="auto"/>
        </w:rPr>
      </w:pPr>
    </w:p>
    <w:p>
      <w:pPr>
        <w:jc w:val="both"/>
        <w:ind w:left="720" w:hanging="644"/>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our amended and restated certificate of incorporation to effect a reverse stock split of our issued and outstanding shares common stock, at a ratio within the range of one-for-two to one-for-ten, such ratio to be determined by our Board of Directors;</w:t>
      </w:r>
    </w:p>
    <w:p>
      <w:pPr>
        <w:spacing w:after="0" w:line="181" w:lineRule="exact"/>
        <w:rPr>
          <w:rFonts w:ascii="Arial" w:cs="Arial" w:eastAsia="Arial" w:hAnsi="Arial"/>
          <w:sz w:val="18"/>
          <w:szCs w:val="18"/>
          <w:color w:val="auto"/>
        </w:rPr>
      </w:pPr>
    </w:p>
    <w:p>
      <w:pPr>
        <w:jc w:val="both"/>
        <w:ind w:left="720" w:hanging="644"/>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186" w:lineRule="exact"/>
        <w:rPr>
          <w:rFonts w:ascii="Arial" w:cs="Arial" w:eastAsia="Arial" w:hAnsi="Arial"/>
          <w:sz w:val="18"/>
          <w:szCs w:val="18"/>
          <w:color w:val="auto"/>
        </w:rPr>
      </w:pPr>
    </w:p>
    <w:p>
      <w:pPr>
        <w:ind w:left="720" w:hanging="644"/>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our amended and restated certificate of incorporation to increase the number of our authorized shares of common stock by 100,000,000, from 150,000,000 to 250,000,000 shares;</w:t>
      </w:r>
    </w:p>
    <w:p>
      <w:pPr>
        <w:spacing w:after="0" w:line="170" w:lineRule="exact"/>
        <w:rPr>
          <w:rFonts w:ascii="Arial" w:cs="Arial" w:eastAsia="Arial" w:hAnsi="Arial"/>
          <w:sz w:val="18"/>
          <w:szCs w:val="18"/>
          <w:color w:val="auto"/>
        </w:rPr>
      </w:pPr>
    </w:p>
    <w:p>
      <w:pPr>
        <w:jc w:val="both"/>
        <w:ind w:left="720" w:hanging="644"/>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proposed amendment to Vringo, Inc. 2012 Employee, Director and Consultant Equity Incentive Plan, or the Plan, to increase the number of shares of common stock reserved for issuance under the Plan to up to a maximum of 21,000,000 shares (on a pre-split basis);</w:t>
      </w:r>
    </w:p>
    <w:p>
      <w:pPr>
        <w:spacing w:after="0" w:line="123" w:lineRule="exact"/>
        <w:rPr>
          <w:rFonts w:ascii="Arial" w:cs="Arial" w:eastAsia="Arial" w:hAnsi="Arial"/>
          <w:sz w:val="16"/>
          <w:szCs w:val="16"/>
          <w:color w:val="auto"/>
        </w:rPr>
      </w:pPr>
    </w:p>
    <w:p>
      <w:pPr>
        <w:ind w:left="720" w:right="20" w:hanging="644"/>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CohnReznik LLP as our independent registered public accounting firm for the fiscal year ending December 31, 2015;</w:t>
      </w:r>
    </w:p>
    <w:p>
      <w:pPr>
        <w:spacing w:after="0" w:line="170" w:lineRule="exact"/>
        <w:rPr>
          <w:rFonts w:ascii="Arial" w:cs="Arial" w:eastAsia="Arial" w:hAnsi="Arial"/>
          <w:sz w:val="18"/>
          <w:szCs w:val="18"/>
          <w:color w:val="auto"/>
        </w:rPr>
      </w:pPr>
    </w:p>
    <w:p>
      <w:pPr>
        <w:ind w:left="720" w:hanging="64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w:t>
      </w:r>
    </w:p>
    <w:p>
      <w:pPr>
        <w:spacing w:after="0" w:line="225" w:lineRule="exact"/>
        <w:rPr>
          <w:rFonts w:ascii="Arial" w:cs="Arial" w:eastAsia="Arial" w:hAnsi="Arial"/>
          <w:sz w:val="18"/>
          <w:szCs w:val="18"/>
          <w:color w:val="auto"/>
        </w:rPr>
      </w:pPr>
    </w:p>
    <w:p>
      <w:pPr>
        <w:ind w:left="720" w:right="20" w:hanging="644"/>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(2) through (5); and</w:t>
      </w:r>
    </w:p>
    <w:p>
      <w:pPr>
        <w:spacing w:after="0" w:line="170" w:lineRule="exact"/>
        <w:rPr>
          <w:rFonts w:ascii="Arial" w:cs="Arial" w:eastAsia="Arial" w:hAnsi="Arial"/>
          <w:sz w:val="18"/>
          <w:szCs w:val="18"/>
          <w:color w:val="auto"/>
        </w:rPr>
      </w:pPr>
    </w:p>
    <w:p>
      <w:pPr>
        <w:ind w:left="720" w:hanging="644"/>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that is properly presented at the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433705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82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WHO MAY VOTE:</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You may vote if you were the record owner of our common stock at the close of business on </w:t>
      </w:r>
      <w:r>
        <w:rPr>
          <w:rFonts w:ascii="Arial" w:cs="Arial" w:eastAsia="Arial" w:hAnsi="Arial"/>
          <w:sz w:val="18"/>
          <w:szCs w:val="18"/>
          <w:b w:val="1"/>
          <w:bCs w:val="1"/>
          <w:color w:val="auto"/>
        </w:rPr>
        <w:t>[RECORD DATE]</w:t>
      </w:r>
      <w:r>
        <w:rPr>
          <w:rFonts w:ascii="Arial" w:cs="Arial" w:eastAsia="Arial" w:hAnsi="Arial"/>
          <w:sz w:val="18"/>
          <w:szCs w:val="18"/>
          <w:color w:val="auto"/>
        </w:rPr>
        <w:t>. A list of stockholders of record will be available at the annual meeting and, during the 10 days prior to the annual meeting, at our principal executive offices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 annual meeting or not, we urge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by following the instructions in the Notice of Internet Availability of Proxy Materials that you previously received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meeting.</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152400</wp:posOffset>
            </wp:positionV>
            <wp:extent cx="7804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041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4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Important Information About the Annual Meeting and Voting</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Security Ownership of Certain Beneficial Owners and Management</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 and Corporate Governance</w:t>
              </w:r>
            </w:hyperlink>
          </w:p>
        </w:tc>
        <w:tc>
          <w:tcPr>
            <w:tcW w:w="780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Discussion and Analysis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Report</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 and Director Compensation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Report of Audit Committee</w:t>
              </w:r>
            </w:hyperlink>
          </w:p>
        </w:tc>
        <w:tc>
          <w:tcPr>
            <w:tcW w:w="8740" w:type="dxa"/>
            <w:vAlign w:val="bottom"/>
            <w:tcBorders>
              <w:bottom w:val="single" w:sz="8" w:color="CCEEFF"/>
            </w:tcBorders>
            <w:gridSpan w:val="2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Section 16(a) Beneficial Ownership Reporting Compliance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Certain Relationships and Related Person Transactions</w:t>
              </w:r>
            </w:hyperlink>
          </w:p>
        </w:tc>
        <w:tc>
          <w:tcPr>
            <w:tcW w:w="678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Proposal 1: Election of Directors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Proposal 2: Reverse Stock Split</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Proposal 3: Issuance of Shares of Common Stock in Financing Transaction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Proposal 4: Increase of the Authorized Number of Shares of Common Stock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Proposal 5: Amendment to our 2012 Stock Incentive Plan</w:t>
              </w:r>
            </w:hyperlink>
          </w:p>
        </w:tc>
        <w:tc>
          <w:tcPr>
            <w:tcW w:w="524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Proposal 6: Independent Registered Public Accounting Firm</w:t>
              </w:r>
            </w:hyperlink>
          </w:p>
        </w:tc>
        <w:tc>
          <w:tcPr>
            <w:tcW w:w="638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Proposal 7: Advisory Vote on Executive Compensation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Proposal 8: Approval of the Adjournment of the Annual Meeting</w:t>
              </w:r>
            </w:hyperlink>
          </w:p>
        </w:tc>
        <w:tc>
          <w:tcPr>
            <w:tcW w:w="604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Code of Conduct and Ethics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Other Matters</w:t>
              </w:r>
            </w:hyperlink>
          </w:p>
        </w:tc>
        <w:tc>
          <w:tcPr>
            <w:tcW w:w="9720" w:type="dxa"/>
            <w:vAlign w:val="bottom"/>
            <w:tcBorders>
              <w:bottom w:val="single" w:sz="8" w:color="CCEEFF"/>
            </w:tcBorders>
            <w:gridSpan w:val="2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Stockholder Proposals and Nominations for Director</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Appendix A — Form of Certificate of Amendment to Amended and Restated Certificate of Incorporation to Effect Reverse Stock Split</w:t>
      </w:r>
    </w:p>
    <w:p>
      <w:pPr>
        <w:spacing w:after="0" w:line="225" w:lineRule="exact"/>
        <w:rPr>
          <w:sz w:val="20"/>
          <w:szCs w:val="20"/>
          <w:color w:val="auto"/>
        </w:rPr>
      </w:pPr>
    </w:p>
    <w:p>
      <w:pPr>
        <w:ind w:right="740"/>
        <w:spacing w:after="0" w:line="501" w:lineRule="auto"/>
        <w:rPr>
          <w:sz w:val="20"/>
          <w:szCs w:val="20"/>
          <w:color w:val="auto"/>
        </w:rPr>
      </w:pPr>
      <w:r>
        <w:rPr>
          <w:rFonts w:ascii="Arial" w:cs="Arial" w:eastAsia="Arial" w:hAnsi="Arial"/>
          <w:sz w:val="18"/>
          <w:szCs w:val="18"/>
          <w:color w:val="auto"/>
        </w:rPr>
        <w:t>Appendix B — Form of Certificate of Amendment to Amended and Restated Certificate of Incorporation to Effect an Increase in Authorized Shares Appendix C — Vringo, Inc. 2012 Employee, Director and Consultant Equity Incentive Plan, as amended Appendix D — Form of Proxy Card</w:t>
      </w:r>
    </w:p>
    <w:p>
      <w:pPr>
        <w:ind w:right="2920"/>
        <w:spacing w:after="0" w:line="501" w:lineRule="auto"/>
        <w:rPr>
          <w:sz w:val="20"/>
          <w:szCs w:val="20"/>
          <w:color w:val="auto"/>
        </w:rPr>
      </w:pPr>
      <w:r>
        <w:rPr>
          <w:rFonts w:ascii="Arial" w:cs="Arial" w:eastAsia="Arial" w:hAnsi="Arial"/>
          <w:sz w:val="18"/>
          <w:szCs w:val="18"/>
          <w:color w:val="auto"/>
        </w:rPr>
        <w:t>Annex I — Securities Purchase Agreement, dated May 4, 2015, between Vringo, Inc. and the Investors named therein Annex II — Form of Notes</w:t>
      </w:r>
    </w:p>
    <w:p>
      <w:pPr>
        <w:spacing w:after="0"/>
        <w:rPr>
          <w:sz w:val="20"/>
          <w:szCs w:val="20"/>
          <w:color w:val="auto"/>
        </w:rPr>
      </w:pPr>
      <w:r>
        <w:rPr>
          <w:rFonts w:ascii="Arial" w:cs="Arial" w:eastAsia="Arial" w:hAnsi="Arial"/>
          <w:sz w:val="18"/>
          <w:szCs w:val="18"/>
          <w:color w:val="auto"/>
        </w:rPr>
        <w:t>Annex III — Form of Base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IV — Form of First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 — Form of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PRELIMINARY COPIES FILED PURSUANT TO RULE 14a-6(a)</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VRINGO, INC.</w:t>
      </w:r>
    </w:p>
    <w:p>
      <w:pPr>
        <w:ind w:left="4600"/>
        <w:spacing w:after="0" w:line="198"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VRINGO,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ANNUAL MEETING OF STOCKHOLDERS TO BE HELD ON [DATE]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This proxy statement, along with the accompanying notice of 2015 annual meeting of stockholders, contains information about the 2015 annual meeting of stockholders of Vringo, Inc., including any adjournments or postponements of the annual meeting. We are holding the annual meeting at 11:00 a.m., Eastern time, on </w:t>
      </w:r>
      <w:r>
        <w:rPr>
          <w:rFonts w:ascii="Arial" w:cs="Arial" w:eastAsia="Arial" w:hAnsi="Arial"/>
          <w:sz w:val="18"/>
          <w:szCs w:val="18"/>
          <w:b w:val="1"/>
          <w:bCs w:val="1"/>
          <w:color w:val="auto"/>
        </w:rPr>
        <w:t>[DAY], [DATE]</w:t>
      </w:r>
      <w:r>
        <w:rPr>
          <w:rFonts w:ascii="Arial" w:cs="Arial" w:eastAsia="Arial" w:hAnsi="Arial"/>
          <w:sz w:val="18"/>
          <w:szCs w:val="18"/>
          <w:color w:val="auto"/>
        </w:rPr>
        <w:t>, at the offices of Mintz, Levin, Cohn, Ferris, Glovsky and Popeo, P.C., the Chrysler Center, 666 Third Avenue, New York, New York 10017.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proxy statement, we refer to Vringo, Inc. as “Vringo,” “the Company,” “we” and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On or about [_____], 2015, we began sending the Important Notice Regarding the Availability of Proxy Materials to all stockholders entitled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MEETING TO BE HELD ON [DATE]</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This proxy statement and our 2014 annual report to stockholders are available for viewing, printing and downloading at [INSERT WEBSITE ADDRESS]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To view these materials please have your 12-digit control number(s) available that appears on your Notice or proxy card. On this website, you can also elect to receive future distributions of our proxy statements and annual reports to stockholders by electronic delivery.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2014, on the website of the Securities and Exchange Commission, or the SEC,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i w:val="1"/>
          <w:iCs w:val="1"/>
          <w:color w:val="auto"/>
        </w:rPr>
        <w:t>www.vringoip.com.</w:t>
      </w:r>
      <w:r>
        <w:rPr>
          <w:rFonts w:ascii="Arial" w:cs="Arial" w:eastAsia="Arial" w:hAnsi="Arial"/>
          <w:sz w:val="16"/>
          <w:szCs w:val="16"/>
          <w:b w:val="1"/>
          <w:bCs w:val="1"/>
          <w:color w:val="auto"/>
        </w:rPr>
        <w:t xml:space="preserve"> You may also obtain a printed copy of our Annual Report on Form 10-K, including our financial statements, free of charge, from us by sending a written request to: Vringo, Inc., 780 Third Avenue, 12</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 New York,</w:t>
      </w:r>
    </w:p>
    <w:p>
      <w:pPr>
        <w:spacing w:after="0" w:line="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color w:val="auto"/>
        </w:rPr>
        <w:t>New York 10017, Attention: Clifford Weinstein, Executive Vice President. Exhibits will be provided upon written request and payment of an appropriate processing fee.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24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Vringo, Inc. is soliciting your proxy to vote at the 2015 annual meeting of stockholders to be held at the offices of Mintz, Levin, Cohn, Ferris, Glovsky and Popeo, P.C., the Chrysler Center, 666 Third Avenue, New York, New York 10017 on [</w:t>
      </w:r>
      <w:r>
        <w:rPr>
          <w:rFonts w:ascii="Arial" w:cs="Arial" w:eastAsia="Arial" w:hAnsi="Arial"/>
          <w:sz w:val="18"/>
          <w:szCs w:val="18"/>
          <w:b w:val="1"/>
          <w:bCs w:val="1"/>
          <w:color w:val="auto"/>
        </w:rPr>
        <w:t>DAY</w:t>
      </w:r>
      <w:r>
        <w:rPr>
          <w:rFonts w:ascii="Arial" w:cs="Arial" w:eastAsia="Arial" w:hAnsi="Arial"/>
          <w:sz w:val="18"/>
          <w:szCs w:val="18"/>
          <w:color w:val="auto"/>
        </w:rPr>
        <w:t>], [</w:t>
      </w:r>
      <w:r>
        <w:rPr>
          <w:rFonts w:ascii="Arial" w:cs="Arial" w:eastAsia="Arial" w:hAnsi="Arial"/>
          <w:sz w:val="18"/>
          <w:szCs w:val="18"/>
          <w:b w:val="1"/>
          <w:bCs w:val="1"/>
          <w:color w:val="auto"/>
        </w:rPr>
        <w:t>DATE</w:t>
      </w:r>
      <w:r>
        <w:rPr>
          <w:rFonts w:ascii="Arial" w:cs="Arial" w:eastAsia="Arial" w:hAnsi="Arial"/>
          <w:sz w:val="18"/>
          <w:szCs w:val="18"/>
          <w:color w:val="auto"/>
        </w:rPr>
        <w:t>], at 11:00 a.m., Eastern time, and any adjournments or postponements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made available to you on the Internet or have sent you this proxy statement, the Notice of Annual Meeting of Stockholders, the proxy card and a copy of our Annual Report on Form 10-K for the fiscal year ended December 31, 2014 because you owned shares of our common stock on the record date. We intend to commence distribution of the Important Notice Regarding the Availability of Proxy Materials, which we refer to throughout this proxy statement as the Notice, and, if applicable, the proxy materials to stockholders on or about </w:t>
      </w:r>
      <w:r>
        <w:rPr>
          <w:rFonts w:ascii="Arial" w:cs="Arial" w:eastAsia="Arial" w:hAnsi="Arial"/>
          <w:sz w:val="18"/>
          <w:szCs w:val="18"/>
          <w:b w:val="1"/>
          <w:bCs w:val="1"/>
          <w:color w:val="auto"/>
        </w:rPr>
        <w:t>[DATE]</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18, 2014, we received a notification letter from NASDAQ informing us that for the last 30 consecutive business days, the bid price of our securities had closed below $1.00 per share as required by NASDAQ Listing Rule 5550(a)(2).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To cure the deficiency during this extended period by implementing the reverse stock split of our common stock for which we are seeking stockholder approval in Proposal 2 of this proxy statement. On August 18, 2015, the closing price of our common stock as reported on NASDAQ was $0.61 per share.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“Proposal 2: Reverse Stock Split” contained elsewhere in this proxy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Why is the Company seeking approval for the increase in authorized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4, 2015, we entered into the Securities Purchase Agreement. Pursuant to the terms of the transaction, we agreed we will solicit the stockholders vote for an increase in the number of shares of common stock that we are authorized to issue to 250,000,000. In the event we implement the reverse stock split and determine the increase in the authorized shares is not in the best interest of our stockholders, we reserve the right not to adopt the increase in the authorized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 xml:space="preserve">Only stockholders who owned our common stock at the close of business on </w:t>
      </w:r>
      <w:r>
        <w:rPr>
          <w:rFonts w:ascii="Arial" w:cs="Arial" w:eastAsia="Arial" w:hAnsi="Arial"/>
          <w:sz w:val="16"/>
          <w:szCs w:val="16"/>
          <w:b w:val="1"/>
          <w:bCs w:val="1"/>
          <w:color w:val="auto"/>
        </w:rPr>
        <w:t>[RECORD DATE]</w:t>
      </w:r>
      <w:r>
        <w:rPr>
          <w:rFonts w:ascii="Arial" w:cs="Arial" w:eastAsia="Arial" w:hAnsi="Arial"/>
          <w:sz w:val="16"/>
          <w:szCs w:val="16"/>
          <w:color w:val="auto"/>
        </w:rPr>
        <w:t xml:space="preserve"> are entitled to vote at the annual meeting. On this record date, there were ______________ shares of our common stock outstanding and entitled to vote. Our common stock is our only class of voting stock.</w:t>
      </w:r>
    </w:p>
    <w:p>
      <w:pPr>
        <w:spacing w:after="0" w:line="1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our common stock that you own entitles you to one vote.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185" w:lineRule="exact"/>
        <w:rPr>
          <w:sz w:val="20"/>
          <w:szCs w:val="20"/>
          <w:color w:val="auto"/>
        </w:rPr>
      </w:pPr>
    </w:p>
    <w:p>
      <w:pPr>
        <w:ind w:left="6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 materials, in the proxy card to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or telephone.</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 card as instructed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card. If you sign the proxy card but do not specify how you want your shares voted, they will be voted in accordance with the Board of Directors’s recommendations as noted below.</w:t>
      </w:r>
    </w:p>
    <w:p>
      <w:pPr>
        <w:spacing w:after="0" w:line="17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Telephone and Internet voting facilities for stockholders of record will be available 24 hours a day and will close at 11:59 p.m., Eastern time, on [DATE], 2015.</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221"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225" w:lineRule="exact"/>
        <w:rPr>
          <w:rFonts w:ascii="Arial" w:cs="Arial" w:eastAsia="Arial" w:hAnsi="Arial"/>
          <w:sz w:val="18"/>
          <w:szCs w:val="18"/>
          <w:color w:val="auto"/>
        </w:rPr>
      </w:pPr>
    </w:p>
    <w:p>
      <w:pPr>
        <w:ind w:left="1960" w:right="20" w:hanging="655"/>
        <w:spacing w:after="0" w:line="28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our amended and restated certificate of incorporation to effect a reverse stock split of our common stock, par value $0.01 per share, at a ratio in the range of one-for-two to one-for-ten;</w:t>
      </w:r>
    </w:p>
    <w:p>
      <w:pPr>
        <w:spacing w:after="0" w:line="161" w:lineRule="exact"/>
        <w:rPr>
          <w:rFonts w:ascii="Arial" w:cs="Arial" w:eastAsia="Arial" w:hAnsi="Arial"/>
          <w:sz w:val="18"/>
          <w:szCs w:val="18"/>
          <w:color w:val="auto"/>
        </w:rPr>
      </w:pPr>
    </w:p>
    <w:p>
      <w:pPr>
        <w:jc w:val="both"/>
        <w:ind w:left="1960" w:hanging="655"/>
        <w:spacing w:after="0" w:line="281" w:lineRule="auto"/>
        <w:tabs>
          <w:tab w:leader="none" w:pos="1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approval,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164" w:lineRule="exact"/>
        <w:rPr>
          <w:rFonts w:ascii="Arial" w:cs="Arial" w:eastAsia="Arial" w:hAnsi="Arial"/>
          <w:sz w:val="17"/>
          <w:szCs w:val="17"/>
          <w:color w:val="auto"/>
        </w:rPr>
      </w:pPr>
    </w:p>
    <w:p>
      <w:pPr>
        <w:ind w:left="1960" w:hanging="655"/>
        <w:spacing w:after="0" w:line="28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our amended and restated certificate of incorporation to increase the number of shares of our authorized shares of common stock by 100,000,000 from 150,000,000 to 250,000,000 shares;</w:t>
      </w:r>
    </w:p>
    <w:p>
      <w:pPr>
        <w:spacing w:after="0" w:line="161" w:lineRule="exact"/>
        <w:rPr>
          <w:rFonts w:ascii="Arial" w:cs="Arial" w:eastAsia="Arial" w:hAnsi="Arial"/>
          <w:sz w:val="18"/>
          <w:szCs w:val="18"/>
          <w:color w:val="auto"/>
        </w:rPr>
      </w:pPr>
    </w:p>
    <w:p>
      <w:pPr>
        <w:jc w:val="both"/>
        <w:ind w:left="1960" w:hanging="655"/>
        <w:spacing w:after="0" w:line="266"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the Vringo, Inc. 2012 Employee, Director and Consultant Equity Incentive Plan, or the Plan, to increase the number of shares of common stock reserved for issuance under the Plan to up to a maximum of 21,000,000 shares (on a pre-split basis);</w:t>
      </w:r>
    </w:p>
    <w:p>
      <w:pPr>
        <w:spacing w:after="0" w:line="176" w:lineRule="exact"/>
        <w:rPr>
          <w:rFonts w:ascii="Arial" w:cs="Arial" w:eastAsia="Arial" w:hAnsi="Arial"/>
          <w:sz w:val="18"/>
          <w:szCs w:val="18"/>
          <w:color w:val="auto"/>
        </w:rPr>
      </w:pPr>
    </w:p>
    <w:p>
      <w:pPr>
        <w:ind w:left="1960" w:hanging="655"/>
        <w:spacing w:after="0" w:line="28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CohnReznik LLP as our independent registered public accounting firm for our fiscal year ending December 31, 2015;</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225" w:lineRule="exact"/>
        <w:rPr>
          <w:rFonts w:ascii="Arial" w:cs="Arial" w:eastAsia="Arial" w:hAnsi="Arial"/>
          <w:sz w:val="18"/>
          <w:szCs w:val="18"/>
          <w:color w:val="auto"/>
        </w:rPr>
      </w:pPr>
    </w:p>
    <w:p>
      <w:pPr>
        <w:ind w:left="1960" w:hanging="655"/>
        <w:spacing w:after="0" w:line="282"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the proposals referred to in bullet points (ii) through (v).</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or Revoke My Proxy?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170" w:lineRule="exact"/>
        <w:rPr>
          <w:sz w:val="20"/>
          <w:szCs w:val="20"/>
          <w:color w:val="auto"/>
        </w:rPr>
      </w:pPr>
    </w:p>
    <w:p>
      <w:pPr>
        <w:ind w:left="1960" w:hanging="331"/>
        <w:spacing w:after="0" w:line="258"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notifying our Secretary in writing before the annual meeting that you have revoked your proxy; 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1960" w:hanging="331"/>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reverse stock split (Proposal 2 of this proxy statement) and ratification of the appointment of our independent registered public accounting firm (Proposal 6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Your bank, broker or other nominee does not have the ability to vote your uninstructed shares in the election of directors. Therefore, if you hold your shares in street name it is critical that you cast your vote if you want your vote to be counted for the election of directors (Proposal 1 of this proxy statement). In the past, if you held your shares in street name and you did not indicate how you wanted your shares to be voted in the election of directors, your bank, broker or other nominee was allowed to vote your shares on your behalf in the election of directors as it deemed appropriate. In addition, your bank, broker or other nominee is prohibited from voting your uninstructed shares on any matters related to issuance of securities related to the financing transaction, increase of authorized shares, equity plan and executive compensation. Thus, if you hold your shares in street name and you do not instruct your bank, broker or other nominee how to vote in the election of directors (Proposal 1) or on matters related to the issuance of securities related to the financing transaction (Proposal 3), increase of authorized shares (Proposal 4), equity plan (Proposal</w:t>
      </w:r>
    </w:p>
    <w:p>
      <w:pPr>
        <w:spacing w:after="0" w:line="5" w:lineRule="exact"/>
        <w:rPr>
          <w:sz w:val="20"/>
          <w:szCs w:val="20"/>
          <w:color w:val="auto"/>
        </w:rPr>
      </w:pPr>
    </w:p>
    <w:p>
      <w:pPr>
        <w:jc w:val="both"/>
        <w:ind w:firstLine="8"/>
        <w:spacing w:after="0" w:line="255" w:lineRule="auto"/>
        <w:tabs>
          <w:tab w:leader="none" w:pos="20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and executive compensation (Proposal 7), no votes will be cast on these proposals on your behalf. We believe that Proposal 2 (reverse stock split) and Proposal 6 (ratification of selection of independent registered public accounting firm) are considered routine matters and, thus, we do not expect to receive any broker non-votes on these proposals.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ind w:left="760"/>
              <w:spacing w:after="0"/>
              <w:rPr>
                <w:sz w:val="20"/>
                <w:szCs w:val="20"/>
                <w:color w:val="auto"/>
              </w:rPr>
            </w:pPr>
            <w:r>
              <w:rPr>
                <w:rFonts w:ascii="Arial" w:cs="Arial" w:eastAsia="Arial" w:hAnsi="Arial"/>
                <w:sz w:val="18"/>
                <w:szCs w:val="18"/>
                <w:b w:val="1"/>
                <w:bCs w:val="1"/>
                <w:color w:val="auto"/>
              </w:rPr>
              <w:t>Proposal 1: Elect Directors</w:t>
            </w:r>
          </w:p>
        </w:tc>
        <w:tc>
          <w:tcPr>
            <w:tcW w:w="7660" w:type="dxa"/>
            <w:vAlign w:val="bottom"/>
          </w:tcPr>
          <w:p>
            <w:pPr>
              <w:ind w:left="880"/>
              <w:spacing w:after="0"/>
              <w:rPr>
                <w:sz w:val="20"/>
                <w:szCs w:val="20"/>
                <w:color w:val="auto"/>
              </w:rPr>
            </w:pPr>
            <w:r>
              <w:rPr>
                <w:rFonts w:ascii="Arial" w:cs="Arial" w:eastAsia="Arial" w:hAnsi="Arial"/>
                <w:sz w:val="18"/>
                <w:szCs w:val="18"/>
                <w:color w:val="auto"/>
                <w:w w:val="96"/>
              </w:rPr>
              <w:t>The nominees for director who receive the most votes (also known as a “plurality” of the</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w w:val="99"/>
              </w:rPr>
              <w:t>votes cast) will be elected. You may vote either FOR all of the nominees, WITHHOLD</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rPr>
              <w:t>your vote from all of the nominees or WITHHOLD your vote from any one or more of</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rPr>
              <w:t>the nominees. Votes that are withheld will not be included in the vote tally for the</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rPr>
              <w:t>election of the directors. Brokerage firms do not have authority to vote customers’</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rPr>
              <w:t>unvoted shares held by the firms in street name for the election of the directors. As a</w:t>
            </w:r>
          </w:p>
        </w:tc>
      </w:tr>
      <w:tr>
        <w:trPr>
          <w:trHeight w:val="216"/>
        </w:trPr>
        <w:tc>
          <w:tcPr>
            <w:tcW w:w="3760" w:type="dxa"/>
            <w:vAlign w:val="bottom"/>
          </w:tcPr>
          <w:p>
            <w:pPr>
              <w:spacing w:after="0"/>
              <w:rPr>
                <w:sz w:val="18"/>
                <w:szCs w:val="18"/>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w w:val="99"/>
              </w:rPr>
              <w:t>result, any shares not voted by a customer will be treated as a broker non-vote. Such</w:t>
            </w:r>
          </w:p>
        </w:tc>
      </w:tr>
      <w:tr>
        <w:trPr>
          <w:trHeight w:val="230"/>
        </w:trPr>
        <w:tc>
          <w:tcPr>
            <w:tcW w:w="3760" w:type="dxa"/>
            <w:vAlign w:val="bottom"/>
          </w:tcPr>
          <w:p>
            <w:pPr>
              <w:spacing w:after="0"/>
              <w:rPr>
                <w:sz w:val="20"/>
                <w:szCs w:val="20"/>
                <w:color w:val="auto"/>
              </w:rPr>
            </w:pPr>
          </w:p>
        </w:tc>
        <w:tc>
          <w:tcPr>
            <w:tcW w:w="7660" w:type="dxa"/>
            <w:vAlign w:val="bottom"/>
          </w:tcPr>
          <w:p>
            <w:pPr>
              <w:ind w:left="880"/>
              <w:spacing w:after="0"/>
              <w:rPr>
                <w:sz w:val="20"/>
                <w:szCs w:val="20"/>
                <w:color w:val="auto"/>
              </w:rPr>
            </w:pPr>
            <w:r>
              <w:rPr>
                <w:rFonts w:ascii="Arial" w:cs="Arial" w:eastAsia="Arial" w:hAnsi="Arial"/>
                <w:sz w:val="18"/>
                <w:szCs w:val="18"/>
                <w:color w:val="auto"/>
              </w:rPr>
              <w:t>broker non-votes will have no effect on the results of this vote.</w:t>
            </w:r>
          </w:p>
        </w:tc>
      </w:tr>
      <w:tr>
        <w:trPr>
          <w:trHeight w:val="864"/>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3860" w:val="left"/>
        </w:tabs>
        <w:rPr>
          <w:sz w:val="20"/>
          <w:szCs w:val="20"/>
          <w:color w:val="auto"/>
        </w:rPr>
      </w:pPr>
      <w:r>
        <w:rPr>
          <w:rFonts w:ascii="Arial" w:cs="Arial" w:eastAsia="Arial" w:hAnsi="Arial"/>
          <w:sz w:val="18"/>
          <w:szCs w:val="18"/>
          <w:b w:val="1"/>
          <w:bCs w:val="1"/>
          <w:color w:val="auto"/>
        </w:rPr>
        <w:t>Proposal 2: Reverse Stock Split</w:t>
      </w:r>
      <w:r>
        <w:rPr>
          <w:sz w:val="20"/>
          <w:szCs w:val="20"/>
          <w:color w:val="auto"/>
        </w:rPr>
        <w:tab/>
      </w:r>
      <w:r>
        <w:rPr>
          <w:rFonts w:ascii="Arial" w:cs="Arial" w:eastAsia="Arial" w:hAnsi="Arial"/>
          <w:sz w:val="18"/>
          <w:szCs w:val="18"/>
          <w:color w:val="auto"/>
        </w:rPr>
        <w:t>The affirmative vote of the holders of a majority of the outstanding shares of our</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common stock entitled to vote on the matter either in person or by proxy at the annual</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meeting is required to approve the amendment to our amended and restated certificate of</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incorporation to effect a reverse stock split of our common stock. Abstentions will be</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treated as votes against this proposal. Brokerage firms have authority to vote customers’</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unvoted shares held by the firms in street name on this proposal. If a broker does not</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exercise this authority, such broker non-votes will be treated as votes against this</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proposal.</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 w:leader="none" w:pos="1100" w:val="left"/>
          <w:tab w:leader="none" w:pos="1920" w:val="left"/>
          <w:tab w:leader="none" w:pos="2220" w:val="left"/>
          <w:tab w:leader="none" w:pos="3120" w:val="left"/>
          <w:tab w:leader="none" w:pos="3420" w:val="left"/>
          <w:tab w:leader="none" w:pos="3860" w:val="left"/>
        </w:tabs>
        <w:rPr>
          <w:sz w:val="20"/>
          <w:szCs w:val="20"/>
          <w:color w:val="auto"/>
        </w:rPr>
      </w:pPr>
      <w:r>
        <w:rPr>
          <w:rFonts w:ascii="Arial" w:cs="Arial" w:eastAsia="Arial" w:hAnsi="Arial"/>
          <w:sz w:val="18"/>
          <w:szCs w:val="18"/>
          <w:b w:val="1"/>
          <w:bCs w:val="1"/>
          <w:color w:val="auto"/>
        </w:rPr>
        <w:t>Proposal</w:t>
        <w:tab/>
        <w:t>3:</w:t>
        <w:tab/>
        <w:t>Issuance</w:t>
        <w:tab/>
        <w:t>of</w:t>
        <w:tab/>
        <w:t>Securities</w:t>
        <w:tab/>
        <w:t>in</w:t>
        <w:tab/>
        <w:t>the</w:t>
      </w:r>
      <w:r>
        <w:rPr>
          <w:sz w:val="20"/>
          <w:szCs w:val="20"/>
          <w:color w:val="auto"/>
        </w:rPr>
        <w:tab/>
      </w:r>
      <w:r>
        <w:rPr>
          <w:rFonts w:ascii="Arial" w:cs="Arial" w:eastAsia="Arial" w:hAnsi="Arial"/>
          <w:sz w:val="16"/>
          <w:szCs w:val="16"/>
          <w:color w:val="auto"/>
        </w:rPr>
        <w:t>The affirmative vote of the holders of a majority of the shares of common stock present</w:t>
      </w:r>
    </w:p>
    <w:p>
      <w:pPr>
        <w:spacing w:after="0" w:line="27" w:lineRule="exact"/>
        <w:rPr>
          <w:sz w:val="20"/>
          <w:szCs w:val="20"/>
          <w:color w:val="auto"/>
        </w:rPr>
      </w:pPr>
    </w:p>
    <w:p>
      <w:pPr>
        <w:spacing w:after="0"/>
        <w:tabs>
          <w:tab w:leader="none" w:pos="3860" w:val="left"/>
        </w:tabs>
        <w:rPr>
          <w:sz w:val="20"/>
          <w:szCs w:val="20"/>
          <w:color w:val="auto"/>
        </w:rPr>
      </w:pPr>
      <w:r>
        <w:rPr>
          <w:rFonts w:ascii="Arial" w:cs="Arial" w:eastAsia="Arial" w:hAnsi="Arial"/>
          <w:sz w:val="16"/>
          <w:szCs w:val="16"/>
          <w:b w:val="1"/>
          <w:bCs w:val="1"/>
          <w:color w:val="auto"/>
        </w:rPr>
        <w:t>Financing</w:t>
      </w:r>
      <w:r>
        <w:rPr>
          <w:sz w:val="20"/>
          <w:szCs w:val="20"/>
          <w:color w:val="auto"/>
        </w:rPr>
        <w:tab/>
      </w:r>
      <w:r>
        <w:rPr>
          <w:rFonts w:ascii="Arial" w:cs="Arial" w:eastAsia="Arial" w:hAnsi="Arial"/>
          <w:sz w:val="16"/>
          <w:szCs w:val="16"/>
          <w:color w:val="auto"/>
        </w:rPr>
        <w:t>and entitled to vote on the matter either in person or by proxy at the annual meeting is</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required to approve, in accordance with NASDAQ Listing Rule 5635(d), the issuance,</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under the terms of that certain Securities Purchase Agreement dated May 4, 2015, by</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and among Vringo, Inc. and the investors thereto, and related documents, of shares of</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our common stock underlying convertible notes and warrants issued by us in an amount</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equal to or in excess of 20% of our common stock outstanding before the issuance of</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such convertible notes and warrants. Abstentions will be treated as votes against this</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proposal. Brokerage firms do not have authority to vote customers’ unvoted shares held</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by the firms in street name on this proposal. As a result, any shares not voted by a</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customer will be treated as a broker non-vote. Such broker non-votes will have no effect</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on the results of this vote.</w:t>
      </w:r>
    </w:p>
    <w:p>
      <w:pPr>
        <w:spacing w:after="0" w:line="207"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b w:val="1"/>
          <w:bCs w:val="1"/>
          <w:color w:val="auto"/>
        </w:rPr>
        <w:t>Proposal 4: Increase the Number of Authorized</w:t>
      </w:r>
      <w:r>
        <w:rPr>
          <w:sz w:val="20"/>
          <w:szCs w:val="20"/>
          <w:color w:val="auto"/>
        </w:rPr>
        <w:tab/>
      </w:r>
      <w:r>
        <w:rPr>
          <w:rFonts w:ascii="Arial" w:cs="Arial" w:eastAsia="Arial" w:hAnsi="Arial"/>
          <w:sz w:val="18"/>
          <w:szCs w:val="18"/>
          <w:color w:val="auto"/>
        </w:rPr>
        <w:t>The affirmative vote of the holders of a majority of the outstanding shares of our</w:t>
      </w:r>
    </w:p>
    <w:p>
      <w:pPr>
        <w:spacing w:after="0" w:line="27" w:lineRule="exact"/>
        <w:rPr>
          <w:sz w:val="20"/>
          <w:szCs w:val="20"/>
          <w:color w:val="auto"/>
        </w:rPr>
      </w:pPr>
    </w:p>
    <w:p>
      <w:pPr>
        <w:spacing w:after="0"/>
        <w:tabs>
          <w:tab w:leader="none" w:pos="386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color w:val="auto"/>
        </w:rPr>
        <w:t>common stock entitled to vote on the matter either in person or by proxy at the annual</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meeting is required to approve the amendment to our amended and restated certificate of</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incorporation to increase the number of our authorized shares of common stock.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Abstentions will be treated as votes against this proposal. Brokerage firms do not have</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authority to vote customers’ unvoted shares held by the firms in street name on this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proposal. As a result, any shares not voted by a customer will be treated as a broker non-</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vote. Such broker non-votes will be treated as votes against this proposal.</w:t>
      </w:r>
    </w:p>
    <w:p>
      <w:pPr>
        <w:sectPr>
          <w:pgSz w:w="11900" w:h="16838" w:orient="portrait"/>
          <w:cols w:equalWidth="0" w:num="1">
            <w:col w:w="10300"/>
          </w:cols>
          <w:pgMar w:left="1000" w:top="904" w:right="599" w:bottom="1440" w:gutter="0" w:footer="0" w:header="0"/>
        </w:sectPr>
      </w:pPr>
    </w:p>
    <w:p>
      <w:pPr>
        <w:spacing w:after="0" w:line="20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Proposal 5: Approve Amendment to Increase the Shares Available under our Plan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in person or by proxy at the annual meeting is required to approve the amendment to the Plan.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200" w:lineRule="exact"/>
        <w:rPr>
          <w:sz w:val="20"/>
          <w:szCs w:val="20"/>
          <w:color w:val="auto"/>
        </w:rPr>
      </w:pPr>
    </w:p>
    <w:p>
      <w:pPr>
        <w:sectPr>
          <w:pgSz w:w="11900" w:h="16838" w:orient="portrait"/>
          <w:cols w:equalWidth="0" w:num="2">
            <w:col w:w="3680" w:space="200"/>
            <w:col w:w="6420"/>
          </w:cols>
          <w:pgMar w:left="1000" w:top="904" w:right="599" w:bottom="1440" w:gutter="0" w:footer="0" w:header="0"/>
          <w:type w:val="continuous"/>
        </w:sectPr>
      </w:pPr>
    </w:p>
    <w:p>
      <w:pPr>
        <w:spacing w:after="0" w:line="194"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43815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00"/>
          </w:cols>
          <w:pgMar w:left="1000" w:top="904" w:right="599" w:bottom="1440" w:gutter="0" w:footer="0" w:header="0"/>
          <w:type w:val="continuous"/>
        </w:sectPr>
      </w:pPr>
    </w:p>
    <w:bookmarkStart w:id="13" w:name="page14"/>
    <w:bookmarkEnd w:id="13"/>
    <w:p>
      <w:pPr>
        <w:ind w:left="760"/>
        <w:spacing w:after="0"/>
        <w:tabs>
          <w:tab w:leader="none" w:pos="4620" w:val="left"/>
        </w:tabs>
        <w:rPr>
          <w:sz w:val="20"/>
          <w:szCs w:val="20"/>
          <w:color w:val="auto"/>
        </w:rPr>
      </w:pPr>
      <w:r>
        <w:rPr>
          <w:rFonts w:ascii="Arial" w:cs="Arial" w:eastAsia="Arial" w:hAnsi="Arial"/>
          <w:sz w:val="18"/>
          <w:szCs w:val="18"/>
          <w:b w:val="1"/>
          <w:bCs w:val="1"/>
          <w:color w:val="auto"/>
        </w:rPr>
        <w:t>Proposal 6: Ratify Selection of  Independent</w:t>
      </w:r>
      <w:r>
        <w:rPr>
          <w:sz w:val="20"/>
          <w:szCs w:val="20"/>
          <w:color w:val="auto"/>
        </w:rPr>
        <w:tab/>
      </w:r>
      <w:r>
        <w:rPr>
          <w:rFonts w:ascii="Arial" w:cs="Arial" w:eastAsia="Arial" w:hAnsi="Arial"/>
          <w:sz w:val="16"/>
          <w:szCs w:val="16"/>
          <w:color w:val="auto"/>
        </w:rPr>
        <w:t>The affirmative vote of the holders of a majority of the shares of common stock present</w:t>
      </w:r>
    </w:p>
    <w:p>
      <w:pPr>
        <w:spacing w:after="0" w:line="27" w:lineRule="exact"/>
        <w:rPr>
          <w:sz w:val="20"/>
          <w:szCs w:val="20"/>
          <w:color w:val="auto"/>
        </w:rPr>
      </w:pPr>
    </w:p>
    <w:p>
      <w:pPr>
        <w:jc w:val="both"/>
        <w:ind w:left="4640" w:right="360" w:hanging="3888"/>
        <w:spacing w:after="0" w:line="268" w:lineRule="auto"/>
        <w:tabs>
          <w:tab w:leader="none" w:pos="4620" w:val="left"/>
        </w:tabs>
        <w:rPr>
          <w:sz w:val="20"/>
          <w:szCs w:val="20"/>
          <w:color w:val="auto"/>
        </w:rPr>
      </w:pPr>
      <w:r>
        <w:rPr>
          <w:rFonts w:ascii="Arial" w:cs="Arial" w:eastAsia="Arial" w:hAnsi="Arial"/>
          <w:sz w:val="18"/>
          <w:szCs w:val="18"/>
          <w:b w:val="1"/>
          <w:bCs w:val="1"/>
          <w:color w:val="auto"/>
        </w:rPr>
        <w:t>Registered Public Accounting Firm</w:t>
      </w:r>
      <w:r>
        <w:rPr>
          <w:sz w:val="20"/>
          <w:szCs w:val="20"/>
          <w:color w:val="auto"/>
        </w:rPr>
        <w:tab/>
      </w:r>
      <w:r>
        <w:rPr>
          <w:rFonts w:ascii="Arial" w:cs="Arial" w:eastAsia="Arial" w:hAnsi="Arial"/>
          <w:sz w:val="17"/>
          <w:szCs w:val="17"/>
          <w:color w:val="auto"/>
        </w:rPr>
        <w:t>and entitled to vote on the matter either in person or by proxy at the annual meeting is required to approve to ratify the selection of our independent registered public accounting firm.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CohnReznik LLP as our independent registered public accounting firm for 2015, our Audit Committee of our Board of Directors will reconsider its selection.</w:t>
      </w:r>
    </w:p>
    <w:p>
      <w:pPr>
        <w:sectPr>
          <w:pgSz w:w="11900" w:h="16838" w:orient="portrait"/>
          <w:cols w:equalWidth="0" w:num="1">
            <w:col w:w="11420"/>
          </w:cols>
          <w:pgMar w:left="240" w:top="904" w:right="239" w:bottom="1440" w:gutter="0" w:footer="0" w:header="0"/>
        </w:sectPr>
      </w:pPr>
    </w:p>
    <w:p>
      <w:pPr>
        <w:spacing w:after="0" w:line="176" w:lineRule="exact"/>
        <w:rPr>
          <w:sz w:val="20"/>
          <w:szCs w:val="20"/>
          <w:color w:val="auto"/>
        </w:rPr>
      </w:pPr>
    </w:p>
    <w:p>
      <w:pPr>
        <w:ind w:left="760"/>
        <w:spacing w:after="0" w:line="347" w:lineRule="auto"/>
        <w:rPr>
          <w:sz w:val="20"/>
          <w:szCs w:val="20"/>
          <w:color w:val="auto"/>
        </w:rPr>
      </w:pPr>
      <w:r>
        <w:rPr>
          <w:rFonts w:ascii="Arial" w:cs="Arial" w:eastAsia="Arial" w:hAnsi="Arial"/>
          <w:sz w:val="16"/>
          <w:szCs w:val="16"/>
          <w:b w:val="1"/>
          <w:bCs w:val="1"/>
          <w:color w:val="auto"/>
        </w:rPr>
        <w:t>Proposal 7: Approve an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ind w:right="360"/>
        <w:spacing w:after="0" w:line="269"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in person or by proxy at the annual meeting is required to approve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79" w:lineRule="exact"/>
        <w:rPr>
          <w:sz w:val="20"/>
          <w:szCs w:val="20"/>
          <w:color w:val="auto"/>
        </w:rPr>
      </w:pPr>
    </w:p>
    <w:p>
      <w:pPr>
        <w:sectPr>
          <w:pgSz w:w="11900" w:h="16838" w:orient="portrait"/>
          <w:cols w:equalWidth="0" w:num="2">
            <w:col w:w="4440" w:space="200"/>
            <w:col w:w="6780"/>
          </w:cols>
          <w:pgMar w:left="240" w:top="90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Is Voting Confidential?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engaged ________________, to act as our proxy solicitor in connection with the proposals to be acted upon at our annual meeting.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our agreement with ________, _________ will, among other things, provide advice regarding proxy solicitation issues and solicit proxies from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stockholders on our behalf in connection with the annual meeting. For these services, we will pay a fee of approximately $_______ plus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Attending the Annual Meeting</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annual meeting will be held at 11:00 a.m., Eastern time, on </w:t>
      </w:r>
      <w:r>
        <w:rPr>
          <w:rFonts w:ascii="Arial" w:cs="Arial" w:eastAsia="Arial" w:hAnsi="Arial"/>
          <w:sz w:val="18"/>
          <w:szCs w:val="18"/>
          <w:b w:val="1"/>
          <w:bCs w:val="1"/>
          <w:color w:val="auto"/>
        </w:rPr>
        <w:t>[DAY, DATE]</w:t>
      </w:r>
      <w:r>
        <w:rPr>
          <w:rFonts w:ascii="Arial" w:cs="Arial" w:eastAsia="Arial" w:hAnsi="Arial"/>
          <w:sz w:val="18"/>
          <w:szCs w:val="18"/>
          <w:color w:val="auto"/>
        </w:rPr>
        <w:t xml:space="preserve"> at the offices of Mintz, Levin, Cohn, Ferris, Glovsky and Popeo, P.C., the Chrysler Center, 666 Third Avenue, New York, New York 10017. When you arrive at the offices of Mintz, Levin, Cohn, Ferris, Glovsky and Popeo, P.C., signs will direct you to the appropriate meeting rooms. You need not attend the annual meeting in order to vote.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If your household received a single Notice or, if applicable, a single set of proxy materials this year, but you would prefer to receive your own copy, please contact Clifford Weinstein, Executive Vice President, via email at </w:t>
      </w:r>
      <w:r>
        <w:rPr>
          <w:rFonts w:ascii="Arial" w:cs="Arial" w:eastAsia="Arial" w:hAnsi="Arial"/>
          <w:sz w:val="17"/>
          <w:szCs w:val="17"/>
          <w:u w:val="single" w:color="auto"/>
          <w:color w:val="auto"/>
        </w:rPr>
        <w:t>cweinstein@vringoinc.com</w:t>
      </w:r>
      <w:r>
        <w:rPr>
          <w:rFonts w:ascii="Arial" w:cs="Arial" w:eastAsia="Arial" w:hAnsi="Arial"/>
          <w:sz w:val="17"/>
          <w:szCs w:val="17"/>
          <w:color w:val="auto"/>
        </w:rPr>
        <w:t xml:space="preserve"> or by calling 1-646-532-6777.</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 and together both of you would like to receive only a single Notice or, if applicable, set of proxy materials, follow these instructions:</w:t>
      </w:r>
    </w:p>
    <w:p>
      <w:pPr>
        <w:spacing w:after="0" w:line="181" w:lineRule="exact"/>
        <w:rPr>
          <w:sz w:val="20"/>
          <w:szCs w:val="20"/>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Most stockholders can elect to view or receive copies of future proxy materials over the Internet instead of receiving paper copies in the mail.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22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b w:val="1"/>
          <w:bCs w:val="1"/>
          <w:color w:val="auto"/>
        </w:rPr>
        <w:t>[INSERT INTERNET CITE]</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18, 2015 for (a) the executive officers named in the Summary Compensation Table on page 22 of this proxy statement, (b) each of our directors and director nominees,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of August 18, 2015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101,502,805 shares of common stock outstanding on August 18,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and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Nature of</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30"/>
                <w:szCs w:val="30"/>
                <w:b w:val="1"/>
                <w:bCs w:val="1"/>
                <w:color w:val="auto"/>
                <w:vertAlign w:val="superscript"/>
              </w:rPr>
              <w:t>(1)</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8100" w:type="dxa"/>
            <w:vAlign w:val="bottom"/>
            <w:gridSpan w:val="3"/>
            <w:vMerge w:val="continue"/>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Ownership</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808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Iroquois Capital Management L.L.C.</w:t>
            </w:r>
            <w:r>
              <w:rPr>
                <w:rFonts w:ascii="Arial" w:cs="Arial" w:eastAsia="Arial" w:hAnsi="Arial"/>
                <w:sz w:val="28"/>
                <w:szCs w:val="28"/>
                <w:color w:val="auto"/>
                <w:vertAlign w:val="superscript"/>
              </w:rPr>
              <w:t>(2)</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16,243,573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780 Third Avenue, 12th Floor</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(3)</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7,443,039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(4)</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2,774,749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(5)</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1,627,196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860,000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(7)</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814,076</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(8)</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724,163</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(9)</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441,000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330,000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(11)</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280,500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80" w:type="dxa"/>
            <w:vAlign w:val="bottom"/>
            <w:gridSpan w:val="2"/>
          </w:tcPr>
          <w:p>
            <w:pPr>
              <w:spacing w:after="0" w:line="269" w:lineRule="exact"/>
              <w:rPr>
                <w:sz w:val="20"/>
                <w:szCs w:val="20"/>
                <w:color w:val="auto"/>
              </w:rPr>
            </w:pPr>
            <w:r>
              <w:rPr>
                <w:rFonts w:ascii="Arial" w:cs="Arial" w:eastAsia="Arial" w:hAnsi="Arial"/>
                <w:sz w:val="18"/>
                <w:szCs w:val="18"/>
                <w:color w:val="auto"/>
              </w:rPr>
              <w:t>Alexander R. Berger</w:t>
            </w:r>
            <w:r>
              <w:rPr>
                <w:rFonts w:ascii="Arial" w:cs="Arial" w:eastAsia="Arial" w:hAnsi="Arial"/>
                <w:sz w:val="30"/>
                <w:szCs w:val="30"/>
                <w:color w:val="auto"/>
                <w:vertAlign w:val="superscript"/>
              </w:rPr>
              <w:t>(12)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1,900,369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gridSpan w:val="2"/>
            <w:vMerge w:val="restart"/>
            <w:shd w:val="clear" w:color="auto" w:fill="CCEEFF"/>
          </w:tcPr>
          <w:p>
            <w:pPr>
              <w:spacing w:after="0" w:line="284" w:lineRule="exact"/>
              <w:rPr>
                <w:sz w:val="20"/>
                <w:szCs w:val="20"/>
                <w:color w:val="auto"/>
              </w:rPr>
            </w:pPr>
            <w:r>
              <w:rPr>
                <w:rFonts w:ascii="Arial" w:cs="Arial" w:eastAsia="Arial" w:hAnsi="Arial"/>
                <w:sz w:val="18"/>
                <w:szCs w:val="18"/>
                <w:color w:val="auto"/>
              </w:rPr>
              <w:t>All current directors and officers as a group (8 individuals)</w:t>
            </w:r>
            <w:r>
              <w:rPr>
                <w:rFonts w:ascii="Arial" w:cs="Arial" w:eastAsia="Arial" w:hAnsi="Arial"/>
                <w:sz w:val="30"/>
                <w:szCs w:val="30"/>
                <w:color w:val="auto"/>
                <w:vertAlign w:val="superscript"/>
              </w:rPr>
              <w:t>(13)</w:t>
            </w:r>
            <w:r>
              <w:rPr>
                <w:rFonts w:ascii="Arial" w:cs="Arial" w:eastAsia="Arial" w:hAnsi="Arial"/>
                <w:sz w:val="18"/>
                <w:szCs w:val="18"/>
                <w:color w:val="auto"/>
              </w:rPr>
              <w:t>:</w:t>
            </w: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80" w:type="dxa"/>
            <w:vAlign w:val="bottom"/>
            <w:gridSpan w:val="2"/>
            <w:vMerge w:val="continue"/>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7,851,684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ind w:left="340" w:hanging="332"/>
        <w:spacing w:after="0" w:line="183" w:lineRule="auto"/>
        <w:tabs>
          <w:tab w:leader="none" w:pos="340" w:val="left"/>
        </w:tabs>
        <w:numPr>
          <w:ilvl w:val="0"/>
          <w:numId w:val="15"/>
        </w:numPr>
        <w:rPr>
          <w:rFonts w:ascii="Arial" w:cs="Arial" w:eastAsia="Arial" w:hAnsi="Arial"/>
          <w:sz w:val="32"/>
          <w:szCs w:val="32"/>
          <w:color w:val="auto"/>
          <w:vertAlign w:val="superscript"/>
        </w:rPr>
      </w:pPr>
      <w:r>
        <w:rPr>
          <w:rFonts w:ascii="Arial" w:cs="Arial" w:eastAsia="Arial" w:hAnsi="Arial"/>
          <w:sz w:val="17"/>
          <w:szCs w:val="17"/>
          <w:color w:val="auto"/>
        </w:rPr>
        <w:t>Unless otherwise indicated, the business address of the individuals is c/o Vringo Inc., 780 Third Avenue, 12</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10017.</w:t>
      </w:r>
    </w:p>
    <w:p>
      <w:pPr>
        <w:spacing w:after="0" w:line="1" w:lineRule="exact"/>
        <w:rPr>
          <w:rFonts w:ascii="Arial" w:cs="Arial" w:eastAsia="Arial" w:hAnsi="Arial"/>
          <w:sz w:val="32"/>
          <w:szCs w:val="32"/>
          <w:color w:val="auto"/>
          <w:vertAlign w:val="superscript"/>
        </w:rPr>
      </w:pPr>
    </w:p>
    <w:p>
      <w:pPr>
        <w:jc w:val="both"/>
        <w:ind w:left="340" w:hanging="332"/>
        <w:spacing w:after="0" w:line="267"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a Schedule 13G filed by Iroquois Capital Management L.L.C. (“Iroquois”) on May 12, 2015. As of such date, Iroquois may be deemed to beneficially own (i) $12,500,000 principal amount of Senior Secured Convertible Notes (the “Convertible Notes”) convertible into 12,500,000 shares of our common stock, and (ii) warrants (the “Warrants”) to purchase an aggregate of 2,219,803 shares of our common stock. Of such shares, 10,000,000 shares of common stock are issuable upon Convertible Notes held by Iroquois Master Fund Ltd. (the “Fund”), and 2,500,000 shares of common stock are issuable upon Convertible Notes held by Iroquois Capital Investment Group LLC (“ICIG”). The Convertible Notes may not be converted, and the Warrants are not exercisable, to the extent that the holder or any of its affiliates would own more than a maximum of 9.99% of the outstanding common stock of the Issuer after such conversion or exercise. Based on our records, as of August 18, 2015, $9,319,778 of Convertible Notes and 5,375,000 shares of common stock issuable upon the warrants that become execrable starting November 5, 2015 were outstanding. In addition, based on our records, the holders held 1,548,795 shares of our common stock. Mr. Abbe and Mr. Silverman are the members of Iroquois who have the authority and responsibility for the investments made on behalf of the Fund and ICIG. As such, Mr. Abbe and Mr. Silverman may be deemed to be the beneficial owner of all shares of common stock held by the Fund and ICIG.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left="352" w:hanging="352"/>
        <w:spacing w:after="0" w:line="253" w:lineRule="auto"/>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326,389 shares of our common stock and warrants to purchase 2,052,419 shares of our common stock exercisable within the next 60 days. 2,344,509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3,309,548 shares held by Innovation Spring LLC.</w:t>
      </w:r>
    </w:p>
    <w:p>
      <w:pPr>
        <w:spacing w:after="0" w:line="3" w:lineRule="exact"/>
        <w:rPr>
          <w:rFonts w:ascii="Arial" w:cs="Arial" w:eastAsia="Arial" w:hAnsi="Arial"/>
          <w:sz w:val="18"/>
          <w:szCs w:val="18"/>
          <w:color w:val="auto"/>
        </w:rPr>
      </w:pPr>
    </w:p>
    <w:p>
      <w:pPr>
        <w:ind w:left="352" w:hanging="352"/>
        <w:spacing w:after="0" w:line="250" w:lineRule="auto"/>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2,356,084 shares of our common stock and warrants to purchase 40,000 shares of our common stock exercisable within the next 60 days.</w:t>
      </w:r>
    </w:p>
    <w:p>
      <w:pPr>
        <w:ind w:left="352" w:right="20" w:hanging="352"/>
        <w:spacing w:after="0" w:line="281" w:lineRule="auto"/>
        <w:tabs>
          <w:tab w:leader="none" w:pos="3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options to purchase 441,178 shares of our common stock and warrants to purchase 302,203 shares of our common stock exercisable within the next 60 days. 733,815 shares of common stock and 302,203 shares issuable upon exercise of warrants are held by the Donald E. and Mary Stout Trust.</w:t>
      </w:r>
    </w:p>
    <w:p>
      <w:pPr>
        <w:spacing w:after="0" w:line="1" w:lineRule="exact"/>
        <w:rPr>
          <w:rFonts w:ascii="Arial" w:cs="Arial" w:eastAsia="Arial" w:hAnsi="Arial"/>
          <w:sz w:val="16"/>
          <w:szCs w:val="16"/>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818,333 shares of our common stock exercisable within the next 60 days.</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627,500 shares of our common stock exercisable within the next 60 days.</w:t>
      </w:r>
    </w:p>
    <w:p>
      <w:pPr>
        <w:spacing w:after="0" w:line="9" w:lineRule="exact"/>
        <w:rPr>
          <w:rFonts w:ascii="Arial" w:cs="Arial" w:eastAsia="Arial" w:hAnsi="Arial"/>
          <w:sz w:val="18"/>
          <w:szCs w:val="18"/>
          <w:color w:val="auto"/>
        </w:rPr>
      </w:pPr>
    </w:p>
    <w:p>
      <w:pPr>
        <w:ind w:left="352" w:hanging="352"/>
        <w:spacing w:after="0" w:line="250" w:lineRule="auto"/>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400,000 shares of our common stock and warrants to purchase 49,709 shares of our common stock exercisable within the next 60 days.</w:t>
      </w: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425,000 shares of our common stock exercisable within the next 60 days.</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255,000 shares of our common stock exercisable within the next 60 days.</w:t>
      </w:r>
    </w:p>
    <w:p>
      <w:pPr>
        <w:spacing w:after="0" w:line="9" w:lineRule="exact"/>
        <w:rPr>
          <w:rFonts w:ascii="Arial" w:cs="Arial" w:eastAsia="Arial" w:hAnsi="Arial"/>
          <w:sz w:val="18"/>
          <w:szCs w:val="18"/>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270,500 shares of our common stock exercisable within the next 60 days.</w:t>
      </w:r>
    </w:p>
    <w:p>
      <w:pPr>
        <w:spacing w:after="0" w:line="9" w:lineRule="exact"/>
        <w:rPr>
          <w:rFonts w:ascii="Arial" w:cs="Arial" w:eastAsia="Arial" w:hAnsi="Arial"/>
          <w:sz w:val="18"/>
          <w:szCs w:val="18"/>
          <w:color w:val="auto"/>
        </w:rPr>
      </w:pPr>
    </w:p>
    <w:p>
      <w:pPr>
        <w:jc w:val="both"/>
        <w:ind w:left="352" w:hanging="352"/>
        <w:spacing w:after="0" w:line="250" w:lineRule="auto"/>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Amendment No. 1 to Schedule 13D/A filed by Mr. Berger with the SEC on March 16, 2015. Includes an aggregate of Series 1 Warrants to purchase 172,805 shares of our common stock and Series 2 Warrants to purchase 372,816 shares of our common stock. Mr. Berger has the sole power to vote or to direct the vote and sole power to dispose or direct the disposition of 1,900,369 shares of common stock beneficially owned by him; 405,856 shares of our common stock, Series 1 Warrants to purchase 172,805 shares of our common stock and Series 2 Warrants to purchase 372,816 shares of our common stock are held by Alexander Ross Berger Revocable Trust, of which Mr. Berger is trustee; and 750,000 shares of our common stock are held by ARB Family Trust, of which Mr. Berger is trustee.</w:t>
      </w:r>
    </w:p>
    <w:p>
      <w:pPr>
        <w:spacing w:after="0" w:line="2" w:lineRule="exact"/>
        <w:rPr>
          <w:rFonts w:ascii="Arial" w:cs="Arial" w:eastAsia="Arial" w:hAnsi="Arial"/>
          <w:sz w:val="18"/>
          <w:szCs w:val="18"/>
          <w:color w:val="auto"/>
        </w:rPr>
      </w:pPr>
    </w:p>
    <w:p>
      <w:pPr>
        <w:ind w:left="352" w:hanging="352"/>
        <w:spacing w:after="0"/>
        <w:tabs>
          <w:tab w:leader="none" w:pos="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footnotes (4)-(11).</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MANAGEMENT AND CORPORATE GOVERNANCE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currently consists of six (6)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ectPr>
          <w:pgSz w:w="11900" w:h="16838" w:orient="portrait"/>
          <w:cols w:equalWidth="0" w:num="1">
            <w:col w:w="11420"/>
          </w:cols>
          <w:pgMar w:left="240" w:top="904" w:right="239" w:bottom="1440" w:gutter="0" w:footer="0" w:header="0"/>
        </w:sectPr>
      </w:pPr>
    </w:p>
    <w:p>
      <w:pPr>
        <w:spacing w:after="0" w:line="189" w:lineRule="exact"/>
        <w:rPr>
          <w:sz w:val="20"/>
          <w:szCs w:val="20"/>
          <w:color w:val="auto"/>
        </w:rPr>
      </w:pPr>
    </w:p>
    <w:p>
      <w:pPr>
        <w:jc w:val="right"/>
        <w:ind w:right="1420"/>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95" w:lineRule="auto"/>
        <w:rPr>
          <w:sz w:val="20"/>
          <w:szCs w:val="20"/>
          <w:color w:val="auto"/>
        </w:rPr>
      </w:pPr>
      <w:r>
        <w:rPr>
          <w:rFonts w:ascii="Arial" w:cs="Arial" w:eastAsia="Arial" w:hAnsi="Arial"/>
          <w:sz w:val="18"/>
          <w:szCs w:val="18"/>
          <w:color w:val="auto"/>
        </w:rPr>
        <w:t xml:space="preserve">H. Van Sinclair* </w:t>
      </w:r>
      <w:r>
        <w:rPr>
          <w:rFonts w:ascii="Arial" w:cs="Arial" w:eastAsia="Arial" w:hAnsi="Arial"/>
          <w:sz w:val="30"/>
          <w:szCs w:val="30"/>
          <w:color w:val="auto"/>
          <w:vertAlign w:val="superscript"/>
        </w:rPr>
        <w:t>(2)(3)</w:t>
      </w:r>
    </w:p>
    <w:p>
      <w:pPr>
        <w:spacing w:after="0" w:line="184" w:lineRule="auto"/>
        <w:rPr>
          <w:sz w:val="20"/>
          <w:szCs w:val="20"/>
          <w:color w:val="auto"/>
        </w:rPr>
      </w:pPr>
      <w:r>
        <w:rPr>
          <w:rFonts w:ascii="Arial" w:cs="Arial" w:eastAsia="Arial" w:hAnsi="Arial"/>
          <w:sz w:val="18"/>
          <w:szCs w:val="18"/>
          <w:color w:val="auto"/>
        </w:rPr>
        <w:t xml:space="preserve">John Engelman* </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Ashley C. Keller* </w:t>
      </w:r>
      <w:r>
        <w:rPr>
          <w:rFonts w:ascii="Arial" w:cs="Arial" w:eastAsia="Arial" w:hAnsi="Arial"/>
          <w:sz w:val="29"/>
          <w:szCs w:val="29"/>
          <w:color w:val="auto"/>
          <w:vertAlign w:val="superscript"/>
        </w:rPr>
        <w:t>(2)(3)(4)</w:t>
      </w:r>
    </w:p>
    <w:p>
      <w:pPr>
        <w:spacing w:after="0" w:line="185" w:lineRule="auto"/>
        <w:rPr>
          <w:sz w:val="20"/>
          <w:szCs w:val="20"/>
          <w:color w:val="auto"/>
        </w:rPr>
      </w:pPr>
      <w:r>
        <w:rPr>
          <w:rFonts w:ascii="Arial" w:cs="Arial" w:eastAsia="Arial" w:hAnsi="Arial"/>
          <w:sz w:val="18"/>
          <w:szCs w:val="18"/>
          <w:color w:val="auto"/>
        </w:rPr>
        <w:t xml:space="preserve">Noel J. Spiegel* </w:t>
      </w:r>
      <w:r>
        <w:rPr>
          <w:rFonts w:ascii="Arial" w:cs="Arial" w:eastAsia="Arial" w:hAnsi="Arial"/>
          <w:sz w:val="29"/>
          <w:szCs w:val="29"/>
          <w:color w:val="auto"/>
          <w:vertAlign w:val="superscript"/>
        </w:rPr>
        <w:t>(1)(2)</w:t>
      </w:r>
    </w:p>
    <w:p>
      <w:pPr>
        <w:spacing w:after="0"/>
        <w:rPr>
          <w:sz w:val="20"/>
          <w:szCs w:val="20"/>
          <w:color w:val="auto"/>
        </w:rPr>
      </w:pPr>
      <w:r>
        <w:rPr>
          <w:rFonts w:ascii="Arial" w:cs="Arial" w:eastAsia="Arial" w:hAnsi="Arial"/>
          <w:sz w:val="18"/>
          <w:szCs w:val="18"/>
          <w:color w:val="auto"/>
        </w:rPr>
        <w:t xml:space="preserve">Donald E. Stout* </w:t>
      </w:r>
      <w:r>
        <w:rPr>
          <w:rFonts w:ascii="Arial" w:cs="Arial" w:eastAsia="Arial" w:hAnsi="Arial"/>
          <w:sz w:val="30"/>
          <w:szCs w:val="30"/>
          <w:color w:val="auto"/>
          <w:vertAlign w:val="superscript"/>
        </w:rPr>
        <w:t>(1)(5)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tabs>
          <w:tab w:leader="none" w:pos="2780" w:val="left"/>
        </w:tabs>
        <w:rPr>
          <w:sz w:val="20"/>
          <w:szCs w:val="20"/>
          <w:color w:val="auto"/>
        </w:rPr>
      </w:pPr>
      <w:r>
        <w:rPr>
          <w:rFonts w:ascii="Arial" w:cs="Arial" w:eastAsia="Arial" w:hAnsi="Arial"/>
          <w:sz w:val="16"/>
          <w:szCs w:val="16"/>
          <w:color w:val="auto"/>
        </w:rPr>
        <w:t>Age</w:t>
      </w:r>
      <w:r>
        <w:rPr>
          <w:sz w:val="20"/>
          <w:szCs w:val="20"/>
          <w:color w:val="auto"/>
        </w:rPr>
        <w:tab/>
      </w:r>
      <w:r>
        <w:rPr>
          <w:rFonts w:ascii="Arial" w:cs="Arial" w:eastAsia="Arial" w:hAnsi="Arial"/>
          <w:sz w:val="16"/>
          <w:szCs w:val="16"/>
          <w:color w:val="auto"/>
        </w:rPr>
        <w:t>Position with the Company</w:t>
      </w:r>
    </w:p>
    <w:p>
      <w:pPr>
        <w:spacing w:after="0" w:line="46" w:lineRule="exact"/>
        <w:rPr>
          <w:sz w:val="20"/>
          <w:szCs w:val="20"/>
          <w:color w:val="auto"/>
        </w:rPr>
      </w:pPr>
    </w:p>
    <w:p>
      <w:pPr>
        <w:ind w:left="600" w:hanging="544"/>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Chief Executive Officer and Director</w:t>
      </w:r>
    </w:p>
    <w:p>
      <w:pPr>
        <w:spacing w:after="0" w:line="22" w:lineRule="exact"/>
        <w:rPr>
          <w:rFonts w:ascii="Arial" w:cs="Arial" w:eastAsia="Arial" w:hAnsi="Arial"/>
          <w:sz w:val="18"/>
          <w:szCs w:val="18"/>
          <w:color w:val="auto"/>
        </w:rPr>
      </w:pPr>
    </w:p>
    <w:p>
      <w:pPr>
        <w:ind w:left="600" w:hanging="544"/>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35" w:lineRule="exact"/>
        <w:rPr>
          <w:rFonts w:ascii="Arial" w:cs="Arial" w:eastAsia="Arial" w:hAnsi="Arial"/>
          <w:sz w:val="18"/>
          <w:szCs w:val="18"/>
          <w:color w:val="auto"/>
        </w:rPr>
      </w:pPr>
    </w:p>
    <w:p>
      <w:pPr>
        <w:ind w:left="600" w:hanging="544"/>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00" w:hanging="544"/>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00" w:hanging="544"/>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00" w:hanging="544"/>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-919480</wp:posOffset>
            </wp:positionV>
            <wp:extent cx="4553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720" w:space="720"/>
            <w:col w:w="6980"/>
          </w:cols>
          <w:pgMar w:left="240" w:top="904" w:right="239" w:bottom="1440" w:gutter="0" w:footer="0" w:header="0"/>
          <w:type w:val="continuous"/>
        </w:sect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23"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Keller served as a member of the Compensation Committee through January 15, 2015.</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Stout joined the Compensation Committee on January 15, 2015.</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our Board of Directors has determined that the following members of the Board of Directors are “independent directors” as defined by The NASDAQ Stock Market</w:t>
      </w:r>
      <w:r>
        <w:rPr>
          <w:rFonts w:ascii="Arial" w:cs="Arial" w:eastAsia="Arial" w:hAnsi="Arial"/>
          <w:sz w:val="17"/>
          <w:szCs w:val="17"/>
          <w:b w:val="1"/>
          <w:bCs w:val="1"/>
          <w:color w:val="auto"/>
        </w:rPr>
        <w:t>:</w:t>
      </w:r>
      <w:r>
        <w:rPr>
          <w:rFonts w:ascii="Arial" w:cs="Arial" w:eastAsia="Arial" w:hAnsi="Arial"/>
          <w:sz w:val="17"/>
          <w:szCs w:val="17"/>
          <w:color w:val="auto"/>
        </w:rPr>
        <w:t xml:space="preserve"> H. Van Sinclair</w:t>
      </w:r>
      <w:r>
        <w:rPr>
          <w:rFonts w:ascii="Arial" w:cs="Arial" w:eastAsia="Arial" w:hAnsi="Arial"/>
          <w:sz w:val="17"/>
          <w:szCs w:val="17"/>
          <w:b w:val="1"/>
          <w:bCs w:val="1"/>
          <w:color w:val="auto"/>
        </w:rPr>
        <w:t>,</w:t>
      </w:r>
      <w:r>
        <w:rPr>
          <w:rFonts w:ascii="Arial" w:cs="Arial" w:eastAsia="Arial" w:hAnsi="Arial"/>
          <w:sz w:val="17"/>
          <w:szCs w:val="17"/>
          <w:color w:val="auto"/>
        </w:rPr>
        <w:t xml:space="preserve"> John Engelman, Ashley C. Keller, Noel J. Spiegel and Donald E. Stout.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our Chief Executive Officer (“CEO”) since March 2012, as our President from April 2010 to July 2012 and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Board of Directors 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our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such as Visa and Pepsi, and such artists as Britney Spears and Justin Timberlake. Mr. Perlman holds a Bachelor of Arts (“B.A.”) in Business Administration from the School of Business and Public Management at The George Washington University.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Mr. Perlman’s prior experience in licensing intellectual property and deal structuring qualifies him to serve on our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 additional experience and insights gained over the past five years at Vringo are a significant contribution to the Company and the Board of Directors.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8" w:name="page19"/>
    <w:bookmarkEnd w:id="18"/>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 Van Sinclair </w:t>
      </w:r>
      <w:r>
        <w:rPr>
          <w:rFonts w:ascii="Arial" w:cs="Arial" w:eastAsia="Arial" w:hAnsi="Arial"/>
          <w:sz w:val="17"/>
          <w:szCs w:val="17"/>
          <w:color w:val="auto"/>
        </w:rPr>
        <w:t>has been a director at Vringo since July 19, 2012 and was a director of Innovate/Protect from November 7, 2011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the merger with Vringo. Since 2003, Mr. Sinclair has served as President, CEO and General Counsel of The RLJ Companies (“RLJ”), the investment company organized by Robert L. Johnson, the founder of Black Entertainment Television. RLJ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RLJ’s portfolio investment companies. Mr. Sinclair has also served as Vice President of Legal and Business Affairs for RLJ Urban Lodging Funds, a private equity fund which concentrated on limited and focused service hotels; for RLJ Development, RLJ’s hotel and hospitality company; and as Acting President of the Charlotte Bobcats (now the Charlotte Hornets), the NBA franchise located in Charlotte, North Carolina. Mr. Sinclair has also served as a director of Urban Trust Bank, a federal thrift headquartered in Orlando, Florida, where he chaired the Audit Committee. Prior to joining RLJ, Mr. Sinclair specialized in complex commercial disputes and litigation for 28 years with the Washington, D.C. based law firm Arent Fox, PLLC (“Arent Fox”). In the late 1990’s, Mr. Sinclair became the partner in 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Sinclair’s experiences in commercial disputes, litigation, and board service on other public companies qualify him to serve on our Board of Directors.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been our director since December 2010. Mr. Engelman also serves as an independent director of Hemisphere Media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 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Ashley C. Keller </w:t>
      </w:r>
      <w:r>
        <w:rPr>
          <w:rFonts w:ascii="Arial" w:cs="Arial" w:eastAsia="Arial" w:hAnsi="Arial"/>
          <w:sz w:val="18"/>
          <w:szCs w:val="18"/>
          <w:color w:val="auto"/>
        </w:rPr>
        <w:t>has been our director since December 31, 2012. Ashley Keller is co-founder and Chief Investment Officer of Gerchen Keller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 private investment firm formed to invest in complex commercial legal claims. Prior to co-founding Gerchen Keller Capital, LLC, Mr. Keller was a special situations Analyst at Alyeska Investment Group (“Alyeska”),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 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We believe Mr. Keller’s experience in commercial litigation matters and involvement in securities and patent cases qualifies him to serve on our Board of Directors.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Noel J. Spiegel </w:t>
      </w:r>
      <w:r>
        <w:rPr>
          <w:rFonts w:ascii="Arial" w:cs="Arial" w:eastAsia="Arial" w:hAnsi="Arial"/>
          <w:sz w:val="17"/>
          <w:szCs w:val="17"/>
          <w:color w:val="auto"/>
        </w:rPr>
        <w:t>has been our director since May 6, 2013. Mr. Spiegel is currently a director of American Eagle Outfitters, Inc., where he serves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Audit Committee and a member of the Compensation Committee, a director of Radian Group, Inc., where he serves as a member of the Audit Committee as well as a director of vTv Therapeutics LLC, where he serves as the chairman of the Audit Committee. Mr. Spiegel was a partner at Deloitte &amp; Touche LLP (“Deloitte”),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Mr. Spiegel’s tenure of over forty years at Deloitte, coupled with his experience on public company boards of directors, qualifies him to serve on our Board of Directors.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a director at Vringo since July 19, 2012 and was a director of Innovate/Protect from November 7, 2011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merger with Vringo. In a career spanning over forty years, Mr. Stout has been involved in virtually all facets of intellectual property law. Mr. Stout is a partner at a law firm Fitch, Even, Tabin &amp; Flannery LLP since 2015 and he had been a senior partner at the law firm of Antonelli, Terry, Stout</w:t>
      </w:r>
    </w:p>
    <w:p>
      <w:pPr>
        <w:jc w:val="both"/>
        <w:ind w:firstLine="8"/>
        <w:spacing w:after="0" w:line="268" w:lineRule="auto"/>
        <w:tabs>
          <w:tab w:leader="none" w:pos="199" w:val="left"/>
        </w:tabs>
        <w:numPr>
          <w:ilvl w:val="0"/>
          <w:numId w:val="24"/>
        </w:numPr>
        <w:rPr>
          <w:rFonts w:ascii="Arial" w:cs="Arial" w:eastAsia="Arial" w:hAnsi="Arial"/>
          <w:sz w:val="17"/>
          <w:szCs w:val="17"/>
          <w:color w:val="auto"/>
        </w:rPr>
      </w:pPr>
      <w:r>
        <w:rPr>
          <w:rFonts w:ascii="Arial" w:cs="Arial" w:eastAsia="Arial" w:hAnsi="Arial"/>
          <w:sz w:val="17"/>
          <w:szCs w:val="17"/>
          <w:color w:val="auto"/>
        </w:rPr>
        <w:t>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serves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Mr. Stout’s experience in intellectual property law qualifies him to serve on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2014 there were 24 meetings of our Board of Directors, and the various committees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of Directors met a total of 10 times. No director attended fewer than 75% of the total number of meetings of the Board of Directors and of committees of the Board of Directors on which he served during fiscal 2014. The Board of Directors has adopted a policy under which each member of the Board of Directors is strongly encouraged but not required to attend each annual meeting of our stockholders.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met six times during fiscal 2014. This committee currently has three (3) members, Noel J. Spiegel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H. Van Sinclair and Ashley C. Keller.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United States Securities and Exchange Commission (“SEC”) and The NASDAQ Stock Market (“NASDAQ”), as such standards apply specifically to members of audit committees. The Board of Directors has determined that both Messrs. Spiegel and Sinclair are “audit committee financial experts,” as defined by the SEC in Item 407 of Regulation S-K.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right="20" w:firstLine="648"/>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www.vringoip.com</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met three times during fiscal 2014. This committee currently has three (3) members, John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Engelman (Chairman), Donald E. Stout and Noel J. Spiegel. Ashley C. Keller served as a member of the Compensation Committee through January 15, 2015. Mr. Stout joined the Compensation Committee on January 15, 2015.</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CEO, and shall conduct its decision making process with respect to that issue without the CEO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2014, based on the recommendation of management, the Compensation Committee did not engage third party compensation consultants.</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All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6"/>
          <w:szCs w:val="16"/>
          <w:i w:val="1"/>
          <w:iCs w:val="1"/>
          <w:color w:val="auto"/>
        </w:rPr>
        <w:t>www.vringoip.com</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 Committee met once during fiscal year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has two (2) members, H. Van Sinclair (Chairman) and Ashley C. Keller. The Nominating Committee’s role and responsibilities are set forth in the Nominating Committee’s written charter and is authorized to:</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firstLine="648"/>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u w:val="single" w:color="auto"/>
          <w:color w:val="auto"/>
        </w:rPr>
        <w:t>www.vringoip.com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year ended December 31, 2014, Messrs. Engelman, Keller and Spiegel served as members of our Compensation Committee. In 2014, none of our executive officers served on the Board of Directors or compensation committee of any entity that had one or more executive officers serving as a member of our Board of Directors or Compensation Committee. There are no family relationships between or among the members of our Board of Directors or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Perlman currently serves as our CEO and Mr. Sinclair, a non-management director, serves as our lead independent director.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229" w:lineRule="exact"/>
        <w:rPr>
          <w:sz w:val="20"/>
          <w:szCs w:val="20"/>
          <w:color w:val="auto"/>
        </w:rPr>
      </w:pPr>
    </w:p>
    <w:p>
      <w:pPr>
        <w:jc w:val="both"/>
        <w:ind w:firstLine="825"/>
        <w:spacing w:after="0" w:line="257" w:lineRule="auto"/>
        <w:rPr>
          <w:sz w:val="20"/>
          <w:szCs w:val="20"/>
          <w:color w:val="auto"/>
        </w:rPr>
      </w:pPr>
      <w:r>
        <w:rPr>
          <w:rFonts w:ascii="Arial" w:cs="Arial" w:eastAsia="Arial" w:hAnsi="Arial"/>
          <w:sz w:val="18"/>
          <w:szCs w:val="18"/>
          <w:color w:val="auto"/>
        </w:rPr>
        <w:t>Generally, stockholders who have questions or concerns should contact our Investor Relations department at 1-646-532-6777. However, any stockholders who wish to address questions regarding our business directly with the Board of Directors, or any individual director, should direct his or her questions via e-mail at cweinstein@vringoinc.com. Communications will be distributed to the Board of Directors, or to any individual director or directors as appropriate, depending on the facts and circumstances outlined in the communications. Items that are unrelated to the duties and responsibilities of the Board may be excluded, such as:</w:t>
      </w:r>
    </w:p>
    <w:p>
      <w:pPr>
        <w:spacing w:after="0" w:line="18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surveys,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any material that is unduly hostile, threatening, or illegal in nature may be excluded, provided that any communication that is filtered out will be made available to any outside director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who are not also directors. We have employment agreements with each of our executive officers.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Andrew D. Perlman</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40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Anastasia Nyrkovskaya</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34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David L. Cohen, Esq.</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3400" w:type="dxa"/>
            <w:vAlign w:val="bottom"/>
          </w:tcPr>
          <w:p>
            <w:pPr>
              <w:ind w:left="160"/>
              <w:spacing w:after="0"/>
              <w:rPr>
                <w:sz w:val="20"/>
                <w:szCs w:val="20"/>
                <w:color w:val="auto"/>
              </w:rPr>
            </w:pPr>
            <w:r>
              <w:rPr>
                <w:rFonts w:ascii="Arial" w:cs="Arial" w:eastAsia="Arial" w:hAnsi="Arial"/>
                <w:sz w:val="18"/>
                <w:szCs w:val="18"/>
                <w:color w:val="auto"/>
                <w:w w:val="92"/>
              </w:rPr>
              <w:t>Chief Legal and Intellectual Property Officer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Andrew D. Perlman </w:t>
      </w:r>
      <w:r>
        <w:rPr>
          <w:rFonts w:ascii="Arial" w:cs="Arial" w:eastAsia="Arial" w:hAnsi="Arial"/>
          <w:sz w:val="18"/>
          <w:szCs w:val="18"/>
          <w:color w:val="auto"/>
        </w:rPr>
        <w:t>our Chief Executive Officer and Director (see biography in the section above titled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Anastasia Nyrkovskaya </w:t>
      </w:r>
      <w:r>
        <w:rPr>
          <w:rFonts w:ascii="Arial" w:cs="Arial" w:eastAsia="Arial" w:hAnsi="Arial"/>
          <w:sz w:val="16"/>
          <w:szCs w:val="16"/>
          <w:color w:val="auto"/>
        </w:rPr>
        <w:t>joined the Company in May 2013 as our Chief Financial Officer. Ms. Nyrkovskaya oversees all aspects of the finance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functions, including: SEC and internal financial reporting, budgeting and forecasting, tax planning and reporting, human resources, and operational matters. Prior to joining the Company,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David L. Cohen, Esq</w:t>
      </w:r>
      <w:r>
        <w:rPr>
          <w:rFonts w:ascii="Arial" w:cs="Arial" w:eastAsia="Arial" w:hAnsi="Arial"/>
          <w:sz w:val="16"/>
          <w:szCs w:val="16"/>
          <w:color w:val="auto"/>
        </w:rPr>
        <w:t>. has served as our Secretary since January 15, 2015, Chief Legal and Intellectual Property Officer since May 7, 2013,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 of Litigation, Licensing and Intellectual Property from July 19, 2012 to May 7, 2013, and as Innovate/Protect’s Special Counsel from May 20, 2012 to July 19, 2012. Mr. Cohen oversees the Company’s world-wide efforts in intellectual property development and monetization. Prior to joining Vringo, Mr. Cohen was Senior Litigation Counsel at Nokia, where among his other duties, he oversaw many of Nokia’s litigations. Mr. Cohen has also worked in private practice at Lerner David Littenberg Krumholz &amp; Mentlik, LLP from 2004 to 2007 and at Skadden, Arps, Slate, Meagher &amp; Flom LLP from 2000 to 2004. Before practicing law, Mr. Cohen earned a B.A. and a Master of Arts (“M.A.”) from the Johns Hopkins University in the history of science and history; a Master of Philosophy in the history and philosophy of science from Cambridge University, an M.A. (with distinction) in legal and political theory from University College London, and a Juris Doctor (“J.D.”) (cum laude) from Northwestern University School of Law (“Northwestern”),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prepared the following Compensation Discussion and Analysis (“CD&amp;A”) to provide you with information that we believe is necessary to understand our executive compensation policies and decisions as they relate to the compensation of our named executive officers (“NEOs”).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our NEOs as of December 31, 2014:</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Andrew Kennedy Lang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Anastasia Nyrkovskaya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David L. Cohen, Esq.</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Technology Officer, President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and Intellectual Property Officer</w:t>
      </w:r>
    </w:p>
    <w:p>
      <w:pPr>
        <w:spacing w:after="0" w:line="200" w:lineRule="exact"/>
        <w:rPr>
          <w:sz w:val="20"/>
          <w:szCs w:val="20"/>
          <w:color w:val="auto"/>
        </w:rPr>
      </w:pPr>
    </w:p>
    <w:p>
      <w:pPr>
        <w:sectPr>
          <w:pgSz w:w="11900" w:h="16838" w:orient="portrait"/>
          <w:cols w:equalWidth="0" w:num="2">
            <w:col w:w="4660" w:space="720"/>
            <w:col w:w="6040"/>
          </w:cols>
          <w:pgMar w:left="240" w:top="904" w:right="239" w:bottom="1440" w:gutter="0" w:footer="0" w:header="0"/>
          <w:type w:val="continuous"/>
        </w:sectPr>
      </w:pPr>
    </w:p>
    <w:p>
      <w:pPr>
        <w:spacing w:after="0" w:line="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Alexander R. Berger served as our Chief Operating Officer and Director through December 19, 2014, at which time he ceased to be an executive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Performance, Compensation Determination Process, and Related Compensation Decisions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During 2014, a variety of decisions occurred with respect to the I/P Engine litigation against AOL Inc., Google Inc. et al. On August 15, 2014, the United States Court of Appeals for the Federal Circuit (“Federal Circuit”) reversed a judgment of the United States District Court for the Eastern District of Virginia by holding that the asserted claims of the patents-in-suit in the Company's wholly-owned subsidiary I/P Engine's litigation against AOL Inc., Google Inc. et al. are invalid for obviousness. 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 </w:t>
      </w:r>
      <w:r>
        <w:rPr>
          <w:rFonts w:ascii="Arial" w:cs="Arial" w:eastAsia="Arial" w:hAnsi="Arial"/>
          <w:sz w:val="16"/>
          <w:szCs w:val="16"/>
          <w:color w:val="181818"/>
        </w:rPr>
        <w:t>On December 15, 2014,</w:t>
      </w:r>
      <w:r>
        <w:rPr>
          <w:rFonts w:ascii="Arial" w:cs="Arial" w:eastAsia="Arial" w:hAnsi="Arial"/>
          <w:sz w:val="16"/>
          <w:szCs w:val="16"/>
          <w:color w:val="auto"/>
        </w:rPr>
        <w:t xml:space="preserve"> the Federal Circuit denied I/P Engine's petition for rehearing of the case en banc and consequently, we announced that </w:t>
      </w:r>
      <w:r>
        <w:rPr>
          <w:rFonts w:ascii="Arial" w:cs="Arial" w:eastAsia="Arial" w:hAnsi="Arial"/>
          <w:sz w:val="16"/>
          <w:szCs w:val="16"/>
          <w:color w:val="181818"/>
        </w:rPr>
        <w:t>I/P Engine will seek review by the U.S. Supreme Court of the Federal Circuit's decision.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During the second half of the year, the Company’s stock price declined and the closing price of the Company’s stock on December 31, 2014 was $0.55. </w:t>
      </w:r>
      <w:r>
        <w:rPr>
          <w:rFonts w:ascii="Arial" w:cs="Arial" w:eastAsia="Arial" w:hAnsi="Arial"/>
          <w:sz w:val="17"/>
          <w:szCs w:val="17"/>
          <w:color w:val="181818"/>
        </w:rPr>
        <w:t>The decline in stock price resulted in a significantly lower market capitalization and, as a result, influenced the Company’s compensation decisions.</w:t>
      </w:r>
      <w:r>
        <w:rPr>
          <w:rFonts w:ascii="Arial" w:cs="Arial" w:eastAsia="Arial" w:hAnsi="Arial"/>
          <w:sz w:val="17"/>
          <w:szCs w:val="17"/>
          <w:color w:val="auto"/>
        </w:rPr>
        <w:t xml:space="preserve"> In addition, as a result of our 2014 annual meeting of stockholders, the Company received a 65% vote in support of its executive compensation program in the 2014 Say-on-Pay advisory vote (the “Advisory Vote”) and this was taken into account by the Compensation Committee.</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establishing compensation amounts for executives, the Compensation Committee seeks to provide compensation that is competitive in light of current market conditions and industry practices. Accordingly, the Compensation Committee annually reviews market data which is comprised of proxy-disclosed data from peer companies and information from nationally recognized published surveys for general and high-technology industry, adjusted for size. For 2014, these peer companies included VirnetX (NYSE:VHC), Acacia Research Corporation (NASDAQ:ACTG), Interdigital, Inc. (NASDAQ: IDCC), Unwired Planet, Inc. (NASDAQ:UPIP), Parkervision Inc. (NASDAQ:PRKR), Pendrell Corporation (NASDAQ:PCO), and Document Security Systems, Inc. (NYSE:DSS). The market data helps the Compensation Committee gain perspective on the compensation levels and practices at the peer companies and to assess the relative competitiveness of the compensation paid to the company’s executives. The market data thus guides the Compensation Committee in its efforts to set executive compensation levels and program targets at competitive levels for comparable roles in the marketplace. The Compensation Committee then takes into account other factors, such as the importance of each executive officer’s role to the company, individual expertise, experience, and performance, retention concerns and relevant compensation trends in the marketplace, in making its final compensation determinations.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The Compensation Committee reviews the performance of each NEO annually in light of the above factors and determines whether the NEO should receive any increase in base salary or receive a discretionary equity award based on such evaluation. The CEO also provides input related to the performance and compensation evaluation of each NEO, but does not provide input related to his own performance and compensation evaluation. During fiscal year 2014, the Compensation Committee did not utilize quantitative measures connected to financial results, such as revenues or profitability, with respect to compensation, as the Company did not generate net income during the year.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181818"/>
        </w:rPr>
        <w:t xml:space="preserve">Our Compensation Committee held six meetings during 2014 to consider appropriate actions with respect to executive compensation including the appropriateness of cash bonuses, salary increases, and granting equity awards for 2014 performance. </w:t>
      </w:r>
      <w:r>
        <w:rPr>
          <w:rFonts w:ascii="Arial" w:cs="Arial" w:eastAsia="Arial" w:hAnsi="Arial"/>
          <w:sz w:val="17"/>
          <w:szCs w:val="17"/>
          <w:color w:val="000000"/>
        </w:rPr>
        <w:t>The Compensation Committee and the Board of</w:t>
      </w:r>
      <w:r>
        <w:rPr>
          <w:rFonts w:ascii="Arial" w:cs="Arial" w:eastAsia="Arial" w:hAnsi="Arial"/>
          <w:sz w:val="17"/>
          <w:szCs w:val="17"/>
          <w:color w:val="181818"/>
        </w:rPr>
        <w:t xml:space="preserve"> </w:t>
      </w:r>
      <w:r>
        <w:rPr>
          <w:rFonts w:ascii="Arial" w:cs="Arial" w:eastAsia="Arial" w:hAnsi="Arial"/>
          <w:sz w:val="17"/>
          <w:szCs w:val="17"/>
          <w:color w:val="000000"/>
        </w:rPr>
        <w:t xml:space="preserve">Directors </w:t>
      </w:r>
      <w:r>
        <w:rPr>
          <w:rFonts w:ascii="Arial" w:cs="Arial" w:eastAsia="Arial" w:hAnsi="Arial"/>
          <w:sz w:val="17"/>
          <w:szCs w:val="17"/>
          <w:color w:val="181818"/>
        </w:rPr>
        <w:t>concluded that there would be no cash bonuses paid to employees,</w:t>
      </w:r>
      <w:r>
        <w:rPr>
          <w:rFonts w:ascii="Arial" w:cs="Arial" w:eastAsia="Arial" w:hAnsi="Arial"/>
          <w:sz w:val="17"/>
          <w:szCs w:val="17"/>
          <w:color w:val="000000"/>
        </w:rPr>
        <w:t xml:space="preserve"> including the CEO and all other NEOs, </w:t>
      </w:r>
      <w:r>
        <w:rPr>
          <w:rFonts w:ascii="Arial" w:cs="Arial" w:eastAsia="Arial" w:hAnsi="Arial"/>
          <w:sz w:val="17"/>
          <w:szCs w:val="17"/>
          <w:color w:val="181818"/>
        </w:rPr>
        <w:t>for 2014 as the Company did not</w:t>
      </w:r>
      <w:r>
        <w:rPr>
          <w:rFonts w:ascii="Arial" w:cs="Arial" w:eastAsia="Arial" w:hAnsi="Arial"/>
          <w:sz w:val="17"/>
          <w:szCs w:val="17"/>
          <w:color w:val="000000"/>
        </w:rPr>
        <w:t xml:space="preserve"> </w:t>
      </w:r>
      <w:r>
        <w:rPr>
          <w:rFonts w:ascii="Arial" w:cs="Arial" w:eastAsia="Arial" w:hAnsi="Arial"/>
          <w:sz w:val="17"/>
          <w:szCs w:val="17"/>
          <w:color w:val="181818"/>
        </w:rPr>
        <w:t xml:space="preserve">generate net income during the year. Further, </w:t>
      </w:r>
      <w:r>
        <w:rPr>
          <w:rFonts w:ascii="Arial" w:cs="Arial" w:eastAsia="Arial" w:hAnsi="Arial"/>
          <w:sz w:val="17"/>
          <w:szCs w:val="17"/>
          <w:color w:val="000000"/>
        </w:rPr>
        <w:t>the Compensation Committee and the Board of Directors</w:t>
      </w:r>
      <w:r>
        <w:rPr>
          <w:rFonts w:ascii="Arial" w:cs="Arial" w:eastAsia="Arial" w:hAnsi="Arial"/>
          <w:sz w:val="17"/>
          <w:szCs w:val="17"/>
          <w:color w:val="181818"/>
        </w:rPr>
        <w:t xml:space="preserve"> decided that there would be no annual equity awards granted to </w:t>
      </w:r>
      <w:r>
        <w:rPr>
          <w:rFonts w:ascii="Arial" w:cs="Arial" w:eastAsia="Arial" w:hAnsi="Arial"/>
          <w:sz w:val="17"/>
          <w:szCs w:val="17"/>
          <w:color w:val="000000"/>
        </w:rPr>
        <w:t>the CEO or the other NEOs</w:t>
      </w:r>
      <w:r>
        <w:rPr>
          <w:rFonts w:ascii="Arial" w:cs="Arial" w:eastAsia="Arial" w:hAnsi="Arial"/>
          <w:sz w:val="17"/>
          <w:szCs w:val="17"/>
          <w:color w:val="181818"/>
        </w:rPr>
        <w:t xml:space="preserve"> in early 2015 given our 2014 results and decline in the stock price. </w:t>
      </w:r>
      <w:r>
        <w:rPr>
          <w:rFonts w:ascii="Arial" w:cs="Arial" w:eastAsia="Arial" w:hAnsi="Arial"/>
          <w:sz w:val="17"/>
          <w:szCs w:val="17"/>
          <w:color w:val="000000"/>
        </w:rPr>
        <w:t>The Compensation Committee and the Board of</w:t>
      </w:r>
      <w:r>
        <w:rPr>
          <w:rFonts w:ascii="Arial" w:cs="Arial" w:eastAsia="Arial" w:hAnsi="Arial"/>
          <w:sz w:val="17"/>
          <w:szCs w:val="17"/>
          <w:color w:val="181818"/>
        </w:rPr>
        <w:t xml:space="preserve"> </w:t>
      </w:r>
      <w:r>
        <w:rPr>
          <w:rFonts w:ascii="Arial" w:cs="Arial" w:eastAsia="Arial" w:hAnsi="Arial"/>
          <w:sz w:val="17"/>
          <w:szCs w:val="17"/>
          <w:color w:val="000000"/>
        </w:rPr>
        <w:t>Directors also decided that there would be no salary increases for the CEO or all other executive officers, except for contractual salary increases of $15,000 to both Mr. Perlman and Mr. Berger, and salary increases of $15,000 to both Mr. Cohen and Ms. Nyrkovskaya to reflect the increase in cost of living. The results of the Advisory Vote were also taken into consideration by the Compensation Committee in making these decisions and in evaluating the full scale of executive compensation for 2014. The Compensation Committee and the Board of Directors believe that these decisions demonstrate the strong linkage between executive pay and feedback from our investors and our Company’s 2014 financial results.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quarter of 2014, we granted Ms. Nyrkovskaya 300,000 options, and Mr. Cohen 100,000 options, both at an exercise price of $4.10, vesting quarterly over a three year period, related to their individual performance during 2013. The decision to do so was made based on the results of the market data review and other analyses performed by the Compensation Committee, in order to adjust the compensation of these individuals to competitive levels for comparable roles in the marketplace. There were no other equity awards granted to NEOs in 2014.</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and the Board of Directors believe the 2014 compensation decisions and the overall executive compensation program are tailored to our business strategies, align pay with performance, and take into account feedback received from investors. We will continue our engagement with our stockholders regarding our executive compensation program as well as other governance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 and Philosophy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provide two basic forms of direct compensation to our employees, including the CEO and the other NEOs: base salary and equity awards. Equity awards include stock options to purchase shares of our common stock and restricted stock units (“RSUs”). Equity awards granted to our NEOs typically vest in equal quarterly installments, over a period of three years. On an annual basis, each of these compensation components are reviewed by our Compensation Committee for each of our employees, including our CEO and the other NEOs, to ensure that compensation levels remain appropriate. We have not historically paid annual cash bonuses to our NEOs.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we and our Compensation Committee, are committed to the principle that executive compensation should be directly tied into value creation for our stockholders.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the Company has not experienced substantial revenues or positive cash flows, and accordingly, no annual cash bonuses have been paid to our CEO or the other NEOs. In addition, the value of stock options granted to executives are contingent upon performance of our Company’s stock, while time-based RSU granted in the past further align our executives with our stockholders by providing executives with meaningful, direct ownership stake in our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goal is to attract and retain the best available executive talent to lead our Company. This can be challenging given the competitive environment in which we operate and considering the Company’s limited financial resources until we achieve sufficient revenues, if ever. We also strive to align the interests of our executive officers with those of our stockholders. Therefore, a substantial portion of our executives’ compensation is structured as long-term equity compensation including stock options and RSUs.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entered into employment agreements with our NEOs. Each of these agreements provides for certain payments and other benefits if the executive’s employment terminates under certain circumstances other than for “cause,” including in connection with a “change in control.” See the subsection “Narrative to Summary Compensation Table and Grants of Plan-Based Awards Table” for a description of the agreement terms impacting current compensation and “Potential Payments upon Termination or Change-in-Control” for a description of applicable severance and change in control benefits.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believes that change-in-control and severance arrangements are important parts of the overall compensation program for our NEOs. Severance arrangements are used primarily to attract, retain and motivate individuals with the requisite experience and ability to drive our success. Severance arrangements also serve, in part, as consideration to secure commitments from our executive officers not to compete with us after termination of their employment.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Related to Risk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SEC disclosure requirements, we have evaluated the potential risks related to our compensation policies, practices and awards and have concluded that there are no risks that are reasonably likely to have a material adverse effect on the Company. We do not have any programs where a participant may be able to directly affect variability or timing of payout. Rather, our compensation programs include a combination of fixed base salaries and, equity awards that are generally uniform in design and operation throughout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compensation committee of our Board of Directors has reviewed and discussed the Compensation Discussion and Analysis required by Item 402(b) of Regulation S-K, which appears elsewhere in this proxy statement, with our management. Based on this review and discussion, the compensation committee has recommended to the Board of Directors that the Compensation Discussion and Analysis be included in our proxy statement.</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Members of the Compensation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Engelman,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Ashley C. Keller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Noel J. Spiegel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shows the total compensation paid or accrued during the fiscal years ended December 31, 2014, 2013 and 2012 to (1) our Chief Executive Officer, (2) our Chief Technology Officer and President, (3) our Chief Financial Officer, and (4) our Chief Legal and Intellectual Property Officer, who are all of our executive officers during and at the end of our fiscal year ended December 31, 2014. The table also includes our Former Chief Operating Officer, who would have been among the three most highly compensated executive officers except for the fact that he was not serving as an executive officer of the Company as of the end of the fiscal year ended December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All other</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Salary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70"/>
        </w:trPr>
        <w:tc>
          <w:tcPr>
            <w:tcW w:w="366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3"/>
                <w:szCs w:val="23"/>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b w:val="1"/>
                <w:bCs w:val="1"/>
                <w:color w:val="auto"/>
              </w:rPr>
              <w:t>Year</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200" w:type="dxa"/>
            <w:vAlign w:val="bottom"/>
          </w:tcPr>
          <w:p>
            <w:pPr>
              <w:spacing w:after="0"/>
              <w:rPr>
                <w:sz w:val="23"/>
                <w:szCs w:val="23"/>
                <w:color w:val="auto"/>
              </w:rPr>
            </w:pPr>
          </w:p>
        </w:tc>
        <w:tc>
          <w:tcPr>
            <w:tcW w:w="11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 xml:space="preserve">($) </w:t>
            </w:r>
            <w:r>
              <w:rPr>
                <w:rFonts w:ascii="Arial" w:cs="Arial" w:eastAsia="Arial" w:hAnsi="Arial"/>
                <w:sz w:val="30"/>
                <w:szCs w:val="30"/>
                <w:b w:val="1"/>
                <w:bCs w:val="1"/>
                <w:color w:val="auto"/>
                <w:w w:val="81"/>
                <w:vertAlign w:val="superscript"/>
              </w:rPr>
              <w:t>(1)</w:t>
            </w:r>
          </w:p>
        </w:tc>
        <w:tc>
          <w:tcPr>
            <w:tcW w:w="2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3"/>
                <w:szCs w:val="23"/>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1,425,675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2,367,175</w:t>
            </w: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240,289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2,511,100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4,289,556</w:t>
            </w:r>
            <w:r>
              <w:rPr>
                <w:rFonts w:ascii="Arial" w:cs="Arial" w:eastAsia="Arial" w:hAnsi="Arial"/>
                <w:sz w:val="15"/>
                <w:szCs w:val="15"/>
                <w:color w:val="auto"/>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7,209,925</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Andrew Kennedy Lang</w:t>
            </w:r>
          </w:p>
        </w:tc>
        <w:tc>
          <w:tcPr>
            <w:tcW w:w="120" w:type="dxa"/>
            <w:vAlign w:val="bottom"/>
          </w:tcPr>
          <w:p>
            <w:pPr>
              <w:spacing w:after="0"/>
              <w:rPr>
                <w:sz w:val="17"/>
                <w:szCs w:val="17"/>
                <w:color w:val="auto"/>
              </w:rPr>
            </w:pPr>
          </w:p>
        </w:tc>
        <w:tc>
          <w:tcPr>
            <w:tcW w:w="820" w:type="dxa"/>
            <w:vAlign w:val="bottom"/>
          </w:tcPr>
          <w:p>
            <w:pPr>
              <w:ind w:left="240"/>
              <w:spacing w:after="0" w:line="201"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385,000</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385,000</w:t>
            </w: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i w:val="1"/>
                <w:iCs w:val="1"/>
                <w:color w:val="auto"/>
                <w:w w:val="91"/>
              </w:rPr>
              <w:t>Former Chief Technology Officer and President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312,938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695,051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1,007,989</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David L. Cohen, Esq.</w:t>
            </w:r>
          </w:p>
        </w:tc>
        <w:tc>
          <w:tcPr>
            <w:tcW w:w="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312,938</w:t>
            </w: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231,684</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544,622</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i w:val="1"/>
                <w:iCs w:val="1"/>
                <w:color w:val="auto"/>
              </w:rPr>
              <w:t>Chief Legal and Intellectual</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159,000</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456,216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915,216</w:t>
            </w: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i w:val="1"/>
                <w:iCs w:val="1"/>
                <w:color w:val="auto"/>
              </w:rPr>
              <w:t>Property Officer</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163,343</w:t>
            </w:r>
          </w:p>
        </w:tc>
        <w:tc>
          <w:tcPr>
            <w:tcW w:w="1140" w:type="dxa"/>
            <w:vAlign w:val="bottom"/>
          </w:tcPr>
          <w:p>
            <w:pPr>
              <w:jc w:val="right"/>
              <w:spacing w:after="0"/>
              <w:rPr>
                <w:sz w:val="20"/>
                <w:szCs w:val="20"/>
                <w:color w:val="auto"/>
              </w:rPr>
            </w:pPr>
            <w:r>
              <w:rPr>
                <w:rFonts w:ascii="Arial" w:cs="Arial" w:eastAsia="Arial" w:hAnsi="Arial"/>
                <w:sz w:val="18"/>
                <w:szCs w:val="18"/>
                <w:color w:val="auto"/>
              </w:rPr>
              <w:t>186,000</w:t>
            </w: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1,781,963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2,131,306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Alexander R. Berger</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389,487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389,487</w:t>
            </w:r>
          </w:p>
        </w:tc>
      </w:tr>
      <w:tr>
        <w:trPr>
          <w:trHeight w:val="257"/>
        </w:trPr>
        <w:tc>
          <w:tcPr>
            <w:tcW w:w="36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i w:val="1"/>
                <w:iCs w:val="1"/>
                <w:color w:val="auto"/>
              </w:rPr>
              <w:t xml:space="preserve">Former Chief Operating Officer </w:t>
            </w:r>
            <w:r>
              <w:rPr>
                <w:rFonts w:ascii="Arial" w:cs="Arial" w:eastAsia="Arial" w:hAnsi="Arial"/>
                <w:sz w:val="29"/>
                <w:szCs w:val="29"/>
                <w:i w:val="1"/>
                <w:iCs w:val="1"/>
                <w:color w:val="auto"/>
                <w:vertAlign w:val="superscript"/>
              </w:rPr>
              <w:t>(3)</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556,500</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1,368,648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2,310,148</w:t>
            </w: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102,836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2,511,000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3,419,870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6,033,706</w:t>
            </w:r>
          </w:p>
        </w:tc>
      </w:tr>
    </w:tbl>
    <w:p>
      <w:pPr>
        <w:spacing w:after="0" w:line="202" w:lineRule="exact"/>
        <w:rPr>
          <w:sz w:val="20"/>
          <w:szCs w:val="20"/>
          <w:color w:val="auto"/>
        </w:rPr>
      </w:pPr>
    </w:p>
    <w:p>
      <w:pPr>
        <w:jc w:val="both"/>
        <w:ind w:left="34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 represents the aggregate grant date fair value of options granted during 2012 with exercise prices of $3.72, $1.65, and $0.96 per option.</w:t>
      </w:r>
    </w:p>
    <w:p>
      <w:pPr>
        <w:spacing w:after="0" w:line="20"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Berger served as our Chief Operating Officer and a member of our Board of Directors until his resignation on December 19, 2014. All of Mr. Berger’s outstanding options that were granted in 2013 and 2012 were forfeited for no consideration in connection with his resignation. His remaining unvested RSUs that were granted in 2013 and 2012 were forfeited for no consideration in connection with the termination of his consultant agreement on March 13, 2015.</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information regarding grants of equity awards that were made during the year ended December 31, 2014 to our NEOs. All awards were made under our 2012 Plan. There were no grants of non-equity incentive plan awards to our NEOs during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Price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of Option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Awards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Awards</w:t>
            </w:r>
          </w:p>
        </w:tc>
      </w:tr>
      <w:tr>
        <w:trPr>
          <w:trHeight w:val="27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Grant Date</w:t>
            </w:r>
          </w:p>
        </w:tc>
        <w:tc>
          <w:tcPr>
            <w:tcW w:w="126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center"/>
              <w:ind w:right="52"/>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(2)</w:t>
            </w:r>
          </w:p>
        </w:tc>
        <w:tc>
          <w:tcPr>
            <w:tcW w:w="100" w:type="dxa"/>
            <w:vAlign w:val="bottom"/>
          </w:tcPr>
          <w:p>
            <w:pPr>
              <w:spacing w:after="0"/>
              <w:rPr>
                <w:sz w:val="23"/>
                <w:szCs w:val="23"/>
                <w:color w:val="auto"/>
              </w:rPr>
            </w:pPr>
          </w:p>
        </w:tc>
      </w:tr>
      <w:tr>
        <w:trPr>
          <w:trHeight w:val="195"/>
        </w:trPr>
        <w:tc>
          <w:tcPr>
            <w:tcW w:w="5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Anastasia Nyrkovskaya</w:t>
            </w:r>
          </w:p>
        </w:tc>
        <w:tc>
          <w:tcPr>
            <w:tcW w:w="1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Financial Officer</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February 20, 2014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695,051</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David L. Cohen, Esq.</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Chief Litigation and Intellectual Property Officer</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20, 2014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231,684</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Andrew D. Perlman</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Andrew Kennedy Lang</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Former Chief Technology Officer and President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Alexander R. Berger</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Operating Officer</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One-twelfth (1/12) of the number of options granted vest on the last day of each calendar quarter over three (3) years, beginning with the end of the first quarter of 2014.</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 Andrew D. Perlman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March 31, 2012, Mr. Perlman’s annual base salary was $175,000. In addition, he was eligible to receive $5,000 at the end of each quarter.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13, 2013, we entered into a new employment agreement with Mr. Perlman. Mr. Perlman’s employment agreement has a term of three</w:t>
      </w:r>
    </w:p>
    <w:p>
      <w:pPr>
        <w:spacing w:after="0" w:line="46" w:lineRule="exact"/>
        <w:rPr>
          <w:sz w:val="20"/>
          <w:szCs w:val="20"/>
          <w:color w:val="auto"/>
        </w:rPr>
      </w:pPr>
    </w:p>
    <w:p>
      <w:pPr>
        <w:jc w:val="both"/>
        <w:ind w:firstLine="8"/>
        <w:spacing w:after="0" w:line="269"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received a base salary of $385,000 effective January 1, 2013 until December 31, 2013. From January 1, 2014 to December 31, 2014, Mr. Perlman received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ind w:firstLine="648"/>
        <w:spacing w:after="0" w:line="285" w:lineRule="auto"/>
        <w:rPr>
          <w:sz w:val="20"/>
          <w:szCs w:val="20"/>
          <w:color w:val="auto"/>
        </w:rPr>
      </w:pPr>
      <w:r>
        <w:rPr>
          <w:rFonts w:ascii="Arial" w:cs="Arial" w:eastAsia="Arial" w:hAnsi="Arial"/>
          <w:sz w:val="16"/>
          <w:szCs w:val="16"/>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 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3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Perlman’s employment agreement requires Mr. Perlman to assign intellectual property which he conceives or reduces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Kennedy Lang</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June 22, 2011 we entered into an employment agreement with Mr. Lang. On June 22, 2015, we amended the employment agreement, pursuant to which Mr. Lang’s role will change from President and Chief Technology Officer of the Company to a new role as the Head of Technology. Mr. Lang assumed the new role for a period commencing on June 22, 2015 and ending on December 31, 2016, for which he will receive an annual base salary of $200,000, prorated from June 22, 2015 until December 31, 2015, and an adjusted base salary of $36,000 from January 1, 2016 until December 31, 2016. In addition, we and Mr. Lang will form a new corporation, to be initially owned 51% by the Company and 49% by Mr. Lang, for the purpose of developing and commercializing new technologies in the areas of mobile, security, digital currencies, and trusted computing and communication infrastructure. Mr. Lang’s employment period will terminate upon the earliest of: (i) termination by us for any reason, (ii) termination by Mr. Lang for any reason, and (iii) December 31, 2016; provided, that if we terminate Mr. Lang for any reason other than Cause prior to the expiration of the employment period, we will be obligated to continue to pay Mr. Lang his base salary and benefits from the date of termination through December 31, 2016.</w:t>
      </w:r>
    </w:p>
    <w:p>
      <w:pPr>
        <w:spacing w:after="0" w:line="16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“Cause” as defined in Mr. Lang’s employment agreement means: (a) the willful and continued failure of Mr. Lang to perform substantially his duties and responsibilities for us (other than any such failure resulting from Mr. Lang's death) after a written demand by the Board of Directors for substantial performance is delivered to Mr. Lang by us, which specifically identifies the manner in which the Board of Directors believes that Mr. Lang has not substantially performed his duties and responsibilities, which willful and continued failure is not cured by Mr. Lang within thirty (30) days of his receipt of such written demand; (b) the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(c) violation of certain provision of the employment agreement, or</w:t>
      </w:r>
    </w:p>
    <w:p>
      <w:pPr>
        <w:spacing w:after="0" w:line="2" w:lineRule="exact"/>
        <w:rPr>
          <w:sz w:val="20"/>
          <w:szCs w:val="20"/>
          <w:color w:val="auto"/>
        </w:rPr>
      </w:pPr>
    </w:p>
    <w:p>
      <w:pPr>
        <w:ind w:right="20" w:firstLine="8"/>
        <w:spacing w:after="0" w:line="261" w:lineRule="auto"/>
        <w:tabs>
          <w:tab w:leader="none" w:pos="2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dishonesty or gross misconduct, which is materially and demonstratively injurious to the Company. Termination under clauses (b), (c) or (d) of this definition shall not be subject to cure.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6"/>
          <w:szCs w:val="16"/>
          <w:color w:val="auto"/>
        </w:rPr>
        <w:t>“Good Reason” as used in Mr. Lang’s employment agreement means: (a) the assignment, without Mr. Lang’s consent, to Mr. Lang of duties that are significantly different from, or that result in a substantial diminution of, the duties that he assumed on the effective date of the employment agreement, (b) the assignment, without Mr. Lang’s consent, to Mr. Lang of a title that is different from and subordinate to his current title, (c) a reduction in Mr. Lang’s base salary, (d) the Company's requirement that Mr. Lang regularly report to work in a location that is more than thirty miles from the Company’s New York office as of the date of the employment agreement, without Mr. Lang’s consent, or (e) a material breach by the Company of the employment agreement.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Lang’s employment agreement requires Mr. Lang to assign intellectual property which he conceives or reduces to practice during his employment to us and to maintain our confidential information during employment and thereafter. Mr. Lang is also subject to (i) a non-competition and a non-solicitation provision for a period of one year, which we, upon notice, may increase to two years, and (ii) a non-disparagement provision for a period of three years, following termination of his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Anastasia Nyrkovskaya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19, 2014, we entered into an employment agreement with Ms. Nyrkovskaya for an eighteen month term. Under the terms of her employment agreement, Ms. Nyrkovskaya’s annual base salary is $315,000. In the event the employment agreement is terminated for (i) Good Reason by Ms. Nyrkovskaya, or (ii) by the Company without Cause, Ms. Nyrkovskaya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the agreement is terminated by Ms. Nyrkovskaya without Good Reason, she shall provide the Company with a written notice, at least ninety calendar days prior to such termination. “Cause” as used in Ms. Nyrkovskaya’s employment agreement means: (a) the willful and continued failure of Ms. Nyrkovskaya to perform substantially her duties and responsibilities for the Company (other than any such failure resulting from her death or disability) after a written demand by the chief executive officer for substantial performance is delivered to Ms. Nyrkovskaya by the Company,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the Company’s requirement that Ms. Nyrkovskaya regularly report to work in a location that is more than fifty miles from the Company’s current New York office, without Ms. Nyrkovskaya’s consent; (e) a material breach by the Company of the agreement during its term. Ms. Nyrkovskaya’s employment agreement also includes a covenant not to compete with the Company or solicit any material commercial relationships of the Company for a period of one year after Ms. Nyrkovskaya is actually no longer employed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 Cohen, Esq.</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David L. Cohen. Mr. Cohen’s employment was at will, meaning that either the employee or the Company may have terminated the relationship with or without cause, without any prior notice. Under the terms of his agreement, Mr. Cohen was entitled to receive a base salary of $200,000. Pursuant to the consummation of the merger, on August 10, 2012, Mr. Cohen’s compensation was increased to $300,000.</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7, 2013, we entered into a new employment agreement with Mr. Cohen, for a three-year term, unless sooner terminated, in accordance with the terms set therein. Under the terms of his employment agreement, Mr. Cohen is currently entitled to receive a base salary of $300,000. In the event the employment agreement is terminated for (i) Good Reason by Mr. Cohen, or (ii) by the Company without Cause, Mr. Cohen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648"/>
        <w:spacing w:after="0" w:line="268" w:lineRule="auto"/>
        <w:rPr>
          <w:sz w:val="20"/>
          <w:szCs w:val="20"/>
          <w:color w:val="auto"/>
        </w:rPr>
      </w:pPr>
      <w:r>
        <w:rPr>
          <w:rFonts w:ascii="Arial" w:cs="Arial" w:eastAsia="Arial" w:hAnsi="Arial"/>
          <w:sz w:val="17"/>
          <w:szCs w:val="17"/>
          <w:color w:val="auto"/>
        </w:rPr>
        <w:t>In case the agreement is terminated by Mr. Cohen without Good Reason, he shall provide the Company with a written notice, at least ninety calendar days prior to such termination. “Cause” as used Mr. Cohen’s employment agreement means: (a) the willful and continued failure of Mr. Cohen to perform substantially his duties and responsibilities for the Company (other than any such failure resulting from his death or disability) after a written demand by the Board of Directors for substantial performance is delivered to Mr. Cohen by the Company, which specifically identifies the manner in which the Board of Directors believes that Mr. Cohen has not substantially performed his duties and responsibilities, which willful and continued failure is not cured by Mr. Cohen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or the chief executive officer that Mr. Cohen has engaged in fraud, dishonesty, gross negligence. “Good Reason” as used Mr. Cohen’s employment agreement means (a) the assignment, without Mr. Cohen’s consent, to Mr. Cohen of duties that result in a substantial diminution of the duties that he assumed; (b) the assignment, without Mr. Cohen’s consent, of a title that is subordinate to the title Chief Legal and Intellectual Property Officer; (c) a reduction in Mr. Cohen’s base salary; (d) the Company’s requirement that Mr. Cohen regularly report to work in a location that is more than fifty miles from the Company’s current New York office, without the Mr. Cohen’s consent; (e) a material breach by the Company of the agreement during its term. Mr. Cohen’s employment agreement also includes a covenant not to compete with the Company or solicit any material commercial relationships of the Company for a period of two years after Mr. Cohen is actually no longer employed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R. Berger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Alexander R. Berger. Mr. Berger’s employment agreement had an initial term of eighteen months, with an option to either renegotiate the terms of the employment agreement prior to the expiration of the initial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13, 2013, we entered into a new employment agreement with Mr. Berger. Mr. Berger’s prior employment agreement with us expired by its terms on February 9, 2013. Mr. Berger’s new employment agreement had a term of three years. Under the terms of his employment agreement, Mr. Berger received a base salary of $385,000 effective January 1, 2013 until December 31, 2013. From January 1, 2014 until his resignation, Mr. Berger received a base salary of $400,000. In addition, on February 1, 2013, we entered into an indemnification agreement with Mr. Berger. Mr. Berger’s employment agreement also included a covenant not to compete with the Company or solicit any material commercial relationships of the Company for a period of two years after Mr. Berger is actually no longer employed by the Company.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19, 2014, Mr. Berger resigned from his positions as Chief Operating Officer, Secretary and a member of the Board of Directors of the Company. In connection with Mr. Berger’s resignation from his positions at the Company, he has agreed to transition to the role of an independent consultant pursuant to a consulting agreement with the Company. The consulting agreement terminates and supersedes the employment agreement between Mr. Berger and the Company, with the exception of certain noncompetition, non-disclosure and non-solicitation provisions that are to continue through the term of the consulting agreement.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condition of entering into the consulting agreement, Mr. Berger and the Company executed a mutual general release of claims that either party has or in the future may have against the other. Pursuant to the consulting agreement, Mr. Berger received a monthly retainer at a rate of $10,000 per month; in addition, all restricted stock units granted by the Company to Mr. Berger continued to vest in accordance with their terms until Mr. Berger ceased providing services to the Company, and all stock options outstanding, whether vested or unvested, were forfeited for no consideration.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 consulting agreement with Mr. Berger was terminated on March 13, 2015 and his then unvested restricted stock units were forfeited. Pursuant to the consulting agreement Mr. Berger received fees of $25,000.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2014 Fiscal Year 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2014, to each of our NEOs.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Options Awards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ind w:left="580"/>
              <w:spacing w:after="0"/>
              <w:rPr>
                <w:sz w:val="20"/>
                <w:szCs w:val="20"/>
                <w:color w:val="auto"/>
              </w:rPr>
            </w:pPr>
            <w:r>
              <w:rPr>
                <w:rFonts w:ascii="Arial" w:cs="Arial" w:eastAsia="Arial" w:hAnsi="Arial"/>
                <w:sz w:val="18"/>
                <w:szCs w:val="18"/>
                <w:b w:val="1"/>
                <w:bCs w:val="1"/>
                <w:color w:val="auto"/>
              </w:rPr>
              <w:t>Stock Awards</w:t>
            </w:r>
          </w:p>
        </w:tc>
      </w:tr>
      <w:tr>
        <w:trPr>
          <w:trHeight w:val="196"/>
        </w:trPr>
        <w:tc>
          <w:tcPr>
            <w:tcW w:w="35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jc w:val="center"/>
              <w:ind w:right="90"/>
              <w:spacing w:after="0" w:line="196" w:lineRule="exact"/>
              <w:rPr>
                <w:sz w:val="20"/>
                <w:szCs w:val="20"/>
                <w:color w:val="auto"/>
              </w:rPr>
            </w:pPr>
            <w:r>
              <w:rPr>
                <w:rFonts w:ascii="Arial" w:cs="Arial" w:eastAsia="Arial" w:hAnsi="Arial"/>
                <w:sz w:val="18"/>
                <w:szCs w:val="18"/>
                <w:b w:val="1"/>
                <w:bCs w:val="1"/>
                <w:color w:val="auto"/>
                <w:w w:val="94"/>
              </w:rPr>
              <w:t>Number</w:t>
            </w:r>
          </w:p>
        </w:tc>
        <w:tc>
          <w:tcPr>
            <w:tcW w:w="10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35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shares or</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 or</w:t>
            </w:r>
          </w:p>
        </w:tc>
      </w:tr>
      <w:tr>
        <w:trPr>
          <w:trHeight w:val="216"/>
        </w:trPr>
        <w:tc>
          <w:tcPr>
            <w:tcW w:w="35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securities</w:t>
            </w: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units</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units</w:t>
            </w:r>
          </w:p>
        </w:tc>
      </w:tr>
      <w:tr>
        <w:trPr>
          <w:trHeight w:val="216"/>
        </w:trPr>
        <w:tc>
          <w:tcPr>
            <w:tcW w:w="35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underlying</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underlying</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that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that</w:t>
            </w:r>
          </w:p>
        </w:tc>
      </w:tr>
      <w:tr>
        <w:trPr>
          <w:trHeight w:val="216"/>
        </w:trPr>
        <w:tc>
          <w:tcPr>
            <w:tcW w:w="35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unexercised</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exercise</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have not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have not</w:t>
            </w:r>
          </w:p>
        </w:tc>
      </w:tr>
      <w:tr>
        <w:trPr>
          <w:trHeight w:val="216"/>
        </w:trPr>
        <w:tc>
          <w:tcPr>
            <w:tcW w:w="356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options (#)</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options (#)</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price</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expiration</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vested</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r>
      <w:tr>
        <w:trPr>
          <w:trHeight w:val="270"/>
        </w:trPr>
        <w:tc>
          <w:tcPr>
            <w:tcW w:w="35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exercisable</w:t>
            </w: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un-exercisable</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date</w:t>
            </w: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106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30"/>
                <w:szCs w:val="30"/>
                <w:b w:val="1"/>
                <w:bCs w:val="1"/>
                <w:color w:val="auto"/>
                <w:w w:val="88"/>
                <w:vertAlign w:val="superscript"/>
              </w:rPr>
              <w:t>(*)</w:t>
            </w:r>
          </w:p>
        </w:tc>
        <w:tc>
          <w:tcPr>
            <w:tcW w:w="100" w:type="dxa"/>
            <w:vAlign w:val="bottom"/>
          </w:tcPr>
          <w:p>
            <w:pPr>
              <w:spacing w:after="0"/>
              <w:rPr>
                <w:sz w:val="23"/>
                <w:szCs w:val="23"/>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5.50</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March 17, 2016</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Andrew D. Perlman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90,000</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5.50</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January 31, 2017</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295,313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162,422</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1,062,500</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212,500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328,167</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March 13, 2018</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416,667</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208,333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February 11,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58,333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32,083</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208,333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41,667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55,555</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27,778</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11, 2023</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54,688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30,078</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175,000</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125,000</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May 6,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20, 2024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66,667</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33,333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3.72</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July 26, 2022</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351,666</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125,000</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August 8, 2022</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133,333</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66,667</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February 11, 2023</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33,333</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66,667</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February 20, 2024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(1)</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21,875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 Cohen, Esq. </w:t>
            </w:r>
            <w:r>
              <w:rPr>
                <w:rFonts w:ascii="Arial" w:cs="Arial" w:eastAsia="Arial" w:hAnsi="Arial"/>
                <w:sz w:val="29"/>
                <w:szCs w:val="29"/>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9,167</w:t>
            </w: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(1)(3)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295,313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162,422</w:t>
            </w: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(2)(3)</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58,333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32,083</w:t>
            </w:r>
          </w:p>
        </w:tc>
      </w:tr>
    </w:tbl>
    <w:p>
      <w:pPr>
        <w:spacing w:after="0" w:line="202" w:lineRule="exact"/>
        <w:rPr>
          <w:sz w:val="20"/>
          <w:szCs w:val="20"/>
          <w:color w:val="auto"/>
        </w:rPr>
      </w:pPr>
    </w:p>
    <w:p>
      <w:pPr>
        <w:jc w:val="both"/>
        <w:ind w:left="340" w:hanging="339"/>
        <w:spacing w:after="0" w:line="258" w:lineRule="auto"/>
        <w:tabs>
          <w:tab w:leader="none" w:pos="320" w:val="left"/>
        </w:tabs>
        <w:rPr>
          <w:sz w:val="20"/>
          <w:szCs w:val="20"/>
          <w:color w:val="auto"/>
        </w:rPr>
      </w:pPr>
      <w:r>
        <w:rPr>
          <w:rFonts w:ascii="Arial" w:cs="Arial" w:eastAsia="Arial" w:hAnsi="Arial"/>
          <w:sz w:val="18"/>
          <w:szCs w:val="18"/>
          <w:color w:val="auto"/>
        </w:rPr>
        <w:t>(*)</w:t>
        <w:tab/>
        <w:t>The market value is determined by multiplying the number of shares by $0.55, the closing price of our common stock on NASDAQ on December 31, 2014, the last day of our fiscal year.</w:t>
      </w:r>
    </w:p>
    <w:p>
      <w:pPr>
        <w:spacing w:after="0" w:line="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Vests in equal quarterly increments (6.25% per quarter), subject to the participant's continuous service on the relevant vesting date.</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Vests in twelve equal quarterly increments (8.33% per quarter) over the three years, subject to the participant's continuous service on the relevant vesting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(3) The consulting agreement with Mr. Berger was terminated on March 13, 2015. As such, these RSUs were forfeited for no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information regarding exercises of options to purchase our common stock and vesting of stock awards held by each of our NEOs during the fiscal year ended December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ind w:left="840"/>
              <w:spacing w:after="0"/>
              <w:rPr>
                <w:sz w:val="20"/>
                <w:szCs w:val="20"/>
                <w:color w:val="auto"/>
              </w:rPr>
            </w:pPr>
            <w:r>
              <w:rPr>
                <w:rFonts w:ascii="Arial" w:cs="Arial" w:eastAsia="Arial" w:hAnsi="Arial"/>
                <w:sz w:val="18"/>
                <w:szCs w:val="18"/>
                <w:color w:val="auto"/>
              </w:rPr>
              <w:t>Option Awards</w:t>
            </w:r>
          </w:p>
        </w:tc>
        <w:tc>
          <w:tcPr>
            <w:tcW w:w="2800" w:type="dxa"/>
            <w:vAlign w:val="bottom"/>
            <w:gridSpan w:val="4"/>
          </w:tcPr>
          <w:p>
            <w:pPr>
              <w:ind w:left="720"/>
              <w:spacing w:after="0"/>
              <w:rPr>
                <w:sz w:val="20"/>
                <w:szCs w:val="20"/>
                <w:color w:val="auto"/>
              </w:rPr>
            </w:pPr>
            <w:r>
              <w:rPr>
                <w:rFonts w:ascii="Arial" w:cs="Arial" w:eastAsia="Arial" w:hAnsi="Arial"/>
                <w:sz w:val="18"/>
                <w:szCs w:val="18"/>
                <w:color w:val="auto"/>
              </w:rPr>
              <w:t>Stock Awards (2)</w:t>
            </w: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2"/>
              </w:rPr>
              <w:t>Number of</w:t>
            </w:r>
          </w:p>
        </w:tc>
        <w:tc>
          <w:tcPr>
            <w:tcW w:w="1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2"/>
              </w:rPr>
              <w:t>Number of</w:t>
            </w: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Shares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Value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Acquired</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Realized</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Acquired</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Realized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on Exercise</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on Exercise</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on Vesting</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on Vesting</w:t>
            </w:r>
          </w:p>
        </w:tc>
      </w:tr>
      <w:tr>
        <w:trPr>
          <w:trHeight w:val="230"/>
        </w:trPr>
        <w:tc>
          <w:tcPr>
            <w:tcW w:w="5620" w:type="dxa"/>
            <w:vAlign w:val="bottom"/>
            <w:gridSpan w:val="2"/>
          </w:tcPr>
          <w:p>
            <w:pPr>
              <w:ind w:left="2540"/>
              <w:spacing w:after="0"/>
              <w:rPr>
                <w:sz w:val="20"/>
                <w:szCs w:val="20"/>
                <w:color w:val="auto"/>
              </w:rPr>
            </w:pPr>
            <w:r>
              <w:rPr>
                <w:rFonts w:ascii="Arial" w:cs="Arial" w:eastAsia="Arial" w:hAnsi="Arial"/>
                <w:sz w:val="18"/>
                <w:szCs w:val="18"/>
                <w:color w:val="auto"/>
              </w:rPr>
              <w:t>Name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 (1)</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 (2)</w:t>
            </w:r>
          </w:p>
        </w:tc>
        <w:tc>
          <w:tcPr>
            <w:tcW w:w="100" w:type="dxa"/>
            <w:vAlign w:val="bottom"/>
          </w:tcPr>
          <w:p>
            <w:pPr>
              <w:spacing w:after="0"/>
              <w:rPr>
                <w:sz w:val="19"/>
                <w:szCs w:val="19"/>
                <w:color w:val="auto"/>
              </w:rPr>
            </w:pPr>
          </w:p>
        </w:tc>
      </w:tr>
      <w:tr>
        <w:trPr>
          <w:trHeight w:val="230"/>
        </w:trPr>
        <w:tc>
          <w:tcPr>
            <w:tcW w:w="5620" w:type="dxa"/>
            <w:vAlign w:val="bottom"/>
            <w:gridSpan w:val="2"/>
          </w:tcPr>
          <w:p>
            <w:pPr>
              <w:ind w:left="2640"/>
              <w:spacing w:after="0"/>
              <w:rPr>
                <w:sz w:val="20"/>
                <w:szCs w:val="20"/>
                <w:color w:val="auto"/>
              </w:rPr>
            </w:pPr>
            <w:r>
              <w:rPr>
                <w:rFonts w:ascii="Arial" w:cs="Arial" w:eastAsia="Arial" w:hAnsi="Arial"/>
                <w:sz w:val="18"/>
                <w:szCs w:val="18"/>
                <w:color w:val="auto"/>
              </w:rPr>
              <w:t>(a)</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(b)</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(e)</w:t>
            </w:r>
          </w:p>
        </w:tc>
      </w:tr>
      <w:tr>
        <w:trPr>
          <w:trHeight w:val="22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2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253,080</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D. Perlman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121,833</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321,639</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D. Perlman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58,333</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122,354</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353,953</w:t>
            </w: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Andrew Kennedy Lang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65,547</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Kennedy Lang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21,849</w:t>
            </w: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David L. Cohen, Esq.</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Cohen, Esq.</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26,219</w:t>
            </w: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David L. Cohen, Esq.</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34,958</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R. Berger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122,354</w:t>
            </w:r>
          </w:p>
        </w:tc>
        <w:tc>
          <w:tcPr>
            <w:tcW w:w="100" w:type="dxa"/>
            <w:vAlign w:val="bottom"/>
            <w:shd w:val="clear" w:color="auto" w:fill="CCEEFF"/>
          </w:tcPr>
          <w:p>
            <w:pPr>
              <w:spacing w:after="0"/>
              <w:rPr>
                <w:sz w:val="18"/>
                <w:szCs w:val="18"/>
                <w:color w:val="auto"/>
              </w:rPr>
            </w:pPr>
          </w:p>
        </w:tc>
      </w:tr>
      <w:tr>
        <w:trPr>
          <w:trHeight w:val="210"/>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Alexander R. Berger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168,750</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353,953</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8"/>
        <w:spacing w:after="0" w:line="259"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p>
      <w:pPr>
        <w:spacing w:after="0" w:line="186" w:lineRule="exact"/>
        <w:rPr>
          <w:rFonts w:ascii="Arial" w:cs="Arial" w:eastAsia="Arial" w:hAnsi="Arial"/>
          <w:sz w:val="18"/>
          <w:szCs w:val="18"/>
          <w:color w:val="auto"/>
        </w:rPr>
      </w:pPr>
    </w:p>
    <w:p>
      <w:pPr>
        <w:jc w:val="both"/>
        <w:ind w:firstLine="8"/>
        <w:spacing w:after="0" w:line="264" w:lineRule="auto"/>
        <w:tabs>
          <w:tab w:leader="none" w:pos="26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are related to the vesting of RSU awards which vested evenly on each of March 31, 2014, June 30, 2014, September 30, 2014 and December 31, 2014 and the value realized is calculated by multiplying the number of vested shares by the closing price of our common stock on NASDAQ on the applicable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summarizes the potential payments to each NEO as of December 31, 2014 upon termination or change-in-control. The discussion assumes that such event occurred on December 31, 2014, the last business day of our fiscal year, at which time the closing price of our common stock as listed on NASDAQ was $0.55 per share. For a further discussion of these provisions see the “Narrative Disclosure to Summary Compensation Table and Grants of Plan-Based Awards Table”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u w:val="single" w:color="auto"/>
          <w:color w:val="auto"/>
        </w:rPr>
        <w:t>Andrew D. Perlman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event Mr. Perlman’s employment was terminated for (i) Good Reason by Mr. Perlman, or (ii) by the Company without Cause on December 31, 2014, Mr. Perlman would have received severance in the amount of one year of base salary and COBRA payments totaling approximately $40,775. In addition, in the event a change-in-control had occurred on December 31, 2014, Mr. Perlman would have received severance in the amount of one year of base salary, or $400,000, and 75% acceleration of certain unvested RSUs amounting to $145,879 as of December 31, 2014. In addition, upon change-in-control, Mr. Perlman would have been entitled to receive 75% acceleration of certain unvested options which were all out-of-the-money as of December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Andrew Kennedy Lang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Mr. Lang’s employment agreement was terminated by (i) us without Cause, or (ii) by Mr. Lang with Good Reason on December 31, 2014, Mr. Lang would have received severance in the amount of one year of base salary, or $385,000, and COBRA payments totaling approximately $40,775. Upon change-in-control, Mr. Lang would have been entitled to receive 75% acceleration of certain unvested RSUs amounting to $26,856 as of December 31, 2014. In addition, upon change-in-control, Mr. Lang would have been entitled to receive 75% acceleration of certain unvested options which were all out-of-the-money as of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Anastasia Nyrkovskaya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the Company without Cause on December 31, 2014, Ms. Nyrkovskaya would have received severance in the amount of one year of base salary, or $315,000, and COBRA payments totaling approximately $40,775. In addition, upon change-in-control, Ms. Nyrkovskaya would have been entitled to receive 75% acceleration of certain unvested options which were all out-of-the-money as of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David L. Cohen, Esq.</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Mr. Cohen’s employment was terminated for (i) Good Reason by Mr. Cohen, or (ii) by the Company without Cause on December 31, 2014, Mr. Cohen would have received severance in the amount of one year of base salary, or $315,000, and COBRA payments totaling approximately $40,775. In addition, upon change-in-control, Mr. Cohen would have been entitled to receive 75% acceleration of certain unvested RSUs amounting to $15,898 as of December 31, 2014 and would have been entitled to receive 75% acceleration of certain unvested options which were all out-of-the-money as of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Alexander R. Berger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Berger resigned from the Company on December 19, 2014 and did not receive any payments from the Company in connection with his termination of employment other than the consulting fees in 2015 discussed above. Mr. Berger and the Company also executed a mutual general release of claims that either party has or in the future may have against the other during the period of his employment.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2014. Directors who are employed by us are not compensated for their service on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700" w:type="dxa"/>
            <w:vAlign w:val="bottom"/>
          </w:tcPr>
          <w:p>
            <w:pPr>
              <w:jc w:val="center"/>
              <w:ind w:left="990"/>
              <w:spacing w:after="0"/>
              <w:rPr>
                <w:sz w:val="20"/>
                <w:szCs w:val="20"/>
                <w:color w:val="auto"/>
              </w:rPr>
            </w:pPr>
            <w:r>
              <w:rPr>
                <w:rFonts w:ascii="Arial" w:cs="Arial" w:eastAsia="Arial" w:hAnsi="Arial"/>
                <w:sz w:val="18"/>
                <w:szCs w:val="18"/>
                <w:b w:val="1"/>
                <w:bCs w:val="1"/>
                <w:color w:val="auto"/>
                <w:w w:val="82"/>
              </w:rPr>
              <w:t>Fees</w:t>
            </w:r>
          </w:p>
        </w:tc>
        <w:tc>
          <w:tcPr>
            <w:tcW w:w="1620" w:type="dxa"/>
            <w:vAlign w:val="bottom"/>
          </w:tcPr>
          <w:p>
            <w:pPr>
              <w:spacing w:after="0"/>
              <w:rPr>
                <w:sz w:val="18"/>
                <w:szCs w:val="18"/>
                <w:color w:val="auto"/>
              </w:rPr>
            </w:pPr>
          </w:p>
        </w:tc>
        <w:tc>
          <w:tcPr>
            <w:tcW w:w="1340" w:type="dxa"/>
            <w:vAlign w:val="bottom"/>
            <w:vMerge w:val="restart"/>
          </w:tcPr>
          <w:p>
            <w:pPr>
              <w:jc w:val="center"/>
              <w:ind w:right="113"/>
              <w:spacing w:after="0"/>
              <w:rPr>
                <w:sz w:val="20"/>
                <w:szCs w:val="20"/>
                <w:color w:val="auto"/>
              </w:rPr>
            </w:pPr>
            <w:r>
              <w:rPr>
                <w:rFonts w:ascii="Arial" w:cs="Arial" w:eastAsia="Arial" w:hAnsi="Arial"/>
                <w:sz w:val="18"/>
                <w:szCs w:val="18"/>
                <w:b w:val="1"/>
                <w:bCs w:val="1"/>
                <w:color w:val="auto"/>
                <w:w w:val="93"/>
              </w:rPr>
              <w:t>Option</w:t>
            </w: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2700" w:type="dxa"/>
            <w:vAlign w:val="bottom"/>
          </w:tcPr>
          <w:p>
            <w:pPr>
              <w:jc w:val="center"/>
              <w:ind w:left="970"/>
              <w:spacing w:after="0" w:line="181" w:lineRule="exact"/>
              <w:rPr>
                <w:sz w:val="20"/>
                <w:szCs w:val="20"/>
                <w:color w:val="auto"/>
              </w:rPr>
            </w:pPr>
            <w:r>
              <w:rPr>
                <w:rFonts w:ascii="Arial" w:cs="Arial" w:eastAsia="Arial" w:hAnsi="Arial"/>
                <w:sz w:val="18"/>
                <w:szCs w:val="18"/>
                <w:b w:val="1"/>
                <w:bCs w:val="1"/>
                <w:color w:val="auto"/>
                <w:w w:val="95"/>
              </w:rPr>
              <w:t>Earned or</w:t>
            </w:r>
          </w:p>
        </w:tc>
        <w:tc>
          <w:tcPr>
            <w:tcW w:w="16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64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5"/>
              </w:rPr>
              <w:t>All other</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700" w:type="dxa"/>
            <w:vAlign w:val="bottom"/>
          </w:tcPr>
          <w:p>
            <w:pPr>
              <w:jc w:val="center"/>
              <w:ind w:left="970"/>
              <w:spacing w:after="0"/>
              <w:rPr>
                <w:sz w:val="20"/>
                <w:szCs w:val="20"/>
                <w:color w:val="auto"/>
              </w:rPr>
            </w:pPr>
            <w:r>
              <w:rPr>
                <w:rFonts w:ascii="Arial" w:cs="Arial" w:eastAsia="Arial" w:hAnsi="Arial"/>
                <w:sz w:val="18"/>
                <w:szCs w:val="18"/>
                <w:b w:val="1"/>
                <w:bCs w:val="1"/>
                <w:color w:val="auto"/>
                <w:w w:val="94"/>
              </w:rPr>
              <w:t>Paid in</w:t>
            </w:r>
          </w:p>
        </w:tc>
        <w:tc>
          <w:tcPr>
            <w:tcW w:w="1620" w:type="dxa"/>
            <w:vAlign w:val="bottom"/>
          </w:tcPr>
          <w:p>
            <w:pPr>
              <w:ind w:left="480"/>
              <w:spacing w:after="0"/>
              <w:rPr>
                <w:sz w:val="20"/>
                <w:szCs w:val="20"/>
                <w:color w:val="auto"/>
              </w:rPr>
            </w:pPr>
            <w:r>
              <w:rPr>
                <w:rFonts w:ascii="Arial" w:cs="Arial" w:eastAsia="Arial" w:hAnsi="Arial"/>
                <w:sz w:val="18"/>
                <w:szCs w:val="18"/>
                <w:b w:val="1"/>
                <w:bCs w:val="1"/>
                <w:color w:val="auto"/>
              </w:rPr>
              <w:t>Stock</w:t>
            </w:r>
          </w:p>
        </w:tc>
        <w:tc>
          <w:tcPr>
            <w:tcW w:w="1340" w:type="dxa"/>
            <w:vAlign w:val="bottom"/>
          </w:tcPr>
          <w:p>
            <w:pPr>
              <w:jc w:val="center"/>
              <w:ind w:right="113"/>
              <w:spacing w:after="0"/>
              <w:rPr>
                <w:sz w:val="20"/>
                <w:szCs w:val="20"/>
                <w:color w:val="auto"/>
              </w:rPr>
            </w:pPr>
            <w:r>
              <w:rPr>
                <w:rFonts w:ascii="Arial" w:cs="Arial" w:eastAsia="Arial" w:hAnsi="Arial"/>
                <w:sz w:val="18"/>
                <w:szCs w:val="18"/>
                <w:b w:val="1"/>
                <w:bCs w:val="1"/>
                <w:color w:val="auto"/>
                <w:w w:val="89"/>
              </w:rPr>
              <w:t>Awards</w:t>
            </w: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compensation</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700" w:type="dxa"/>
            <w:vAlign w:val="bottom"/>
          </w:tcPr>
          <w:p>
            <w:pPr>
              <w:jc w:val="center"/>
              <w:ind w:left="970"/>
              <w:spacing w:after="0"/>
              <w:rPr>
                <w:sz w:val="20"/>
                <w:szCs w:val="20"/>
                <w:color w:val="auto"/>
              </w:rPr>
            </w:pPr>
            <w:r>
              <w:rPr>
                <w:rFonts w:ascii="Arial" w:cs="Arial" w:eastAsia="Arial" w:hAnsi="Arial"/>
                <w:sz w:val="18"/>
                <w:szCs w:val="18"/>
                <w:b w:val="1"/>
                <w:bCs w:val="1"/>
                <w:color w:val="auto"/>
                <w:w w:val="90"/>
              </w:rPr>
              <w:t>Cash ($)</w:t>
            </w:r>
          </w:p>
        </w:tc>
        <w:tc>
          <w:tcPr>
            <w:tcW w:w="1620" w:type="dxa"/>
            <w:vAlign w:val="bottom"/>
          </w:tcPr>
          <w:p>
            <w:pPr>
              <w:ind w:left="180"/>
              <w:spacing w:after="0" w:line="269" w:lineRule="exact"/>
              <w:rPr>
                <w:sz w:val="20"/>
                <w:szCs w:val="20"/>
                <w:color w:val="auto"/>
              </w:rPr>
            </w:pPr>
            <w:r>
              <w:rPr>
                <w:rFonts w:ascii="Arial" w:cs="Arial" w:eastAsia="Arial" w:hAnsi="Arial"/>
                <w:sz w:val="18"/>
                <w:szCs w:val="18"/>
                <w:b w:val="1"/>
                <w:bCs w:val="1"/>
                <w:color w:val="auto"/>
              </w:rPr>
              <w:t>Awards ($)</w:t>
            </w:r>
            <w:r>
              <w:rPr>
                <w:rFonts w:ascii="Arial" w:cs="Arial" w:eastAsia="Arial" w:hAnsi="Arial"/>
                <w:sz w:val="30"/>
                <w:szCs w:val="30"/>
                <w:b w:val="1"/>
                <w:bCs w:val="1"/>
                <w:color w:val="auto"/>
                <w:vertAlign w:val="superscript"/>
              </w:rPr>
              <w:t>(1)</w:t>
            </w:r>
          </w:p>
        </w:tc>
        <w:tc>
          <w:tcPr>
            <w:tcW w:w="1340" w:type="dxa"/>
            <w:vAlign w:val="bottom"/>
          </w:tcPr>
          <w:p>
            <w:pPr>
              <w:jc w:val="center"/>
              <w:ind w:right="113"/>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(1)</w:t>
            </w:r>
          </w:p>
        </w:tc>
        <w:tc>
          <w:tcPr>
            <w:tcW w:w="16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(2)</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35,000</w:t>
            </w:r>
          </w:p>
        </w:tc>
        <w:tc>
          <w:tcPr>
            <w:tcW w:w="1620" w:type="dxa"/>
            <w:vAlign w:val="bottom"/>
          </w:tcPr>
          <w:p>
            <w:pPr>
              <w:ind w:left="1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255,131</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(4)</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(5)</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35,000</w:t>
            </w:r>
          </w:p>
        </w:tc>
        <w:tc>
          <w:tcPr>
            <w:tcW w:w="1620" w:type="dxa"/>
            <w:vAlign w:val="bottom"/>
          </w:tcPr>
          <w:p>
            <w:pPr>
              <w:ind w:left="1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255,131</w:t>
            </w:r>
          </w:p>
        </w:tc>
        <w:tc>
          <w:tcPr>
            <w:tcW w:w="1640" w:type="dxa"/>
            <w:vAlign w:val="bottom"/>
          </w:tcPr>
          <w:p>
            <w:pPr>
              <w:ind w:left="1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(6)</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p>
        </w:tc>
        <w:tc>
          <w:tcPr>
            <w:tcW w:w="16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255,131</w:t>
            </w: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290,131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9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in accordance with FASB ASC Topic 718. See Notes 2(k) and 10 of the consolidated financial statements disclosed in the Form 10-K for the year ended December 31, 2014, for the assumptions made in the valuation of the equity awards.</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2014, Mr. Keller held 195,500 fully vested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2014, Mr. Stout held 56,250 RSUs and 366,178 options, of which 345,345 options were vested.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2014, Mr. Spiegel held 180,000 fully vested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2014, Mr. Engelman held 56,250 RSUs and 552,500 options of which 531,667 options were vested.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2014, Mr. Sinclair held 56,250 RSUs and 325,000 options of which 304,167 options were vested.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20, 2014, we granted to each of our non-employee directors 120,000 options at an exercise price of $4.10 per share, which vested evenly over four quarters, beginning with the quarter ended March 31, 2014, and agreed to pay each director an annual cash retainer of $35,000 payable quarterly in arrears.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2015, we continue to pay our non-employee directors a cash retainer of $35,000 payable quarterly in arrears. On January 22, 2015, we granted to each of our non-employee directors 100,000 options at the exercise price of $0.59 per share that vest evenly over four quarters, beginning with the quarter ended March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aggregate information, as of December 31, 2014, with respect to all of our equity compensation plans then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 of securities</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(b)</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No. of securities</w:t>
            </w:r>
          </w:p>
        </w:tc>
        <w:tc>
          <w:tcPr>
            <w:tcW w:w="2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to be issued</w:t>
            </w:r>
          </w:p>
        </w:tc>
        <w:tc>
          <w:tcPr>
            <w:tcW w:w="2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average exercise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upon exercise of</w:t>
            </w:r>
          </w:p>
        </w:tc>
        <w:tc>
          <w:tcPr>
            <w:tcW w:w="2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of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outstanding</w:t>
            </w:r>
          </w:p>
        </w:tc>
        <w:tc>
          <w:tcPr>
            <w:tcW w:w="2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outstanding</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options,</w:t>
            </w:r>
          </w:p>
        </w:tc>
        <w:tc>
          <w:tcPr>
            <w:tcW w:w="2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options,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warrants and</w:t>
            </w:r>
          </w:p>
        </w:tc>
        <w:tc>
          <w:tcPr>
            <w:tcW w:w="20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warrants and</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rights</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rights ($)</w:t>
            </w:r>
          </w:p>
        </w:tc>
        <w:tc>
          <w:tcPr>
            <w:tcW w:w="2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100" w:type="dxa"/>
            <w:vAlign w:val="bottom"/>
            <w:tcBorders>
              <w:bottom w:val="single" w:sz="8" w:color="CCEEFF"/>
            </w:tcBorders>
          </w:tcPr>
          <w:p>
            <w:pPr>
              <w:spacing w:after="0"/>
              <w:rPr>
                <w:sz w:val="20"/>
                <w:szCs w:val="20"/>
                <w:color w:val="auto"/>
              </w:rPr>
            </w:pPr>
          </w:p>
        </w:tc>
      </w:tr>
      <w:tr>
        <w:trPr>
          <w:trHeight w:val="250"/>
        </w:trPr>
        <w:tc>
          <w:tcPr>
            <w:tcW w:w="526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w w:val="95"/>
              </w:rPr>
              <w:t xml:space="preserve">Total equity compensation plans approved by security holders </w:t>
            </w:r>
            <w:r>
              <w:rPr>
                <w:rFonts w:ascii="Arial" w:cs="Arial" w:eastAsia="Arial" w:hAnsi="Arial"/>
                <w:sz w:val="29"/>
                <w:szCs w:val="29"/>
                <w:color w:val="auto"/>
                <w:w w:val="95"/>
                <w:vertAlign w:val="superscript"/>
              </w:rPr>
              <w:t>(1),(2)</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9,207,524</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5,793,420</w:t>
            </w:r>
          </w:p>
        </w:tc>
      </w:tr>
      <w:tr>
        <w:trPr>
          <w:trHeight w:val="390"/>
        </w:trPr>
        <w:tc>
          <w:tcPr>
            <w:tcW w:w="538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30"/>
                <w:szCs w:val="30"/>
                <w:color w:val="auto"/>
                <w:vertAlign w:val="superscript"/>
              </w:rPr>
              <w:t>(3)</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41,178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68" w:lineRule="exact"/>
        <w:rPr>
          <w:sz w:val="20"/>
          <w:szCs w:val="20"/>
          <w:color w:val="auto"/>
        </w:rPr>
      </w:pPr>
    </w:p>
    <w:p>
      <w:pPr>
        <w:jc w:val="both"/>
        <w:ind w:left="1680" w:right="60" w:hanging="646"/>
        <w:spacing w:after="0" w:line="269"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plans consist of the 2012 Plan and the 2006 Plan. Under the 2012 Plan, a maximum of 15,600,000 shares of common stock may be awarded. The 2012 Plan was approved by the Company’s stockholders on July 19, 2012, following the Merger, replacing Vringo’s then existing 2006 Plan. The maximum number of available common shares under the 2012 Plan is made up of the 9,100,000 previously available common shares under the 2006 Plan and 6,500,000 newly available common shares.</w:t>
      </w:r>
    </w:p>
    <w:p>
      <w:pPr>
        <w:spacing w:after="0" w:line="2" w:lineRule="exact"/>
        <w:rPr>
          <w:rFonts w:ascii="Arial" w:cs="Arial" w:eastAsia="Arial" w:hAnsi="Arial"/>
          <w:sz w:val="17"/>
          <w:szCs w:val="17"/>
          <w:color w:val="auto"/>
        </w:rPr>
      </w:pPr>
    </w:p>
    <w:p>
      <w:pPr>
        <w:jc w:val="both"/>
        <w:ind w:left="1680" w:hanging="646"/>
        <w:spacing w:after="0" w:line="250"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numbers of securities to be issued upon exercise of outstanding equities are 8,229,357 and 978,167, respectively for the 2012 Plan and the 2006 Plan. The weighted-average exercise prices of outstanding options are $3.49 and $2.47, respectively for the 2012 Plan and the 2006 Plan.</w:t>
      </w:r>
    </w:p>
    <w:p>
      <w:pPr>
        <w:spacing w:after="0" w:line="1" w:lineRule="exact"/>
        <w:rPr>
          <w:rFonts w:ascii="Arial" w:cs="Arial" w:eastAsia="Arial" w:hAnsi="Arial"/>
          <w:sz w:val="18"/>
          <w:szCs w:val="18"/>
          <w:color w:val="auto"/>
        </w:rPr>
      </w:pPr>
    </w:p>
    <w:p>
      <w:pPr>
        <w:jc w:val="both"/>
        <w:ind w:left="1680" w:hanging="646"/>
        <w:spacing w:after="0" w:line="253"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plan consists of Innovate/Protect’s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As of the merger, no further issuances can be made under this plan and any forfeitures cannot be reused.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of the Board of Directors, which consists entirely of directors who meet the independence and experience requirements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Capital Market, has furnished the following report:</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This committee reviews and reassesses our charter annually and recommends any changes to the Board for approval. The Audit Committee is responsible for overseeing our overall financial reporting process, and for the appointment, compensation, retention, and oversight of the work of KPMG LLP. In fulfilling its responsibilities for the financial statements for fiscal year ended December 31, 2014, the Audit Committee took the following actions:</w:t>
      </w:r>
    </w:p>
    <w:p>
      <w:pPr>
        <w:spacing w:after="0" w:line="193" w:lineRule="exact"/>
        <w:rPr>
          <w:sz w:val="20"/>
          <w:szCs w:val="20"/>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2014 with management and KPMG LLP, our independent registered public accounting firm;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Discussed with KPMG LLP the matters required to be discussed in accordance with Auditing Standard No. 16-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Received written disclosures and the letter from KPMG LLP regarding its independence as required by applicable requirements of the Public Company Accounting Oversight Board regarding KPMG LLP communications with the Audit Committee and the Audit Committee further discussed with KPMG LLP their independence. The Audit Committee also considered the status of pending litigation, taxation matters and other areas of oversight relating to the financial reporting and audit process that the committee determined appropriate.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KPMG LLP, the Audit Committee recommended to the Board that the audited financial statements be included in our Annual Report on Form 10-K for the fiscal year ended December 31, 2014 for filing with the SEC.</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Members of the Vringo,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Audit Committee (as of December 31, 2014)</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Noel J. Spiegel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 Van Sinclair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2014.</w:t>
      </w:r>
    </w:p>
    <w:p>
      <w:pPr>
        <w:spacing w:after="0" w:line="16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related party transactions to report during the year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Vringo, either directly or indirectly. Based upon this review, we believe that Messrs. Sinclair, Engelman, Stout, Keller and Spiegel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Compensation Committee, the Audit Committee and the Nominating and Corporate Governance Committee meets the independence requirements applicable to each such committee member prescribed by NASDAQ and the SEC. The Board has further determined that Messrs. Spiegel and Sinclair are “audit committee financial experts” as defined in the rules of the SEC.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1)</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[DATE]</w:t>
      </w:r>
      <w:r>
        <w:rPr>
          <w:rFonts w:ascii="Arial" w:cs="Arial" w:eastAsia="Arial" w:hAnsi="Arial"/>
          <w:sz w:val="18"/>
          <w:szCs w:val="18"/>
          <w:color w:val="auto"/>
        </w:rPr>
        <w:t xml:space="preserve"> the Board of Directors nominated Andrew D. Perlman, John Engelman, Ashley C. Keller, H. Van Sinclair, Noel J. Spiegel and Donald E. Stout for election at the annual meeting. If they are elected, they will serve on our Board of Directors until the 2016 annual meeting of stockholders and until their respective successors have been elected and qualified.</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Unless authority to vote for any of these nominees is withheld, the shares represented by the enclosed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Andrew D. Perlman, John Engelman, Ashley C. Keller, H. Van Sinclair, Noel J. Spiegel and Donald E. Stout.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THE ELECTION OF ANDREW D. PERLMAN, JOHN ENGELMAN, ASHLEY C. KELLER, H. VAN SINCLAIR, NOEL J. SPIEGEL AND DONALD E. STOUT AS DIRECTORS, AND PROXIES SOLICITED BY THE BOARD WILL BE VOTED IN FAVOR THEREOF UNLESS A STOCKHOLDER HAS INDICATED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4200"/>
        <w:spacing w:after="0"/>
        <w:rPr>
          <w:sz w:val="20"/>
          <w:szCs w:val="20"/>
          <w:color w:val="auto"/>
        </w:rPr>
      </w:pPr>
      <w:r>
        <w:rPr>
          <w:rFonts w:ascii="Arial" w:cs="Arial" w:eastAsia="Arial" w:hAnsi="Arial"/>
          <w:sz w:val="18"/>
          <w:szCs w:val="18"/>
          <w:b w:val="1"/>
          <w:bCs w:val="1"/>
          <w:color w:val="auto"/>
        </w:rPr>
        <w:t>PROPOSAL NO. 2: REVERSE STOCK SPLIT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At our 2015 annual meeting of stockholders, holders of our common stock are being asked to approve the proposal that our Amended and Restated Certificate of Incorporation be amended to effect a reverse stock split of the issued and outstanding shares of common stock (such split to combine a number of outstanding shares of our common stock between two (2) and ten (10), such number consisting of only whole shares, into one (1) share of common stock). The full text of the proposed amendment to our Amended and Restated Certificate of Incorporation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If approved by the stockholders, the reverse stock split would become effective at a time, and at a ratio, to be designated by the Board of Directors. The Board of Directors may effect only one reverse stock split as a result of this authorization. The Board’s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the Company reserves the right not to effect the reverse stock split if the Board of Directors does not deem it to be in the best interests of the Company and its stockholders to effect the reverse stock split. The reverse stock split, if authorized pursuant to this resolution and if deemed by the Board of Directors to be in the best interests of the Company and its stockholders, will be effected, if at all, at a time that is not later than December 14, 2015.</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proposed amendment to our Amended and Restated Certificate of Incorporation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 other than as described in Proposal 3 to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___________, 2015, the Board of Directors approved the proposal authorizing the reverse stock split for the following reasons:</w:t>
      </w:r>
    </w:p>
    <w:p>
      <w:pPr>
        <w:spacing w:after="0" w:line="225"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regaining compliance with the bid price requirement for continued listing of our common stock on The NASDAQ Capital Market;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of Directors believes that a higher stock price may help generate investor interest in the Company, including interest among institutional investors.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is listed on The NASDAQ Capital Market under the symbol “VRNG.” One of the requirements for continued listing on The NASDAQ Capital Market is maintenance of a minimum closing bid price of $1.00. On November 10, 2014, the closing market price per share of our common stock was $0.98, as reported by the NASDAQ Capital Market, and the price has been below $1.00 for more than 30 consecutive trading days.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55" w:lineRule="auto"/>
        <w:rPr>
          <w:sz w:val="20"/>
          <w:szCs w:val="20"/>
          <w:color w:val="auto"/>
        </w:rPr>
      </w:pPr>
      <w:r>
        <w:rPr>
          <w:rFonts w:ascii="Arial" w:cs="Arial" w:eastAsia="Arial" w:hAnsi="Arial"/>
          <w:sz w:val="18"/>
          <w:szCs w:val="18"/>
          <w:color w:val="auto"/>
        </w:rPr>
        <w:t>On December 18, 2014, we received a letter from NASDAQ indicating that for the last 30 consecutive business days, the bid price of our common shares closed below the minimum $1.00 per share requirement pursuant to NASDAQ Listing Rule 5550(a)(2) for continued listing on The NASDAQ Capital Market. In accordance with NASDAQ Listing Rule 5810(c)(3)(A), we had an initial grace period of 180 calendar days, or until June 16, 2015, to regain compliance with the minimum bid price requirement. On June 17, 2015, we received a letter from NASDAQ indicating that we have been granted an additional 180-day period, or until December 14, 2015, to regain compliance with the minimum $1.00 bid price per share requirement for continued listing on The NASDAQ Capital Market, as set forth in NASDAQ Listing Rule 5810(c)(3)(A)(ii).</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plan to regain compliance with the NASDAQ Listing Rules, which includes effecting the reverse stock split of our common stock for which we are seeking stockholder approval in this Proposal 2. We cannot assure that our share price will comply with the requirements for continued listing of our common shares on the NASDAQ Capital Market in the future or that we will comply with the other continued listing requirements. If our common shares lose their status on the NASDAQ Capital Market, our common shares would likely trade in the over-the-counter market.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shares were to trade on the over-the-counter market, selling our common shares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the Company’s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70" w:lineRule="exact"/>
        <w:rPr>
          <w:sz w:val="20"/>
          <w:szCs w:val="20"/>
          <w:color w:val="auto"/>
        </w:rPr>
      </w:pPr>
    </w:p>
    <w:p>
      <w:pPr>
        <w:ind w:left="660" w:right="2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Corporation’s issued and 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90" w:lineRule="exact"/>
        <w:rPr>
          <w:sz w:val="20"/>
          <w:szCs w:val="20"/>
          <w:color w:val="auto"/>
        </w:rPr>
      </w:pPr>
    </w:p>
    <w:p>
      <w:pPr>
        <w:jc w:val="both"/>
        <w:ind w:firstLine="656"/>
        <w:spacing w:after="0" w:line="271" w:lineRule="auto"/>
        <w:tabs>
          <w:tab w:leader="none" w:pos="9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would be rounded up to the next highest whole share.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“VRGN,” although it would receive a new CUSIP number.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two (2) and ten (10) into one (1) share. The certificate of amendment to be filed with the Secretary of State of the State of Delaware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certificate of amendment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Company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December 14, 2015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to receive one whole share of common stock by virtue of rounding up such fractional share to the next highest whole share. The ownership of such a whole share will give the holder thereof the same voting, dividend, and other rights as are held by other holders of common stock.</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Stockholders should be aware that receipt of a whole share of common stock resulting from the rounding up of a fractional share interest to the next highest whole share may have tax consequences. Each holder should seek advice based on the holder’s particular circumstances from an independent tax advisor.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Depending on the size of the reverse stock split the board of directors decides to implement, the stated capital component will be reduced to an amount between ______ and _________ of its present amount, and the additional paid-in capital component will be increased with the amount by which the stated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Par Value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proposed amendment to our Amended and Restated Certificate of Incorporation will not affect the par value of our common stock, which will remain at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Delaware General Corporation Law, the Company’s stockholders are not entitled to dissenters’ rights with respect to the reverse stock split, and the Company will not independently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with income subject to United States federal income tax regardless of its source;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225"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U.S. holder will not recognize any gain or loss as a result of the reverse stock split.</w:t>
      </w:r>
    </w:p>
    <w:p>
      <w:pPr>
        <w:spacing w:after="0" w:line="23"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ind w:left="680" w:hanging="321"/>
        <w:spacing w:after="0" w:line="261"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the holders of a majority of the outstanding shares of our common stock entitled to vote on the matter either in person or by proxy at the annual meeting is required to approve the amendment to our amended and restated certificate of incorporation to effect a reverse stock split of our common stock.</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RESTATED CERTIFICATE OF INCORPORATION TO EFFECT A REVERSE STOCK SPLIT OF THE ISSUED AND OUTSTANDING SHARES OF OUR COMMON STOCK (SUCH SPLIT TO COMBINE A NUMBER OF OUTSTANDING SHARES OF OUR COMMON STOCK BETWEEN TWO (2) AND TEN (10), SUCH NUMBER CONSISTING OF ONLY WHOLE SHARES, INTO ONE (1) SHARE OF OUR COMMON STOCK), AND PROXIES SOLICITED BY THE BOARD WILL BE VOTED IN FAVOR OF THE AMENDMENT UNLESS A STOCKHOLDER INDICATES OTHERWISE ON THE PROXY.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58" w:lineRule="auto"/>
        <w:rPr>
          <w:sz w:val="20"/>
          <w:szCs w:val="20"/>
          <w:color w:val="auto"/>
        </w:rPr>
      </w:pPr>
      <w:r>
        <w:rPr>
          <w:rFonts w:ascii="Arial" w:cs="Arial" w:eastAsia="Arial" w:hAnsi="Arial"/>
          <w:sz w:val="18"/>
          <w:szCs w:val="18"/>
          <w:b w:val="1"/>
          <w:bCs w:val="1"/>
          <w:color w:val="auto"/>
        </w:rPr>
        <w:t>PROPOSAL 3: 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Description of Proposal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4, 2015, we entered into a securities purchase agreement (the “Purchase Agreement”) with certain institutional investors (the “Investors”) in a registered direct offering of $12,500,000 of our Senior Secured Convertible Notes (collectively, “Notes”) and warrants (collectively, “Warrants”) to purchase up to 5,375,000 shares of our common stock in an offering (“Offering”) pursuant to a prospectus supplement to our effective shelf registration statement on Form S-3 (Registration No. 333-182823) (the “Financing Transaction”).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4, 2015, we issued Notes under an indenture, between us and Computershare Trust Company, N.A., as trustee (the “Base Indenture”), as supplemented by a first supplemental indenture thereto, relating to the Notes (the “First Supplemental Indenture” and, the Base Indenture as supplemented by the First Supplemental Indenture, the “First Indenture”). The terms of the Notes include those provided in the First Indenture and those made part of the First Indenture by reference to the Trust Indenture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and Warrants issued on May 4, 2015 (the “Closing”), pursuant to the terms of the Purchase Agreement. The Purchase Agreement provides for the sale of the Notes and the Warrants at the Closing for gross proceeds of $12,500,000.</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Purchase Agreement obligates us to indemnify the Investors and various related parties for certain losses including those resulting from (i) any misrepresentation or breach of any representation or warranty made by us, (ii) any breach of any obligation of ours, and (iii) certain claims by third parties.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Purchase Agreement contains representations and warranties of our company and the Investors which are typical for transactions of this type. In addition, it contains customary covenants on our part that are typical for transactions of this type, as well as the following additional covenants: (i) until the</w:t>
      </w:r>
    </w:p>
    <w:p>
      <w:pPr>
        <w:jc w:val="both"/>
        <w:spacing w:after="0" w:line="254" w:lineRule="auto"/>
        <w:rPr>
          <w:sz w:val="20"/>
          <w:szCs w:val="20"/>
          <w:color w:val="auto"/>
        </w:rPr>
      </w:pPr>
      <w:r>
        <w:rPr>
          <w:rFonts w:ascii="Arial" w:cs="Arial" w:eastAsia="Arial" w:hAnsi="Arial"/>
          <w:sz w:val="17"/>
          <w:szCs w:val="17"/>
          <w:color w:val="auto"/>
        </w:rPr>
        <w:t>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Closing Date (the “Applicable Date”), we agreed not to file any registration statement, other than a registration statement on Form S-8, post-effective amendments to registration statements that are effective solely to update the information contain therein, and a universal shelf registration statement on Form S-3 filed with the SEC not less than 30 days after the Closing Date, (ii) we agreed not to conduct any other securities offerings until after the Applicable Date, except for certain excluded securities, and while the Notes are outstanding, we agreed not to enter into any variable rate transactions; (iii) we agreed to offer to the investors, as long as the Notes remain outstanding, the opportunity to participate in any subsequent securities offerings by our company; (iv) we agreed to hold a stockholder meeting not later than December 1, 2015 at which we will solicit the stockholders affirmative vote for approval of resolutions providing for our issuance of all the securities described in the transaction documents in accordance with the applicable law and rules and regulations of The NASDAQ Stock Market, for which this Proposal No. 3 refers to, and an increase in the number of shares of common stock that we are authorized to issue to 250,000,000, for which Proposal No. 4 is referred 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and Indentures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Notes will not be issued with an original issue discount and are not subject to defeasance. The Notes will be issued in certificated form and not as global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b w:val="1"/>
          <w:bCs w:val="1"/>
          <w:i w:val="1"/>
          <w:iCs w:val="1"/>
          <w:color w:val="auto"/>
        </w:rPr>
        <w:t>Ranking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Notes will be the senior secured obligations of our company and not the obligations of our subsidiaries. The Notes will be secured by a first priority perfected security interest in certain of our company’s assets, including, without limitation, the Subsidiary Notes and the security interests securing the Subsidiary Notes, as evidenced by the Security Agreement and related security documents.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earlier converted or redeemed, the Notes will mature twenty-one months following their issuance date, or Maturity Date, subject to the right of the investors to extend the date (i) if an event of default under the Notes has occurred and is continuing or any event shall have occurred and be continuing that with the passage of time and the failure to cure would result in an event of default under the Notes and (ii) for a period of 20 business days after the consummation of a fundamental transaction if certain events occur.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Notes will accrue at 8% per annum on the principal amount of the Notes. Interest on the Notes is payable quarterly in shares of common stock or cash, at our option. Interest on the Notes is computed on the basis of a 360-day year and twelve 30-day months and is payable in arrears quarterly and is compounded quarterly. The interest rate will increase to 16.5% per annum upon the occurrence of and during the continuance of any event of default pursuant to the Notes.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on the Notes is payable in arrears on each Installment Date (as defined below). If a holder elects to convert or redeem all or any portion of a Note prior to the Maturity Date, all accrued and unpaid interest on the amount being converted or redeemed will also be payable. If we elects to redeem all or any portion of a Note prior to the Maturity Date, all accrued and unpaid interest on the amount being redeemed will also be payable.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Late Charges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pay a late charge of 16.5% on any amount of principal or other amounts due which are not paid when due. Late charges are payable in arrears on each Installment Date. If a holder elects to convert or redeem all or any portion of a Note prior to the Maturity Date, all accrued and unpaid late charges on the amount being converted or redeemed will also be payable. If we elect to redeem all or any portion of a Note prior to the Maturity Date, all accrued and unpaid late charges on the amount being redeemed will also be payable.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amounts due under the Notes are convertible at any time, in whole or in part, at the option of the holders into shares of our common stock at a conversion price, or Fixed Conversion Price, which is subject to adjustment as described below. If a holder elects to convert all or any portion of a Note prior to the Maturity Date, all accrued and unpaid interest and accrued and unpaid late charges on the principal amount being converted will also be converted at the Fixed Conversion Price.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are initially convertible into shares of our common stock at the initial Fixed Conversion Price of $1.00 per share. The Fixed Conversion Price is subject to adjustment for stock splits, combinations or similar events. If we sell or issue any securities with “floating” conversion prices based on the market price of our common stock, a holder of a Note will have the right thereafter to substitute the “floating” conversion price for the Fixed Conversion Price upon conversion of all or part of the Note.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fail to timely deliver common stock upon conversion of the Notes, we have agreed to pay certain liquidated damages to the converting holder.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Payment of Principal and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make amortization payments with respect to the principal amount of each Note on the first trading day of each calendar month following the date the Notes are issued until the Maturity Date (collectively, the “Installment Dates”).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amortizing portion of the principal of each Note, or Amortization Amount, will equal (i) for all Installment Dates other than the Maturity Date, the lesser of (x) the holder’s pro-rata share of $595,238.10 and (y) the principal amount then outstanding under the Note, and (ii) on the Maturity Date, the principal amount then outstanding under the Note.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pay the Amortization Amount, all accrued and unpaid interest and accrued and unpaid late charges, or collectively the Installment Amount, in cash or shares of our common stock, at our election, subject to the satisfaction of the Equity Conditions (as defined below) as described below if we elect to pay in shares of common stock.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Acceleration of Amortization Amounts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any day during the period commencing on an Installment Date, or Current Installment Date, and ending on the trading day prior to prior to the next Installment Date, the holder of a Note may, at its election, convert the Installment Amounts due on up to six future Installment Dates at the Company Conversion Price (as defined below) in effect on the Current Installment Date.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Conversion Price” on any given date, other than the first Installment Date, is equal to (1) 85% multiplied by (2) the quotient of (A) the sum of each of the three (3) lowest Closing Sale Prices of our common stock during the twenty (20) consecutive trading day period immediately preceding the applicable Installment Date (each such period, a “Company Conversion Measuring Period”) divided by (B) three (3).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 of Default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occurs, holders of the Notes may force us to redeem all or any portion of the Notes (including all accrued and unpaid interest thereon), in cash, at a price equal to the greater of (i) up to 120% during the period from the issuance date to the one year anniversary of the issuance date and 115% thereafter of the amount being redeemed, depending on the nature of the default, and (ii) the product of the following: (a) the Conversion Rate (as defined below) multiplied (b) up to 120% during the period from the issuance date to the one year anniversary of the issuance date and 115% thereafter of the amount being redeemed, depending on the nature of the default, multiplied by the highest closing sale price of our common stock during the period beginning on the date immediately before the event of default and ending on the date of redemption. The “Conversion Rate” is determined by dividing the amount being converted or redeemed by the Fixed Conversion Price. If we fail to make the cash redemption payment, the conversion price of the Notes shall be automatically adjusted with respect to each conversion effected thereafter to the lowest of (x) the lowest Company Conversion Price of the Installment Dates occurring during the period commencing on the date the holder delivers the applicable redemption Notice and ending on the date that the redemption notice is voided by the holder, (B) 85% of the lowest closing bid price of the common stock during the period commencing on the date the holder delivers the applicable redemption Notice and ending on the date that the redemption notice is voided by the holder and (C) 85% of the VWAP of the common stock for the 5 trading day period immediately preceding the Conversion Date of the applicable conversion.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transactions involving a change of control, the holder of a Note will have the right to force us to redeem all or any portion of the Note it holds (including all accrued and unpaid thereon) at a price equal to 120% during the period from the issuance date to the one year anniversary of the issuance date and 115% thereafter of the amount being redeemed.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b w:val="1"/>
          <w:bCs w:val="1"/>
          <w:i w:val="1"/>
          <w:iCs w:val="1"/>
          <w:color w:val="auto"/>
        </w:rPr>
        <w:t>Limitations on Conversion and Issuance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or Note Blocker. The Note Blocker may be raised or lowered to any other percentage not in excess of 9.99% at the option of the selling security holder, except that any raise will only be effective upon 61-days’ prior notice to us.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 if the sum of the number of shares of common stock to be issued plus the number of shares of common stock issued under all of the Notes, the Warrants would exceed 18,718,207 shares of our common stock unless we have obtained stockholder approval pursuant to NASDAQ Listing Rule 5635(d) for the issuance of more than 18,718,207 shares of our common stock under the Notes, or the NASDAQ Blocker for which this Proposal No. 3 relates.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the Closing Date, we issued Warrants that will entitle the holders of the Warrants to purchase, in aggregate, up to 5,375,000 shares of our common stock. The Warrants will not be exercisable until the six month and one day anniversary of the date of their issuance and will expire five years from the date of they become exercisable. The Warrants will initially be exercisable at an exercise price equal to $1.00, subject to certain adjustments.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Similar to the Notes, the Warrants require “buy-in” payments to be made by us for failure to deliver the shares of common stock issuable upon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Proposal to Approve Financing Transaction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NASDAQ Listing Rule 5635(d) requires us to obtain stockholder approval prior to the issuance of securities in connection with a transaction other than a public offering involving (i) the sale, issuance or potential issuance by us of our common stock (or securities convertible into or exercisable for our common stock) at a price less than the greater of book or market value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greater of book or market value of the stock. In the case of the Financing Transaction, the 20% threshold is determined based on the shares of our common stock outstanding immediately preceding the Financing Transaction, which we signed on May 4, 2015. Because the issuance of shares of our common stock underlying the Notes and Warrants may trigger our obligation to obtain stockholder approval under NASDAQ Listing Rule 5635(d), the Note and Warrant holders agreed that the total shares of our common stock that may be issued under the Convertible Notes and Warrants is limited to 19.99% of the total number of shares of our common stock outstanding immediately preceding the Financing Transaction, until we obtain stockholder approval of the Financing Transaction or a waiver of NASDAQ Listing Rule 5635(d). We are permitted to issue up to 18,718,207 shares of our common stock to the Note and Warrant holders without obtaining stockholder approval under NASDAQ Listing Rule 5635(d). We are now seeking stockholder approval to issue more than 20% of our outstanding shares of common stock to the Note and Warrant holders under the terms of the Financing Transaction.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648"/>
        <w:spacing w:after="0" w:line="254" w:lineRule="auto"/>
        <w:rPr>
          <w:sz w:val="20"/>
          <w:szCs w:val="20"/>
          <w:color w:val="auto"/>
        </w:rPr>
      </w:pPr>
      <w:r>
        <w:rPr>
          <w:rFonts w:ascii="Arial" w:cs="Arial" w:eastAsia="Arial" w:hAnsi="Arial"/>
          <w:sz w:val="18"/>
          <w:szCs w:val="18"/>
          <w:color w:val="auto"/>
        </w:rPr>
        <w:t>We have no control over whether the Note holders convert their Notes or whether the Warrant holders exercise their Warrants. Further, we cannot predict the market price of our common stock at any future date, and therefore cannot predict the applicable prices at which the Notes may be converted. In addition, the Notes and Warrants are subject to antidilution adjustment provisions which, if triggered, may require the issuance of additional shares upon conversion or exercise. For these reasons, we are unable to accurately forecast or predict with any certainty the total amount of shares that may be issued under the Notes or Warrants. Under certain circumstances, however, it is possible, that we may have to issue more than 20% of our outstanding shares of common stock to the Note and Warrant holders under the terms of the Financing Transaction. Therefore, we are seeking stockholder approval under this proposal to issue more than 20% of our outstanding shares of common stock, if necessary, to the Note and Warrant holders under the terms of the Financing Transaction.</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 Future issuances of securities under the Financing Transaction, if any, may cause a significant reduction in the percentage interests of our current stockholders in the voting power, any liquidation value, our book and market value, and in any future earnings. Further, the issuance or resale of common stock issued to the Note and Warrant holders could cause the market price of our common stock to decline. In addition to the foregoing, the increase in the number of issued shares of common stock in connection with the Financing Transaction may have an incidental anti-takeover effect in that additional shares could be used to dilute the stock ownership of parties seeking to obtain control of Vringo. The increased number of issued shares could discourage the possibility of, or render more difficult, certain mergers, tender offers, proxy contests or other change of control or ownership transactions.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NASDAQ Listing Rules, we are not permitted (without risk of delisting) to undertake a transaction that could result in a change in control of Vringo, as defined by NASDAQ Listing Rule 5635(b), without seeking and obtaining separate stockholder approval. We are not required to obtain stockholder approval for the Financing Transaction under NASDAQ Listing Rule 5635(b) because the Note and Warrant holders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Not Approving this Proposal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extensive efforts to raise capital on more favorable terms, we believe that the Financing Transaction is the only viable financing alternative available to us at this time. If our stockholders do not approve this proposal, we will not be able to issue more than 20% of our outstanding shares of common stock to the Note and Warrant holders in connection with the Financing Transaction. As a result, we may be unable to make some of the amortization payments due under the Notes in shares of our common stock or issue sufficient shares upon exercise of the Warrants which will, in lieu of those shares, require that we pay substantial cash amounts to the Note and Warrant holders. We do not have, and do not anticipate having, sufficient funds to make any substantial cash payments to the Note and Warrant holders.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Securities Purchase Agreement, the form of Notes, the Base Indenture, the form of First Supplemental Indentures, and the form of Warrants are attached to this Proxy Statement as </w:t>
      </w:r>
      <w:r>
        <w:rPr>
          <w:rFonts w:ascii="Arial" w:cs="Arial" w:eastAsia="Arial" w:hAnsi="Arial"/>
          <w:sz w:val="18"/>
          <w:szCs w:val="18"/>
          <w:u w:val="single" w:color="auto"/>
          <w:color w:val="auto"/>
        </w:rPr>
        <w:t>Annexes I−V</w:t>
      </w:r>
      <w:r>
        <w:rPr>
          <w:rFonts w:ascii="Arial" w:cs="Arial" w:eastAsia="Arial" w:hAnsi="Arial"/>
          <w:sz w:val="18"/>
          <w:szCs w:val="18"/>
          <w:color w:val="auto"/>
        </w:rPr>
        <w: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the Financing Transaction. The approval of Proposal No. 3 requires the affirmative vote of a majority of the votes of the shares of our common stock, present at the annual meeting in person or by proxy and entitled to vote.</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UNDERLYING CONVERTIBLE NOTES AND WARRANTS, IN AN AMOUNT EQUAL TO OR IN EXCESS OF 20% OF OUR COMMON STOCK OUTSTANDING BEFORE THE ISSUANCE OF SUCH CONVERTIBLE NOTES AND WARRANTS, IN SATISFACTION OF THE NASDAQ LISTING RULE 5635(d), AND PROXIES SOLICITED BY THE BOARD WILL BE VOTED IN FAVOR OF THE AMENDMENT UNLESS A STOCKHOLDER INDICATES OTHERWISE ON THE PROXY.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648"/>
        <w:spacing w:after="0" w:line="282" w:lineRule="auto"/>
        <w:rPr>
          <w:sz w:val="20"/>
          <w:szCs w:val="20"/>
          <w:color w:val="auto"/>
        </w:rPr>
      </w:pPr>
      <w:r>
        <w:rPr>
          <w:rFonts w:ascii="Arial" w:cs="Arial" w:eastAsia="Arial" w:hAnsi="Arial"/>
          <w:sz w:val="18"/>
          <w:szCs w:val="18"/>
          <w:b w:val="1"/>
          <w:bCs w:val="1"/>
          <w:color w:val="auto"/>
        </w:rPr>
        <w:t>PROPOSAL NO. 4: AMENDMENT OF OUR CERTIFICATE OF INCORPORATION TO INCREASE FROM 150,000,000 SHARES TO 250,000,000 SHARES THE AGGREGATE NUMBER OF SHARES OF COMMON STOCK AUTHORIZED TO BE ISSUED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4)</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Board of Directors has determined that it is advisable to increase our authorized common stock from 150,000,000 shares to up to a maximum of 250,000,000 shares pursuant to our obligation under the Purchase Agreement, and has voted to recommend that the stockholders adopt an amendment to our amended and restated certificate of incorporation, or the certificate of incorporation, effecting the proposed increase. The full text of the proposed amendment to the certificate of incorporation is attached to this proxy statement as </w:t>
      </w:r>
      <w:r>
        <w:rPr>
          <w:rFonts w:ascii="Arial" w:cs="Arial" w:eastAsia="Arial" w:hAnsi="Arial"/>
          <w:sz w:val="17"/>
          <w:szCs w:val="17"/>
          <w:u w:val="single" w:color="auto"/>
          <w:color w:val="auto"/>
        </w:rPr>
        <w:t>Appendix B</w:t>
      </w:r>
      <w:r>
        <w:rPr>
          <w:rFonts w:ascii="Arial" w:cs="Arial" w:eastAsia="Arial" w:hAnsi="Arial"/>
          <w:sz w:val="17"/>
          <w:szCs w:val="17"/>
          <w:color w:val="auto"/>
        </w:rPr>
        <w: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As of </w:t>
      </w:r>
      <w:r>
        <w:rPr>
          <w:rFonts w:ascii="Arial" w:cs="Arial" w:eastAsia="Arial" w:hAnsi="Arial"/>
          <w:sz w:val="16"/>
          <w:szCs w:val="16"/>
          <w:b w:val="1"/>
          <w:bCs w:val="1"/>
          <w:color w:val="auto"/>
        </w:rPr>
        <w:t>[__________]</w:t>
      </w:r>
      <w:r>
        <w:rPr>
          <w:rFonts w:ascii="Arial" w:cs="Arial" w:eastAsia="Arial" w:hAnsi="Arial"/>
          <w:sz w:val="16"/>
          <w:szCs w:val="16"/>
          <w:color w:val="auto"/>
        </w:rPr>
        <w:t>, approximately ____ million shares of our common stock were issued and outstanding and approximately an additional ______</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were reserved for issuance upon the conversion of existing securities and exercise of options granted. Accordingly, a total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 million shares of common stock is available for future issuance.</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believes it continues to be in our best interest to have sufficient additional authorized but unissued shares of common stock available in order to provide flexibility for corporate action in the future. Management believes that the availability of additional authorized shares for issuance from time to time in the Board of Directors’ discretion in connection with future financings, acquisitions, investment opportunities, stock splits or dividends or for other corporate purposes is desirable in order to avoid repeated separate amendments to our certificate of incorporation and the delay and expense incurred in holding special meetings of the stockholders to approve such amendments, however, we seek stockholders approval for the increase of the authorized shares due to our obligation under the Purchase Agreement. In the event we implement the reverse stock split and determine the increase in the authorized shares is not in the best interest of our stockholders, we reserve the right not to adopt the increase in the authorized shares.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solicit further authorization by vote of the stockholders for the issuance of the additional shares of common stock proposed to be authorized, except as required by law, regulatory authorities or rules of The NASDAQ Stock Market or any other stock exchange on which our shares may then be listed. The issuance of additional shares of common stock could have the effect of diluting existing stockholder earnings per share, book value per share and voting power. Our stockholders do not have any preemptive right to purchase or subscribe for any part of any new or additional issuance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affirmative vote of the holders of a majority of the shares of our common stock outstanding and entitled to vote on the matter either in person or by proxy at the annual meeting is required to approve the amendment to our certificate of incorporation to effect the proposed increase in our authorized shares.</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AMENDMENT TO OUR AMENDED AND RESTATED CERTIFICATE OF INCORPORATION, AND PROXIES SOLICITED BY THE BOARD WILL BE VOTED IN FAVOR OF THE AMENDMENT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PROPOSAL NO. 5: APPROVAL OF AMENDMENT TO OUR 2102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[_______________], our Board of Directors approved an amendment to our 2012 Employee, Director and Consultant Equity Incentive Plan, or</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Plan, effective upon approval by our stockholders at the annual meeting, to increase the number of shares authorized for issuance of awards under the Plan by ______________ shares, from ______________ to an aggregate of 21,000,000 shares of common stock. Our Plan was approved by our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stockholders in 2012. As of [________], a total of ______________ shares of our common stock are reserved for issuance under the Plan.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options to purchase _______________ shares of common stock are outstanding under the Plan, ___________ shares have been issued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exercise of options granted under the Plan and __________ options remain available for issuance. In addition, As of [________], we had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unvested restricted stock units. By its terms, the Plan may be amended by the Board of Directors, provided that any amendment which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determines requires stockholder approval is subject to receiving such stockholder approval. On ________________, our Board of</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Directors voted to approve an amendment to the Plan to increase the aggregate number of shares of common stock available for the grant of awards under the Plan by an additional _____________ shares.</w:t>
      </w:r>
    </w:p>
    <w:p>
      <w:pPr>
        <w:spacing w:after="0" w:line="1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proposed number of shares subject to the Plan is the sum of: (i) 21 million shares of common stock and (ii) any shares of common stock that are represented by awards granted under our 2006 Stock Option Plan that are forfeited, expire or are cancelled without delivery of shares of common stock or which result in the forfeiture of shares of common stock back to us on or after the date of the Plan approval by the stockholders, or the equivalent of such number of shares after the administrator, in its sole discretion, has interpreted the effect of any stock split, stock dividend, combination, recapitalization or similar transaction in accordance with the Plan; provided, however, that no more than 1.5 million shares shall be added to the Plan.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amendment is being submitted to you for approval at the annual meeting in order to ensure (i) favorable federal income tax treatment for grants of incentive stock options under Section 422 of the Internal Revenue Code of 1986, as amended (the “Code”), and (ii) continued eligibility to receive a federal income tax deduction for certain compensation paid under our Plan by complying with Section 162(m) of the Code. Approval by our stockholders of the Plan is also required by the listing rules of The NASDAQ Stock Market.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Generally shares of common stock reserved for awards under the Plan that lapse or are canceled will be added back to the share reserve available for future awards. However, shares of common stock tendered in payment for an award or shares of common stock withheld for taxes will not be available again for grant. Our Plan provides that no participant may receive awards for more than 4,000,000 shares of common stock in any fiscal year and that no more than</w:t>
      </w:r>
    </w:p>
    <w:p>
      <w:pPr>
        <w:spacing w:after="0"/>
        <w:rPr>
          <w:sz w:val="20"/>
          <w:szCs w:val="20"/>
          <w:color w:val="auto"/>
        </w:rPr>
      </w:pPr>
      <w:r>
        <w:rPr>
          <w:rFonts w:ascii="Arial" w:cs="Arial" w:eastAsia="Arial" w:hAnsi="Arial"/>
          <w:sz w:val="18"/>
          <w:szCs w:val="18"/>
          <w:color w:val="auto"/>
        </w:rPr>
        <w:t>____________ shares shall be issued as stock grants or other stock based awards that are deemed “full value” awards.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the Compensation Committee and management all believe that the effective use of stock-based long-term incentive compensation is vital to our ability to achieve strong performance in the future. The Plan will maintain and enhance the key policies and practices adopted by our management and Board of Directors to align employee and stockholder interests.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Accordingly, our Board of Directors believes approval of the amendment to increase the aggregate number of shares available for issuance under the Plan is in our best interests and those of its stockholders and recommends a vote “FOR” the approval of the amendment to the Plan.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is a brief summary of the Plan. This summary is qualified in its entirety by reference to the text of the Plan, as amended, a copy of which is attached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our Plan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The 2012 Plan allows us, under the direction of its Compensation Committee, to make grants of stock options, restricted and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and other stock-based awards to employees, consultants and directors who, in the opinion of the Compensation Committee, are in a position to make a significant contribution to our long-term success. The purpose of these awards is to attract and retain key individuals, further align employee and stockholder interests, and to closely link compensation with our performance. The Plan provides an essential component of the total compensation package, reflecting the importance that we place on aligning the interests of key individuals with those of our stockholders. As of _______, there were ____individuals eligible to participate.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ind w:firstLine="648"/>
        <w:spacing w:after="0" w:line="274" w:lineRule="auto"/>
        <w:rPr>
          <w:sz w:val="20"/>
          <w:szCs w:val="20"/>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 Stock options granted under the Plan may either be incentive stock options, which are intended to satisfy the requirements of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422 of the Code, or non-qualified stock options, which are not intended to meet those requirements. Incentive stock options may be granted to our employees and our affiliates. Non-qualified options may be granted to our employees, directors and consultants and our affiliates. The exercise price of a stock option may not be less than 100% of the fair market value of our common stock on the date of grant. If an incentive stock option is granted to an individual who owns more than 10% of the combined voting power of all classes of the our capital stock, the exercise price may not be less than 110% of the fair market value of our common stock on the date of grant and the term of the option may not be longer than five years.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Restricted stock is common stock that is subject to restrictions, including a prohibition against transfer and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until the end of a “restricted period” during which the grantee must satisfy certain vesting conditions. If the grantee does not satisfy the vesting conditions by the end of the restricted period, the restricted stock is forfeited.</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Plan also authorizes the grant of other types of stock-based compensation including, but not limited to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phantom stock awards, and stock unit awards. Our Board of Directors or an authorized committee may award such stock-based awards subject to such conditions and restrictions as it may determine. These conditions and restrictions may include continued employment with us through a specified restricted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Plan Administration</w:t>
      </w:r>
      <w:r>
        <w:rPr>
          <w:rFonts w:ascii="Arial" w:cs="Arial" w:eastAsia="Arial" w:hAnsi="Arial"/>
          <w:sz w:val="18"/>
          <w:szCs w:val="18"/>
          <w:color w:val="auto"/>
        </w:rPr>
        <w:t>. In accordance with the terms of our Plan, our Board of Directors has authorized our Compensation Committee to administer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Compensation Committee may delegate part of its authority and powers under our Plan to one or more of our directors and/or officers, but only the Compensation Committee can make awards to participants who are our directors or executive officers. In accordance with the provisions of the Plan, our Compensation Committee determines the terms of awards, including:</w:t>
      </w:r>
    </w:p>
    <w:p>
      <w:pPr>
        <w:spacing w:after="0" w:line="18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Plan.</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our Compensation Committee may, in its discretion, amend any term or condition of an outstanding award provided (i) such term or condition as amended is permitted by our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Stock Dividends and Stock Splits</w:t>
      </w:r>
      <w:r>
        <w:rPr>
          <w:rFonts w:ascii="Arial" w:cs="Arial" w:eastAsia="Arial" w:hAnsi="Arial"/>
          <w:sz w:val="18"/>
          <w:szCs w:val="18"/>
          <w:color w:val="auto"/>
        </w:rPr>
        <w:t>. If our common stock shall be subdivided or combined into a greater or smaller number of shares or if we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common stock as a stock dividend, the number of shares of our common stock deliverable upon exercise of an option issued or upon issuance of an award shall be appropriately increased or decreased proportionately, and appropriate adjustments shall be made in the purchase price per share to reflect such subdivision, combination or stock dividend.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right="20" w:firstLine="648"/>
        <w:spacing w:after="0" w:line="282" w:lineRule="auto"/>
        <w:rPr>
          <w:sz w:val="20"/>
          <w:szCs w:val="20"/>
          <w:color w:val="auto"/>
        </w:rPr>
      </w:pPr>
      <w:r>
        <w:rPr>
          <w:rFonts w:ascii="Arial" w:cs="Arial" w:eastAsia="Arial" w:hAnsi="Arial"/>
          <w:sz w:val="18"/>
          <w:szCs w:val="18"/>
          <w:b w:val="1"/>
          <w:bCs w:val="1"/>
          <w:color w:val="auto"/>
        </w:rPr>
        <w:t>Corporate Transactions</w:t>
      </w:r>
      <w:r>
        <w:rPr>
          <w:rFonts w:ascii="Arial" w:cs="Arial" w:eastAsia="Arial" w:hAnsi="Arial"/>
          <w:sz w:val="18"/>
          <w:szCs w:val="18"/>
          <w:color w:val="auto"/>
        </w:rPr>
        <w:t>. Upon a merger or other reorganization event, our Board of Directors, may, in its sole discretion, take any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actions pursuant to our Plan, as to some or all outstanding awards:</w:t>
      </w:r>
    </w:p>
    <w:p>
      <w:pPr>
        <w:spacing w:after="0" w:line="166"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jc w:val="both"/>
        <w:ind w:left="980" w:hanging="324"/>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our common stock will receive a cash payment for each share surrendered in the merger, make or provide for a cash payment to the participants equal to the difference between the merger price times the number of shares of our common stock subject to such outstanding options, and the aggregate exercise price of all such outstanding options, in exchange for the termination of such options;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 and</w:t>
      </w:r>
    </w:p>
    <w:p>
      <w:pPr>
        <w:jc w:val="both"/>
        <w:ind w:left="980" w:hanging="324"/>
        <w:spacing w:after="0" w:line="271"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 respect to stock grants and in lieu of any of the foregoing, the Board of Directors or an authorized committee may provide that, upon consummation of the transaction, each outstanding stock grant shall be terminated in exchange for payment of an amount equal to the consideration payable upon consummation of such transaction to a holder of the number of shares of common stock comprising such award (to the extent such stock grant is no longer subject to any forfeiture or repurchase rights then in effect or, at the discretion of the Board of Directors or an authorized committee, all forfeiture and repurchase rights being waived upon such transaction).</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1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Our Plan may be amended by our stockholders. It may also be amended by our Board of Directors,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any amendment approved by our Board of Directors which is of a scope that requires stockholder approval as required by the rules of The NASDAQ Stock Market, in order to ensure favorable federal income tax treatment for any incentive stock options under Code Section 422, or for any other reason is subject to obtaining such stockholder approval. In addition, if The NASDAQ Stock Market amends its corporate governance rules so that such rules no longer require stockholder approval of “material amendments” of equity compensation plans, then, from and after the effective date of such an amendment to The NASDAQ Stock Market rules, no amendment of the Plan which (i) materially increases the number of shares to be issued under the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Plan; (iii) materially expands the class of participants eligible to participate in the Plan; or (iv) expands the types of awards provided under the Plan shall become effective unless stockholder approval is obtained. However, no such action may adversely affect any rights under any outstanding award without the holder’s consent.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Duration of Plan. The Plan will expire by its terms on the date which is ten years from the earlier of the date of its adoption by the Board of Directors and the date of its approval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Considerations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material federal income tax consequences of the issuance and exercise of stock options and other awards under the Plan, based on the current provisions of the Code and regulations, are as follows. Changes to these laws could alter the tax consequences described below. This summary assumes that all awards granted under the Plan are exempt from or comply with, the rules under Section 409A of the Code related to nonqualified deferred compensation.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ind w:firstLine="648"/>
        <w:spacing w:after="0" w:line="288" w:lineRule="auto"/>
        <w:rPr>
          <w:sz w:val="20"/>
          <w:szCs w:val="20"/>
          <w:color w:val="auto"/>
        </w:rPr>
      </w:pPr>
      <w:r>
        <w:rPr>
          <w:rFonts w:ascii="Arial" w:cs="Arial" w:eastAsia="Arial" w:hAnsi="Arial"/>
          <w:sz w:val="16"/>
          <w:szCs w:val="16"/>
          <w:b w:val="1"/>
          <w:bCs w:val="1"/>
          <w:color w:val="auto"/>
        </w:rPr>
        <w:t>Incentive Stock Options</w:t>
      </w:r>
      <w:r>
        <w:rPr>
          <w:rFonts w:ascii="Arial" w:cs="Arial" w:eastAsia="Arial" w:hAnsi="Arial"/>
          <w:sz w:val="16"/>
          <w:szCs w:val="16"/>
          <w:color w:val="auto"/>
        </w:rPr>
        <w:t>: Incentive stock options are intended to qualify for treatment under Section 422 of the Code. An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result in taxable income to the optionee or deduction to us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“ISO holding period”).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we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Non-Qualified Options</w:t>
      </w:r>
      <w:r>
        <w:rPr>
          <w:rFonts w:ascii="Arial" w:cs="Arial" w:eastAsia="Arial" w:hAnsi="Arial"/>
          <w:sz w:val="18"/>
          <w:szCs w:val="18"/>
          <w:color w:val="auto"/>
        </w:rPr>
        <w:t>: Options otherwise qualifying as incentive stock options, to the extent the aggregate fair market value of shares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such options are first exercisable by an individual in any calendar year exceeds $100,000, and options designated as non-qualified options will be treated as options that are not incentive stock options.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non-qualified option ordinarily will not result in income to the optionee or deduction to us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us in an amount equal to the optionee’s compensation income.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spacing w:after="0" w:line="14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Stock Grants</w:t>
      </w:r>
      <w:r>
        <w:rPr>
          <w:rFonts w:ascii="Arial" w:cs="Arial" w:eastAsia="Arial" w:hAnsi="Arial"/>
          <w:sz w:val="17"/>
          <w:szCs w:val="17"/>
          <w:color w:val="auto"/>
        </w:rPr>
        <w:t>: With respect to stock grants under our Plan that result in the issuance of shares that are either not restricted as to transferability or not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Stock Units</w:t>
      </w:r>
      <w:r>
        <w:rPr>
          <w:rFonts w:ascii="Arial" w:cs="Arial" w:eastAsia="Arial" w:hAnsi="Arial"/>
          <w:sz w:val="18"/>
          <w:szCs w:val="18"/>
          <w:color w:val="auto"/>
        </w:rPr>
        <w:t>: The grantee recognizes no income until the issuance of the shares. At that time, the grantee must generally recognize ordinary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fair market value of the shares received. We generally will be entitled to a deduction in an amount equal to the ordinary income recognized by the grantee.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firstLine="648"/>
        <w:spacing w:after="0" w:line="264" w:lineRule="auto"/>
        <w:rPr>
          <w:sz w:val="20"/>
          <w:szCs w:val="20"/>
          <w:color w:val="auto"/>
        </w:rPr>
      </w:pPr>
      <w:r>
        <w:rPr>
          <w:rFonts w:ascii="Arial" w:cs="Arial" w:eastAsia="Arial" w:hAnsi="Arial"/>
          <w:sz w:val="18"/>
          <w:szCs w:val="18"/>
          <w:color w:val="auto"/>
        </w:rPr>
        <w:t>The amounts of future grants under the Plan are not determinable as awards under the Plan and will be granted at the sole discretion of the Compensation Committee, or other delegated persons and we cannot determine at this time either the persons who will receive awards under the Plan or the amount or types of any such awards.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20, 2015, the closing market price per share of our common stock was $0.62, as reported by The NASDAQ Stock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these reasons, the Board of Directors has recommended adopting an amendment to our Plan to increase the number of shares authorized to be granted thereunder</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shares of our common stock present and entitled to vote on the matter either in person or by proxy at the annual meeting is required to approve the Amendment to the Plan.</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BOARD OF DIRECTORS RECOMMENDS APPROVAL OF THE ADOPTION OF AN AMENDMENT TO THE VRINGO, INC. 2012 EMPLOYEE, DIRECTOR AND CONSULTANT EQUITY INCENTIVE PLAN TO INCREASE BY 5,400,000 SHARES THE AGGREGATE NUMBER OF SHARES WHICH MAY BE GRANTED UNDER THE PLAN. PROXIES SOLICITED BY THE BOARD WILL BE VOTED IN FAVOR OF THE AMENDMENT UNLESS A STOCKHOLDER HAS INDICATED OTHERWISE ON THE PROXY.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PROPOSAL 6: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6)</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has appointed CohnReznick LLP, or CohnReznick, as our independent registered public accounting firm, to audit our financial statements for the fiscal year ending December 31, 2015. KPMG LLP was our independent registered public accounting firm for the fiscal year ended December 31, 2014. On July 13, 2015, we replaced KPMG LLP as our independent registered public accounting firm with CohnReznick. The Board proposes that the stockholders ratify the appointment of CohnReznick. We expect that representatives of CohnReznick will be present at the annual meeting, will be able to make a statement if they so desire, and will be available to respond to appropriate questions.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Audit Committee of the Board of Directors conducted a selection process to determine our registered public accounting firm for the fiscal year ending December 31, 2015. As a result of this process, the Audit Committee approved the appointment of CohnReznick as our independent registered public accounting firm for the fiscal year ending December 31, 2015, and the dismissal of KPMG LLP as the Company’s independent registered public accounting firm, as of July 13, 2015. The report of KPMG LLP on our consolidated financial statements as of and for the year ended December 31, 2014 did not contain an adverse opinion or a disclaimer of opinion and was not qualified or modified as to uncertainty, audit scope or accounting principles, except that KPMG LLP’s report on the consolidated financial statements contained a separate paragraph stating that “The accompanying financial statements have been prepared assuming that the Company will continue as a going concern. As discussed in note 1 to the consolidated financial statements, we have suffered recurring losses from operations and negative cash flows from operating activities and may not have sufficient cash or available sources of liquidity to support operating requirements that raises substantial doubt about its ability to continue as a going concern. Management’s plans in regard to these matters are also described in note 1. The consolidated financial statements do not include any adjustments that might result from the outcome of this uncertainty.” In connection with the audit of our consolidated financial statements for the fiscal year ended December 31, 2014, and the subsequent interim period through July 13, 2015, there were no disagreements with KPMG on any matters of accounting principles or practices, financial statement disclosure or auditing scope and procedures, which disagreements, if not resolved to the satisfaction of KPMG, would have caused KPMG to make reference to the matter in its report. There were no reportable events (as that term is described in Item 304(a)(1)(v) of Regulation S-K) during the fiscal year ended December 31, 2014 or the subsequent interim period through July 13, 2015.</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deciding to appoint CohnReznick, the Audit Committee reviewed auditor independence issues and existing commercial relationships with CohnReznick and concluded that CohnReznick has no commercial relationship with the Company that would impair its independence for the fiscal year ending December 31, 2015.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Somekh Chaikin, a member firm of KPMG International (“KPMG Israel”), served as our independent registered public accounting firm for the fiscal year ended December 31, 2013.</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KPMG LLP and KPMG Israel for the audit of our annual financial statements for the years ended December 31, 2014 and 2013 and fees billed for other services rendered by KPMG LLP and KPMG Israel during those periods.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37"/>
        </w:trPr>
        <w:tc>
          <w:tcPr>
            <w:tcW w:w="7440" w:type="dxa"/>
            <w:vAlign w:val="bottom"/>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7"/>
                <w:szCs w:val="27"/>
                <w:b w:val="1"/>
                <w:bCs w:val="1"/>
                <w:color w:val="auto"/>
                <w:vertAlign w:val="superscript"/>
              </w:rPr>
              <w:t>(1)</w:t>
            </w:r>
          </w:p>
        </w:tc>
        <w:tc>
          <w:tcPr>
            <w:tcW w:w="1180" w:type="dxa"/>
            <w:vAlign w:val="bottom"/>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412,500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187,000</w:t>
            </w:r>
          </w:p>
        </w:tc>
      </w:tr>
      <w:tr>
        <w:trPr>
          <w:trHeight w:val="270"/>
        </w:trPr>
        <w:tc>
          <w:tcPr>
            <w:tcW w:w="7440" w:type="dxa"/>
            <w:vAlign w:val="bottom"/>
          </w:tcPr>
          <w:p>
            <w:pPr>
              <w:spacing w:after="0" w:line="269" w:lineRule="exact"/>
              <w:rPr>
                <w:sz w:val="20"/>
                <w:szCs w:val="20"/>
                <w:color w:val="auto"/>
              </w:rPr>
            </w:pPr>
            <w:r>
              <w:rPr>
                <w:rFonts w:ascii="Arial" w:cs="Arial" w:eastAsia="Arial" w:hAnsi="Arial"/>
                <w:sz w:val="18"/>
                <w:szCs w:val="18"/>
                <w:b w:val="1"/>
                <w:bCs w:val="1"/>
                <w:color w:val="auto"/>
              </w:rPr>
              <w:t>Tax fees:</w:t>
            </w:r>
            <w:r>
              <w:rPr>
                <w:rFonts w:ascii="Arial" w:cs="Arial" w:eastAsia="Arial" w:hAnsi="Arial"/>
                <w:sz w:val="30"/>
                <w:szCs w:val="30"/>
                <w:b w:val="1"/>
                <w:bCs w:val="1"/>
                <w:color w:val="auto"/>
                <w:vertAlign w:val="superscript"/>
              </w:rPr>
              <w:t>(2)</w:t>
            </w:r>
          </w:p>
        </w:tc>
        <w:tc>
          <w:tcPr>
            <w:tcW w:w="118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71"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 The fees of $412,500 in 2014 were incurred by KPMG LLP and the fees of $187,000 in 2013 were incurred by KPMG Israel.</w:t>
      </w: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Tax fees represent the aggregate fees for tax compliance, tax advice, and tax planning services provided by KPMG Israel related to our Israeli subsidiary.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2014 and 2013.</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70" w:lineRule="exact"/>
        <w:rPr>
          <w:sz w:val="20"/>
          <w:szCs w:val="20"/>
          <w:color w:val="auto"/>
        </w:rPr>
      </w:pPr>
    </w:p>
    <w:p>
      <w:pPr>
        <w:jc w:val="both"/>
        <w:ind w:left="660" w:hanging="4"/>
        <w:spacing w:after="0" w:line="264" w:lineRule="auto"/>
        <w:tabs>
          <w:tab w:leader="none" w:pos="90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can reasonably be expected to provide, including comfort letters, statutory audits, and attest services and consultation regarding financial accounting and/or reporting standards.</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3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including due diligence related to mergers and acquisitions, employee benefit plan audits, and special procedures required to meet certain regulatory requirements.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1015"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w:t>
      </w:r>
      <w:r>
        <w:rPr>
          <w:rFonts w:ascii="Arial" w:cs="Arial" w:eastAsia="Arial" w:hAnsi="Arial"/>
          <w:sz w:val="17"/>
          <w:szCs w:val="17"/>
          <w:color w:val="auto"/>
        </w:rPr>
        <w:t>services include all services performed by an independent registered public accounting firm’s tax personnel except those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specifically related to the audit of the financial statements, and includes fees in the areas of tax compliance, tax planning, and tax advice.</w:t>
      </w:r>
    </w:p>
    <w:p>
      <w:pPr>
        <w:spacing w:after="0" w:line="146" w:lineRule="exact"/>
        <w:rPr>
          <w:rFonts w:ascii="Arial" w:cs="Arial" w:eastAsia="Arial" w:hAnsi="Arial"/>
          <w:sz w:val="17"/>
          <w:szCs w:val="17"/>
          <w:color w:val="auto"/>
        </w:rPr>
      </w:pPr>
    </w:p>
    <w:p>
      <w:pPr>
        <w:ind w:left="660" w:hanging="4"/>
        <w:spacing w:after="0" w:line="277" w:lineRule="auto"/>
        <w:tabs>
          <w:tab w:leader="none" w:pos="965"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 generally does not request such services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independent registered public accounting firm.</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the stockholders do not ratify the appointment of CohnReznick as our independent registered public accounting firm, the Audit Committee will reconsider its 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affirmative vote of a majority of the votes of the shares of our common stock, present at the annual meeting in person or by proxy and entitled to vote is required to ratify the appointment of the independent registered public accounting firm.</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AS OUR INDEPENDENT REGISTERED PUBLIC ACCOUNTING FIRM FOR THE FISCAL YEAR ENDING DECEMBER 31, 2015, AND PROXIES SOLICITED BY THE BOARD WILL BE VOTED IN FAVOR OF SUCH RATIFICATION UNLESS A STOCKHOLDER INDICATES OTHERWISE ON THE PROXY.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PROPOSAL 7: ADVISORY VOTE ON APPROVAL OF EXECUTIVE COMPENSATION AS DISCLOSED IN THIS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Item 7)</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w:t>
      </w:r>
      <w:r>
        <w:rPr>
          <w:rFonts w:ascii="Arial" w:cs="Arial" w:eastAsia="Arial" w:hAnsi="Arial"/>
          <w:sz w:val="18"/>
          <w:szCs w:val="18"/>
          <w:b w:val="1"/>
          <w:bCs w:val="1"/>
          <w:color w:val="auto"/>
        </w:rPr>
        <w:t>annually,</w:t>
      </w:r>
      <w:r>
        <w:rPr>
          <w:rFonts w:ascii="Arial" w:cs="Arial" w:eastAsia="Arial" w:hAnsi="Arial"/>
          <w:sz w:val="18"/>
          <w:szCs w:val="18"/>
          <w:color w:val="auto"/>
        </w:rPr>
        <w:t xml:space="preserve"> and the next such advisory vote will occur at the 2016 annual meeting of stockholders.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rely on qualified, highly skilled and talented employees who have experience in the legal, intellectual property licensing and enforcement, and other technology-related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fixed portion of compensation, in the form of a base salary, to retain and provide a base level of compensation to our named executive officers;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long-term performance element in the form of equity, to incentivize our named executive officers to achieve superior corporate performance.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8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individual performance, including past and expected contribution to our corporate goals and execution of our business plan and strategy;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Stockholders are urged to read the Compensation Discussion and Analysis section of this proxy statement, which discusses how our compensation policies and procedures implement our compensation philosophy. The Compensation Committee and the Board of Directors believe that these policies and procedures are effective in implementing our compensation philosophy and in achieving its goals.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2015 annual meeting: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“RESOLVED, that the compensation paid to the named executive officers of Vringo,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the votes present or represented by proxy and entitled to vote at the annual meeting is required to approve, on an advisory basis, this resolution.</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WILL BE VOTED IN FAVOR OF SUCH APPROVAL UNLESS A STOCKHOLDER INDICATES OTHERWISE ON THE PROXY.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61" w:lineRule="auto"/>
        <w:rPr>
          <w:sz w:val="20"/>
          <w:szCs w:val="20"/>
          <w:color w:val="auto"/>
        </w:rPr>
      </w:pPr>
      <w:r>
        <w:rPr>
          <w:rFonts w:ascii="Arial" w:cs="Arial" w:eastAsia="Arial" w:hAnsi="Arial"/>
          <w:sz w:val="18"/>
          <w:szCs w:val="18"/>
          <w:b w:val="1"/>
          <w:bCs w:val="1"/>
          <w:color w:val="auto"/>
        </w:rPr>
        <w:t>PROPOSAL NO. 8: APPROVAL OF THE ADJOURNMENT OF THE ANNUAL MEETING, IF NECESSARY, TO SOLICIT ADDITIONAL PROXIES IF THERE ARE NOT SUFFICIENT VOTES IN FAVOR OF PROPOSALS 2 THROUGH 5</w:t>
      </w:r>
    </w:p>
    <w:p>
      <w:pPr>
        <w:jc w:val="center"/>
        <w:ind w:right="-19"/>
        <w:spacing w:after="0"/>
        <w:rPr>
          <w:sz w:val="20"/>
          <w:szCs w:val="20"/>
          <w:color w:val="auto"/>
        </w:rPr>
      </w:pPr>
      <w:r>
        <w:rPr>
          <w:rFonts w:ascii="Arial" w:cs="Arial" w:eastAsia="Arial" w:hAnsi="Arial"/>
          <w:sz w:val="18"/>
          <w:szCs w:val="18"/>
          <w:b w:val="1"/>
          <w:bCs w:val="1"/>
          <w:color w:val="auto"/>
        </w:rPr>
        <w:t>(Notice Item 8)</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the Proposals 2 through 5 requires the affirmative vote of the holders of a majority of the shares of common stock present and entitled to vote either in person or by proxy at the annual meeting. A “broker non-vote” or a failure to submit a proxy or vote at the annual meeting will have no effect on the outcome of the vote for this Proposal No. 8. For purposes of the vote on this Proposal No. 8, an abstention will have the same effect as a vote “AGAINST” such proposal.</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THE VRINGO BOARD OF DIRECTORS RECOMMENDS A VOTE “FOR” THE ADJOURNMENT OF THE ANNUAL MEETING, IF NECESSARY, TO SOLICIT ADDITIONAL PROXIES IF THERE ARE NOT SUFFICIENT VOTES IN FAVOR OF PROPOSALS 2 THROUGH 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www.vringoip.com</w:t>
      </w:r>
      <w:r>
        <w:rPr>
          <w:rFonts w:ascii="Arial" w:cs="Arial" w:eastAsia="Arial" w:hAnsi="Arial"/>
          <w:sz w:val="16"/>
          <w:szCs w:val="16"/>
          <w:color w:val="auto"/>
        </w:rPr>
        <w:t>, and will be made available to stockholders without charge, upon request, in writing to the Corporate Secretary at 780 Third Avenue, 12th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To be considered for inclusion in the proxy statement relating to our 2016 annual meeting of stockholders, we must receive stockholder proposals (other than for director nominations) no later than 120 days prior to the date that is one year from this year’s mailing date. To be considered for presentation at the 2016 annual meeting, although not included in the proxy statement, proposals (including director nominations that are not requested to be included in our proxy statement) must be received no earlier than 75 days prior to the date that is one year from this year’s mailing date and no later than 45 days prior to the date that is one year from this year’s mailing date. Proposals that are not received in a timely manner will not be voted on at the 2016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Clifford Weinstein, Executive Vice President,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 VRINGO, INC.</w:t>
      </w:r>
    </w:p>
    <w:p>
      <w:pPr>
        <w:spacing w:after="0" w:line="225" w:lineRule="exact"/>
        <w:rPr>
          <w:sz w:val="20"/>
          <w:szCs w:val="20"/>
          <w:color w:val="auto"/>
        </w:rPr>
      </w:pPr>
    </w:p>
    <w:p>
      <w:pPr>
        <w:jc w:val="both"/>
        <w:ind w:left="980" w:hanging="971"/>
        <w:spacing w:after="0" w:line="259" w:lineRule="auto"/>
        <w:tabs>
          <w:tab w:leader="none" w:pos="960" w:val="left"/>
        </w:tabs>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87"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Article Fourth of the Corporation’s Amended and Restated Certificate of Incorporation is hereby amended by adding the following Sections (3)</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(4):</w:t>
      </w:r>
    </w:p>
    <w:p>
      <w:pPr>
        <w:spacing w:after="0" w:line="211"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 outstanding Common Stock immediately prior to the Effective Time are reclassified into</w:t>
      </w:r>
    </w:p>
    <w:p>
      <w:pPr>
        <w:spacing w:after="0" w:line="2" w:lineRule="exact"/>
        <w:rPr>
          <w:sz w:val="20"/>
          <w:szCs w:val="20"/>
          <w:color w:val="auto"/>
        </w:rPr>
      </w:pPr>
    </w:p>
    <w:p>
      <w:pPr>
        <w:jc w:val="both"/>
        <w:ind w:left="980"/>
        <w:spacing w:after="0" w:line="302" w:lineRule="auto"/>
        <w:rPr>
          <w:sz w:val="20"/>
          <w:szCs w:val="20"/>
          <w:color w:val="auto"/>
        </w:rPr>
      </w:pPr>
      <w:r>
        <w:rPr>
          <w:rFonts w:ascii="Arial" w:cs="Arial" w:eastAsia="Arial" w:hAnsi="Arial"/>
          <w:sz w:val="16"/>
          <w:szCs w:val="16"/>
          <w:color w:val="auto"/>
        </w:rPr>
        <w:t>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55" w:lineRule="exact"/>
        <w:rPr>
          <w:sz w:val="20"/>
          <w:szCs w:val="20"/>
          <w:color w:val="auto"/>
        </w:rPr>
      </w:pPr>
    </w:p>
    <w:p>
      <w:pPr>
        <w:jc w:val="both"/>
        <w:ind w:left="980"/>
        <w:spacing w:after="0" w:line="253" w:lineRule="auto"/>
        <w:tabs>
          <w:tab w:leader="none" w:pos="12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93"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FOURT</w:t>
      </w: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tabs>
          <w:tab w:leader="none" w:pos="9240" w:val="left"/>
          <w:tab w:leader="none" w:pos="10340" w:val="left"/>
          <w:tab w:leader="none" w:pos="1130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w:t>
      </w:r>
      <w:r>
        <w:rPr>
          <w:sz w:val="20"/>
          <w:szCs w:val="20"/>
          <w:color w:val="auto"/>
        </w:rPr>
        <w:tab/>
      </w:r>
      <w:r>
        <w:rPr>
          <w:rFonts w:ascii="Arial" w:cs="Arial" w:eastAsia="Arial" w:hAnsi="Arial"/>
          <w:sz w:val="18"/>
          <w:szCs w:val="18"/>
          <w:color w:val="auto"/>
        </w:rPr>
        <w:t>] as of the [</w:t>
      </w:r>
      <w:r>
        <w:rPr>
          <w:sz w:val="20"/>
          <w:szCs w:val="20"/>
          <w:color w:val="auto"/>
        </w:rPr>
        <w:tab/>
      </w:r>
      <w:r>
        <w:rPr>
          <w:rFonts w:ascii="Arial" w:cs="Arial" w:eastAsia="Arial" w:hAnsi="Arial"/>
          <w:sz w:val="18"/>
          <w:szCs w:val="18"/>
          <w:color w:val="auto"/>
        </w:rPr>
        <w:t>] day of [</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905" w:right="239" w:bottom="1440" w:gutter="0" w:footer="0" w:header="0"/>
        </w:sectPr>
      </w:pP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201_.</w:t>
      </w:r>
    </w:p>
    <w:p>
      <w:pPr>
        <w:spacing w:after="0" w:line="207" w:lineRule="exact"/>
        <w:rPr>
          <w:sz w:val="20"/>
          <w:szCs w:val="20"/>
          <w:color w:val="auto"/>
        </w:rPr>
      </w:pPr>
    </w:p>
    <w:p>
      <w:pPr>
        <w:jc w:val="right"/>
        <w:ind w:right="4500"/>
        <w:spacing w:after="0"/>
        <w:rPr>
          <w:sz w:val="20"/>
          <w:szCs w:val="20"/>
          <w:color w:val="auto"/>
        </w:rPr>
      </w:pP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1697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 VRINGO, INC.</w:t>
      </w:r>
    </w:p>
    <w:p>
      <w:pPr>
        <w:spacing w:after="0" w:line="225" w:lineRule="exact"/>
        <w:rPr>
          <w:sz w:val="20"/>
          <w:szCs w:val="20"/>
          <w:color w:val="auto"/>
        </w:rPr>
      </w:pPr>
    </w:p>
    <w:p>
      <w:pPr>
        <w:jc w:val="both"/>
        <w:ind w:left="980" w:hanging="971"/>
        <w:spacing w:after="0" w:line="259" w:lineRule="auto"/>
        <w:tabs>
          <w:tab w:leader="none" w:pos="960" w:val="left"/>
        </w:tabs>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87"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“The total number of shares the Corporation shall have the authority to issue is two hundred fifty-five million (255,000,000) shares, two hundred fifty million (250,000,000) shares of which shall be Common Stock and five million (5,000,000) shares of which shall be Preferred Stock.”</w:t>
      </w:r>
    </w:p>
    <w:p>
      <w:pPr>
        <w:spacing w:after="0" w:line="120"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FOURT</w:t>
      </w: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w:t>
            </w:r>
          </w:p>
        </w:tc>
        <w:tc>
          <w:tcPr>
            <w:tcW w:w="2280" w:type="dxa"/>
            <w:vAlign w:val="bottom"/>
          </w:tcPr>
          <w:p>
            <w:pPr>
              <w:ind w:left="100"/>
              <w:spacing w:after="0"/>
              <w:rPr>
                <w:sz w:val="20"/>
                <w:szCs w:val="20"/>
                <w:color w:val="auto"/>
              </w:rPr>
            </w:pPr>
            <w:r>
              <w:rPr>
                <w:rFonts w:ascii="Arial" w:cs="Arial" w:eastAsia="Arial" w:hAnsi="Arial"/>
                <w:sz w:val="18"/>
                <w:szCs w:val="18"/>
                <w:color w:val="auto"/>
              </w:rPr>
              <w:t>] as of the [   ] day of [   ],</w:t>
            </w:r>
          </w:p>
        </w:tc>
      </w:tr>
      <w:tr>
        <w:trPr>
          <w:trHeight w:val="230"/>
        </w:trPr>
        <w:tc>
          <w:tcPr>
            <w:tcW w:w="5720" w:type="dxa"/>
            <w:vAlign w:val="bottom"/>
          </w:tcPr>
          <w:p>
            <w:pPr>
              <w:jc w:val="right"/>
              <w:ind w:right="3930"/>
              <w:spacing w:after="0"/>
              <w:rPr>
                <w:sz w:val="20"/>
                <w:szCs w:val="20"/>
                <w:color w:val="auto"/>
              </w:rPr>
            </w:pPr>
            <w:r>
              <w:rPr>
                <w:rFonts w:ascii="Arial" w:cs="Arial" w:eastAsia="Arial" w:hAnsi="Arial"/>
                <w:sz w:val="18"/>
                <w:szCs w:val="18"/>
                <w:color w:val="auto"/>
              </w:rPr>
              <w:t>201_.</w:t>
            </w:r>
          </w:p>
        </w:tc>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VRINGO, INC.</w:t>
            </w:r>
          </w:p>
        </w:tc>
        <w:tc>
          <w:tcPr>
            <w:tcW w:w="2280" w:type="dxa"/>
            <w:vAlign w:val="bottom"/>
          </w:tcPr>
          <w:p>
            <w:pPr>
              <w:spacing w:after="0"/>
              <w:rPr>
                <w:sz w:val="24"/>
                <w:szCs w:val="24"/>
                <w:color w:val="auto"/>
              </w:rPr>
            </w:pPr>
          </w:p>
        </w:tc>
      </w:tr>
      <w:tr>
        <w:trPr>
          <w:trHeight w:val="432"/>
        </w:trPr>
        <w:tc>
          <w:tcPr>
            <w:tcW w:w="57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228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Name:</w:t>
            </w:r>
          </w:p>
        </w:tc>
        <w:tc>
          <w:tcPr>
            <w:tcW w:w="228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w:t>
            </w:r>
          </w:p>
        </w:tc>
        <w:tc>
          <w:tcPr>
            <w:tcW w:w="2280" w:type="dxa"/>
            <w:vAlign w:val="bottom"/>
          </w:tcPr>
          <w:p>
            <w:pPr>
              <w:spacing w:after="0"/>
              <w:rPr>
                <w:sz w:val="20"/>
                <w:szCs w:val="20"/>
                <w:color w:val="auto"/>
              </w:rPr>
            </w:pPr>
          </w:p>
        </w:tc>
      </w:tr>
      <w:tr>
        <w:trPr>
          <w:trHeight w:val="648"/>
        </w:trPr>
        <w:tc>
          <w:tcPr>
            <w:tcW w:w="9140" w:type="dxa"/>
            <w:vAlign w:val="bottom"/>
            <w:tcBorders>
              <w:bottom w:val="single" w:sz="8" w:color="auto"/>
            </w:tcBorders>
            <w:gridSpan w:val="2"/>
          </w:tcPr>
          <w:p>
            <w:pPr>
              <w:ind w:left="5200"/>
              <w:spacing w:after="0"/>
              <w:rPr>
                <w:sz w:val="20"/>
                <w:szCs w:val="20"/>
                <w:color w:val="auto"/>
              </w:rPr>
            </w:pPr>
            <w:r>
              <w:rPr>
                <w:rFonts w:ascii="Arial" w:cs="Arial" w:eastAsia="Arial" w:hAnsi="Arial"/>
                <w:sz w:val="18"/>
                <w:szCs w:val="18"/>
                <w:color w:val="auto"/>
              </w:rPr>
              <w:t>Appendix B-1</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amended on _____)</w:t>
      </w:r>
    </w:p>
    <w:p>
      <w:pPr>
        <w:spacing w:after="0" w:line="211"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specified or unless the context otherwise requires, the following terms, as used in this Vringo, Inc. 2012 Employee, Director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 Equity Incentive Plan, have the following meanings:</w:t>
      </w:r>
    </w:p>
    <w:p>
      <w:pPr>
        <w:spacing w:after="0" w:line="21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 corporation which, for purposes of Section 424 of the Code, is a parent or subsidiary of the Company, direct or indirect.</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225"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225" w:lineRule="exact"/>
        <w:rPr>
          <w:sz w:val="20"/>
          <w:szCs w:val="20"/>
          <w:color w:val="auto"/>
        </w:rPr>
      </w:pPr>
    </w:p>
    <w:p>
      <w:pPr>
        <w:jc w:val="both"/>
        <w:ind w:left="1960" w:hanging="655"/>
        <w:spacing w:after="0" w:line="276" w:lineRule="auto"/>
        <w:tabs>
          <w:tab w:leader="none" w:pos="1960" w:val="left"/>
        </w:tabs>
        <w:numPr>
          <w:ilvl w:val="0"/>
          <w:numId w:val="50"/>
        </w:numPr>
        <w:rPr>
          <w:rFonts w:ascii="Arial" w:cs="Arial" w:eastAsia="Arial" w:hAnsi="Arial"/>
          <w:sz w:val="17"/>
          <w:szCs w:val="17"/>
          <w:b w:val="1"/>
          <w:bCs w:val="1"/>
          <w:color w:val="auto"/>
        </w:rPr>
      </w:pPr>
      <w:r>
        <w:rPr>
          <w:rFonts w:ascii="Arial" w:cs="Arial" w:eastAsia="Arial" w:hAnsi="Arial"/>
          <w:sz w:val="17"/>
          <w:szCs w:val="17"/>
          <w:i w:val="1"/>
          <w:iCs w:val="1"/>
          <w:color w:val="auto"/>
        </w:rPr>
        <w:t>Ownership</w:t>
      </w:r>
      <w:r>
        <w:rPr>
          <w:rFonts w:ascii="Arial" w:cs="Arial" w:eastAsia="Arial" w:hAnsi="Arial"/>
          <w:sz w:val="17"/>
          <w:szCs w:val="17"/>
          <w:color w:val="auto"/>
        </w:rPr>
        <w:t>. Any “Person” (as such term is used in Sections 13(d) and 14(d) of the Exchange Act) becomes the “Beneficial Owner”</w:t>
      </w:r>
      <w:r>
        <w:rPr>
          <w:rFonts w:ascii="Arial" w:cs="Arial" w:eastAsia="Arial" w:hAnsi="Arial"/>
          <w:sz w:val="17"/>
          <w:szCs w:val="17"/>
          <w:i w:val="1"/>
          <w:iCs w:val="1"/>
          <w:color w:val="auto"/>
        </w:rPr>
        <w:t xml:space="preserve"> </w:t>
      </w:r>
      <w:r>
        <w:rPr>
          <w:rFonts w:ascii="Arial" w:cs="Arial" w:eastAsia="Arial" w:hAnsi="Arial"/>
          <w:sz w:val="17"/>
          <w:szCs w:val="17"/>
          <w:color w:val="auto"/>
        </w:rPr>
        <w:t>(as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7" w:name="page68"/>
    <w:bookmarkEnd w:id="67"/>
    <w:p>
      <w:pPr>
        <w:jc w:val="both"/>
        <w:ind w:left="1952" w:hanging="655"/>
        <w:spacing w:after="0" w:line="285" w:lineRule="auto"/>
        <w:tabs>
          <w:tab w:leader="none" w:pos="1952" w:val="left"/>
        </w:tabs>
        <w:numPr>
          <w:ilvl w:val="0"/>
          <w:numId w:val="51"/>
        </w:numPr>
        <w:rPr>
          <w:rFonts w:ascii="Arial" w:cs="Arial" w:eastAsia="Arial" w:hAnsi="Arial"/>
          <w:sz w:val="16"/>
          <w:szCs w:val="16"/>
          <w:b w:val="1"/>
          <w:bCs w:val="1"/>
          <w:color w:val="auto"/>
        </w:rPr>
      </w:pPr>
      <w:r>
        <w:rPr>
          <w:rFonts w:ascii="Arial" w:cs="Arial" w:eastAsia="Arial" w:hAnsi="Arial"/>
          <w:sz w:val="16"/>
          <w:szCs w:val="16"/>
          <w:i w:val="1"/>
          <w:iCs w:val="1"/>
          <w:color w:val="auto"/>
        </w:rPr>
        <w:t>Merger/Sale of Assets</w:t>
      </w:r>
      <w:r>
        <w:rPr>
          <w:rFonts w:ascii="Arial" w:cs="Arial" w:eastAsia="Arial" w:hAnsi="Arial"/>
          <w:sz w:val="16"/>
          <w:szCs w:val="16"/>
          <w:color w:val="auto"/>
        </w:rPr>
        <w:t>. (A) A merger or consolidation of the Company whether or not approved by the Board of Directors,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w:t>
      </w:r>
    </w:p>
    <w:p>
      <w:pPr>
        <w:spacing w:after="0" w:line="2" w:lineRule="exact"/>
        <w:rPr>
          <w:rFonts w:ascii="Arial" w:cs="Arial" w:eastAsia="Arial" w:hAnsi="Arial"/>
          <w:sz w:val="16"/>
          <w:szCs w:val="16"/>
          <w:b w:val="1"/>
          <w:bCs w:val="1"/>
          <w:color w:val="auto"/>
        </w:rPr>
      </w:pPr>
    </w:p>
    <w:p>
      <w:pPr>
        <w:ind w:left="1952"/>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(B) the sale or disposition by the Company of all or substantially all of the Company’s assets in a transaction requiring stockholder approval; or</w:t>
      </w:r>
    </w:p>
    <w:p>
      <w:pPr>
        <w:spacing w:after="0" w:line="183" w:lineRule="exact"/>
        <w:rPr>
          <w:rFonts w:ascii="Arial" w:cs="Arial" w:eastAsia="Arial" w:hAnsi="Arial"/>
          <w:sz w:val="16"/>
          <w:szCs w:val="16"/>
          <w:b w:val="1"/>
          <w:bCs w:val="1"/>
          <w:color w:val="auto"/>
        </w:rPr>
      </w:pPr>
    </w:p>
    <w:p>
      <w:pPr>
        <w:jc w:val="both"/>
        <w:ind w:left="1952" w:hanging="655"/>
        <w:spacing w:after="0" w:line="273" w:lineRule="auto"/>
        <w:tabs>
          <w:tab w:leader="none" w:pos="1952" w:val="left"/>
        </w:tabs>
        <w:numPr>
          <w:ilvl w:val="0"/>
          <w:numId w:val="51"/>
        </w:numPr>
        <w:rPr>
          <w:rFonts w:ascii="Arial" w:cs="Arial" w:eastAsia="Arial" w:hAnsi="Arial"/>
          <w:sz w:val="17"/>
          <w:szCs w:val="17"/>
          <w:b w:val="1"/>
          <w:bCs w:val="1"/>
          <w:color w:val="auto"/>
        </w:rPr>
      </w:pPr>
      <w:r>
        <w:rPr>
          <w:rFonts w:ascii="Arial" w:cs="Arial" w:eastAsia="Arial" w:hAnsi="Arial"/>
          <w:sz w:val="17"/>
          <w:szCs w:val="17"/>
          <w:i w:val="1"/>
          <w:iCs w:val="1"/>
          <w:color w:val="auto"/>
        </w:rPr>
        <w:t>Change in Board Composition</w:t>
      </w:r>
      <w:r>
        <w:rPr>
          <w:rFonts w:ascii="Arial" w:cs="Arial" w:eastAsia="Arial" w:hAnsi="Arial"/>
          <w:sz w:val="17"/>
          <w:szCs w:val="17"/>
          <w:color w:val="auto"/>
        </w:rPr>
        <w:t>. A change in the composition of the Board of Directors, as a result of which fewer than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78" w:lineRule="exact"/>
        <w:rPr>
          <w:rFonts w:ascii="Arial" w:cs="Arial" w:eastAsia="Arial" w:hAnsi="Arial"/>
          <w:sz w:val="17"/>
          <w:szCs w:val="17"/>
          <w:b w:val="1"/>
          <w:bCs w:val="1"/>
          <w:color w:val="auto"/>
        </w:rPr>
      </w:pPr>
    </w:p>
    <w:p>
      <w:pPr>
        <w:ind w:left="1952" w:hanging="655"/>
        <w:spacing w:after="0" w:line="277" w:lineRule="auto"/>
        <w:tabs>
          <w:tab w:leader="none" w:pos="1952"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170" w:lineRule="exact"/>
        <w:rPr>
          <w:sz w:val="20"/>
          <w:szCs w:val="20"/>
          <w:color w:val="auto"/>
        </w:rPr>
      </w:pPr>
    </w:p>
    <w:p>
      <w:pPr>
        <w:ind w:left="1292"/>
        <w:spacing w:after="0"/>
        <w:rPr>
          <w:sz w:val="20"/>
          <w:szCs w:val="20"/>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United States Internal Revenue Code of 1986, as amended including any successor statute, regulation and guidance thereto.</w:t>
      </w:r>
    </w:p>
    <w:p>
      <w:pPr>
        <w:spacing w:after="0" w:line="248" w:lineRule="exact"/>
        <w:rPr>
          <w:sz w:val="20"/>
          <w:szCs w:val="20"/>
          <w:color w:val="auto"/>
        </w:rPr>
      </w:pPr>
    </w:p>
    <w:p>
      <w:pPr>
        <w:jc w:val="both"/>
        <w:ind w:left="1292"/>
        <w:spacing w:after="0" w:line="280"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spacing w:after="0" w:line="45"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225" w:lineRule="exact"/>
        <w:rPr>
          <w:sz w:val="20"/>
          <w:szCs w:val="20"/>
          <w:color w:val="auto"/>
        </w:rPr>
      </w:pPr>
    </w:p>
    <w:p>
      <w:pPr>
        <w:jc w:val="both"/>
        <w:ind w:left="1292"/>
        <w:spacing w:after="0" w:line="264"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ind w:left="-8" w:right="460" w:firstLine="8"/>
        <w:spacing w:after="0" w:line="194" w:lineRule="auto"/>
        <w:tabs>
          <w:tab w:leader="none" w:pos="112"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68" w:name="page69"/>
    <w:bookmarkEnd w:id="68"/>
    <w:p>
      <w:pPr>
        <w:ind w:left="10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left="10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225" w:lineRule="exact"/>
        <w:rPr>
          <w:sz w:val="20"/>
          <w:szCs w:val="20"/>
          <w:color w:val="auto"/>
        </w:rPr>
      </w:pPr>
    </w:p>
    <w:p>
      <w:pPr>
        <w:jc w:val="both"/>
        <w:ind w:left="100" w:firstLine="653"/>
        <w:spacing w:after="0" w:line="259" w:lineRule="auto"/>
        <w:tabs>
          <w:tab w:leader="none" w:pos="1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86" w:lineRule="exact"/>
        <w:rPr>
          <w:rFonts w:ascii="Arial" w:cs="Arial" w:eastAsia="Arial" w:hAnsi="Arial"/>
          <w:sz w:val="18"/>
          <w:szCs w:val="18"/>
          <w:color w:val="auto"/>
        </w:rPr>
      </w:pPr>
    </w:p>
    <w:p>
      <w:pPr>
        <w:jc w:val="both"/>
        <w:ind w:left="100" w:firstLine="653"/>
        <w:spacing w:after="0" w:line="257" w:lineRule="auto"/>
        <w:tabs>
          <w:tab w:leader="none" w:pos="14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88" w:lineRule="exact"/>
        <w:rPr>
          <w:rFonts w:ascii="Arial" w:cs="Arial" w:eastAsia="Arial" w:hAnsi="Arial"/>
          <w:sz w:val="18"/>
          <w:szCs w:val="18"/>
          <w:color w:val="auto"/>
        </w:rPr>
      </w:pPr>
    </w:p>
    <w:p>
      <w:pPr>
        <w:jc w:val="both"/>
        <w:ind w:left="100" w:right="20" w:firstLine="653"/>
        <w:spacing w:after="0" w:line="264" w:lineRule="auto"/>
        <w:tabs>
          <w:tab w:leader="none" w:pos="14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225" w:lineRule="exact"/>
        <w:rPr>
          <w:sz w:val="20"/>
          <w:szCs w:val="20"/>
          <w:color w:val="auto"/>
        </w:rPr>
      </w:pPr>
    </w:p>
    <w:p>
      <w:pPr>
        <w:ind w:left="100"/>
        <w:spacing w:after="0" w:line="32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34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Appendix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66"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70"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225" w:lineRule="exact"/>
        <w:rPr>
          <w:sz w:val="20"/>
          <w:szCs w:val="20"/>
          <w:color w:val="auto"/>
        </w:rPr>
      </w:pPr>
    </w:p>
    <w:p>
      <w:pPr>
        <w:jc w:val="both"/>
        <w:ind w:firstLine="656"/>
        <w:spacing w:after="0" w:line="273" w:lineRule="auto"/>
        <w:tabs>
          <w:tab w:leader="none" w:pos="13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number of Shares which may be issued from time to time pursuant to this Plan shall be the sum of: (i) 21 mm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1.5 mm shares shall be added to the Plan pursuant to subsection (ii).</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firstLine="656"/>
        <w:spacing w:after="0" w:line="254" w:lineRule="auto"/>
        <w:tabs>
          <w:tab w:leader="none" w:pos="13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19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0" w:lineRule="exact"/>
        <w:rPr>
          <w:sz w:val="20"/>
          <w:szCs w:val="20"/>
          <w:color w:val="auto"/>
        </w:rPr>
      </w:pPr>
    </w:p>
    <w:p>
      <w:pPr>
        <w:ind w:firstLine="656"/>
        <w:spacing w:after="0" w:line="277" w:lineRule="auto"/>
        <w:tabs>
          <w:tab w:leader="none" w:pos="13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25" w:lineRule="exact"/>
        <w:rPr>
          <w:rFonts w:ascii="Arial" w:cs="Arial" w:eastAsia="Arial" w:hAnsi="Arial"/>
          <w:sz w:val="18"/>
          <w:szCs w:val="18"/>
          <w:color w:val="auto"/>
        </w:rPr>
      </w:pPr>
    </w:p>
    <w:p>
      <w:pPr>
        <w:ind w:firstLine="656"/>
        <w:spacing w:after="0" w:line="277" w:lineRule="auto"/>
        <w:tabs>
          <w:tab w:leader="none" w:pos="13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4.0 mm Shares be granted to any Participant in any fiscal year;</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225" w:lineRule="exact"/>
        <w:rPr>
          <w:rFonts w:ascii="Arial" w:cs="Arial" w:eastAsia="Arial" w:hAnsi="Arial"/>
          <w:sz w:val="18"/>
          <w:szCs w:val="18"/>
          <w:color w:val="auto"/>
        </w:rPr>
      </w:pPr>
    </w:p>
    <w:p>
      <w:pPr>
        <w:jc w:val="both"/>
        <w:ind w:firstLine="656"/>
        <w:spacing w:after="0" w:line="273" w:lineRule="auto"/>
        <w:tabs>
          <w:tab w:leader="none" w:pos="13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377"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spacing w:after="0" w:line="276" w:lineRule="auto"/>
        <w:rPr>
          <w:sz w:val="20"/>
          <w:szCs w:val="20"/>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8"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66"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left="-20" w:firstLine="656"/>
        <w:spacing w:after="0" w:line="264" w:lineRule="auto"/>
        <w:tabs>
          <w:tab w:leader="none" w:pos="150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81" w:lineRule="exact"/>
        <w:rPr>
          <w:rFonts w:ascii="Arial" w:cs="Arial" w:eastAsia="Arial" w:hAnsi="Arial"/>
          <w:sz w:val="18"/>
          <w:szCs w:val="18"/>
          <w:color w:val="auto"/>
        </w:rPr>
      </w:pPr>
    </w:p>
    <w:p>
      <w:pPr>
        <w:jc w:val="both"/>
        <w:ind w:left="1940" w:hanging="655"/>
        <w:spacing w:after="0" w:line="257" w:lineRule="auto"/>
        <w:tabs>
          <w:tab w:leader="none" w:pos="19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188" w:lineRule="exact"/>
        <w:rPr>
          <w:rFonts w:ascii="Arial" w:cs="Arial" w:eastAsia="Arial" w:hAnsi="Arial"/>
          <w:sz w:val="18"/>
          <w:szCs w:val="18"/>
          <w:color w:val="auto"/>
        </w:rPr>
      </w:pPr>
    </w:p>
    <w:p>
      <w:pPr>
        <w:ind w:left="1940" w:hanging="655"/>
        <w:spacing w:after="0"/>
        <w:tabs>
          <w:tab w:leader="none" w:pos="19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225" w:lineRule="exact"/>
        <w:rPr>
          <w:rFonts w:ascii="Arial" w:cs="Arial" w:eastAsia="Arial" w:hAnsi="Arial"/>
          <w:sz w:val="18"/>
          <w:szCs w:val="18"/>
          <w:color w:val="auto"/>
        </w:rPr>
      </w:pPr>
    </w:p>
    <w:p>
      <w:pPr>
        <w:jc w:val="both"/>
        <w:ind w:left="1940" w:hanging="655"/>
        <w:spacing w:after="0" w:line="286" w:lineRule="auto"/>
        <w:tabs>
          <w:tab w:leader="none" w:pos="1940"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65" w:lineRule="exact"/>
        <w:rPr>
          <w:rFonts w:ascii="Arial" w:cs="Arial" w:eastAsia="Arial" w:hAnsi="Arial"/>
          <w:sz w:val="17"/>
          <w:szCs w:val="17"/>
          <w:color w:val="auto"/>
        </w:rPr>
      </w:pPr>
    </w:p>
    <w:p>
      <w:pPr>
        <w:jc w:val="both"/>
        <w:ind w:left="1940" w:hanging="655"/>
        <w:spacing w:after="0" w:line="264" w:lineRule="auto"/>
        <w:tabs>
          <w:tab w:leader="none" w:pos="19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181" w:lineRule="exact"/>
        <w:rPr>
          <w:rFonts w:ascii="Arial" w:cs="Arial" w:eastAsia="Arial" w:hAnsi="Arial"/>
          <w:sz w:val="18"/>
          <w:szCs w:val="18"/>
          <w:color w:val="auto"/>
        </w:rPr>
      </w:pPr>
    </w:p>
    <w:p>
      <w:pPr>
        <w:ind w:left="2580" w:hanging="647"/>
        <w:spacing w:after="0"/>
        <w:tabs>
          <w:tab w:leader="none" w:pos="2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225" w:lineRule="exact"/>
        <w:rPr>
          <w:rFonts w:ascii="Arial" w:cs="Arial" w:eastAsia="Arial" w:hAnsi="Arial"/>
          <w:sz w:val="18"/>
          <w:szCs w:val="18"/>
          <w:color w:val="auto"/>
        </w:rPr>
      </w:pPr>
    </w:p>
    <w:p>
      <w:pPr>
        <w:ind w:left="2580" w:right="20" w:hanging="647"/>
        <w:spacing w:after="0" w:line="277" w:lineRule="auto"/>
        <w:tabs>
          <w:tab w:leader="none" w:pos="25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170" w:lineRule="exact"/>
        <w:rPr>
          <w:rFonts w:ascii="Arial" w:cs="Arial" w:eastAsia="Arial" w:hAnsi="Arial"/>
          <w:sz w:val="18"/>
          <w:szCs w:val="18"/>
          <w:color w:val="auto"/>
        </w:rPr>
      </w:pPr>
    </w:p>
    <w:p>
      <w:pPr>
        <w:ind w:left="1940" w:hanging="655"/>
        <w:spacing w:after="0" w:line="277" w:lineRule="auto"/>
        <w:tabs>
          <w:tab w:leader="none" w:pos="19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170" w:lineRule="exact"/>
        <w:rPr>
          <w:rFonts w:ascii="Arial" w:cs="Arial" w:eastAsia="Arial" w:hAnsi="Arial"/>
          <w:sz w:val="18"/>
          <w:szCs w:val="18"/>
          <w:color w:val="auto"/>
        </w:rPr>
      </w:pPr>
    </w:p>
    <w:p>
      <w:pPr>
        <w:jc w:val="both"/>
        <w:ind w:left="-20" w:firstLine="656"/>
        <w:spacing w:after="0" w:line="286" w:lineRule="auto"/>
        <w:tabs>
          <w:tab w:leader="none" w:pos="129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3" w:name="page74"/>
    <w:bookmarkEnd w:id="73"/>
    <w:p>
      <w:pPr>
        <w:ind w:left="196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170" w:lineRule="exact"/>
        <w:rPr>
          <w:rFonts w:ascii="Arial" w:cs="Arial" w:eastAsia="Arial" w:hAnsi="Arial"/>
          <w:sz w:val="18"/>
          <w:szCs w:val="18"/>
          <w:color w:val="auto"/>
        </w:rPr>
      </w:pPr>
    </w:p>
    <w:p>
      <w:pPr>
        <w:jc w:val="both"/>
        <w:ind w:left="2600" w:right="20" w:hanging="647"/>
        <w:spacing w:after="0" w:line="264" w:lineRule="auto"/>
        <w:tabs>
          <w:tab w:leader="none" w:pos="26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81"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225" w:lineRule="exact"/>
        <w:rPr>
          <w:rFonts w:ascii="Arial" w:cs="Arial" w:eastAsia="Arial" w:hAnsi="Arial"/>
          <w:sz w:val="18"/>
          <w:szCs w:val="18"/>
          <w:color w:val="auto"/>
        </w:rPr>
      </w:pPr>
    </w:p>
    <w:p>
      <w:pPr>
        <w:jc w:val="both"/>
        <w:ind w:left="2600" w:hanging="647"/>
        <w:spacing w:after="0" w:line="264" w:lineRule="auto"/>
        <w:tabs>
          <w:tab w:leader="none" w:pos="26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81" w:lineRule="exact"/>
        <w:rPr>
          <w:rFonts w:ascii="Arial" w:cs="Arial" w:eastAsia="Arial" w:hAnsi="Arial"/>
          <w:sz w:val="18"/>
          <w:szCs w:val="18"/>
          <w:color w:val="auto"/>
        </w:rPr>
      </w:pPr>
    </w:p>
    <w:p>
      <w:pPr>
        <w:jc w:val="both"/>
        <w:ind w:left="2600" w:hanging="647"/>
        <w:spacing w:after="0" w:line="342" w:lineRule="auto"/>
        <w:tabs>
          <w:tab w:leader="none" w:pos="2600" w:val="left"/>
        </w:tabs>
        <w:numPr>
          <w:ilvl w:val="2"/>
          <w:numId w:val="63"/>
        </w:numPr>
        <w:rPr>
          <w:rFonts w:ascii="Arial" w:cs="Arial" w:eastAsia="Arial" w:hAnsi="Arial"/>
          <w:sz w:val="16"/>
          <w:szCs w:val="16"/>
          <w:color w:val="auto"/>
        </w:rPr>
      </w:pPr>
      <w:r>
        <w:rPr>
          <w:rFonts w:ascii="Arial" w:cs="Arial" w:eastAsia="Arial" w:hAnsi="Arial"/>
          <w:sz w:val="16"/>
          <w:szCs w:val="16"/>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23" w:lineRule="exact"/>
        <w:rPr>
          <w:rFonts w:ascii="Arial" w:cs="Arial" w:eastAsia="Arial" w:hAnsi="Arial"/>
          <w:sz w:val="16"/>
          <w:szCs w:val="16"/>
          <w:color w:val="auto"/>
        </w:rPr>
      </w:pPr>
    </w:p>
    <w:p>
      <w:pPr>
        <w:jc w:val="both"/>
        <w:ind w:left="1960" w:hanging="655"/>
        <w:spacing w:after="0" w:line="259"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56"/>
        <w:spacing w:after="0" w:line="264" w:lineRule="auto"/>
        <w:tabs>
          <w:tab w:leader="none" w:pos="13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225" w:lineRule="exact"/>
        <w:rPr>
          <w:rFonts w:ascii="Arial" w:cs="Arial" w:eastAsia="Arial" w:hAnsi="Arial"/>
          <w:sz w:val="18"/>
          <w:szCs w:val="18"/>
          <w:color w:val="auto"/>
        </w:rPr>
      </w:pPr>
    </w:p>
    <w:p>
      <w:pPr>
        <w:ind w:firstLine="656"/>
        <w:spacing w:after="0" w:line="277" w:lineRule="auto"/>
        <w:tabs>
          <w:tab w:leader="none" w:pos="13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7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171"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648"/>
        <w:spacing w:after="0" w:line="257"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8" w:lineRule="exact"/>
        <w:rPr>
          <w:sz w:val="20"/>
          <w:szCs w:val="20"/>
          <w:color w:val="auto"/>
        </w:rPr>
      </w:pPr>
    </w:p>
    <w:p>
      <w:pPr>
        <w:ind w:left="130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w:t>
      </w:r>
    </w:p>
    <w:p>
      <w:pPr>
        <w:jc w:val="both"/>
        <w:spacing w:after="0" w:line="231" w:lineRule="auto"/>
        <w:rPr>
          <w:sz w:val="20"/>
          <w:szCs w:val="20"/>
          <w:color w:val="auto"/>
        </w:rPr>
      </w:pPr>
      <w:r>
        <w:rPr>
          <w:rFonts w:ascii="Arial" w:cs="Arial" w:eastAsia="Arial" w:hAnsi="Arial"/>
          <w:sz w:val="17"/>
          <w:szCs w:val="17"/>
          <w:color w:val="auto"/>
        </w:rPr>
        <w:t>Common Stock held for at least six months (if required to avoid negative accounting treatment) and</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809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right="260" w:firstLine="8"/>
        <w:spacing w:after="0" w:line="207" w:lineRule="auto"/>
        <w:tabs>
          <w:tab w:leader="none" w:pos="113" w:val="left"/>
        </w:tabs>
        <w:numPr>
          <w:ilvl w:val="0"/>
          <w:numId w:val="69"/>
        </w:numPr>
        <w:rPr>
          <w:rFonts w:ascii="Arial" w:cs="Arial" w:eastAsia="Arial" w:hAnsi="Arial"/>
          <w:sz w:val="28"/>
          <w:szCs w:val="28"/>
          <w:color w:val="auto"/>
          <w:vertAlign w:val="superscript"/>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66"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Consultant) with the Company or an Affiliate before the Participant has exercised an Option, the following rules apply:</w:t>
      </w:r>
    </w:p>
    <w:p>
      <w:pPr>
        <w:spacing w:after="0" w:line="211" w:lineRule="exact"/>
        <w:rPr>
          <w:sz w:val="20"/>
          <w:szCs w:val="20"/>
          <w:color w:val="auto"/>
        </w:rPr>
      </w:pPr>
    </w:p>
    <w:p>
      <w:pPr>
        <w:jc w:val="both"/>
        <w:ind w:firstLine="656"/>
        <w:spacing w:after="0" w:line="255" w:lineRule="auto"/>
        <w:tabs>
          <w:tab w:leader="none" w:pos="16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193" w:lineRule="exact"/>
        <w:rPr>
          <w:rFonts w:ascii="Arial" w:cs="Arial" w:eastAsia="Arial" w:hAnsi="Arial"/>
          <w:sz w:val="18"/>
          <w:szCs w:val="18"/>
          <w:color w:val="auto"/>
        </w:rPr>
      </w:pPr>
    </w:p>
    <w:p>
      <w:pPr>
        <w:ind w:firstLine="656"/>
        <w:spacing w:after="0" w:line="277" w:lineRule="auto"/>
        <w:tabs>
          <w:tab w:leader="none" w:pos="1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656"/>
        <w:spacing w:after="0" w:line="257" w:lineRule="auto"/>
        <w:tabs>
          <w:tab w:leader="none" w:pos="14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3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6" w:lineRule="exact"/>
        <w:rPr>
          <w:rFonts w:ascii="Arial" w:cs="Arial" w:eastAsia="Arial" w:hAnsi="Arial"/>
          <w:sz w:val="18"/>
          <w:szCs w:val="18"/>
          <w:color w:val="auto"/>
        </w:rPr>
      </w:pPr>
    </w:p>
    <w:p>
      <w:pPr>
        <w:jc w:val="both"/>
        <w:ind w:firstLine="656"/>
        <w:spacing w:after="0" w:line="278" w:lineRule="auto"/>
        <w:tabs>
          <w:tab w:leader="none" w:pos="141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such leave of absence.</w:t>
      </w:r>
    </w:p>
    <w:p>
      <w:pPr>
        <w:spacing w:after="0" w:line="48" w:lineRule="exact"/>
        <w:rPr>
          <w:rFonts w:ascii="Arial" w:cs="Arial" w:eastAsia="Arial" w:hAnsi="Arial"/>
          <w:sz w:val="17"/>
          <w:szCs w:val="17"/>
          <w:color w:val="auto"/>
        </w:rPr>
      </w:pPr>
    </w:p>
    <w:p>
      <w:pPr>
        <w:jc w:val="both"/>
        <w:ind w:firstLine="656"/>
        <w:spacing w:after="0" w:line="264" w:lineRule="auto"/>
        <w:tabs>
          <w:tab w:leader="none" w:pos="13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81"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24" w:lineRule="exact"/>
        <w:rPr>
          <w:sz w:val="20"/>
          <w:szCs w:val="20"/>
          <w:color w:val="auto"/>
        </w:rPr>
      </w:pPr>
    </w:p>
    <w:p>
      <w:pPr>
        <w:ind w:firstLine="656"/>
        <w:spacing w:after="0" w:line="277" w:lineRule="auto"/>
        <w:tabs>
          <w:tab w:leader="none" w:pos="16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7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40" w:right="4280" w:hanging="4"/>
        <w:spacing w:after="0" w:line="501" w:lineRule="auto"/>
        <w:tabs>
          <w:tab w:leader="none" w:pos="128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TERMINATION OF SERVICE FOR DISABILITY. </w:t>
      </w:r>
      <w:r>
        <w:rPr>
          <w:rFonts w:ascii="Arial" w:cs="Arial" w:eastAsia="Arial" w:hAnsi="Arial"/>
          <w:sz w:val="18"/>
          <w:szCs w:val="18"/>
          <w:color w:val="auto"/>
        </w:rPr>
        <w:t>Except as otherwise provided in a Participant’s Option Agreement:</w:t>
      </w:r>
    </w:p>
    <w:p>
      <w:pPr>
        <w:ind w:left="-20" w:right="20" w:firstLine="656"/>
        <w:spacing w:after="0" w:line="277" w:lineRule="auto"/>
        <w:tabs>
          <w:tab w:leader="none" w:pos="13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70" w:lineRule="exact"/>
        <w:rPr>
          <w:rFonts w:ascii="Arial" w:cs="Arial" w:eastAsia="Arial" w:hAnsi="Arial"/>
          <w:sz w:val="18"/>
          <w:szCs w:val="18"/>
          <w:color w:val="auto"/>
        </w:rPr>
      </w:pPr>
    </w:p>
    <w:p>
      <w:pPr>
        <w:ind w:left="1940" w:hanging="655"/>
        <w:spacing w:after="0" w:line="277" w:lineRule="auto"/>
        <w:tabs>
          <w:tab w:leader="none" w:pos="19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70" w:lineRule="exact"/>
        <w:rPr>
          <w:rFonts w:ascii="Arial" w:cs="Arial" w:eastAsia="Arial" w:hAnsi="Arial"/>
          <w:sz w:val="18"/>
          <w:szCs w:val="18"/>
          <w:color w:val="auto"/>
        </w:rPr>
      </w:pPr>
    </w:p>
    <w:p>
      <w:pPr>
        <w:jc w:val="both"/>
        <w:ind w:left="1940" w:hanging="655"/>
        <w:spacing w:after="0" w:line="259" w:lineRule="auto"/>
        <w:tabs>
          <w:tab w:leader="none" w:pos="19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4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35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640" w:right="2980" w:hanging="4"/>
        <w:spacing w:after="0" w:line="501" w:lineRule="auto"/>
        <w:tabs>
          <w:tab w:leader="none" w:pos="128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ind w:left="-20" w:firstLine="656"/>
        <w:spacing w:after="0" w:line="277" w:lineRule="auto"/>
        <w:tabs>
          <w:tab w:leader="none" w:pos="14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9" w:name="page80"/>
    <w:bookmarkEnd w:id="79"/>
    <w:p>
      <w:pPr>
        <w:jc w:val="both"/>
        <w:ind w:left="1960" w:hanging="655"/>
        <w:spacing w:after="0" w:line="286" w:lineRule="auto"/>
        <w:tabs>
          <w:tab w:leader="none" w:pos="19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3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81"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provided in a Participant’s Stock Grant Agreement, the following rules apply if the Participant’s service (whether as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 or Consultant) with the Company or an Affiliate is terminated for Cause:</w:t>
      </w:r>
    </w:p>
    <w:p>
      <w:pPr>
        <w:spacing w:after="0" w:line="211" w:lineRule="exact"/>
        <w:rPr>
          <w:sz w:val="20"/>
          <w:szCs w:val="20"/>
          <w:color w:val="auto"/>
        </w:rPr>
      </w:pPr>
    </w:p>
    <w:p>
      <w:pPr>
        <w:ind w:right="20" w:firstLine="656"/>
        <w:spacing w:after="0" w:line="277" w:lineRule="auto"/>
        <w:tabs>
          <w:tab w:leader="none" w:pos="13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7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188"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7"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70" w:lineRule="exact"/>
        <w:rPr>
          <w:sz w:val="20"/>
          <w:szCs w:val="20"/>
          <w:color w:val="auto"/>
        </w:rPr>
      </w:pPr>
    </w:p>
    <w:p>
      <w:pPr>
        <w:jc w:val="both"/>
        <w:ind w:firstLine="656"/>
        <w:spacing w:after="0" w:line="259" w:lineRule="auto"/>
        <w:tabs>
          <w:tab w:leader="none" w:pos="14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7" w:lineRule="exact"/>
        <w:rPr>
          <w:sz w:val="20"/>
          <w:szCs w:val="20"/>
          <w:color w:val="auto"/>
        </w:rPr>
      </w:pPr>
    </w:p>
    <w:p>
      <w:pPr>
        <w:jc w:val="both"/>
        <w:ind w:left="196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8" w:lineRule="exact"/>
        <w:rPr>
          <w:sz w:val="20"/>
          <w:szCs w:val="20"/>
          <w:color w:val="auto"/>
        </w:rPr>
      </w:pPr>
    </w:p>
    <w:p>
      <w:pPr>
        <w:ind w:firstLine="656"/>
        <w:spacing w:after="0" w:line="277" w:lineRule="auto"/>
        <w:tabs>
          <w:tab w:leader="none" w:pos="15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170"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70" w:lineRule="exact"/>
        <w:rPr>
          <w:sz w:val="20"/>
          <w:szCs w:val="20"/>
          <w:color w:val="auto"/>
        </w:rPr>
      </w:pPr>
    </w:p>
    <w:p>
      <w:pPr>
        <w:jc w:val="both"/>
        <w:ind w:firstLine="656"/>
        <w:spacing w:after="0" w:line="273" w:lineRule="auto"/>
        <w:tabs>
          <w:tab w:leader="none" w:pos="1383"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36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48"/>
        <w:spacing w:after="0" w:line="271" w:lineRule="auto"/>
        <w:rPr>
          <w:sz w:val="20"/>
          <w:szCs w:val="20"/>
          <w:color w:val="auto"/>
        </w:rPr>
      </w:pPr>
      <w:r>
        <w:rPr>
          <w:rFonts w:ascii="Arial" w:cs="Arial" w:eastAsia="Arial" w:hAnsi="Arial"/>
          <w:sz w:val="17"/>
          <w:szCs w:val="17"/>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0" w:lineRule="exact"/>
        <w:rPr>
          <w:sz w:val="20"/>
          <w:szCs w:val="20"/>
          <w:color w:val="auto"/>
        </w:rPr>
      </w:pPr>
    </w:p>
    <w:p>
      <w:pPr>
        <w:jc w:val="both"/>
        <w:ind w:firstLine="656"/>
        <w:spacing w:after="0" w:line="257" w:lineRule="auto"/>
        <w:tabs>
          <w:tab w:leader="none" w:pos="138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54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35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7"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70"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92"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73"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7"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1"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 ISRAEL</w:t>
      </w:r>
    </w:p>
    <w:p>
      <w:pPr>
        <w:spacing w:after="0" w:line="22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221" w:lineRule="exact"/>
        <w:rPr>
          <w:sz w:val="20"/>
          <w:szCs w:val="20"/>
          <w:color w:val="auto"/>
        </w:rPr>
      </w:pPr>
    </w:p>
    <w:p>
      <w:pPr>
        <w:ind w:left="660" w:right="6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shall be effective as of September 12, 2012.</w:t>
      </w:r>
    </w:p>
    <w:p>
      <w:pPr>
        <w:spacing w:after="0" w:line="225"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PURPOSE</w:t>
      </w:r>
    </w:p>
    <w:p>
      <w:pPr>
        <w:spacing w:after="0" w:line="225"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187"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16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right="32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Capitalized Terms not otherwise defined herein shall have the meanings assigned in the Plan. The following additional terms will apply to grants made pursuant to this Appendix:</w:t>
      </w:r>
    </w:p>
    <w:p>
      <w:pPr>
        <w:spacing w:after="0" w:line="166" w:lineRule="exact"/>
        <w:rPr>
          <w:sz w:val="20"/>
          <w:szCs w:val="20"/>
          <w:color w:val="auto"/>
        </w:rPr>
      </w:pPr>
    </w:p>
    <w:p>
      <w:pPr>
        <w:ind w:left="660"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w:t>
      </w:r>
      <w:r>
        <w:rPr>
          <w:rFonts w:ascii="Arial" w:cs="Arial" w:eastAsia="Arial" w:hAnsi="Arial"/>
          <w:sz w:val="18"/>
          <w:szCs w:val="18"/>
          <w:color w:val="auto"/>
        </w:rPr>
        <w:t xml:space="preserve"> Stock Grants, Stock Rights or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Grants, Stock Rights or an Option granted under the terms of Section 3(i) of the Ordinance to persons which do not qualify as “employees” under the provisions of Section 102.</w:t>
      </w:r>
    </w:p>
    <w:p>
      <w:pPr>
        <w:spacing w:after="0" w:line="162" w:lineRule="exact"/>
        <w:rPr>
          <w:sz w:val="20"/>
          <w:szCs w:val="20"/>
          <w:color w:val="auto"/>
        </w:rPr>
      </w:pPr>
    </w:p>
    <w:p>
      <w:pPr>
        <w:ind w:left="66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Appendix 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88" w:name="page89"/>
    <w:bookmarkEnd w:id="88"/>
    <w:p>
      <w:pPr>
        <w:ind w:left="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w:t>
      </w:r>
      <w:r>
        <w:rPr>
          <w:rFonts w:ascii="Arial" w:cs="Arial" w:eastAsia="Arial" w:hAnsi="Arial"/>
          <w:sz w:val="18"/>
          <w:szCs w:val="18"/>
          <w:color w:val="auto"/>
        </w:rPr>
        <w:t xml:space="preserve"> Stock Grant, Stock Right or an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 Stock Right or an Option intended to qualify, under the provisions of Section 102(b) of the Ordinance (including the Section 102(b) Choice of Track), as either:</w:t>
      </w:r>
    </w:p>
    <w:p>
      <w:pPr>
        <w:spacing w:after="0" w:line="162" w:lineRule="exact"/>
        <w:rPr>
          <w:sz w:val="20"/>
          <w:szCs w:val="20"/>
          <w:color w:val="auto"/>
        </w:rPr>
      </w:pPr>
    </w:p>
    <w:p>
      <w:pPr>
        <w:ind w:left="524" w:hanging="524"/>
        <w:spacing w:after="0"/>
        <w:tabs>
          <w:tab w:leader="none" w:pos="5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225" w:lineRule="exact"/>
        <w:rPr>
          <w:rFonts w:ascii="Arial" w:cs="Arial" w:eastAsia="Arial" w:hAnsi="Arial"/>
          <w:sz w:val="18"/>
          <w:szCs w:val="18"/>
          <w:color w:val="auto"/>
        </w:rPr>
      </w:pPr>
    </w:p>
    <w:p>
      <w:pPr>
        <w:ind w:left="544" w:hanging="544"/>
        <w:spacing w:after="0"/>
        <w:tabs>
          <w:tab w:leader="none" w:pos="54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225"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Person</w:t>
      </w:r>
      <w:r>
        <w:rPr>
          <w:rFonts w:ascii="Arial" w:cs="Arial" w:eastAsia="Arial" w:hAnsi="Arial"/>
          <w:sz w:val="16"/>
          <w:szCs w:val="16"/>
          <w:color w:val="auto"/>
        </w:rPr>
        <w:t>” shall have the meaning ascribed to such definition under Section 102 of the Ordinance, as may be amended from time to time.</w:t>
      </w:r>
    </w:p>
    <w:p>
      <w:pPr>
        <w:spacing w:after="0" w:line="248"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176"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 the fair market value of the Shares at the date of grant shall be determined in accordance with the average value of the Company’s Shares on the thirty (30) trading days preceding the date of grant or on the thirty</w:t>
      </w:r>
    </w:p>
    <w:p>
      <w:pPr>
        <w:spacing w:after="0" w:line="3" w:lineRule="exact"/>
        <w:rPr>
          <w:sz w:val="20"/>
          <w:szCs w:val="20"/>
          <w:color w:val="auto"/>
        </w:rPr>
      </w:pPr>
    </w:p>
    <w:p>
      <w:pPr>
        <w:ind w:left="4" w:right="400" w:hanging="4"/>
        <w:spacing w:after="0" w:line="261" w:lineRule="auto"/>
        <w:tabs>
          <w:tab w:leader="none" w:pos="3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trading days following the date of registration for trading, as the case may be. In all other cases Fair Market Value shall be as defined in the Plan.</w:t>
      </w:r>
    </w:p>
    <w:p>
      <w:pPr>
        <w:spacing w:after="0" w:line="180" w:lineRule="exact"/>
        <w:rPr>
          <w:sz w:val="20"/>
          <w:szCs w:val="20"/>
          <w:color w:val="auto"/>
        </w:rPr>
      </w:pPr>
    </w:p>
    <w:p>
      <w:pPr>
        <w:ind w:left="4" w:right="42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Ordinance”</w:t>
      </w:r>
      <w:r>
        <w:rPr>
          <w:rFonts w:ascii="Arial" w:cs="Arial" w:eastAsia="Arial" w:hAnsi="Arial"/>
          <w:sz w:val="17"/>
          <w:szCs w:val="17"/>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138"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225"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382"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Appendix 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89" w:name="page90"/>
    <w:bookmarkEnd w:id="89"/>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DESIGNATION OF PARTICIPANTS</w:t>
      </w:r>
    </w:p>
    <w:p>
      <w:pPr>
        <w:spacing w:after="0" w:line="225" w:lineRule="exact"/>
        <w:rPr>
          <w:rFonts w:ascii="Arial" w:cs="Arial" w:eastAsia="Arial" w:hAnsi="Arial"/>
          <w:sz w:val="18"/>
          <w:szCs w:val="18"/>
          <w:color w:val="auto"/>
        </w:rPr>
      </w:pPr>
    </w:p>
    <w:p>
      <w:pPr>
        <w:ind w:left="660" w:right="240"/>
        <w:spacing w:after="0" w:line="291" w:lineRule="auto"/>
        <w:rPr>
          <w:rFonts w:ascii="Arial" w:cs="Arial" w:eastAsia="Arial" w:hAnsi="Arial"/>
          <w:sz w:val="18"/>
          <w:szCs w:val="18"/>
          <w:color w:val="auto"/>
        </w:rPr>
      </w:pPr>
      <w:r>
        <w:rPr>
          <w:rFonts w:ascii="Arial" w:cs="Arial" w:eastAsia="Arial" w:hAnsi="Arial"/>
          <w:sz w:val="16"/>
          <w:szCs w:val="16"/>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Company may designate Stock Grants, Stock Rights or Options granted to Employees pursuant to Section 102 of the Ordinance as Unapproved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102 Options or 102(b) Options.</w:t>
      </w:r>
    </w:p>
    <w:p>
      <w:pPr>
        <w:spacing w:after="0" w:line="211"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grant of 102(b) Stock Grants, Stock Rights or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170"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102(b) Stock Grants, Stock Rights or Options may either be classified as 102(b)(2) Stock Grants, Stock Rights or Options under the capital gain tax Track or 102(b)(1) Stock Grants, Stock or Options under the Ordinary Income Track.</w:t>
      </w:r>
    </w:p>
    <w:p>
      <w:pPr>
        <w:spacing w:after="0" w:line="170" w:lineRule="exact"/>
        <w:rPr>
          <w:sz w:val="20"/>
          <w:szCs w:val="20"/>
          <w:color w:val="auto"/>
        </w:rPr>
      </w:pPr>
    </w:p>
    <w:p>
      <w:pPr>
        <w:ind w:left="660" w:hanging="647"/>
        <w:spacing w:after="0" w:line="270"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The Company’s election of the type of 102(b) Stock Grants, Stock Rights or Options as 102(b)(2) Stock Grants, Stock or Options or 102(b)(1) Stock Grants, Stock Rights or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All 102(b) Stock Grants, Stock Rights or Options must be held in trust by a Trustee, as described in Section 6 below.</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Appendix 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0" w:name="page91"/>
    <w:bookmarkEnd w:id="90"/>
    <w:p>
      <w:pPr>
        <w:ind w:left="652" w:right="320" w:hanging="647"/>
        <w:spacing w:after="0" w:line="308" w:lineRule="auto"/>
        <w:tabs>
          <w:tab w:leader="none" w:pos="632"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47" w:lineRule="exact"/>
        <w:rPr>
          <w:sz w:val="20"/>
          <w:szCs w:val="20"/>
          <w:color w:val="auto"/>
        </w:rPr>
      </w:pPr>
    </w:p>
    <w:p>
      <w:pPr>
        <w:ind w:left="652" w:right="220" w:hanging="647"/>
        <w:spacing w:after="0" w:line="276" w:lineRule="auto"/>
        <w:tabs>
          <w:tab w:leader="none" w:pos="632"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173" w:lineRule="exact"/>
        <w:rPr>
          <w:sz w:val="20"/>
          <w:szCs w:val="20"/>
          <w:color w:val="auto"/>
        </w:rPr>
      </w:pPr>
    </w:p>
    <w:p>
      <w:pPr>
        <w:ind w:left="652" w:hanging="652"/>
        <w:spacing w:after="0"/>
        <w:tabs>
          <w:tab w:leader="none" w:pos="6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52" w:hanging="647"/>
        <w:spacing w:after="0" w:line="268"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7"/>
          <w:szCs w:val="17"/>
          <w:b w:val="1"/>
          <w:bCs w:val="1"/>
          <w:color w:val="auto"/>
        </w:rPr>
        <w:t>Trustee</w:t>
      </w:r>
      <w:r>
        <w:rPr>
          <w:rFonts w:ascii="Arial" w:cs="Arial" w:eastAsia="Arial" w:hAnsi="Arial"/>
          <w:sz w:val="17"/>
          <w:szCs w:val="17"/>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181" w:lineRule="exact"/>
        <w:rPr>
          <w:sz w:val="20"/>
          <w:szCs w:val="20"/>
          <w:color w:val="auto"/>
        </w:rPr>
      </w:pPr>
    </w:p>
    <w:p>
      <w:pPr>
        <w:ind w:left="652" w:right="20" w:hanging="647"/>
        <w:spacing w:after="0" w:line="259"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Appendix 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91" w:name="page92"/>
    <w:bookmarkEnd w:id="91"/>
    <w:p>
      <w:pPr>
        <w:ind w:left="640" w:right="100" w:hanging="647"/>
        <w:spacing w:after="0" w:line="259"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187" w:lineRule="exact"/>
        <w:rPr>
          <w:sz w:val="20"/>
          <w:szCs w:val="20"/>
          <w:color w:val="auto"/>
        </w:rPr>
      </w:pPr>
    </w:p>
    <w:p>
      <w:pPr>
        <w:ind w:left="640" w:right="180" w:hanging="647"/>
        <w:spacing w:after="0" w:line="279"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71" w:lineRule="exact"/>
        <w:rPr>
          <w:sz w:val="20"/>
          <w:szCs w:val="20"/>
          <w:color w:val="auto"/>
        </w:rPr>
      </w:pPr>
    </w:p>
    <w:p>
      <w:pPr>
        <w:ind w:left="640" w:hanging="647"/>
        <w:spacing w:after="0" w:line="255" w:lineRule="auto"/>
        <w:tabs>
          <w:tab w:leader="none" w:pos="6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8"/>
          <w:szCs w:val="18"/>
          <w:b w:val="1"/>
          <w:bCs w:val="1"/>
          <w:color w:val="auto"/>
        </w:rPr>
        <w:t>.</w:t>
      </w:r>
    </w:p>
    <w:p>
      <w:pPr>
        <w:spacing w:after="0" w:line="189" w:lineRule="exact"/>
        <w:rPr>
          <w:sz w:val="20"/>
          <w:szCs w:val="20"/>
          <w:color w:val="auto"/>
        </w:rPr>
      </w:pPr>
    </w:p>
    <w:p>
      <w:pPr>
        <w:ind w:left="640" w:hanging="647"/>
        <w:spacing w:after="0" w:line="312" w:lineRule="auto"/>
        <w:tabs>
          <w:tab w:leader="none" w:pos="6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147" w:lineRule="exact"/>
        <w:rPr>
          <w:sz w:val="20"/>
          <w:szCs w:val="20"/>
          <w:color w:val="auto"/>
        </w:rPr>
      </w:pPr>
    </w:p>
    <w:p>
      <w:pPr>
        <w:ind w:left="640" w:right="660" w:hanging="647"/>
        <w:spacing w:after="0" w:line="277" w:lineRule="auto"/>
        <w:tabs>
          <w:tab w:leader="none" w:pos="6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As long as Shares are held by the Trustee in favor of the Participant, then all rights the last possesses over the Shares are personal, cannot be transferred, assigned, pledged or mortgaged, other than by will or laws of descent and distribution.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2" w:name="page93"/>
    <w:bookmarkEnd w:id="92"/>
    <w:p>
      <w:pPr>
        <w:ind w:left="652" w:hanging="652"/>
        <w:spacing w:after="0"/>
        <w:tabs>
          <w:tab w:leader="none" w:pos="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225" w:lineRule="exact"/>
        <w:rPr>
          <w:sz w:val="20"/>
          <w:szCs w:val="20"/>
          <w:color w:val="auto"/>
        </w:rPr>
      </w:pPr>
    </w:p>
    <w:p>
      <w:pPr>
        <w:ind w:left="652" w:right="20" w:hanging="647"/>
        <w:spacing w:after="0" w:line="271" w:lineRule="auto"/>
        <w:tabs>
          <w:tab w:leader="none" w:pos="6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79" w:lineRule="exact"/>
        <w:rPr>
          <w:sz w:val="20"/>
          <w:szCs w:val="20"/>
          <w:color w:val="auto"/>
        </w:rPr>
      </w:pPr>
    </w:p>
    <w:p>
      <w:pPr>
        <w:ind w:left="652" w:hanging="647"/>
        <w:spacing w:after="0" w:line="273" w:lineRule="auto"/>
        <w:tabs>
          <w:tab w:leader="none" w:pos="6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178" w:lineRule="exact"/>
        <w:rPr>
          <w:sz w:val="20"/>
          <w:szCs w:val="20"/>
          <w:color w:val="auto"/>
        </w:rPr>
      </w:pPr>
    </w:p>
    <w:p>
      <w:pPr>
        <w:ind w:left="652" w:hanging="652"/>
        <w:spacing w:after="0"/>
        <w:tabs>
          <w:tab w:leader="none" w:pos="65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225" w:lineRule="exact"/>
        <w:rPr>
          <w:sz w:val="20"/>
          <w:szCs w:val="20"/>
          <w:color w:val="auto"/>
        </w:rPr>
      </w:pPr>
    </w:p>
    <w:p>
      <w:pPr>
        <w:ind w:left="652" w:right="100" w:hanging="647"/>
        <w:spacing w:after="0" w:line="259"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187" w:lineRule="exact"/>
        <w:rPr>
          <w:sz w:val="20"/>
          <w:szCs w:val="20"/>
          <w:color w:val="auto"/>
        </w:rPr>
      </w:pPr>
    </w:p>
    <w:p>
      <w:pPr>
        <w:ind w:left="652" w:hanging="652"/>
        <w:spacing w:after="0"/>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225" w:lineRule="exact"/>
        <w:rPr>
          <w:rFonts w:ascii="Arial" w:cs="Arial" w:eastAsia="Arial" w:hAnsi="Arial"/>
          <w:sz w:val="18"/>
          <w:szCs w:val="18"/>
          <w:color w:val="auto"/>
        </w:rPr>
      </w:pPr>
    </w:p>
    <w:p>
      <w:pPr>
        <w:jc w:val="both"/>
        <w:ind w:left="652" w:right="380"/>
        <w:spacing w:after="0" w:line="264" w:lineRule="auto"/>
        <w:rPr>
          <w:rFonts w:ascii="Arial" w:cs="Arial" w:eastAsia="Arial" w:hAnsi="Arial"/>
          <w:sz w:val="18"/>
          <w:szCs w:val="18"/>
          <w:color w:val="auto"/>
        </w:rPr>
      </w:pPr>
      <w:r>
        <w:rPr>
          <w:rFonts w:ascii="Arial" w:cs="Arial" w:eastAsia="Arial" w:hAnsi="Arial"/>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81" w:lineRule="exact"/>
        <w:rPr>
          <w:rFonts w:ascii="Arial" w:cs="Arial" w:eastAsia="Arial" w:hAnsi="Arial"/>
          <w:sz w:val="18"/>
          <w:szCs w:val="18"/>
          <w:color w:val="auto"/>
        </w:rPr>
      </w:pPr>
    </w:p>
    <w:p>
      <w:pPr>
        <w:ind w:left="652" w:hanging="652"/>
        <w:spacing w:after="0"/>
        <w:tabs>
          <w:tab w:leader="none" w:pos="6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CONTINUANCE OF EMPLOYMENT OR HIRED SERVICES</w:t>
      </w:r>
    </w:p>
    <w:p>
      <w:pPr>
        <w:spacing w:after="0" w:line="225" w:lineRule="exact"/>
        <w:rPr>
          <w:rFonts w:ascii="Arial" w:cs="Arial" w:eastAsia="Arial" w:hAnsi="Arial"/>
          <w:sz w:val="18"/>
          <w:szCs w:val="18"/>
          <w:color w:val="auto"/>
        </w:rPr>
      </w:pPr>
    </w:p>
    <w:p>
      <w:pPr>
        <w:ind w:left="652"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Appendix 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93" w:name="page94"/>
    <w:bookmarkEnd w:id="93"/>
    <w:p>
      <w:pPr>
        <w:ind w:left="652" w:hanging="652"/>
        <w:spacing w:after="0"/>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sz w:val="20"/>
          <w:szCs w:val="20"/>
          <w:color w:val="auto"/>
        </w:rPr>
      </w:pPr>
    </w:p>
    <w:p>
      <w:pPr>
        <w:ind w:left="652" w:hanging="647"/>
        <w:spacing w:after="0" w:line="255" w:lineRule="auto"/>
        <w:tabs>
          <w:tab w:leader="none" w:pos="63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89" w:lineRule="exact"/>
        <w:rPr>
          <w:sz w:val="20"/>
          <w:szCs w:val="20"/>
          <w:color w:val="auto"/>
        </w:rPr>
      </w:pPr>
    </w:p>
    <w:p>
      <w:pPr>
        <w:ind w:left="652" w:right="380" w:hanging="647"/>
        <w:spacing w:after="0" w:line="277" w:lineRule="auto"/>
        <w:tabs>
          <w:tab w:leader="none" w:pos="6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Board of Directors, the Administrator and/or the Trustee shall not be required to release any Share certificate, issued upon exercise of Stock Grants, Stock Rights or Option, to a Participant, until all required payments have been fully made.</w:t>
      </w:r>
    </w:p>
    <w:p>
      <w:pPr>
        <w:spacing w:after="0" w:line="170" w:lineRule="exact"/>
        <w:rPr>
          <w:sz w:val="20"/>
          <w:szCs w:val="20"/>
          <w:color w:val="auto"/>
        </w:rPr>
      </w:pPr>
    </w:p>
    <w:p>
      <w:pPr>
        <w:ind w:left="652" w:right="700" w:hanging="647"/>
        <w:spacing w:after="0" w:line="277" w:lineRule="auto"/>
        <w:tabs>
          <w:tab w:leader="none" w:pos="63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Notwithstanding anything herein to the contrary, this Appendix shall be governed by the provisions of the Ordinance, the rules promulgated thereunder, and any other applicable Israeli laws.</w:t>
      </w:r>
    </w:p>
    <w:p>
      <w:pPr>
        <w:spacing w:after="0" w:line="170" w:lineRule="exact"/>
        <w:rPr>
          <w:sz w:val="20"/>
          <w:szCs w:val="20"/>
          <w:color w:val="auto"/>
        </w:rPr>
      </w:pPr>
    </w:p>
    <w:p>
      <w:pPr>
        <w:ind w:left="652" w:right="160" w:hanging="647"/>
        <w:spacing w:after="0" w:line="302" w:lineRule="auto"/>
        <w:tabs>
          <w:tab w:leader="none" w:pos="63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154" w:lineRule="exact"/>
        <w:rPr>
          <w:sz w:val="20"/>
          <w:szCs w:val="20"/>
          <w:color w:val="auto"/>
        </w:rPr>
      </w:pPr>
    </w:p>
    <w:p>
      <w:pPr>
        <w:ind w:left="5212"/>
        <w:spacing w:after="0"/>
        <w:tabs>
          <w:tab w:leader="none" w:pos="5632" w:val="left"/>
          <w:tab w:leader="none" w:pos="609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Appendix 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wp:posOffset>
            </wp:positionV>
            <wp:extent cx="7289165" cy="9433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Appendix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22" w:right="239" w:bottom="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89165" cy="9433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ind w:right="-20"/>
        <w:spacing w:after="0"/>
        <w:rPr>
          <w:sz w:val="20"/>
          <w:szCs w:val="20"/>
          <w:color w:val="auto"/>
        </w:rPr>
      </w:pPr>
      <w:r>
        <w:rPr>
          <w:rFonts w:ascii="Arial" w:cs="Arial" w:eastAsia="Arial" w:hAnsi="Arial"/>
          <w:sz w:val="17"/>
          <w:szCs w:val="17"/>
          <w:color w:val="auto"/>
        </w:rPr>
        <w:t>Appendix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97" w:name="page98"/>
    <w:bookmarkEnd w:id="97"/>
    <w:p>
      <w:pPr>
        <w:ind w:left="10660"/>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4, 2015, is by and among Vringo, Inc., a Delaware corporation with headquarters located at 780 Third Avenue, 12th Floor, New York, New York 10017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listed on the Schedule of Buyers attached hereto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79" w:lineRule="auto"/>
        <w:tabs>
          <w:tab w:leader="none" w:pos="140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Company and each Buyer desire to enter into this transaction to purchase the Notes (as defined below) set forth herein pursuant to a currently effective shelf registration statement on Form S-3, which has sufficient availability for the issuance of securities of the Company (Registration Number 333-182823)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Registration Statement has been declared effective in accordance with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by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56"/>
        <w:spacing w:after="0" w:line="291" w:lineRule="auto"/>
        <w:tabs>
          <w:tab w:leader="none" w:pos="132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Company has authorized the issuance of senior secured convertible notes in the aggregate amount of $12,500,000, in the form attached to the Supplemental Indenture (as defined below) (the “</w:t>
      </w:r>
      <w:r>
        <w:rPr>
          <w:rFonts w:ascii="Arial" w:cs="Arial" w:eastAsia="Arial" w:hAnsi="Arial"/>
          <w:sz w:val="16"/>
          <w:szCs w:val="16"/>
          <w:b w:val="1"/>
          <w:bCs w:val="1"/>
          <w:color w:val="auto"/>
        </w:rPr>
        <w:t>Notes</w:t>
      </w:r>
      <w:r>
        <w:rPr>
          <w:rFonts w:ascii="Arial" w:cs="Arial" w:eastAsia="Arial" w:hAnsi="Arial"/>
          <w:sz w:val="16"/>
          <w:szCs w:val="16"/>
          <w:color w:val="auto"/>
        </w:rPr>
        <w:t>”), which Notes shall be convertible into shares of the Company’s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(as converted, collectively, together with any shares of Common Stock issuable as interest or otherwise pursuant to such Notes, the “</w:t>
      </w:r>
      <w:r>
        <w:rPr>
          <w:rFonts w:ascii="Arial" w:cs="Arial" w:eastAsia="Arial" w:hAnsi="Arial"/>
          <w:sz w:val="16"/>
          <w:szCs w:val="16"/>
          <w:b w:val="1"/>
          <w:bCs w:val="1"/>
          <w:color w:val="auto"/>
        </w:rPr>
        <w:t>Conversion Shares</w:t>
      </w:r>
      <w:r>
        <w:rPr>
          <w:rFonts w:ascii="Arial" w:cs="Arial" w:eastAsia="Arial" w:hAnsi="Arial"/>
          <w:sz w:val="16"/>
          <w:szCs w:val="16"/>
          <w:color w:val="auto"/>
        </w:rPr>
        <w:t>”) in accordance with, and issued pursuant to and by, the provisions of an Indenture dated as of the Closing Date (as defined below), by and between the Company and Computershare Trust Company, N.A.,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in substantially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(as amended and/or supplemented from time to time, including, without limitation, by the Supplemental Indenture dated as of the Closing Date, by and between the Company and the Trustee,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340" w:hanging="684"/>
        <w:spacing w:after="0"/>
        <w:tabs>
          <w:tab w:leader="none" w:pos="13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Upon the terms and subject to the conditions contained in this Agreement, each Buyer wishes to purchase, and the Company wishes to sell,</w:t>
      </w:r>
    </w:p>
    <w:p>
      <w:pPr>
        <w:spacing w:after="0" w:line="46" w:lineRule="exact"/>
        <w:rPr>
          <w:rFonts w:ascii="Arial" w:cs="Arial" w:eastAsia="Arial" w:hAnsi="Arial"/>
          <w:sz w:val="16"/>
          <w:szCs w:val="16"/>
          <w:color w:val="auto"/>
        </w:rPr>
      </w:pPr>
    </w:p>
    <w:p>
      <w:pPr>
        <w:jc w:val="both"/>
        <w:ind w:firstLine="8"/>
        <w:spacing w:after="0" w:line="255" w:lineRule="auto"/>
        <w:tabs>
          <w:tab w:leader="none" w:pos="23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aggregate original principal amount of the Notes set forth opposite such Buyer’s name in column (3) on the Schedule of Buyers, (ii) a warrant to initially acquire up to the aggregate number of shares of Common Stock set forth opposite such Buyer’s name in column (4) on the Schedule of Buyers,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Warrants</w:t>
      </w:r>
      <w:r>
        <w:rPr>
          <w:rFonts w:ascii="Arial" w:cs="Arial" w:eastAsia="Arial" w:hAnsi="Arial"/>
          <w:sz w:val="18"/>
          <w:szCs w:val="18"/>
          <w:color w:val="auto"/>
        </w:rPr>
        <w:t>”) (as exercised, collectively,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firstLine="656"/>
        <w:spacing w:after="0" w:line="277" w:lineRule="auto"/>
        <w:tabs>
          <w:tab w:leader="none" w:pos="142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Notes are entitled to interest, amortization payments and certain other amounts, which, at the option of the Company and subject to certain conditions, may be paid in shares of Common Stock (the “</w:t>
      </w:r>
      <w:r>
        <w:rPr>
          <w:rFonts w:ascii="Arial" w:cs="Arial" w:eastAsia="Arial" w:hAnsi="Arial"/>
          <w:sz w:val="18"/>
          <w:szCs w:val="18"/>
          <w:b w:val="1"/>
          <w:bCs w:val="1"/>
          <w:color w:val="auto"/>
        </w:rPr>
        <w:t>Interest Shares</w:t>
      </w:r>
      <w:r>
        <w:rPr>
          <w:rFonts w:ascii="Arial" w:cs="Arial" w:eastAsia="Arial" w:hAnsi="Arial"/>
          <w:sz w:val="18"/>
          <w:szCs w:val="18"/>
          <w:color w:val="auto"/>
        </w:rPr>
        <w:t>”) or in cash.</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Notes, the Conversion Shares, the Interest Shares, the Warrants and the Warrant Shares are collectively referred to herein as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98" w:name="page99"/>
    <w:bookmarkEnd w:id="98"/>
    <w:p>
      <w:pPr>
        <w:jc w:val="both"/>
        <w:ind w:firstLine="656"/>
        <w:spacing w:after="0" w:line="259" w:lineRule="auto"/>
        <w:tabs>
          <w:tab w:leader="none" w:pos="135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proceeds of the Notes will immediately be lent by the Company to certain of the Company’s Subsidiaries (as defined below) (each, a “</w:t>
      </w:r>
      <w:r>
        <w:rPr>
          <w:rFonts w:ascii="Arial" w:cs="Arial" w:eastAsia="Arial" w:hAnsi="Arial"/>
          <w:sz w:val="18"/>
          <w:szCs w:val="18"/>
          <w:b w:val="1"/>
          <w:bCs w:val="1"/>
          <w:color w:val="auto"/>
        </w:rPr>
        <w:t>Borrower Subsidiary</w:t>
      </w:r>
      <w:r>
        <w:rPr>
          <w:rFonts w:ascii="Arial" w:cs="Arial" w:eastAsia="Arial" w:hAnsi="Arial"/>
          <w:sz w:val="18"/>
          <w:szCs w:val="18"/>
          <w:color w:val="auto"/>
        </w:rPr>
        <w:t>”) pursuant to the terms of a Subsidiary Note and Security Agreement, in form and substance acceptable to each Buyer (the “</w:t>
      </w:r>
      <w:r>
        <w:rPr>
          <w:rFonts w:ascii="Arial" w:cs="Arial" w:eastAsia="Arial" w:hAnsi="Arial"/>
          <w:sz w:val="18"/>
          <w:szCs w:val="18"/>
          <w:b w:val="1"/>
          <w:bCs w:val="1"/>
          <w:color w:val="auto"/>
        </w:rPr>
        <w:t>Subsidiary Notes</w:t>
      </w:r>
      <w:r>
        <w:rPr>
          <w:rFonts w:ascii="Arial" w:cs="Arial" w:eastAsia="Arial" w:hAnsi="Arial"/>
          <w:sz w:val="18"/>
          <w:szCs w:val="18"/>
          <w:color w:val="auto"/>
        </w:rPr>
        <w:t>”) which will be secured by a first priority perfected security interest in certain of the U.S. assets of the Borrower Subsidiaries pursuant to the terms of the Subsidiary Notes.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Notes will be secured by a first priority perfected security interest in certain of the assets of the Company, including, without limitation, the Subsidiary Notes and the security interests securing the Subsidiary Notes, as evidenced by a security agreement as the Buyers shall require in form and substance acceptable to each Buyer (the “</w:t>
      </w:r>
      <w:r>
        <w:rPr>
          <w:rFonts w:ascii="Arial" w:cs="Arial" w:eastAsia="Arial" w:hAnsi="Arial"/>
          <w:sz w:val="18"/>
          <w:szCs w:val="18"/>
          <w:b w:val="1"/>
          <w:bCs w:val="1"/>
          <w:color w:val="auto"/>
        </w:rPr>
        <w:t>Security Agreement</w:t>
      </w:r>
      <w:r>
        <w:rPr>
          <w:rFonts w:ascii="Arial" w:cs="Arial" w:eastAsia="Arial" w:hAnsi="Arial"/>
          <w:sz w:val="18"/>
          <w:szCs w:val="18"/>
          <w:color w:val="auto"/>
        </w:rPr>
        <w:t>” and together with the other security documents and agreements entered into in connection with this Agreement and each of such other documents and agreements, as each may be amended or modified from time to time, collectively,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66" w:lineRule="exact"/>
        <w:rPr>
          <w:sz w:val="20"/>
          <w:szCs w:val="20"/>
          <w:color w:val="auto"/>
        </w:rPr>
      </w:pPr>
    </w:p>
    <w:p>
      <w:pPr>
        <w:ind w:left="600" w:hanging="592"/>
        <w:spacing w:after="0"/>
        <w:tabs>
          <w:tab w:leader="none" w:pos="6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NOTES AND WARRANTS.</w:t>
      </w:r>
    </w:p>
    <w:p>
      <w:pPr>
        <w:spacing w:after="0" w:line="229" w:lineRule="exact"/>
        <w:rPr>
          <w:rFonts w:ascii="Arial" w:cs="Arial" w:eastAsia="Arial" w:hAnsi="Arial"/>
          <w:sz w:val="18"/>
          <w:szCs w:val="18"/>
          <w:b w:val="1"/>
          <w:bCs w:val="1"/>
          <w:color w:val="auto"/>
        </w:rPr>
      </w:pPr>
    </w:p>
    <w:p>
      <w:pPr>
        <w:jc w:val="both"/>
        <w:ind w:firstLine="656"/>
        <w:spacing w:after="0" w:line="279" w:lineRule="auto"/>
        <w:tabs>
          <w:tab w:leader="none" w:pos="1339"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Purchase of Notes and Warrants</w:t>
      </w:r>
      <w:r>
        <w:rPr>
          <w:rFonts w:ascii="Arial" w:cs="Arial" w:eastAsia="Arial" w:hAnsi="Arial"/>
          <w:sz w:val="17"/>
          <w:szCs w:val="17"/>
          <w:color w:val="auto"/>
        </w:rPr>
        <w:t>. Subject to the satisfaction (or waiver) of the conditions set forth in Sections 6 and 7 below, the Company shall issue and sell to each Buyer, and each Buyer severally, but not jointly, shall purchase from the Company on the Closing Date (as defined below), a Note in the original principal amount as is set forth opposite such Buyer’s name in column (3) on the Schedule of Buyers, along with a Warrant to acquire up to the aggregate number of Warrant Shares as is set forth opposite such Buyer’s name in column (4) on the Schedule of Buyers.</w:t>
      </w:r>
    </w:p>
    <w:p>
      <w:pPr>
        <w:spacing w:after="0" w:line="167" w:lineRule="exact"/>
        <w:rPr>
          <w:rFonts w:ascii="Arial" w:cs="Arial" w:eastAsia="Arial" w:hAnsi="Arial"/>
          <w:sz w:val="17"/>
          <w:szCs w:val="17"/>
          <w:color w:val="auto"/>
        </w:rPr>
      </w:pPr>
    </w:p>
    <w:p>
      <w:pPr>
        <w:jc w:val="both"/>
        <w:ind w:firstLine="656"/>
        <w:spacing w:after="0" w:line="293" w:lineRule="auto"/>
        <w:tabs>
          <w:tab w:leader="none" w:pos="1362"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of the Notes and the Warrants by the Buyers shall occur at the offices of Lowenstein Sandler LLP, 1251 Avenue of the Americas, New York, New York 10020. The date and time of the Closing (the “</w:t>
      </w:r>
      <w:r>
        <w:rPr>
          <w:rFonts w:ascii="Arial" w:cs="Arial" w:eastAsia="Arial" w:hAnsi="Arial"/>
          <w:sz w:val="16"/>
          <w:szCs w:val="16"/>
          <w:b w:val="1"/>
          <w:bCs w:val="1"/>
          <w:color w:val="auto"/>
        </w:rPr>
        <w:t>Closing Date</w:t>
      </w:r>
      <w:r>
        <w:rPr>
          <w:rFonts w:ascii="Arial" w:cs="Arial" w:eastAsia="Arial" w:hAnsi="Arial"/>
          <w:sz w:val="16"/>
          <w:szCs w:val="16"/>
          <w:color w:val="auto"/>
        </w:rPr>
        <w:t>”) shall be 10:00 a.m., New</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York time, on the first (1</w:t>
      </w:r>
      <w:r>
        <w:rPr>
          <w:rFonts w:ascii="Arial" w:cs="Arial" w:eastAsia="Arial" w:hAnsi="Arial"/>
          <w:sz w:val="30"/>
          <w:szCs w:val="30"/>
          <w:color w:val="auto"/>
          <w:vertAlign w:val="superscript"/>
        </w:rPr>
        <w:t>st</w:t>
      </w:r>
      <w:r>
        <w:rPr>
          <w:rFonts w:ascii="Arial" w:cs="Arial" w:eastAsia="Arial" w:hAnsi="Arial"/>
          <w:sz w:val="18"/>
          <w:szCs w:val="18"/>
          <w:color w:val="auto"/>
        </w:rPr>
        <w:t>) Business Day on which the conditions to the Closing set forth in Sections 6 and 7 below are satisfied or waived (or such later date as is mutually agreed to by the Company and each Buyer). As used herein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other day on which commercial banks in New York, New York are authorized or required by law to remain closed.</w:t>
      </w:r>
    </w:p>
    <w:p>
      <w:pPr>
        <w:spacing w:after="0" w:line="200" w:lineRule="exact"/>
        <w:rPr>
          <w:sz w:val="20"/>
          <w:szCs w:val="20"/>
          <w:color w:val="auto"/>
        </w:rPr>
      </w:pPr>
    </w:p>
    <w:p>
      <w:pPr>
        <w:ind w:firstLine="656"/>
        <w:spacing w:after="0" w:line="282" w:lineRule="auto"/>
        <w:tabs>
          <w:tab w:leader="none" w:pos="1298"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Notes and the Warrants to be purchased by each Buyer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the amount set forth opposite such Buyer’s name in column (5) on the Schedule of Buyers.</w:t>
      </w:r>
    </w:p>
    <w:p>
      <w:pPr>
        <w:spacing w:after="0" w:line="165" w:lineRule="exact"/>
        <w:rPr>
          <w:rFonts w:ascii="Arial" w:cs="Arial" w:eastAsia="Arial" w:hAnsi="Arial"/>
          <w:sz w:val="18"/>
          <w:szCs w:val="18"/>
          <w:color w:val="auto"/>
        </w:rPr>
      </w:pPr>
    </w:p>
    <w:p>
      <w:pPr>
        <w:jc w:val="both"/>
        <w:ind w:firstLine="656"/>
        <w:spacing w:after="0" w:line="288" w:lineRule="auto"/>
        <w:tabs>
          <w:tab w:leader="none" w:pos="1349"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Payment of Purchase Price; Delivery of Notes and Warrants</w:t>
      </w:r>
      <w:r>
        <w:rPr>
          <w:rFonts w:ascii="Arial" w:cs="Arial" w:eastAsia="Arial" w:hAnsi="Arial"/>
          <w:sz w:val="16"/>
          <w:szCs w:val="16"/>
          <w:color w:val="auto"/>
        </w:rPr>
        <w:t>. On the Closing Date, (i) each Buyer shall pay its respective Purchase Price to the Company for its respective Note and Warrants to be issued and sold to such Buyer at the Closing, by wire transfer of immediately available funds in accordance with the Company’s written wire instructions (less, in the case of Iroquois (as defined below), the amounts withheld pursuant to Section 4(g)) and</w:t>
      </w:r>
    </w:p>
    <w:p>
      <w:pPr>
        <w:jc w:val="both"/>
        <w:ind w:firstLine="8"/>
        <w:spacing w:after="0" w:line="254" w:lineRule="auto"/>
        <w:tabs>
          <w:tab w:leader="none" w:pos="26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deliver to each Buyer (A) a Note (in such amount as is set forth opposite such Buyer’s name in column (3) on the Schedule of Buyers) and (B) a Warrant pursuant to which such Buyer shall have the right to acquire up to the aggregate number of Warrant Shares as is set forth opposite such Buyer’s name in column (4) on the Schedule of Buyers, in each case, duly executed on behalf of the Company (and, in the case of the Notes, duly authenticated by the Trustee) and registered in the name of such Buyer or its designee.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ind w:left="592" w:hanging="592"/>
        <w:spacing w:after="0"/>
        <w:tabs>
          <w:tab w:leader="none" w:pos="5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Each Buyer, severally and not jointly, represents and warrants to the Company with respect to only itself that:</w:t>
      </w:r>
    </w:p>
    <w:p>
      <w:pPr>
        <w:spacing w:after="0" w:line="225" w:lineRule="exact"/>
        <w:rPr>
          <w:sz w:val="20"/>
          <w:szCs w:val="20"/>
          <w:color w:val="auto"/>
        </w:rPr>
      </w:pPr>
    </w:p>
    <w:p>
      <w:pPr>
        <w:jc w:val="both"/>
        <w:ind w:left="-8" w:firstLine="656"/>
        <w:spacing w:after="0" w:line="264" w:lineRule="auto"/>
        <w:tabs>
          <w:tab w:leader="none" w:pos="133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81" w:lineRule="exact"/>
        <w:rPr>
          <w:rFonts w:ascii="Arial" w:cs="Arial" w:eastAsia="Arial" w:hAnsi="Arial"/>
          <w:sz w:val="18"/>
          <w:szCs w:val="18"/>
          <w:color w:val="auto"/>
        </w:rPr>
      </w:pPr>
    </w:p>
    <w:p>
      <w:pPr>
        <w:jc w:val="both"/>
        <w:ind w:left="-8" w:firstLine="656"/>
        <w:spacing w:after="0" w:line="259" w:lineRule="auto"/>
        <w:tabs>
          <w:tab w:leader="none" w:pos="155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such Buyer and constitutes the legal, valid and binding obligations of such Buyer enforceable against such Buyer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6" w:lineRule="exact"/>
        <w:rPr>
          <w:rFonts w:ascii="Arial" w:cs="Arial" w:eastAsia="Arial" w:hAnsi="Arial"/>
          <w:sz w:val="18"/>
          <w:szCs w:val="18"/>
          <w:color w:val="auto"/>
        </w:rPr>
      </w:pPr>
    </w:p>
    <w:p>
      <w:pPr>
        <w:jc w:val="both"/>
        <w:ind w:left="-8" w:firstLine="656"/>
        <w:spacing w:after="0" w:line="255" w:lineRule="auto"/>
        <w:tabs>
          <w:tab w:leader="none" w:pos="14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89" w:lineRule="exact"/>
        <w:rPr>
          <w:rFonts w:ascii="Arial" w:cs="Arial" w:eastAsia="Arial" w:hAnsi="Arial"/>
          <w:sz w:val="18"/>
          <w:szCs w:val="18"/>
          <w:color w:val="auto"/>
        </w:rPr>
      </w:pPr>
    </w:p>
    <w:p>
      <w:pPr>
        <w:jc w:val="both"/>
        <w:ind w:left="-8" w:firstLine="656"/>
        <w:spacing w:after="0" w:line="290" w:lineRule="auto"/>
        <w:tabs>
          <w:tab w:leader="none" w:pos="1624"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Certain Trading Activities</w:t>
      </w:r>
      <w:r>
        <w:rPr>
          <w:rFonts w:ascii="Arial" w:cs="Arial" w:eastAsia="Arial" w:hAnsi="Arial"/>
          <w:sz w:val="16"/>
          <w:szCs w:val="16"/>
          <w:color w:val="auto"/>
        </w:rPr>
        <w:t>. Such Buyer has not directly or indirectly, nor has any Person acting on behalf of or pursuant to any understanding with such Buyer, engaged in any transactions in the securities of the Company (including, without limitation, any Short Sales (as defined below) involving the Company’s securities) during the period commencing as of the time that such Buyer executed a Term Sheet regarding the specific investment in the Company contemplated by this Agreement and ending immediately prior to the execution of this Agreement by such Buyer. “</w:t>
      </w:r>
      <w:r>
        <w:rPr>
          <w:rFonts w:ascii="Arial" w:cs="Arial" w:eastAsia="Arial" w:hAnsi="Arial"/>
          <w:sz w:val="16"/>
          <w:szCs w:val="16"/>
          <w:b w:val="1"/>
          <w:bCs w:val="1"/>
          <w:color w:val="auto"/>
        </w:rPr>
        <w:t>Short Sales</w:t>
      </w:r>
      <w:r>
        <w:rPr>
          <w:rFonts w:ascii="Arial" w:cs="Arial" w:eastAsia="Arial" w:hAnsi="Arial"/>
          <w:sz w:val="16"/>
          <w:szCs w:val="16"/>
          <w:color w:val="auto"/>
        </w:rPr>
        <w:t>” means all “short sales” as defined in Rule 200 promulgated under Regulation SHO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(but shall not be deemed to include the location and/or reservation of borrowable shares of Common Stock). Such Buyer is aware that Short Sales and other hedging activities may be subject to applicable federal and state securities laws, rules and regulations and such Buyer acknowledges that the responsibility of compliance with any such federal or state securities laws, rules and regulations is solely the responsibility of such Buyer.</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00" w:name="page101"/>
    <w:bookmarkEnd w:id="100"/>
    <w:p>
      <w:pPr>
        <w:jc w:val="both"/>
        <w:ind w:left="-8" w:firstLine="656"/>
        <w:spacing w:after="0" w:line="264" w:lineRule="auto"/>
        <w:tabs>
          <w:tab w:leader="none" w:pos="135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Receipt of Prospectus Supplement</w:t>
      </w:r>
      <w:r>
        <w:rPr>
          <w:rFonts w:ascii="Arial" w:cs="Arial" w:eastAsia="Arial" w:hAnsi="Arial"/>
          <w:sz w:val="18"/>
          <w:szCs w:val="18"/>
          <w:color w:val="auto"/>
        </w:rPr>
        <w:t>. Such Buyer acknowledges receipt of the Company’s Prospectus Supplement relating to the offering of the Securities, which Prospectus Supplement is required to be delivered to such Buyer pursuant to Section 4(c) below. Such Buyer acknowledges that it has had an opportunity to review the Prospectus Supplement prior to committing to purchase any of the Securities.</w:t>
      </w:r>
    </w:p>
    <w:p>
      <w:pPr>
        <w:spacing w:after="0" w:line="181" w:lineRule="exact"/>
        <w:rPr>
          <w:rFonts w:ascii="Arial" w:cs="Arial" w:eastAsia="Arial" w:hAnsi="Arial"/>
          <w:sz w:val="18"/>
          <w:szCs w:val="18"/>
          <w:color w:val="auto"/>
        </w:rPr>
      </w:pPr>
    </w:p>
    <w:p>
      <w:pPr>
        <w:jc w:val="both"/>
        <w:ind w:left="-8" w:firstLine="656"/>
        <w:spacing w:after="0" w:line="273" w:lineRule="auto"/>
        <w:tabs>
          <w:tab w:leader="none" w:pos="1351"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Independent Negotiation of Transaction</w:t>
      </w:r>
      <w:r>
        <w:rPr>
          <w:rFonts w:ascii="Arial" w:cs="Arial" w:eastAsia="Arial" w:hAnsi="Arial"/>
          <w:sz w:val="17"/>
          <w:szCs w:val="17"/>
          <w:color w:val="auto"/>
        </w:rPr>
        <w:t>. Such Buyer understands that nothing in this Agreement, the Prospectus Supplement or any other materials presented to such Buyer in connection with the purchase and sale of the Securities constitutes legal, tax or investment advice from the Company. Such Buyer is knowledgeable, sophisticated and experienced in making, and is qualified to make decisions with respect to, investments in securities presenting an investment decision like that involved in the purchase of the Securities. Such Buyer has independently negotiated and entered into this Agreement and the transactions contemplated hereby and has consulted such legal, tax and investment advisors and made such investigation as it, in its sole discretion, has deemed necessary or appropriate in connection with its purchase of the Securities.</w:t>
      </w:r>
    </w:p>
    <w:p>
      <w:pPr>
        <w:spacing w:after="0" w:line="178" w:lineRule="exact"/>
        <w:rPr>
          <w:rFonts w:ascii="Arial" w:cs="Arial" w:eastAsia="Arial" w:hAnsi="Arial"/>
          <w:sz w:val="17"/>
          <w:szCs w:val="17"/>
          <w:color w:val="auto"/>
        </w:rPr>
      </w:pPr>
    </w:p>
    <w:p>
      <w:pPr>
        <w:jc w:val="both"/>
        <w:ind w:left="-8" w:firstLine="656"/>
        <w:spacing w:after="0" w:line="264" w:lineRule="auto"/>
        <w:tabs>
          <w:tab w:leader="none" w:pos="146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Such Buyer represents that (i) it has had no position, office or other material relationship within the past three years with the Company, and (ii) it is not a FINRA member or an Associated Person (as such term is defined under the NASD Membership and Registration Rules Section 1011) of a FINRA member as of the Closing.</w:t>
      </w:r>
    </w:p>
    <w:p>
      <w:pPr>
        <w:spacing w:after="0" w:line="177" w:lineRule="exact"/>
        <w:rPr>
          <w:rFonts w:ascii="Arial" w:cs="Arial" w:eastAsia="Arial" w:hAnsi="Arial"/>
          <w:sz w:val="18"/>
          <w:szCs w:val="18"/>
          <w:color w:val="auto"/>
        </w:rPr>
      </w:pPr>
    </w:p>
    <w:p>
      <w:pPr>
        <w:ind w:left="592" w:hanging="592"/>
        <w:spacing w:after="0"/>
        <w:tabs>
          <w:tab w:leader="none" w:pos="59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Company represents and warrants to each of the Buyers that:</w:t>
      </w:r>
    </w:p>
    <w:p>
      <w:pPr>
        <w:spacing w:after="0" w:line="225" w:lineRule="exact"/>
        <w:rPr>
          <w:sz w:val="20"/>
          <w:szCs w:val="20"/>
          <w:color w:val="auto"/>
        </w:rPr>
      </w:pPr>
    </w:p>
    <w:p>
      <w:pPr>
        <w:jc w:val="both"/>
        <w:ind w:left="-8" w:firstLine="656"/>
        <w:spacing w:after="0" w:line="287" w:lineRule="auto"/>
        <w:tabs>
          <w:tab w:leader="none" w:pos="1385"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Company and each of its Subsidiaries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effect on (i) the business, properties, assets, liabilities, operations (including results thereof), condition (financial or otherwise) or prospects of the Company and its Subsidiaries, taken as a whole, (ii) the transactions contemplated hereby or in any of the other Transaction Documents or (iii) the authority or ability of the Company or any of its Subsidiaries to perform any of their respective obligations under any of the Transaction Documents (as defined below). Other than the Persons (as defined below) set forth in Exhibit 21 to its Annual Report on Form 10-K filed with the SEC on March 16, 2015, the Company has no Subsidiaries. A “</w:t>
      </w:r>
      <w:r>
        <w:rPr>
          <w:rFonts w:ascii="Arial" w:cs="Arial" w:eastAsia="Arial" w:hAnsi="Arial"/>
          <w:sz w:val="16"/>
          <w:szCs w:val="16"/>
          <w:b w:val="1"/>
          <w:bCs w:val="1"/>
          <w:color w:val="auto"/>
        </w:rPr>
        <w:t>Subsidiary</w:t>
      </w:r>
      <w:r>
        <w:rPr>
          <w:rFonts w:ascii="Arial" w:cs="Arial" w:eastAsia="Arial" w:hAnsi="Arial"/>
          <w:sz w:val="16"/>
          <w:szCs w:val="16"/>
          <w:color w:val="auto"/>
        </w:rPr>
        <w:t>” means any Person in which the Company, directly or indirectly, owns any of the outstanding capital stock or holds any equity or similar interest of such Person.</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1" w:name="page102"/>
    <w:bookmarkEnd w:id="101"/>
    <w:p>
      <w:pPr>
        <w:jc w:val="both"/>
        <w:ind w:left="-20" w:firstLine="656"/>
        <w:spacing w:after="0" w:line="284" w:lineRule="auto"/>
        <w:tabs>
          <w:tab w:leader="none" w:pos="1369"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power and authority to enter into and perform its obligations under this Agreement and the other Transaction Documents and to issue the Securities in accordance with the terms hereof and thereof. Each Borrower Subsidiary has the requisite power and authority to enter into and perform its obligations under the Transaction Documents to which it is a party. The execution and delivery of this Agreement and the other Transaction Documents by the Company and the Borrower Subsidiaries, and the consummation by the Company and the Borrower Subsidiaries of the transactions contemplated hereby and thereby (including, without limitation, the issuance of the Notes and the reservation for issuance and issuance of the Conversion Shares issuable upon conversion of the Notes and any Interest Shares issuable pursuant to the terms of the Notes, the issuance of the Warrants and the reservation for issuance and issuance of the Warrant Shares issuable upon exercise of the Warrants) have been duly authorized by the Company’s board of directors and each of the Borrower Subsidiaries’ board of directors or other governing body, as applicable, and (other than (i) the Stockholder Approval (as defined below), and (ii) the filing with the SEC of a prospectus supplement in connection with the Closing as required by the Registration Statement pursuant to Rule 424(b) under the 1933 Act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supplementing the base prospectus forming part of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 the Indenture and the Supplemental Indenture (and/or any amendment or supplement thereto)) (collectively, the “</w:t>
      </w:r>
      <w:r>
        <w:rPr>
          <w:rFonts w:ascii="Arial" w:cs="Arial" w:eastAsia="Arial" w:hAnsi="Arial"/>
          <w:sz w:val="16"/>
          <w:szCs w:val="16"/>
          <w:b w:val="1"/>
          <w:bCs w:val="1"/>
          <w:color w:val="auto"/>
        </w:rPr>
        <w:t>Required Approvals</w:t>
      </w:r>
      <w:r>
        <w:rPr>
          <w:rFonts w:ascii="Arial" w:cs="Arial" w:eastAsia="Arial" w:hAnsi="Arial"/>
          <w:sz w:val="16"/>
          <w:szCs w:val="16"/>
          <w:color w:val="auto"/>
        </w:rPr>
        <w:t>”), no further filing, consent or authorization is required by the Company, the Borrower Subsidiaries, their respective boards of directors or their stockholders or other governing body. This Agreement has been, and the other Transaction Documents to which the Company is a party will be prior to the Closing, duly executed and delivered by the Company, and upon such execution and delivery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Closing, the Transaction Documents to which each Borrower Subsidiary is a party will be duly executed and delivered by each such Borrower Subsidiary, and upon such execution and delivery will constitute the legal, valid and binding obligations of each such Borrower Subsidiary, enforceable against each such Borrower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Notes, the Indenture, the Supplemental Indenture, the Warrants, the Subsidiary Notes, the Security Documents,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02" w:name="page103"/>
    <w:bookmarkEnd w:id="102"/>
    <w:p>
      <w:pPr>
        <w:jc w:val="both"/>
        <w:ind w:left="-8" w:firstLine="656"/>
        <w:spacing w:after="0" w:line="288" w:lineRule="auto"/>
        <w:tabs>
          <w:tab w:leader="none" w:pos="1290"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The issuance of the Notes and the Warrants is duly authorized, and upon issuance in accordance with the terms of the Transaction Documents, will be validly issued, fully paid and non-assessable and free from all preemptive or similar rights, taxes, liens, charges and other encumbrances with respect to the issuance thereof. The Company shall have reserved from its duly authorized capital stock not less than 100% of the sum of</w:t>
      </w:r>
    </w:p>
    <w:p>
      <w:pPr>
        <w:jc w:val="both"/>
        <w:ind w:left="-8" w:firstLine="8"/>
        <w:spacing w:after="0" w:line="283" w:lineRule="auto"/>
        <w:tabs>
          <w:tab w:leader="none" w:pos="22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maximum number of Conversion Shares issuable upon conversion of the Notes (assuming for purposes hereof that the Notes are convertible at the initial Conversion Price (as defined in the Notes) and without taking into account any limitations on the conversion of the Notes set forth therein), (ii) the maximum number of Interest Shares issuable pursuant to the terms of the Notes, (determined without taking into account any limitations on the conversion of the Notes set forth therein) and (iii) the maximum number of Warrant Shares issuable upon exercise of the Warrants (without taking into account any limitations on the exercise of the Warrants set forth therein). Upon issuance or conversion in accordance with the Notes and the Indenture or exercise in accordance with the Warrants (as the case may be), the Conversion Shares, the Interest Shares and the Warrant Shares, respectively, when issued, will be validly issued, fully paid and nonassessable and free from all preemptive or similar rights, taxes, liens, charges and other encumbrances with respect to the issue thereof, with the holders being entitled to all rights accorded to a holder of Common Stock. The issuance by the Company of the Securities has been registered under the 1933 Act, the Securities are being issued pursuant to the Registration Statement and all of the Securities are freely transferable and freely tradable by each of the Buyers without restriction.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complied in all material respects with the requirements of the 1933 Act and the 1934 Act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The Prospectus and any amendments or supplements thereto (including, without limitation the Prospectus Supplement), at the time the Prospectus or any amendment or supplement thereto was issued and at such Closing Date, complied, and will comply, in all material respects with the requirements of the 1933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S-3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w:t>
      </w:r>
    </w:p>
    <w:p>
      <w:pPr>
        <w:spacing w:after="0" w:line="395" w:lineRule="exact"/>
        <w:rPr>
          <w:rFonts w:ascii="Arial" w:cs="Arial" w:eastAsia="Arial" w:hAnsi="Arial"/>
          <w:sz w:val="16"/>
          <w:szCs w:val="16"/>
          <w:color w:val="auto"/>
        </w:rPr>
      </w:pPr>
    </w:p>
    <w:p>
      <w:pPr>
        <w:jc w:val="both"/>
        <w:ind w:left="-8" w:firstLine="656"/>
        <w:spacing w:after="0" w:line="287" w:lineRule="auto"/>
        <w:tabs>
          <w:tab w:leader="none" w:pos="1341"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Borrower Subsidiaries and the consummation by the Company and the Borrower Subsidiaries of the transactions contemplated hereby and thereby (including, without limitation, the issuance of the Notes, the Warrants, the Conversion Shares and the Warrant Shares and the reservation for issuance of the Conversion Shares, the Interest Shares and Warrant Shares) will not (i) result in a violation of the Certificate of Incorporation (as defined below) or other organizational documents of the Company or any of the Borrower Subsidiaries, any capital stock of the Company or any of the Borrower Subsidiaries or Bylaws (as defined below) of the Company or any of the Borrower Subsidiaries,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Arial" w:cs="Arial" w:eastAsia="Arial" w:hAnsi="Arial"/>
          <w:sz w:val="16"/>
          <w:szCs w:val="16"/>
          <w:b w:val="1"/>
          <w:bCs w:val="1"/>
          <w:color w:val="auto"/>
        </w:rPr>
        <w:t>Principal Market</w:t>
      </w:r>
      <w:r>
        <w:rPr>
          <w:rFonts w:ascii="Arial" w:cs="Arial" w:eastAsia="Arial" w:hAnsi="Arial"/>
          <w:sz w:val="16"/>
          <w:szCs w:val="16"/>
          <w:color w:val="auto"/>
        </w:rPr>
        <w:t>”)) applicable to the Company or any of its Subsidiaries or by which any property or asset of the Company or any of its Subsidiaries is bound or affected except, in the case of clause (ii) or (iii) above, to the extent such violations that could not reasonably be expected to have a Material Adverse Effect.</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3" w:name="page104"/>
    <w:bookmarkEnd w:id="103"/>
    <w:p>
      <w:pPr>
        <w:jc w:val="both"/>
        <w:ind w:left="-8" w:firstLine="656"/>
        <w:spacing w:after="0" w:line="270" w:lineRule="auto"/>
        <w:tabs>
          <w:tab w:leader="none" w:pos="1304"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Neither the Company nor any Borrower Subsidiary is required to obtain any consent from, authorization or order of, or make any filing or registration with (other than the Required Approvals, the filing with the SEC of the 8-K Filing (as defined below) and any required notification to the Principal Market (which shall be completed prior to Closing)), any court, governmental agency or any regulatory or self-regulatory agency or any other Person in order for it to execute, deliver or perform any of its respective obligations under, or contemplated by, the Transaction Documents to which it is a party, in each case, in accordance with the terms hereof or thereof. All consents, authorizations, orders, filings and registrations which the Company or any Subsidiary is required to obtain at or prior to the Closing have been obtained or effected on or prior to the Closing Date, and neither the Company nor any of its Subsidiaries are aware of any facts or circumstances which might prevent the Company or any Subsidiary from obtaining or effecting any of the registration, application or filings contemplated by the Transaction Documents. Except as disclosed in the SEC Documents, the Company is not in violation of the requirements of the Principal Market and has no knowledge of any facts or circumstances which could reasonably lead to delisting or suspension of the Common Stock in the foreseeable future.</w:t>
      </w:r>
    </w:p>
    <w:p>
      <w:pPr>
        <w:spacing w:after="0" w:line="177" w:lineRule="exact"/>
        <w:rPr>
          <w:rFonts w:ascii="Arial" w:cs="Arial" w:eastAsia="Arial" w:hAnsi="Arial"/>
          <w:sz w:val="17"/>
          <w:szCs w:val="17"/>
          <w:color w:val="auto"/>
        </w:rPr>
      </w:pPr>
    </w:p>
    <w:p>
      <w:pPr>
        <w:jc w:val="both"/>
        <w:ind w:left="-8" w:right="20" w:firstLine="656"/>
        <w:spacing w:after="0" w:line="291" w:lineRule="auto"/>
        <w:tabs>
          <w:tab w:leader="none" w:pos="1283"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Buyer’s Purchase of Securities</w:t>
      </w:r>
      <w:r>
        <w:rPr>
          <w:rFonts w:ascii="Arial" w:cs="Arial" w:eastAsia="Arial" w:hAnsi="Arial"/>
          <w:sz w:val="16"/>
          <w:szCs w:val="16"/>
          <w:color w:val="auto"/>
        </w:rPr>
        <w:t>. The Company acknowledges and agrees that each Buyer is acting solely in the capacity of an arm’s length purchaser with respect to the Transaction Documents and the transactions contemplated hereby and thereby and that no Buyer is</w:t>
      </w:r>
    </w:p>
    <w:p>
      <w:pPr>
        <w:jc w:val="both"/>
        <w:ind w:left="-8" w:firstLine="8"/>
        <w:spacing w:after="0" w:line="269" w:lineRule="auto"/>
        <w:tabs>
          <w:tab w:leader="none" w:pos="21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 officer or director of the Company or any of its Subsidiaries, (ii) to its knowledge, an “affiliate” (as defined in Rule 144) of the Company or any of its Subsidiaries or (iii) to its knowledge, a “beneficial owner” of more than 10% of the shares of Common Stock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pacing w:after="0" w:line="180" w:lineRule="exact"/>
        <w:rPr>
          <w:rFonts w:ascii="Arial" w:cs="Arial" w:eastAsia="Arial" w:hAnsi="Arial"/>
          <w:sz w:val="17"/>
          <w:szCs w:val="17"/>
          <w:color w:val="auto"/>
        </w:rPr>
      </w:pPr>
    </w:p>
    <w:p>
      <w:pPr>
        <w:jc w:val="both"/>
        <w:ind w:left="-8" w:firstLine="656"/>
        <w:spacing w:after="0" w:line="312" w:lineRule="auto"/>
        <w:tabs>
          <w:tab w:leader="none" w:pos="1462"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Placement Agent’s Fees</w:t>
      </w:r>
      <w:r>
        <w:rPr>
          <w:rFonts w:ascii="Arial" w:cs="Arial" w:eastAsia="Arial" w:hAnsi="Arial"/>
          <w:sz w:val="16"/>
          <w:szCs w:val="16"/>
          <w:color w:val="auto"/>
        </w:rPr>
        <w:t>. The Company shall be responsible for the payment of any placement agent’s fees, financial advisory fees, or brokers’ commissions (other than for Persons engaged by any Buyer or its investment advisor) relating to or arising out of the transactions contemplated hereby. Neither the Company nor any of its Subsidiaries has engaged any placement agent or other agent in connection with the offer or sale of the Securities.</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4" w:name="page105"/>
    <w:bookmarkEnd w:id="104"/>
    <w:p>
      <w:pPr>
        <w:jc w:val="both"/>
        <w:ind w:left="-20" w:firstLine="656"/>
        <w:spacing w:after="0" w:line="254" w:lineRule="auto"/>
        <w:tabs>
          <w:tab w:leader="none" w:pos="134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(other than the Stockholder Approval)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2" w:lineRule="exact"/>
        <w:rPr>
          <w:rFonts w:ascii="Arial" w:cs="Arial" w:eastAsia="Arial" w:hAnsi="Arial"/>
          <w:sz w:val="18"/>
          <w:szCs w:val="18"/>
          <w:color w:val="auto"/>
        </w:rPr>
      </w:pPr>
    </w:p>
    <w:p>
      <w:pPr>
        <w:jc w:val="both"/>
        <w:ind w:left="-20" w:firstLine="656"/>
        <w:spacing w:after="0" w:line="276" w:lineRule="auto"/>
        <w:tabs>
          <w:tab w:leader="none" w:pos="135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Dilutive Effect</w:t>
      </w:r>
      <w:r>
        <w:rPr>
          <w:rFonts w:ascii="Arial" w:cs="Arial" w:eastAsia="Arial" w:hAnsi="Arial"/>
          <w:sz w:val="17"/>
          <w:szCs w:val="17"/>
          <w:color w:val="auto"/>
        </w:rPr>
        <w:t>. The Company understands and acknowledges that the number of Conversion Shares, Interest Shares and Warrant Shares will increase in certain circumstances. The Company further acknowledges that its obligation to issue the Conversion Shares upon conversion of the Notes in accordance with this Agreement, the Indenture and the Notes, the Interest Shares in accordance with this Agreement, the Indenture and the Notes and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72" w:lineRule="exact"/>
        <w:rPr>
          <w:rFonts w:ascii="Arial" w:cs="Arial" w:eastAsia="Arial" w:hAnsi="Arial"/>
          <w:sz w:val="17"/>
          <w:szCs w:val="17"/>
          <w:color w:val="auto"/>
        </w:rPr>
      </w:pPr>
    </w:p>
    <w:p>
      <w:pPr>
        <w:jc w:val="both"/>
        <w:ind w:left="-20" w:firstLine="656"/>
        <w:spacing w:after="0" w:line="291" w:lineRule="auto"/>
        <w:tabs>
          <w:tab w:leader="none" w:pos="1302"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 Rights Agreement</w:t>
      </w:r>
      <w:r>
        <w:rPr>
          <w:rFonts w:ascii="Arial" w:cs="Arial" w:eastAsia="Arial" w:hAnsi="Arial"/>
          <w:sz w:val="16"/>
          <w:szCs w:val="16"/>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5" w:name="page106"/>
    <w:bookmarkEnd w:id="105"/>
    <w:p>
      <w:pPr>
        <w:jc w:val="both"/>
        <w:ind w:left="-20" w:firstLine="656"/>
        <w:spacing w:after="0" w:line="284" w:lineRule="auto"/>
        <w:tabs>
          <w:tab w:leader="none" w:pos="151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has delivered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Buyers which is not 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the amendment or restatement of any of the financial statements (including without limitation, any notes or any letter of the independent accountants of the Company with respect thereto) included in the SEC Documents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396" w:lineRule="exact"/>
        <w:rPr>
          <w:rFonts w:ascii="Arial" w:cs="Arial" w:eastAsia="Arial" w:hAnsi="Arial"/>
          <w:sz w:val="16"/>
          <w:szCs w:val="16"/>
          <w:color w:val="auto"/>
        </w:rPr>
      </w:pPr>
    </w:p>
    <w:p>
      <w:pPr>
        <w:jc w:val="both"/>
        <w:ind w:left="-20" w:firstLine="656"/>
        <w:spacing w:after="0" w:line="285" w:lineRule="auto"/>
        <w:tabs>
          <w:tab w:leader="none" w:pos="126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date of the Company’s most recent audited financial statements contained in a Form 10-K, except as disclosed in the SEC Documents filed subsequent to such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except as disclosed in the SEC Documents filed subsequent to such Form 10-K, neither the Company nor any of its Subsidiaries has (i) declared or paid any dividends, (ii) sold any assets outside of the ordinary course of business or (iii) made any material capital expenditures, individually or in the aggregate.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on a consolidated basis, are not, and after giving effect to the transactions contemplated hereby to occur at the Closing will not be, Insolvent (as defined below).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(i) the present fair saleable value of the Company’s and its Subsidiaries’ assets is less than the amount required to pay the Company’s and its Subsidiaries’ total Indebtedness (as defined below), (ii) the Company and its Subsidiaries are unable to pay their debts and liabilities, subordinated, contingent or otherwise, as such debts and liabilities become absolute and matured or (iii) the Company and its Subsidiaries intend to incur or believe that they will incur debts that would be beyond their ability to pay as such debts mature; and (II) with respect to the Company and each Subsidiary, individually, (i) the present fair saleable value of the Company’s or such Subsidiary’s (as the case may be) assets is less than the amount required to pay its respective total Indebtedness, (ii) the Company or such Subsidiary (as the case may be) is unable to pay its respective debts and liabilities, subordinated, contingent or otherwise, as such debts and liabilities become absolute and matured or (iii)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6" w:name="page107"/>
    <w:bookmarkEnd w:id="106"/>
    <w:p>
      <w:pPr>
        <w:jc w:val="both"/>
        <w:ind w:left="-8" w:firstLine="656"/>
        <w:spacing w:after="0" w:line="255" w:lineRule="auto"/>
        <w:tabs>
          <w:tab w:leader="none" w:pos="1485"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 Undisclosed Events, Liabilities, Developments or Circumstances</w:t>
      </w:r>
      <w:r>
        <w:rPr>
          <w:rFonts w:ascii="Arial" w:cs="Arial" w:eastAsia="Arial" w:hAnsi="Arial"/>
          <w:sz w:val="18"/>
          <w:szCs w:val="18"/>
          <w:color w:val="auto"/>
        </w:rPr>
        <w:t>. No event, liability, development or circumstance has occurred or exists, or is reasonably expected to occur or exist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or (iii) could have a Material Adverse Effect.</w:t>
      </w:r>
    </w:p>
    <w:p>
      <w:pPr>
        <w:spacing w:after="0" w:line="193" w:lineRule="exact"/>
        <w:rPr>
          <w:rFonts w:ascii="Arial" w:cs="Arial" w:eastAsia="Arial" w:hAnsi="Arial"/>
          <w:sz w:val="18"/>
          <w:szCs w:val="18"/>
          <w:color w:val="auto"/>
        </w:rPr>
      </w:pPr>
    </w:p>
    <w:p>
      <w:pPr>
        <w:jc w:val="both"/>
        <w:ind w:left="-8" w:firstLine="656"/>
        <w:spacing w:after="0" w:line="283" w:lineRule="auto"/>
        <w:tabs>
          <w:tab w:leader="none" w:pos="1314"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Conduct of Business; Regulatory Permits</w:t>
      </w:r>
      <w:r>
        <w:rPr>
          <w:rFonts w:ascii="Arial" w:cs="Arial" w:eastAsia="Arial" w:hAnsi="Arial"/>
          <w:sz w:val="16"/>
          <w:szCs w:val="16"/>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except as disclosed in the SEC Documents,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w:t>
      </w:r>
    </w:p>
    <w:p>
      <w:pPr>
        <w:spacing w:after="0" w:line="6" w:lineRule="exact"/>
        <w:rPr>
          <w:rFonts w:ascii="Arial" w:cs="Arial" w:eastAsia="Arial" w:hAnsi="Arial"/>
          <w:sz w:val="16"/>
          <w:szCs w:val="16"/>
          <w:color w:val="auto"/>
        </w:rPr>
      </w:pPr>
    </w:p>
    <w:p>
      <w:pPr>
        <w:jc w:val="both"/>
        <w:ind w:left="-8" w:firstLine="8"/>
        <w:spacing w:after="0" w:line="270" w:lineRule="auto"/>
        <w:tabs>
          <w:tab w:leader="none" w:pos="28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trading in the Common Stock has not been suspended by the SEC or the Principal Market and (iii) except as disclosed in the SEC Documents,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07" w:name="page108"/>
    <w:bookmarkEnd w:id="107"/>
    <w:p>
      <w:pPr>
        <w:jc w:val="both"/>
        <w:ind w:left="-20" w:firstLine="656"/>
        <w:spacing w:after="0" w:line="272" w:lineRule="auto"/>
        <w:tabs>
          <w:tab w:leader="none" w:pos="128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any Subsidiary or any director, officer, agent, employee, nor any other person acting for or on behalf of the foregoing (individually and collectively, a “</w:t>
      </w:r>
      <w:r>
        <w:rPr>
          <w:rFonts w:ascii="Arial" w:cs="Arial" w:eastAsia="Arial" w:hAnsi="Arial"/>
          <w:sz w:val="17"/>
          <w:szCs w:val="17"/>
          <w:b w:val="1"/>
          <w:bCs w:val="1"/>
          <w:color w:val="auto"/>
        </w:rPr>
        <w:t>Company Affiliate</w:t>
      </w:r>
      <w:r>
        <w:rPr>
          <w:rFonts w:ascii="Arial" w:cs="Arial" w:eastAsia="Arial" w:hAnsi="Arial"/>
          <w:sz w:val="17"/>
          <w:szCs w:val="17"/>
          <w:color w:val="auto"/>
        </w:rPr>
        <w:t>”) have violated the U.S. Foreign Corrupt Practices Act (the “</w:t>
      </w:r>
      <w:r>
        <w:rPr>
          <w:rFonts w:ascii="Arial" w:cs="Arial" w:eastAsia="Arial" w:hAnsi="Arial"/>
          <w:sz w:val="17"/>
          <w:szCs w:val="17"/>
          <w:b w:val="1"/>
          <w:bCs w:val="1"/>
          <w:color w:val="auto"/>
        </w:rPr>
        <w:t>FCPA</w:t>
      </w:r>
      <w:r>
        <w:rPr>
          <w:rFonts w:ascii="Arial" w:cs="Arial" w:eastAsia="Arial" w:hAnsi="Arial"/>
          <w:sz w:val="17"/>
          <w:szCs w:val="17"/>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Arial" w:cs="Arial" w:eastAsia="Arial" w:hAnsi="Arial"/>
          <w:sz w:val="17"/>
          <w:szCs w:val="17"/>
          <w:b w:val="1"/>
          <w:bCs w:val="1"/>
          <w:color w:val="auto"/>
        </w:rPr>
        <w:t>Government</w:t>
      </w:r>
      <w:r>
        <w:rPr>
          <w:rFonts w:ascii="Arial" w:cs="Arial" w:eastAsia="Arial" w:hAnsi="Arial"/>
          <w:sz w:val="17"/>
          <w:szCs w:val="17"/>
          <w:color w:val="auto"/>
        </w:rPr>
        <w:t xml:space="preserve"> </w:t>
      </w:r>
      <w:r>
        <w:rPr>
          <w:rFonts w:ascii="Arial" w:cs="Arial" w:eastAsia="Arial" w:hAnsi="Arial"/>
          <w:sz w:val="17"/>
          <w:szCs w:val="17"/>
          <w:b w:val="1"/>
          <w:bCs w:val="1"/>
          <w:color w:val="auto"/>
        </w:rPr>
        <w:t>Official</w:t>
      </w:r>
      <w:r>
        <w:rPr>
          <w:rFonts w:ascii="Arial" w:cs="Arial" w:eastAsia="Arial" w:hAnsi="Arial"/>
          <w:sz w:val="17"/>
          <w:szCs w:val="17"/>
          <w:color w:val="auto"/>
        </w:rPr>
        <w:t>”) or to any person under circumstances where such Company Affiliate knew or was aware of a high probability that all or a portion of such money or</w:t>
      </w:r>
      <w:r>
        <w:rPr>
          <w:rFonts w:ascii="Arial" w:cs="Arial" w:eastAsia="Arial" w:hAnsi="Arial"/>
          <w:sz w:val="17"/>
          <w:szCs w:val="17"/>
          <w:b w:val="1"/>
          <w:bCs w:val="1"/>
          <w:color w:val="auto"/>
        </w:rPr>
        <w:t xml:space="preserve"> </w:t>
      </w:r>
      <w:r>
        <w:rPr>
          <w:rFonts w:ascii="Arial" w:cs="Arial" w:eastAsia="Arial" w:hAnsi="Arial"/>
          <w:sz w:val="17"/>
          <w:szCs w:val="17"/>
          <w:color w:val="auto"/>
        </w:rPr>
        <w:t>thing of value would be offered, given or promised, directly or indirectly, to any Governmental Official, for the purpose of:</w:t>
      </w:r>
    </w:p>
    <w:p>
      <w:pPr>
        <w:spacing w:after="0" w:line="177" w:lineRule="exact"/>
        <w:rPr>
          <w:rFonts w:ascii="Arial" w:cs="Arial" w:eastAsia="Arial" w:hAnsi="Arial"/>
          <w:sz w:val="17"/>
          <w:szCs w:val="17"/>
          <w:color w:val="auto"/>
        </w:rPr>
      </w:pPr>
    </w:p>
    <w:p>
      <w:pPr>
        <w:jc w:val="both"/>
        <w:ind w:left="1280" w:firstLine="653"/>
        <w:spacing w:after="0" w:line="264" w:lineRule="auto"/>
        <w:tabs>
          <w:tab w:leader="none" w:pos="220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81" w:lineRule="exact"/>
        <w:rPr>
          <w:rFonts w:ascii="Arial" w:cs="Arial" w:eastAsia="Arial" w:hAnsi="Arial"/>
          <w:sz w:val="18"/>
          <w:szCs w:val="18"/>
          <w:color w:val="auto"/>
        </w:rPr>
      </w:pPr>
    </w:p>
    <w:p>
      <w:pPr>
        <w:ind w:left="1280" w:firstLine="653"/>
        <w:spacing w:after="0" w:line="277" w:lineRule="auto"/>
        <w:tabs>
          <w:tab w:leader="none" w:pos="218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assisting the Company or its subsidiary in obtaining or retaining business for or with, or directing business to, the Company or its subsidiary.</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139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each Subsidiary is in compliance with all applicable requirements of the Sarbanes-Oxley Act of 2002 that are effective as of the date hereof,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jc w:val="both"/>
        <w:ind w:left="-20" w:firstLine="656"/>
        <w:spacing w:after="0" w:line="255" w:lineRule="auto"/>
        <w:tabs>
          <w:tab w:leader="none" w:pos="145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disclosed in the SEC Documents, none of the officers, directors, employees or affiliates of the Company or any of its Subsidiaries is presently a party to any transaction with the Company or any of its Subsidiaries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employee or affiliate or, to the knowledge of the Company or any of its Subsidiaries, any corporation, partnership, trust or other Person in which any such officer, director, employee or affiliate has a substantial interest or is an employee, officer, director, trustee or partner.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8" w:name="page109"/>
    <w:bookmarkEnd w:id="108"/>
    <w:p>
      <w:pPr>
        <w:jc w:val="both"/>
        <w:ind w:left="-20" w:firstLine="1305"/>
        <w:spacing w:after="0" w:line="283" w:lineRule="auto"/>
        <w:tabs>
          <w:tab w:leader="none" w:pos="2061"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Equity Capitalization</w:t>
      </w:r>
      <w:r>
        <w:rPr>
          <w:rFonts w:ascii="Arial" w:cs="Arial" w:eastAsia="Arial" w:hAnsi="Arial"/>
          <w:sz w:val="16"/>
          <w:szCs w:val="16"/>
          <w:color w:val="auto"/>
        </w:rPr>
        <w:t>. As of the date hereof, the authorized capital stock of the Company consists of (i) 150,000,000 shares of Common Stock, of which, 93,591,042 are issued and outstanding and 27,281,523 shares are reserved for issuance pursuant to securities (other than the Notes and the Warrants) exercisable or exchangeable for, or convertible into, shares of Common Stock and (ii) 5,000,000 shares of Series A Preferred Stock, of which no shares are issued or outstanding. No shares of Common Stock are held in treasury. All of such outstanding shares are duly authorized and have been, or upon issuance will be, validly issued and are fully paid and nonassessable. 6,797,074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Convertible Securities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 (i) None of the Company’s or any Subsidiary’s capital stock is subject to preemptive rights or any other similar rights or any liens or encumbrances suffered or permitted by the Company or any Subsidiary; (ii) except as disclosed in the SEC Documents,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(iii) there are no outstanding debt securities, notes, credit agreements, credit facilities or other agreements, documents or instruments evidencing Indebtedness of the Company or any of its Subsidiaries or by which the Company or any of its Subsidiaries is or may become bound; (iv) there are no financing statements securing obligations in any amounts filed in connection with the Company or any of its Subsidiaries; (v) there are no agreements or arrangements under which the Company or any of its Subsidiaries is obligated to register the sale of any of their securities under the 1933 Act; (vi)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(vii) there are no securities or instruments containing anti-dilution or similar provisions that will be triggered by the issuance of the Securities; (viii) neither the Company nor any Subsidiary has any stock appreciation rights or “phantom stock” plans or agreements or any similar plan or agreement; and (ix)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The Company has furnished to the Buyers true, correct and complete copies of the Company’s Certificate of Incorporation, as amended and as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 and the terms of all securities convertible into, or exercisable or exchangeable for, shares of Common Stock and the material rights of the holders thereof in respect thereto to the extent not described in the SEC Documents.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9" w:name="page110"/>
    <w:bookmarkEnd w:id="109"/>
    <w:p>
      <w:pPr>
        <w:jc w:val="both"/>
        <w:ind w:left="-8" w:firstLine="656"/>
        <w:spacing w:after="0" w:line="283" w:lineRule="auto"/>
        <w:tabs>
          <w:tab w:leader="none" w:pos="1314"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Neither the Company nor any of its Subsidiaries (i) has any outstanding Indebtedness (as defined below) except as disclosed in the SEC Documents, (ii) except as disclosed in the SEC Documents is a party to any contract, agreement or instrument, the violation of which, or default under which, by the other party(ies) to such contract, agreement or instrument could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generally accepted accounting principles)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w:t>
      </w:r>
    </w:p>
    <w:p>
      <w:pPr>
        <w:spacing w:after="0" w:line="3" w:lineRule="exact"/>
        <w:rPr>
          <w:rFonts w:ascii="Arial" w:cs="Arial" w:eastAsia="Arial" w:hAnsi="Arial"/>
          <w:sz w:val="16"/>
          <w:szCs w:val="16"/>
          <w:color w:val="auto"/>
        </w:rPr>
      </w:pPr>
    </w:p>
    <w:p>
      <w:pPr>
        <w:jc w:val="both"/>
        <w:ind w:left="-8" w:firstLine="8"/>
        <w:spacing w:after="0" w:line="267" w:lineRule="auto"/>
        <w:tabs>
          <w:tab w:leader="none" w:pos="28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claim, lien, pledge, tax, right of first refusal, encumbrance, charge,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Arial" w:cs="Arial" w:eastAsia="Arial" w:hAnsi="Arial"/>
          <w:sz w:val="17"/>
          <w:szCs w:val="17"/>
          <w:b w:val="1"/>
          <w:bCs w:val="1"/>
          <w:color w:val="auto"/>
        </w:rPr>
        <w:t>Contingent</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w:t>
      </w:r>
      <w:r>
        <w:rPr>
          <w:rFonts w:ascii="Arial" w:cs="Arial" w:eastAsia="Arial" w:hAnsi="Arial"/>
          <w:sz w:val="17"/>
          <w:szCs w:val="17"/>
          <w:color w:val="auto"/>
        </w:rPr>
        <w:t>” means, as to any Person, any direct or indirect liability, contingent or otherwise, of that Person with respect to any indebtedness, lease,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provided, however that the term “Contingent Obligation” shall not include any liability or other obligation of the Company or any Subsidiary imposed by a court of competent jurisdiction to post any bond, guarantee or other security to assure the payment of an adverse judgment, attorney’s fees or other costs of suit in connection with any action, suit or proceeding instituted by the Company or a Subsidiary in the ordinary course operation of the Company’s business of enforcing and licensing intellectual property rights; and (z) “</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181" w:lineRule="exact"/>
        <w:rPr>
          <w:rFonts w:ascii="Arial" w:cs="Arial" w:eastAsia="Arial" w:hAnsi="Arial"/>
          <w:sz w:val="17"/>
          <w:szCs w:val="17"/>
          <w:color w:val="auto"/>
        </w:rPr>
      </w:pPr>
    </w:p>
    <w:p>
      <w:pPr>
        <w:jc w:val="both"/>
        <w:ind w:left="-8" w:firstLine="656"/>
        <w:spacing w:after="0" w:line="254" w:lineRule="auto"/>
        <w:tabs>
          <w:tab w:leader="none" w:pos="1317"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Except as disclosed in the SEC Documents, there is no action, suit, proceeding, inquiry or investigation before or by the Principal Market, any court, government agency, self-regulatory organization or other body pending or, to the knowledge of the Company, threatened against or affecting the Company or any of its Subsidiaries, the Common Stock or any of the Company’s or its Subsidiaries’ officers or directors which is outside of the ordinary course of business or individually or in the aggregate material to the Company or any of its Subsidiaries. There has not been, and to the knowledge of the Company, there is not pending or contemplated, any investigation by the SEC involving the Company, any of its Subsidiaries or any current or former director or officer of the Company or any of its Subsidiaries that has not been previously resolved with no consequences to the Company or any of its Subsidiaries. The SEC has not issued any stop order or other order suspending the effectiveness of any registration statement filed by the Company under the 1933 Act or the 1934 Act.</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0" w:name="page111"/>
    <w:bookmarkEnd w:id="110"/>
    <w:p>
      <w:pPr>
        <w:jc w:val="both"/>
        <w:ind w:left="-20" w:firstLine="656"/>
        <w:spacing w:after="0" w:line="297" w:lineRule="auto"/>
        <w:tabs>
          <w:tab w:leader="none" w:pos="134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58" w:lineRule="exact"/>
        <w:rPr>
          <w:rFonts w:ascii="Arial" w:cs="Arial" w:eastAsia="Arial" w:hAnsi="Arial"/>
          <w:sz w:val="16"/>
          <w:szCs w:val="16"/>
          <w:color w:val="auto"/>
        </w:rPr>
      </w:pPr>
    </w:p>
    <w:p>
      <w:pPr>
        <w:jc w:val="both"/>
        <w:ind w:left="-20" w:firstLine="656"/>
        <w:spacing w:after="0" w:line="270" w:lineRule="auto"/>
        <w:tabs>
          <w:tab w:leader="none" w:pos="140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of its Subsidiaries is a party to any collective bargaining agreement or employs any member of a union.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77" w:lineRule="exact"/>
        <w:rPr>
          <w:rFonts w:ascii="Arial" w:cs="Arial" w:eastAsia="Arial" w:hAnsi="Arial"/>
          <w:sz w:val="17"/>
          <w:szCs w:val="17"/>
          <w:color w:val="auto"/>
        </w:rPr>
      </w:pPr>
    </w:p>
    <w:p>
      <w:pPr>
        <w:jc w:val="both"/>
        <w:ind w:left="-20" w:firstLine="656"/>
        <w:spacing w:after="0" w:line="273" w:lineRule="auto"/>
        <w:tabs>
          <w:tab w:leader="none" w:pos="1258"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The Company and its Subsidiaries have good and marketable title in fee simple to all real property, and have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1" w:name="page112"/>
    <w:bookmarkEnd w:id="111"/>
    <w:p>
      <w:pPr>
        <w:jc w:val="both"/>
        <w:ind w:left="-8" w:firstLine="656"/>
        <w:spacing w:after="0" w:line="269" w:lineRule="auto"/>
        <w:tabs>
          <w:tab w:leader="none" w:pos="1462"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adequate rights or licenses to use all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necessary to conduct their respective businesses as now conducted and as presently proposed to be conducted. None of the Company’s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Intellectual Property Rights have expired, terminated or been abandoned, or are expected to expire, terminate or be abandoned, within three years from the date of this Agreement. The Company has no knowledge of any infringement by the Company or any of its Subsidiaries of Intellectual Property Rights of others. Except as disclosed in the SEC Documents, there is no claim, action or proceeding being made or brought, or to the knowledge of the Company or any of its Subsidiaries, being threatened, against the Company or any of its Subsidiaries regarding their Intellectual Property Rights. The Company is not aware of any facts or circumstances which might give rise to any of the foregoing infringements or claims, actions or proceedings. The Company and each of its Subsidiaries have taken reasonable security measures to protect the secrecy, confidentiality and value of all of their Intellectual Property Rights.</w:t>
      </w:r>
    </w:p>
    <w:p>
      <w:pPr>
        <w:spacing w:after="0" w:line="182" w:lineRule="exact"/>
        <w:rPr>
          <w:rFonts w:ascii="Arial" w:cs="Arial" w:eastAsia="Arial" w:hAnsi="Arial"/>
          <w:sz w:val="17"/>
          <w:szCs w:val="17"/>
          <w:color w:val="auto"/>
        </w:rPr>
      </w:pPr>
    </w:p>
    <w:p>
      <w:pPr>
        <w:jc w:val="both"/>
        <w:ind w:left="-8" w:firstLine="656"/>
        <w:spacing w:after="0" w:line="270" w:lineRule="auto"/>
        <w:tabs>
          <w:tab w:leader="none" w:pos="1395"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Environmental Laws (as defined below), (ii) have received all permits, licenses or other approvals required of them under applicable Environmental Laws to conduct their respective businesses and (iii) are in compliance with all terms and conditions of any such permit, license or approval except where, in each of the foregoing clauses (i), (ii) and (iii), the failure to so comply has not had, and could not reasonably be expected to have, individually or in the aggregate, a Material Adverse Effect. “</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7" w:lineRule="exact"/>
        <w:rPr>
          <w:rFonts w:ascii="Arial" w:cs="Arial" w:eastAsia="Arial" w:hAnsi="Arial"/>
          <w:sz w:val="17"/>
          <w:szCs w:val="17"/>
          <w:color w:val="auto"/>
        </w:rPr>
      </w:pPr>
    </w:p>
    <w:p>
      <w:pPr>
        <w:jc w:val="both"/>
        <w:ind w:left="-8" w:firstLine="656"/>
        <w:spacing w:after="0" w:line="259" w:lineRule="auto"/>
        <w:tabs>
          <w:tab w:leader="none" w:pos="1490"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Subsidiary Rights</w:t>
      </w:r>
      <w:r>
        <w:rPr>
          <w:rFonts w:ascii="Arial" w:cs="Arial" w:eastAsia="Arial" w:hAnsi="Arial"/>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 The Company or another wholly-owned Subsidiary of the Company owns all of the outstanding capital stock or other equity interests of each Subsidiary, free and clear of any Encumbrances (as defined below), other than those created by the Transaction Documents.</w:t>
      </w:r>
    </w:p>
    <w:p>
      <w:pPr>
        <w:spacing w:after="0" w:line="186" w:lineRule="exact"/>
        <w:rPr>
          <w:rFonts w:ascii="Arial" w:cs="Arial" w:eastAsia="Arial" w:hAnsi="Arial"/>
          <w:sz w:val="18"/>
          <w:szCs w:val="18"/>
          <w:color w:val="auto"/>
        </w:rPr>
      </w:pPr>
    </w:p>
    <w:p>
      <w:pPr>
        <w:jc w:val="both"/>
        <w:ind w:left="-8" w:firstLine="656"/>
        <w:spacing w:after="0" w:line="288" w:lineRule="auto"/>
        <w:tabs>
          <w:tab w:leader="none" w:pos="1368"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jc w:val="both"/>
        <w:ind w:left="-8" w:firstLine="8"/>
        <w:spacing w:after="0" w:line="254" w:lineRule="auto"/>
        <w:tabs>
          <w:tab w:leader="none" w:pos="31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is not operated in such a manner as to qualify as a passive foreign investment company, as defined in Section 1297 of the U.S. Internal Revenue Code of 1986, as amended.</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2" w:name="page113"/>
    <w:bookmarkEnd w:id="112"/>
    <w:p>
      <w:pPr>
        <w:jc w:val="both"/>
        <w:ind w:left="-20" w:firstLine="656"/>
        <w:spacing w:after="0" w:line="286" w:lineRule="auto"/>
        <w:tabs>
          <w:tab w:leader="none" w:pos="135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The Company has not received any notice or correspondence from any accountant or other Person relating to any potential material weakness or significant deficiency in any part of the internal controls over financial reporting of the Company with respect to any fiscal year commencing on or after January 1, 2013.</w:t>
      </w:r>
    </w:p>
    <w:p>
      <w:pPr>
        <w:spacing w:after="0" w:line="171" w:lineRule="exact"/>
        <w:rPr>
          <w:rFonts w:ascii="Arial" w:cs="Arial" w:eastAsia="Arial" w:hAnsi="Arial"/>
          <w:sz w:val="16"/>
          <w:szCs w:val="16"/>
          <w:color w:val="auto"/>
        </w:rPr>
      </w:pPr>
    </w:p>
    <w:p>
      <w:pPr>
        <w:jc w:val="both"/>
        <w:ind w:left="-20" w:firstLine="656"/>
        <w:spacing w:after="0" w:line="264" w:lineRule="auto"/>
        <w:tabs>
          <w:tab w:leader="none" w:pos="124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81" w:lineRule="exact"/>
        <w:rPr>
          <w:rFonts w:ascii="Arial" w:cs="Arial" w:eastAsia="Arial" w:hAnsi="Arial"/>
          <w:sz w:val="18"/>
          <w:szCs w:val="18"/>
          <w:color w:val="auto"/>
        </w:rPr>
      </w:pPr>
    </w:p>
    <w:p>
      <w:pPr>
        <w:jc w:val="both"/>
        <w:ind w:left="-20" w:firstLine="656"/>
        <w:spacing w:after="0" w:line="286" w:lineRule="auto"/>
        <w:tabs>
          <w:tab w:leader="none" w:pos="154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3" w:name="page114"/>
    <w:bookmarkEnd w:id="113"/>
    <w:p>
      <w:pPr>
        <w:jc w:val="both"/>
        <w:ind w:left="-20" w:firstLine="656"/>
        <w:spacing w:after="0" w:line="286" w:lineRule="auto"/>
        <w:tabs>
          <w:tab w:leader="none" w:pos="136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Acknowledgement Regarding Buyers’ Trading Activity</w:t>
      </w:r>
      <w:r>
        <w:rPr>
          <w:rFonts w:ascii="Arial" w:cs="Arial" w:eastAsia="Arial" w:hAnsi="Arial"/>
          <w:sz w:val="16"/>
          <w:szCs w:val="16"/>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and (iii) each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8-K Filing (as defined below) one or more Buyers may engage in hedging and/or trading activities at various times during the period that the Securities are outstanding, including, without limitation, during the periods that the value and/or number of the Conversion Shares, Interest Shares or Warrant Shares deliverable with respect to the Securities are being determined and such hedging and/or trading activities,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or any other Transaction Document or any of the documents executed in connection herewith or therewith.</w:t>
      </w:r>
    </w:p>
    <w:p>
      <w:pPr>
        <w:spacing w:after="0" w:line="171" w:lineRule="exact"/>
        <w:rPr>
          <w:rFonts w:ascii="Arial" w:cs="Arial" w:eastAsia="Arial" w:hAnsi="Arial"/>
          <w:sz w:val="16"/>
          <w:szCs w:val="16"/>
          <w:color w:val="auto"/>
        </w:rPr>
      </w:pPr>
    </w:p>
    <w:p>
      <w:pPr>
        <w:jc w:val="both"/>
        <w:ind w:left="-20" w:firstLine="656"/>
        <w:spacing w:after="0" w:line="257" w:lineRule="auto"/>
        <w:tabs>
          <w:tab w:leader="none" w:pos="1369"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Manipulation of Price</w:t>
      </w:r>
      <w:r>
        <w:rPr>
          <w:rFonts w:ascii="Arial" w:cs="Arial" w:eastAsia="Arial" w:hAnsi="Arial"/>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or (iii) paid or agreed to pay to any Person any compensation for soliciting another to purchase any other securities of the Company or any of its Subsidiaries.</w:t>
      </w:r>
    </w:p>
    <w:p>
      <w:pPr>
        <w:spacing w:after="0" w:line="188" w:lineRule="exact"/>
        <w:rPr>
          <w:rFonts w:ascii="Arial" w:cs="Arial" w:eastAsia="Arial" w:hAnsi="Arial"/>
          <w:sz w:val="18"/>
          <w:szCs w:val="18"/>
          <w:color w:val="auto"/>
        </w:rPr>
      </w:pPr>
    </w:p>
    <w:p>
      <w:pPr>
        <w:jc w:val="both"/>
        <w:ind w:left="-20" w:firstLine="656"/>
        <w:spacing w:after="0" w:line="264" w:lineRule="auto"/>
        <w:tabs>
          <w:tab w:leader="none" w:pos="1369"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Neither the Company nor any of its Subsidiaries is, or has ever been, and so long as any of the Securities are held by any of the Buyers, shall become, a U.S. real property holding corporation within the meaning of Section 897 of the Internal Revenue Code of 1986, as amended, and the Company and each Subsidiary shall so certify upon any Buyer’s request.</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4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81" w:lineRule="exact"/>
        <w:rPr>
          <w:rFonts w:ascii="Arial" w:cs="Arial" w:eastAsia="Arial" w:hAnsi="Arial"/>
          <w:sz w:val="18"/>
          <w:szCs w:val="18"/>
          <w:color w:val="auto"/>
        </w:rPr>
      </w:pPr>
    </w:p>
    <w:p>
      <w:pPr>
        <w:jc w:val="both"/>
        <w:ind w:left="-20" w:firstLine="656"/>
        <w:spacing w:after="0" w:line="255" w:lineRule="auto"/>
        <w:tabs>
          <w:tab w:leader="none" w:pos="136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equity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3" w:lineRule="exact"/>
        <w:rPr>
          <w:rFonts w:ascii="Arial" w:cs="Arial" w:eastAsia="Arial" w:hAnsi="Arial"/>
          <w:sz w:val="18"/>
          <w:szCs w:val="18"/>
          <w:color w:val="auto"/>
        </w:rPr>
      </w:pPr>
    </w:p>
    <w:p>
      <w:pPr>
        <w:ind w:left="1280" w:hanging="644"/>
        <w:spacing w:after="0"/>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Shell Company Status</w:t>
      </w:r>
      <w:r>
        <w:rPr>
          <w:rFonts w:ascii="Arial" w:cs="Arial" w:eastAsia="Arial" w:hAnsi="Arial"/>
          <w:sz w:val="18"/>
          <w:szCs w:val="18"/>
          <w:color w:val="auto"/>
        </w:rPr>
        <w:t>. The Company is not, and has never been, an issuer identified in, or subject to, Rule 144(i).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4" w:name="page115"/>
    <w:bookmarkEnd w:id="114"/>
    <w:p>
      <w:pPr>
        <w:ind w:firstLine="656"/>
        <w:spacing w:after="0" w:line="277" w:lineRule="auto"/>
        <w:tabs>
          <w:tab w:leader="none" w:pos="1471"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Public Utility Holding Act</w:t>
      </w:r>
      <w:r>
        <w:rPr>
          <w:rFonts w:ascii="Arial" w:cs="Arial" w:eastAsia="Arial" w:hAnsi="Arial"/>
          <w:sz w:val="18"/>
          <w:szCs w:val="18"/>
          <w:color w:val="auto"/>
        </w:rPr>
        <w:t>. None of the Company nor any of its Subsidiaries is a “holding company,” or an “affiliate” of a “holding company,” as such terms are defined in the Public Utility Holding Act of 2005.</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Federal Power Act</w:t>
      </w:r>
      <w:r>
        <w:rPr>
          <w:rFonts w:ascii="Arial" w:cs="Arial" w:eastAsia="Arial" w:hAnsi="Arial"/>
          <w:sz w:val="16"/>
          <w:szCs w:val="16"/>
          <w:color w:val="auto"/>
        </w:rPr>
        <w:t>. None of the Company nor any of its Subsidiaries is subject to regulation as a “public utility” under the Federal Power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as amended.</w:t>
      </w:r>
    </w:p>
    <w:p>
      <w:pPr>
        <w:spacing w:after="0" w:line="210" w:lineRule="exact"/>
        <w:rPr>
          <w:rFonts w:ascii="Arial" w:cs="Arial" w:eastAsia="Arial" w:hAnsi="Arial"/>
          <w:sz w:val="16"/>
          <w:szCs w:val="16"/>
          <w:color w:val="auto"/>
        </w:rPr>
      </w:pPr>
    </w:p>
    <w:p>
      <w:pPr>
        <w:ind w:firstLine="656"/>
        <w:spacing w:after="0" w:line="277" w:lineRule="auto"/>
        <w:tabs>
          <w:tab w:leader="none" w:pos="1344"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429"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Each of the Company and its Subsidiaries holds good title to all real property, leases in real property, or other interests in real property owned or held by the Company or any of its Subsidiaries (the “</w:t>
      </w:r>
      <w:r>
        <w:rPr>
          <w:rFonts w:ascii="Arial" w:cs="Arial" w:eastAsia="Arial" w:hAnsi="Arial"/>
          <w:sz w:val="18"/>
          <w:szCs w:val="18"/>
          <w:b w:val="1"/>
          <w:bCs w:val="1"/>
          <w:color w:val="auto"/>
        </w:rPr>
        <w:t>Real Property</w:t>
      </w:r>
      <w:r>
        <w:rPr>
          <w:rFonts w:ascii="Arial" w:cs="Arial" w:eastAsia="Arial" w:hAnsi="Arial"/>
          <w:sz w:val="18"/>
          <w:szCs w:val="18"/>
          <w:color w:val="auto"/>
        </w:rPr>
        <w:t>”) owned by the Company or any of its Subsidiaries (as applicable). The Real Property is free and clear of all mortgages, defects, claims, liens, pledges, charges, taxes, rights of first refusal, encumbrances, security interests and other encumbrances (collectively “</w:t>
      </w:r>
      <w:r>
        <w:rPr>
          <w:rFonts w:ascii="Arial" w:cs="Arial" w:eastAsia="Arial" w:hAnsi="Arial"/>
          <w:sz w:val="18"/>
          <w:szCs w:val="18"/>
          <w:b w:val="1"/>
          <w:bCs w:val="1"/>
          <w:color w:val="auto"/>
        </w:rPr>
        <w:t>Encumbrances</w:t>
      </w:r>
      <w:r>
        <w:rPr>
          <w:rFonts w:ascii="Arial" w:cs="Arial" w:eastAsia="Arial" w:hAnsi="Arial"/>
          <w:sz w:val="18"/>
          <w:szCs w:val="18"/>
          <w:color w:val="auto"/>
        </w:rPr>
        <w:t>”)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43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Fixtures and Equipment</w:t>
      </w:r>
      <w:r>
        <w:rPr>
          <w:rFonts w:ascii="Arial" w:cs="Arial" w:eastAsia="Arial" w:hAnsi="Arial"/>
          <w:sz w:val="16"/>
          <w:szCs w:val="16"/>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Arial" w:cs="Arial" w:eastAsia="Arial" w:hAnsi="Arial"/>
          <w:sz w:val="16"/>
          <w:szCs w:val="16"/>
          <w:b w:val="1"/>
          <w:bCs w:val="1"/>
          <w:color w:val="auto"/>
        </w:rPr>
        <w:t>Fixtures and Equipment</w:t>
      </w:r>
      <w:r>
        <w:rPr>
          <w:rFonts w:ascii="Arial" w:cs="Arial" w:eastAsia="Arial" w:hAnsi="Arial"/>
          <w:sz w:val="16"/>
          <w:szCs w:val="16"/>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Encumbrances except for (a) liens for current taxes not yet due and (b) zoning laws and other land use restrictions that do not impair the present or anticipated use of the property subject thereto.</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578"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Illegal or Unauthorized Payments; Political Contributions</w:t>
      </w:r>
      <w:r>
        <w:rPr>
          <w:rFonts w:ascii="Arial" w:cs="Arial" w:eastAsia="Arial" w:hAnsi="Arial"/>
          <w:sz w:val="16"/>
          <w:szCs w:val="16"/>
          <w:color w:val="auto"/>
        </w:rPr>
        <w:t>. Neither the Company nor any of its Subsidiaries nor, to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w:t>
      </w:r>
    </w:p>
    <w:p>
      <w:pPr>
        <w:spacing w:after="0" w:line="1" w:lineRule="exact"/>
        <w:rPr>
          <w:rFonts w:ascii="Arial" w:cs="Arial" w:eastAsia="Arial" w:hAnsi="Arial"/>
          <w:sz w:val="16"/>
          <w:szCs w:val="16"/>
          <w:color w:val="auto"/>
        </w:rPr>
      </w:pPr>
    </w:p>
    <w:p>
      <w:pPr>
        <w:ind w:firstLine="8"/>
        <w:spacing w:after="0" w:line="261" w:lineRule="auto"/>
        <w:tabs>
          <w:tab w:leader="none" w:pos="2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a kickback or bribe to any Person or (b)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3" w:lineRule="exact"/>
        <w:rPr>
          <w:rFonts w:ascii="Arial" w:cs="Arial" w:eastAsia="Arial" w:hAnsi="Arial"/>
          <w:sz w:val="18"/>
          <w:szCs w:val="18"/>
          <w:color w:val="auto"/>
        </w:rPr>
      </w:pPr>
    </w:p>
    <w:p>
      <w:pPr>
        <w:jc w:val="both"/>
        <w:ind w:firstLine="656"/>
        <w:spacing w:after="0" w:line="276" w:lineRule="auto"/>
        <w:tabs>
          <w:tab w:leader="none" w:pos="1393"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without limitation,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ind w:left="-8" w:right="20" w:firstLine="656"/>
        <w:spacing w:after="0" w:line="277" w:lineRule="auto"/>
        <w:tabs>
          <w:tab w:leader="none" w:pos="1379"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jc w:val="both"/>
        <w:ind w:left="-8" w:firstLine="656"/>
        <w:spacing w:after="0" w:line="259" w:lineRule="auto"/>
        <w:tabs>
          <w:tab w:leader="none" w:pos="1345"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Ranking of the Notes</w:t>
      </w:r>
      <w:r>
        <w:rPr>
          <w:rFonts w:ascii="Arial" w:cs="Arial" w:eastAsia="Arial" w:hAnsi="Arial"/>
          <w:sz w:val="18"/>
          <w:szCs w:val="18"/>
          <w:color w:val="auto"/>
        </w:rPr>
        <w:t xml:space="preserve">. No Indebtedness of the Company, at the Closing,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in right of payment, whether with respect to payment or redemptions, interest, damages, upon liquidation or dissolution or otherwise. No Subsidiary has any outstanding Indebtedness other than Indebtedness owed to the Company or a wholly-owned Subsidiary of the Company, except Indebtedness created pursuant to the Transaction Documents.</w:t>
      </w:r>
    </w:p>
    <w:p>
      <w:pPr>
        <w:spacing w:after="0" w:line="186" w:lineRule="exact"/>
        <w:rPr>
          <w:rFonts w:ascii="Arial" w:cs="Arial" w:eastAsia="Arial" w:hAnsi="Arial"/>
          <w:sz w:val="18"/>
          <w:szCs w:val="18"/>
          <w:color w:val="auto"/>
        </w:rPr>
      </w:pPr>
    </w:p>
    <w:p>
      <w:pPr>
        <w:jc w:val="both"/>
        <w:ind w:left="-8" w:firstLine="656"/>
        <w:spacing w:after="0" w:line="286" w:lineRule="auto"/>
        <w:tabs>
          <w:tab w:leader="none" w:pos="1365"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167" w:lineRule="exact"/>
        <w:rPr>
          <w:rFonts w:ascii="Arial" w:cs="Arial" w:eastAsia="Arial" w:hAnsi="Arial"/>
          <w:sz w:val="16"/>
          <w:szCs w:val="16"/>
          <w:color w:val="auto"/>
        </w:rPr>
      </w:pPr>
    </w:p>
    <w:p>
      <w:pPr>
        <w:ind w:left="592" w:hanging="592"/>
        <w:spacing w:after="0"/>
        <w:tabs>
          <w:tab w:leader="none" w:pos="59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auto"/>
        </w:rPr>
      </w:pPr>
    </w:p>
    <w:p>
      <w:pPr>
        <w:ind w:left="-8" w:right="20" w:firstLine="656"/>
        <w:spacing w:after="0" w:line="342" w:lineRule="auto"/>
        <w:tabs>
          <w:tab w:leader="none" w:pos="1304"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Each Buyer shall use its best efforts to timely satisfy each of the conditions to be satisfied by it as provided in Section 6 of this Agreement. The Company shall use its best efforts to timely satisfy each of the conditions to be satisfied by it as provided in Section 7 of this Agreement.</w:t>
      </w:r>
    </w:p>
    <w:p>
      <w:pPr>
        <w:spacing w:after="0" w:line="123" w:lineRule="exact"/>
        <w:rPr>
          <w:rFonts w:ascii="Arial" w:cs="Arial" w:eastAsia="Arial" w:hAnsi="Arial"/>
          <w:sz w:val="16"/>
          <w:szCs w:val="16"/>
          <w:color w:val="auto"/>
        </w:rPr>
      </w:pPr>
    </w:p>
    <w:p>
      <w:pPr>
        <w:ind w:left="1312" w:hanging="664"/>
        <w:spacing w:after="0"/>
        <w:tabs>
          <w:tab w:leader="none" w:pos="1312"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Amendments to the Registration Statement; Prospectus Supplement; Free Writing Prospectuses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6" w:name="page117"/>
    <w:bookmarkEnd w:id="116"/>
    <w:p>
      <w:pPr>
        <w:jc w:val="both"/>
        <w:ind w:left="4" w:firstLine="1293"/>
        <w:spacing w:after="0" w:line="286" w:lineRule="auto"/>
        <w:tabs>
          <w:tab w:leader="none" w:pos="202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Except as provided in this Agreement and other than periodic reports required to be filed pursuant to the 1934 Act, the Company shall not file with the SEC any amendment to the Registration Statement that relates to the Buyer, this Agreement, the Indenture, the Notes or the transactions contemplated hereby or thereby or file with the SEC any Prospectus Supplement that relates to the Buyer, this Agreement, the Indenture, the Notes or the transactions contemplated hereby or thereby with respect to which (a) the Buyer shall not previously have been advised,</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7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 shall not have given due consideration to any comments thereon received from the Buyer or its counsel, or (c) the Buyer shall reasonably object after being so advised, unless the Company reasonably has determined that it is necessary to amend the Registration Statement or make any supplement to the Prospectus to comply with the 1933 Act or any other applicable law or regulation, in which case the Company shall promptly (but in no event later than 24 hours) so inform the Buyer, the Buyer shall be provided with a reasonable opportunity to review and comment upon any disclosure relating to the Buyer and the Company shall expeditiously furnish to the Buyer an electronic copy thereof. In addition, for so long as, in the reasonable opinion of counsel for the Buyer, the Prospectus (or in lieu thereof, the notice referred to in Rule 173(a) under the 1933 Act) is required to be delivered in connection with any acquisition or sale of Securities by the Buyer, the Company shall not file any Prospectus Supplement with respect to the Securities without delivering or making available a copy of such Prospectus Supplement, together with the Prospectus, to the Buyer promptly.</w:t>
      </w:r>
    </w:p>
    <w:p>
      <w:pPr>
        <w:spacing w:after="0" w:line="182" w:lineRule="exact"/>
        <w:rPr>
          <w:rFonts w:ascii="Arial" w:cs="Arial" w:eastAsia="Arial" w:hAnsi="Arial"/>
          <w:sz w:val="17"/>
          <w:szCs w:val="17"/>
          <w:color w:val="auto"/>
        </w:rPr>
      </w:pPr>
    </w:p>
    <w:p>
      <w:pPr>
        <w:jc w:val="both"/>
        <w:ind w:left="4" w:firstLine="1293"/>
        <w:spacing w:after="0" w:line="287" w:lineRule="auto"/>
        <w:tabs>
          <w:tab w:leader="none" w:pos="199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The Company has not made, and agrees that unless it obtains the prior written consent of the Buyer it will not make, an offer relating to the Securities that would constitute an “issuer free writing prospectus” as defined in Rule 433 promulgated under the Securities Act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or that would otherwise constitute a “free writing prospectus” as defined in Rule 405 promulgated under the Securities Act (a “</w:t>
      </w:r>
      <w:r>
        <w:rPr>
          <w:rFonts w:ascii="Arial" w:cs="Arial" w:eastAsia="Arial" w:hAnsi="Arial"/>
          <w:sz w:val="16"/>
          <w:szCs w:val="16"/>
          <w:b w:val="1"/>
          <w:bCs w:val="1"/>
          <w:color w:val="auto"/>
        </w:rPr>
        <w:t>Free Writing Prospectus</w:t>
      </w:r>
      <w:r>
        <w:rPr>
          <w:rFonts w:ascii="Arial" w:cs="Arial" w:eastAsia="Arial" w:hAnsi="Arial"/>
          <w:sz w:val="16"/>
          <w:szCs w:val="16"/>
          <w:color w:val="auto"/>
        </w:rPr>
        <w:t>”) required to be filed by the Company or the Buyer with the SEC or retained by the Company or the Buyer under Rule 433 under the 1933 Act. The Buyer has not made, and agrees that unless it obtains the prior written consent of the Company it will not make, an offer relating to the Securities that would constitute a Free Writing Prospectus required to be filed by the Company with the SEC or retained by the Company under Rule 433 under the 1933 Act. Any such Issuer Free Writing Prospectus or other Free Writing Prospectus consented to by the Buyer or the Company is referred to in this Agreement as a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Rules 164 and 433 under the Securities Act applicable to any Permitted Free Writing Prospectus, including in respect of timely filing with the SEC, legending and record keeping.</w:t>
      </w:r>
    </w:p>
    <w:p>
      <w:pPr>
        <w:spacing w:after="0" w:line="389" w:lineRule="exact"/>
        <w:rPr>
          <w:sz w:val="20"/>
          <w:szCs w:val="20"/>
          <w:color w:val="auto"/>
        </w:rPr>
      </w:pPr>
    </w:p>
    <w:p>
      <w:pPr>
        <w:ind w:left="4524"/>
        <w:spacing w:after="0"/>
        <w:rPr>
          <w:sz w:val="20"/>
          <w:szCs w:val="20"/>
          <w:color w:val="auto"/>
        </w:rPr>
      </w:pPr>
      <w:r>
        <w:rPr>
          <w:rFonts w:ascii="Arial" w:cs="Arial" w:eastAsia="Arial" w:hAnsi="Arial"/>
          <w:sz w:val="18"/>
          <w:szCs w:val="18"/>
          <w:color w:val="auto"/>
        </w:rPr>
        <w:t>ANNEX I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17" w:name="page118"/>
    <w:bookmarkEnd w:id="117"/>
    <w:p>
      <w:pPr>
        <w:jc w:val="both"/>
        <w:ind w:left="-8" w:firstLine="656"/>
        <w:spacing w:after="0" w:line="285" w:lineRule="auto"/>
        <w:tabs>
          <w:tab w:leader="none" w:pos="1412"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Prospectus Delivery</w:t>
      </w:r>
      <w:r>
        <w:rPr>
          <w:rFonts w:ascii="Arial" w:cs="Arial" w:eastAsia="Arial" w:hAnsi="Arial"/>
          <w:sz w:val="16"/>
          <w:szCs w:val="16"/>
          <w:color w:val="auto"/>
        </w:rPr>
        <w:t>. Immediately prior to execution of this Agreement, the Company shall have delivered to the Buyer, and as soon as practicable after execution of this Agreement the Company shall file, the Prospectus Supplement with respect to the Securities to be issued on the Closing Date, as required under, and in conformity with, the 1933 Act, including Rule 424(b) thereunder. The Company shall provide the Buyer a reasonable opportunity to comment on a draft of each Prospectus Supplement and any Issuer Free Writing Prospectus, shall give due consideration to all such comments and, subject to the provisions of Section 4(b) hereof, shall deliver or make available to the Buyer, without charge, an electronic copy of each form of Prospectus Supplement, together with the Prospectus, and any Permitted Free Writing Prospectus on each date on which the Company issues Securities to the Buyer. The Company consents to the use of the Prospectus (and of any Prospectus Supplements thereto) in accordance with the provisions of the 1933 Act and with the securities or “blue sky” laws of the jurisdictions in which the Securities may be sold by the Buyer, in connection with the offering and sale of the Securities and for such period of time thereafter as the Prospectus (or in lieu thereof, the notice referred to in Rule 173(a) under the 1933 Act) is required by the 1933 Act to be delivered in connection with sales of the Securities. If during such period of time any event shall occur that in the judgment of the Company and its counsel is required to be set forth in the Registration Statement or the Prospectus or any Permitted Free Writing Prospectus or should be set forth therein in order to make the statements made therein (in the case of the Prospectus, in light of the circumstances under which they were made) not misleading, or if it is necessary to amend the Registration Statement or supplement or amend the Prospectus or any Permitted Free Writing Prospectus to comply with the 1933 Act or any other applicable law or regulation, the Company shall forthwith prepare and, subject to Section 4(b) above, file with the SEC an appropriate amendment to the Registration Statement or Prospectus Supplement to the Prospectus (or supplement to the Permitted Free Writing Prospectus) and shall expeditiously furnish or make available to the Buyer an electronic copy thereof.</w:t>
      </w:r>
    </w:p>
    <w:p>
      <w:pPr>
        <w:spacing w:after="0" w:line="177" w:lineRule="exact"/>
        <w:rPr>
          <w:rFonts w:ascii="Arial" w:cs="Arial" w:eastAsia="Arial" w:hAnsi="Arial"/>
          <w:sz w:val="16"/>
          <w:szCs w:val="16"/>
          <w:color w:val="auto"/>
        </w:rPr>
      </w:pPr>
    </w:p>
    <w:p>
      <w:pPr>
        <w:ind w:left="1352" w:hanging="704"/>
        <w:spacing w:after="0"/>
        <w:tabs>
          <w:tab w:leader="none" w:pos="1352"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Stop Orders</w:t>
      </w:r>
      <w:r>
        <w:rPr>
          <w:rFonts w:ascii="Arial" w:cs="Arial" w:eastAsia="Arial" w:hAnsi="Arial"/>
          <w:sz w:val="16"/>
          <w:szCs w:val="16"/>
          <w:color w:val="auto"/>
        </w:rPr>
        <w:t>. The Company shall advise the Buyer promptly (but in no event later than 24 hours) and shall confirm such advice in writing:</w:t>
      </w:r>
    </w:p>
    <w:p>
      <w:pPr>
        <w:spacing w:after="0" w:line="46" w:lineRule="exact"/>
        <w:rPr>
          <w:rFonts w:ascii="Arial" w:cs="Arial" w:eastAsia="Arial" w:hAnsi="Arial"/>
          <w:sz w:val="16"/>
          <w:szCs w:val="16"/>
          <w:color w:val="auto"/>
        </w:rPr>
      </w:pPr>
    </w:p>
    <w:p>
      <w:pPr>
        <w:jc w:val="both"/>
        <w:ind w:left="-8" w:firstLine="8"/>
        <w:spacing w:after="0" w:line="284" w:lineRule="auto"/>
        <w:tabs>
          <w:tab w:leader="none" w:pos="23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of the Company’s receipt of notice of any request by the SEC for amendment of or a supplement to the Registration Statement, the Prospectus, any Permitted Free Writing Prospectus or for any additional information; (ii) of the Company’s receipt of notice of the issuance by the SEC of any stop order suspending the effectiveness of the Registration Statement or prohibiting or suspending the use of the Prospectus or any Prospectus Supplement, or of the suspension of qualification of the Securities for offering or sale in any jurisdiction, or the initiation or contemplated initiation of any proceeding for such purpose; (iii) of the Company becoming aware of the happening of any event, which makes any statement of a material fact made in the Registration Statement, the Prospectus or any Permitted Free Writing Prospectus untrue or which requires the making of any additions to or changes to the statements then made in the Registration Statement, the Prospectus or any Permitted Free Writing Prospectus in order to state a material fact required by the 1933 Act to be stated therein or necessary in order to make the statements then made therein (in the case of the Prospectus, in light of the circumstances under which they were made) not misleading, or of the necessity to amend the Registration Statement or supplement the Prospectus or any Permitted Free Writing Prospectus to comply with the 1933 Act or any other law or (iv) if at any time following the date hereof the Registration Statement is not effective or is not otherwise available for the issuance of the Securities or any Prospectus contained therein is not available for use for any other reason. Thereafter, the Company shall promptly notify such holders when the Registration Statement, the Prospectus, any Permitted Free Writing Prospectus and/or any amendment or supplement thereto, as applicable, is effective and available for the issuance of the Securities. If at any time the SEC shall issue any stop order suspending the effectiveness of the Registration Statement or prohibiting or suspending the use of the Prospectus or any Prospectus Supplement, the Company shall use commercially reasonable efforts to obtain the withdrawal of such order at the earliest possible time. So long as any Notes remain outstanding, the Company shall use its best efforts to maintain the continuous effectiveness of the Registration Statement under the 1933 Act.</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8" w:name="page119"/>
    <w:bookmarkEnd w:id="118"/>
    <w:p>
      <w:pPr>
        <w:jc w:val="both"/>
        <w:ind w:left="-8" w:firstLine="656"/>
        <w:spacing w:after="0" w:line="272" w:lineRule="auto"/>
        <w:tabs>
          <w:tab w:leader="none" w:pos="1385"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If required,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state and local laws, statutes, rules, regulations and the like relating to the offering and sale of the Securities to the Buyers.</w:t>
      </w:r>
    </w:p>
    <w:p>
      <w:pPr>
        <w:spacing w:after="0" w:line="173" w:lineRule="exact"/>
        <w:rPr>
          <w:rFonts w:ascii="Arial" w:cs="Arial" w:eastAsia="Arial" w:hAnsi="Arial"/>
          <w:sz w:val="17"/>
          <w:szCs w:val="17"/>
          <w:color w:val="auto"/>
        </w:rPr>
      </w:pPr>
    </w:p>
    <w:p>
      <w:pPr>
        <w:jc w:val="both"/>
        <w:ind w:left="-8" w:firstLine="656"/>
        <w:spacing w:after="0" w:line="272" w:lineRule="auto"/>
        <w:tabs>
          <w:tab w:leader="none" w:pos="1270" w:val="left"/>
        </w:tabs>
        <w:numPr>
          <w:ilvl w:val="1"/>
          <w:numId w:val="153"/>
        </w:numPr>
        <w:rPr>
          <w:rFonts w:ascii="Arial" w:cs="Arial" w:eastAsia="Arial" w:hAnsi="Arial"/>
          <w:sz w:val="17"/>
          <w:szCs w:val="17"/>
          <w:color w:val="auto"/>
        </w:rPr>
      </w:pPr>
      <w:r>
        <w:rPr>
          <w:rFonts w:ascii="Arial" w:cs="Arial" w:eastAsia="Arial" w:hAnsi="Arial"/>
          <w:sz w:val="17"/>
          <w:szCs w:val="17"/>
          <w:u w:val="single" w:color="auto"/>
          <w:color w:val="auto"/>
        </w:rPr>
        <w:t>Reporting Status</w:t>
      </w:r>
      <w:r>
        <w:rPr>
          <w:rFonts w:ascii="Arial" w:cs="Arial" w:eastAsia="Arial" w:hAnsi="Arial"/>
          <w:sz w:val="17"/>
          <w:szCs w:val="17"/>
          <w:color w:val="auto"/>
        </w:rPr>
        <w:t>. Until the date (the “</w:t>
      </w:r>
      <w:r>
        <w:rPr>
          <w:rFonts w:ascii="Arial" w:cs="Arial" w:eastAsia="Arial" w:hAnsi="Arial"/>
          <w:sz w:val="17"/>
          <w:szCs w:val="17"/>
          <w:b w:val="1"/>
          <w:bCs w:val="1"/>
          <w:color w:val="auto"/>
        </w:rPr>
        <w:t>Reporting Period</w:t>
      </w:r>
      <w:r>
        <w:rPr>
          <w:rFonts w:ascii="Arial" w:cs="Arial" w:eastAsia="Arial" w:hAnsi="Arial"/>
          <w:sz w:val="17"/>
          <w:szCs w:val="17"/>
          <w:color w:val="auto"/>
        </w:rPr>
        <w:t>”) on which the Buyer shall have sold all of the Securities or any capital stock of the Company issued or issuable with respect to the Notes or the Warrants, including, without limitation, (1) as a result of any stock split, stock dividend, recapitalization, exchange or similar event or otherwise and (2) shares of capital stock of the Company into which the shares of Common Stock are converted, exercised or exchanged and shares of capital stock of a Successor Entity (as defined in the Notes) into which the shares of Common Stock are converted, exercised or exchanged (in each case, without regard to any limitations on conversion of (or other issuance pursuant to) the Notes or the Warrants) or otherwise issuable pursuant to the terms of the Notes or the Warrants (collectively, the “</w:t>
      </w:r>
      <w:r>
        <w:rPr>
          <w:rFonts w:ascii="Arial" w:cs="Arial" w:eastAsia="Arial" w:hAnsi="Arial"/>
          <w:sz w:val="17"/>
          <w:szCs w:val="17"/>
          <w:b w:val="1"/>
          <w:bCs w:val="1"/>
          <w:color w:val="auto"/>
        </w:rPr>
        <w:t>Covered Securities</w:t>
      </w:r>
      <w:r>
        <w:rPr>
          <w:rFonts w:ascii="Arial" w:cs="Arial" w:eastAsia="Arial" w:hAnsi="Arial"/>
          <w:sz w:val="17"/>
          <w:szCs w:val="17"/>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6" w:lineRule="exact"/>
        <w:rPr>
          <w:rFonts w:ascii="Arial" w:cs="Arial" w:eastAsia="Arial" w:hAnsi="Arial"/>
          <w:sz w:val="17"/>
          <w:szCs w:val="17"/>
          <w:color w:val="auto"/>
        </w:rPr>
      </w:pPr>
    </w:p>
    <w:p>
      <w:pPr>
        <w:jc w:val="both"/>
        <w:ind w:left="-8" w:firstLine="656"/>
        <w:spacing w:after="0" w:line="288" w:lineRule="auto"/>
        <w:tabs>
          <w:tab w:leader="none" w:pos="1341"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shall use the net proceeds from the sale of the Securities hereunder solely for the purpose of making loans to the Borrower Subsidiaries pursuant to the Subsidiary Notes and the Company shall cause the Borrower Subsidiaries to use the proceeds of the Subsidiary Notes solely for the working capital of such Borrower Subsidiaries. Without limiting the foregoing, none of such proceeds shall be used, directly or indirectly,</w:t>
      </w:r>
    </w:p>
    <w:p>
      <w:pPr>
        <w:jc w:val="both"/>
        <w:ind w:left="-8" w:firstLine="8"/>
        <w:spacing w:after="0" w:line="255" w:lineRule="auto"/>
        <w:tabs>
          <w:tab w:leader="none" w:pos="2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the satisfaction of any Indebtedness of the Company or any of its Subsidiaries, (ii) for the redemption of any securities of the Company (other than the Securities), or (iii) for any transaction outside the ordinary course of the Company’s business of enforcing and licensing intellectual property rights, consistent with past practice.</w:t>
      </w:r>
    </w:p>
    <w:p>
      <w:pPr>
        <w:spacing w:after="0" w:line="186" w:lineRule="exact"/>
        <w:rPr>
          <w:rFonts w:ascii="Arial" w:cs="Arial" w:eastAsia="Arial" w:hAnsi="Arial"/>
          <w:sz w:val="18"/>
          <w:szCs w:val="18"/>
          <w:color w:val="auto"/>
        </w:rPr>
      </w:pPr>
    </w:p>
    <w:p>
      <w:pPr>
        <w:jc w:val="both"/>
        <w:ind w:left="-8" w:firstLine="656"/>
        <w:spacing w:after="0" w:line="255"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Company agrees to send the following to each holder of Notes or Warrants (an “</w:t>
      </w:r>
      <w:r>
        <w:rPr>
          <w:rFonts w:ascii="Arial" w:cs="Arial" w:eastAsia="Arial" w:hAnsi="Arial"/>
          <w:sz w:val="18"/>
          <w:szCs w:val="18"/>
          <w:b w:val="1"/>
          <w:bCs w:val="1"/>
          <w:color w:val="auto"/>
        </w:rPr>
        <w:t>Investor</w:t>
      </w:r>
      <w:r>
        <w:rPr>
          <w:rFonts w:ascii="Arial" w:cs="Arial" w:eastAsia="Arial" w:hAnsi="Arial"/>
          <w:sz w:val="18"/>
          <w:szCs w:val="18"/>
          <w:color w:val="auto"/>
        </w:rPr>
        <w: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and (ii) copies of any notices and other information made available or given to the stockholders of the Company generally, contemporaneously with the making available or giving thereof to the stockholders.</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19" w:name="page120"/>
    <w:bookmarkEnd w:id="119"/>
    <w:p>
      <w:pPr>
        <w:jc w:val="both"/>
        <w:ind w:left="-20" w:firstLine="656"/>
        <w:spacing w:after="0" w:line="290" w:lineRule="auto"/>
        <w:tabs>
          <w:tab w:leader="none" w:pos="1343"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promptly secure the listing or designation for quotation (as the case may be) of all of the Covered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the Covered Securities from time to time issuable under the terms of the Transaction Documents on such national securities exchange or automated quotation system. The Company shall maintain the Common Stock’s listing or designation for quotation (as the case may be) on the Principal Market, The New York Stock Exchange, the NASDAQ Global Select Market, the NASDAQ Global Market, the NYSE MKT or the OTCQB (each, an “</w:t>
      </w:r>
      <w:r>
        <w:rPr>
          <w:rFonts w:ascii="Arial" w:cs="Arial" w:eastAsia="Arial" w:hAnsi="Arial"/>
          <w:sz w:val="16"/>
          <w:szCs w:val="16"/>
          <w:b w:val="1"/>
          <w:bCs w:val="1"/>
          <w:color w:val="auto"/>
        </w:rPr>
        <w:t>Eligible Market</w:t>
      </w:r>
      <w:r>
        <w:rPr>
          <w:rFonts w:ascii="Arial" w:cs="Arial" w:eastAsia="Arial" w:hAnsi="Arial"/>
          <w:sz w:val="16"/>
          <w:szCs w:val="16"/>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4(i).</w:t>
      </w:r>
    </w:p>
    <w:p>
      <w:pPr>
        <w:spacing w:after="0" w:line="162" w:lineRule="exact"/>
        <w:rPr>
          <w:rFonts w:ascii="Arial" w:cs="Arial" w:eastAsia="Arial" w:hAnsi="Arial"/>
          <w:sz w:val="16"/>
          <w:szCs w:val="16"/>
          <w:color w:val="auto"/>
        </w:rPr>
      </w:pPr>
    </w:p>
    <w:p>
      <w:pPr>
        <w:jc w:val="both"/>
        <w:ind w:left="-20" w:firstLine="656"/>
        <w:spacing w:after="0" w:line="286" w:lineRule="auto"/>
        <w:tabs>
          <w:tab w:leader="none" w:pos="135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Company shall reimburse Iroquois Master Fund Ltd. (“</w:t>
      </w:r>
      <w:r>
        <w:rPr>
          <w:rFonts w:ascii="Arial" w:cs="Arial" w:eastAsia="Arial" w:hAnsi="Arial"/>
          <w:sz w:val="16"/>
          <w:szCs w:val="16"/>
          <w:b w:val="1"/>
          <w:bCs w:val="1"/>
          <w:color w:val="auto"/>
        </w:rPr>
        <w:t>Iroquois</w:t>
      </w:r>
      <w:r>
        <w:rPr>
          <w:rFonts w:ascii="Arial" w:cs="Arial" w:eastAsia="Arial" w:hAnsi="Arial"/>
          <w:sz w:val="16"/>
          <w:szCs w:val="16"/>
          <w:color w:val="auto"/>
        </w:rPr>
        <w:t>”) or its designee(s) for all reasonable out-of-pocket costs and expenses incurred by it or its affiliates in connection with the transactions contemplated by the Transaction Documents (including, without limitation, as applicable, all reasonable legal fees and disbursements in connection therewith, structuring, documentation and implementation of the transactions contemplated by the Transaction Documents and due diligence and regulatory filings in connection therewith) in a non-accountable amount equal to $75,000, which amount (less the Advance (as defined below)) shall be withheld by Iroquois from its Purchase Price at the Closing or paid by the Company on demand by Iroquois if Iroquois terminates its obligations under this Agreement in accordance with Section 8 (as the case may be). Iroquois hereby acknowledges that the Company has previously paid $30,000 to Iroquois as a nonrefundable advance (the “</w:t>
      </w:r>
      <w:r>
        <w:rPr>
          <w:rFonts w:ascii="Arial" w:cs="Arial" w:eastAsia="Arial" w:hAnsi="Arial"/>
          <w:sz w:val="16"/>
          <w:szCs w:val="16"/>
          <w:b w:val="1"/>
          <w:bCs w:val="1"/>
          <w:color w:val="auto"/>
        </w:rPr>
        <w:t>Advance</w:t>
      </w:r>
      <w:r>
        <w:rPr>
          <w:rFonts w:ascii="Arial" w:cs="Arial" w:eastAsia="Arial" w:hAnsi="Arial"/>
          <w:sz w:val="16"/>
          <w:szCs w:val="16"/>
          <w:color w:val="auto"/>
        </w:rPr>
        <w:t>”) against the expenses incurred by Iroquois in connection herewith. The Company shall be responsible for the payment of any placement agent’s fees, financial advisory fees, transfer agent fees, the fees and expenses of the Trustee (including any legal counsel to the Trustee), DTC (as defined below) fees or broker’s commissions (other than for Persons engaged by any Buyer) relating to or arising out of the transactions contemplated hereby (including, without limitation, any fees payable to the Placement Agent,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75" w:lineRule="exact"/>
        <w:rPr>
          <w:rFonts w:ascii="Arial" w:cs="Arial" w:eastAsia="Arial" w:hAnsi="Arial"/>
          <w:sz w:val="16"/>
          <w:szCs w:val="16"/>
          <w:color w:val="auto"/>
        </w:rPr>
      </w:pPr>
    </w:p>
    <w:p>
      <w:pPr>
        <w:jc w:val="both"/>
        <w:ind w:left="-20" w:firstLine="656"/>
        <w:spacing w:after="0" w:line="255" w:lineRule="auto"/>
        <w:tabs>
          <w:tab w:leader="none" w:pos="128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Pledge of Securities</w:t>
      </w:r>
      <w:r>
        <w:rPr>
          <w:rFonts w:ascii="Arial" w:cs="Arial" w:eastAsia="Arial" w:hAnsi="Arial"/>
          <w:sz w:val="18"/>
          <w:szCs w:val="18"/>
          <w:color w:val="auto"/>
        </w:rPr>
        <w:t>.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0" w:name="page121"/>
    <w:bookmarkEnd w:id="120"/>
    <w:p>
      <w:pPr>
        <w:jc w:val="both"/>
        <w:ind w:left="-20" w:firstLine="656"/>
        <w:spacing w:after="0" w:line="284" w:lineRule="auto"/>
        <w:tabs>
          <w:tab w:leader="none" w:pos="1262"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Transactions and Other Material Information</w:t>
      </w:r>
      <w:r>
        <w:rPr>
          <w:rFonts w:ascii="Arial" w:cs="Arial" w:eastAsia="Arial" w:hAnsi="Arial"/>
          <w:sz w:val="16"/>
          <w:szCs w:val="16"/>
          <w:color w:val="auto"/>
        </w:rPr>
        <w:t>. The Company shall (i) on or before 8:30 a.m. New York time on the date of this Agreement, if this Agreement is executed and delivered prior thereto, and (ii) on or before 8:30 a.m. New York time on the first (1st) Business Day after the date of this Agreement, if this Agreement is executed and delivered after 8:30 a.m New York time,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Indenture, the Supplemental Indenture, the form of the Notes, the form of the Warrants, the form of the Security Documents and the form of the Guaranties) (including all attachments, the “</w:t>
      </w:r>
      <w:r>
        <w:rPr>
          <w:rFonts w:ascii="Arial" w:cs="Arial" w:eastAsia="Arial" w:hAnsi="Arial"/>
          <w:sz w:val="16"/>
          <w:szCs w:val="16"/>
          <w:b w:val="1"/>
          <w:bCs w:val="1"/>
          <w:color w:val="auto"/>
        </w:rPr>
        <w:t>8-K Filing</w:t>
      </w:r>
      <w:r>
        <w:rPr>
          <w:rFonts w:ascii="Arial" w:cs="Arial" w:eastAsia="Arial" w:hAnsi="Arial"/>
          <w:sz w:val="16"/>
          <w:szCs w:val="16"/>
          <w:color w:val="auto"/>
        </w:rPr>
        <w:t>”). From and after the filing of the 8-K Filing, the Company shall have disclosed all material, non-public information (if any) delivered to any of the Buyers by the Company or any of its Subsidiaries, or any of their respective officers, directors, employees or agents in connection with the transactions contemplated by the Transaction Documents.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filing of the 8-K Filing without the express prior written consent of such Buyer. The Company understands and confirms that each Buyer shall be relying on the foregoing covenant and agreement in effecting transactions in securities of the Company, and based on such covenant and agreement, unless otherwise expressly agreed in writing by such Buyer: (i) such Buyer does not have any obligation of confidentiality with respect to any information that the Company provides to such Buyer; and (ii) such Buyer shall not be deemed to be in breach of any duty to the Company and/or to have misappropriated any non-public information of the Company, if such Buyer engages in transactions of securities of the Company, including, without limitation, any hedging transactions, short sales and/or any derivative transactions based on securities of the Company while in possession of such material non-public information. In the event of a breach of any of the foregoing covenants or any of the covenants or agreements contained in the Transaction Documents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without the prior approval by the Company, any of its Subsidiaries, or any of its or their respective officers, directors, employees or agents. No Buyer shall have any liability to the Company, any of its Subsidiaries, or any of its or their respective officers, directors, employees, stockholders or agents, for any such disclosure.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the Company shall not (and shall cause each of its Subsidiaries and affiliates to not) disclose the name of such Buyer in any filing (other than the 8-K Filing), announcement, release or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1" w:name="page122"/>
    <w:bookmarkEnd w:id="121"/>
    <w:p>
      <w:pPr>
        <w:jc w:val="both"/>
        <w:ind w:left="-20" w:firstLine="656"/>
        <w:spacing w:after="0" w:line="231" w:lineRule="auto"/>
        <w:tabs>
          <w:tab w:leader="none" w:pos="133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Additional Registration Statements</w:t>
      </w:r>
      <w:r>
        <w:rPr>
          <w:rFonts w:ascii="Arial" w:cs="Arial" w:eastAsia="Arial" w:hAnsi="Arial"/>
          <w:sz w:val="18"/>
          <w:szCs w:val="18"/>
          <w:color w:val="auto"/>
        </w:rPr>
        <w:t>. Until the sixtieth (60</w:t>
      </w:r>
      <w:r>
        <w:rPr>
          <w:rFonts w:ascii="Arial" w:cs="Arial" w:eastAsia="Arial" w:hAnsi="Arial"/>
          <w:sz w:val="30"/>
          <w:szCs w:val="30"/>
          <w:color w:val="auto"/>
          <w:vertAlign w:val="superscript"/>
        </w:rPr>
        <w:t>th</w:t>
      </w:r>
      <w:r>
        <w:rPr>
          <w:rFonts w:ascii="Arial" w:cs="Arial" w:eastAsia="Arial" w:hAnsi="Arial"/>
          <w:sz w:val="18"/>
          <w:szCs w:val="18"/>
          <w:color w:val="auto"/>
        </w:rPr>
        <w:t>) day after the Closing Date (the “</w:t>
      </w:r>
      <w:r>
        <w:rPr>
          <w:rFonts w:ascii="Arial" w:cs="Arial" w:eastAsia="Arial" w:hAnsi="Arial"/>
          <w:sz w:val="18"/>
          <w:szCs w:val="18"/>
          <w:b w:val="1"/>
          <w:bCs w:val="1"/>
          <w:color w:val="auto"/>
        </w:rPr>
        <w:t>Applicable Date</w:t>
      </w:r>
      <w:r>
        <w:rPr>
          <w:rFonts w:ascii="Arial" w:cs="Arial" w:eastAsia="Arial" w:hAnsi="Arial"/>
          <w:sz w:val="18"/>
          <w:szCs w:val="18"/>
          <w:color w:val="auto"/>
        </w:rPr>
        <w:t>”), the Company shall not file a registration statement under the 1933 Act relating to securities that are not the Registrable Securities (other than (i) registration statements on Form S-8 for an Approved Stock Plan (as defined below), (ii) post-effective amendments to registration statements that are effective as of the date of this Agreement solely to update the information contained therein, and (iii) a universal shelf registration statement on Form S-3 filed with the SEC not less than thirty (30) days after the Closing Date).</w:t>
      </w:r>
    </w:p>
    <w:p>
      <w:pPr>
        <w:spacing w:after="0" w:line="204" w:lineRule="exact"/>
        <w:rPr>
          <w:rFonts w:ascii="Arial" w:cs="Arial" w:eastAsia="Arial" w:hAnsi="Arial"/>
          <w:sz w:val="18"/>
          <w:szCs w:val="18"/>
          <w:color w:val="auto"/>
        </w:rPr>
      </w:pPr>
    </w:p>
    <w:p>
      <w:pPr>
        <w:jc w:val="both"/>
        <w:ind w:left="-20" w:firstLine="656"/>
        <w:spacing w:after="0" w:line="283" w:lineRule="auto"/>
        <w:tabs>
          <w:tab w:leader="none" w:pos="1369"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Additional Issuance of Securities</w:t>
      </w:r>
      <w:r>
        <w:rPr>
          <w:rFonts w:ascii="Arial" w:cs="Arial" w:eastAsia="Arial" w:hAnsi="Arial"/>
          <w:sz w:val="16"/>
          <w:szCs w:val="16"/>
          <w:color w:val="auto"/>
        </w:rPr>
        <w:t>. The Company agrees that for the period commencing on the date hereof and ending on the Applicable Date (the “</w:t>
      </w:r>
      <w:r>
        <w:rPr>
          <w:rFonts w:ascii="Arial" w:cs="Arial" w:eastAsia="Arial" w:hAnsi="Arial"/>
          <w:sz w:val="16"/>
          <w:szCs w:val="16"/>
          <w:b w:val="1"/>
          <w:bCs w:val="1"/>
          <w:color w:val="auto"/>
        </w:rPr>
        <w:t>Restricted Period</w:t>
      </w:r>
      <w:r>
        <w:rPr>
          <w:rFonts w:ascii="Arial" w:cs="Arial" w:eastAsia="Arial" w:hAnsi="Arial"/>
          <w:sz w:val="16"/>
          <w:szCs w:val="16"/>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below), any debt, any preferred stock or any purchase rights) (any such issuance, offer, sale, grant, disposition or announcement (whether occurring during the Restricted Period or at any time thereafter) is referred to as a “</w:t>
      </w:r>
      <w:r>
        <w:rPr>
          <w:rFonts w:ascii="Arial" w:cs="Arial" w:eastAsia="Arial" w:hAnsi="Arial"/>
          <w:sz w:val="16"/>
          <w:szCs w:val="16"/>
          <w:b w:val="1"/>
          <w:bCs w:val="1"/>
          <w:color w:val="auto"/>
        </w:rPr>
        <w:t>Subsequent Placement</w:t>
      </w:r>
      <w:r>
        <w:rPr>
          <w:rFonts w:ascii="Arial" w:cs="Arial" w:eastAsia="Arial" w:hAnsi="Arial"/>
          <w:sz w:val="16"/>
          <w:szCs w:val="16"/>
          <w:color w:val="auto"/>
        </w:rPr>
        <w:t>”). Notwithstanding the foregoing, this Section 4(n) shall not apply in respect of the issuance of (A) shares of Common Stock or standard options to purchase Common Stock to directors, officers, consultants (it being expressly understood and agreed that lawyers, law firms, accountants, accounting firms and other similar professional advisors and professional advisory firms are not consultants) or employees of the Company or any of its Subsidiaries in their capacity as such pursuant to an Approved Share Plan (as defined below), provided that (1) all such issuances (taking into account the shares of Common Stock issuable upon exercise of such options) after the date hereof pursuant to this clause (A) do not, in the aggregate, exceed more than 1,000,000 shares of Common Stock (adjusted for stock splits, stock combinations and other similar transactions occurring after the date of this Agreement) and (2)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(B) shares of Common Stock issued upon the conversion or exercise of Convertible Securities (other than standard options to purchase Common Stock issued pursuant to an Approved Share Plan that are covered by clause (A) above) issued prior to the date hereof, provided that the conversion or exercise price of any such Convertible Securities (other than standard options to purchase Common Stock issued pursuant to an Approved Share Plan that are covered by clause (A) above) is not lowered, none of such Convertible Securities (other than standard options to purchase Common Stock issued pursuant to an Approved Share Plan that are covered by clause (A) above) are amended to increase the number of shares issuable thereunder and none of the terms or conditions of any such Convertible Securities (other than standard options to purchase Common Stock issued pursuant to an Approved Share Plan that are covered by clause (A) above) are otherwise materially changed in any manner that adversely affects any of the Buyers; (C) the Pre-Installment Conversion Shares (as defined in the Notes); (D) the Warrant Shares; (E) the Conversion Shares (other than those that constitute Pre-Installment Conversion Shares), (F) the Interest Shares; and (G) capital stock or Convertible Securities issued as consideration for an acquisition or strategic transaction approved by a majority of the disinterested directors of the Company, provided that any such issuance shall only be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for the purposes of this clause (G), include a transaction in which the Company is issuing securities primarily for the purpose of raising capital or to an entity whose primary business is investing in securities (each of the foregoing in clauses (A) through (G) collectively the “</w:t>
      </w:r>
      <w:r>
        <w:rPr>
          <w:rFonts w:ascii="Arial" w:cs="Arial" w:eastAsia="Arial" w:hAnsi="Arial"/>
          <w:sz w:val="16"/>
          <w:szCs w:val="16"/>
          <w:b w:val="1"/>
          <w:bCs w:val="1"/>
          <w:color w:val="auto"/>
        </w:rPr>
        <w:t>Excluded Securities</w:t>
      </w:r>
      <w:r>
        <w:rPr>
          <w:rFonts w:ascii="Arial" w:cs="Arial" w:eastAsia="Arial" w:hAnsi="Arial"/>
          <w:sz w:val="16"/>
          <w:szCs w:val="16"/>
          <w:color w:val="auto"/>
        </w:rPr>
        <w:t>”). “</w:t>
      </w:r>
      <w:r>
        <w:rPr>
          <w:rFonts w:ascii="Arial" w:cs="Arial" w:eastAsia="Arial" w:hAnsi="Arial"/>
          <w:sz w:val="16"/>
          <w:szCs w:val="16"/>
          <w:b w:val="1"/>
          <w:bCs w:val="1"/>
          <w:color w:val="auto"/>
        </w:rPr>
        <w:t>Approved Share Plan</w:t>
      </w:r>
      <w:r>
        <w:rPr>
          <w:rFonts w:ascii="Arial" w:cs="Arial" w:eastAsia="Arial" w:hAnsi="Arial"/>
          <w:sz w:val="16"/>
          <w:szCs w:val="16"/>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consultants or director for services provided to the Company or any of its Subsidiaries in their capacity as such.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12" w:right="239" w:bottom="1440" w:gutter="0" w:footer="0" w:header="0"/>
        </w:sectPr>
      </w:pPr>
    </w:p>
    <w:bookmarkStart w:id="122" w:name="page123"/>
    <w:bookmarkEnd w:id="122"/>
    <w:p>
      <w:pPr>
        <w:jc w:val="both"/>
        <w:ind w:left="-20" w:firstLine="656"/>
        <w:spacing w:after="0" w:line="255" w:lineRule="auto"/>
        <w:tabs>
          <w:tab w:leader="none" w:pos="132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take all action to from its duly authorized capital stock not less than 100% of the sum of (i) the maximum number of Conversion Shares issuable upon conversion of the Notes (assuming for purposes hereof that the Notes are convertible at the initial Conversion Price (as defined in the Notes) and without taking into account any limitations on the conversion of the Notes set forth therein), (ii) the maximum number of Interest Shares issuable pursuant to the terms of the Notes, (determined without taking into account any limitations on the conversion of the Notes set forth therein) and (iii) the maximum number of Warrant Shares issuable upon exercise of the Warrants (without taking into account any limitations on the exercise of the Warrants set forth therein).</w:t>
      </w:r>
    </w:p>
    <w:p>
      <w:pPr>
        <w:spacing w:after="0" w:line="193" w:lineRule="exact"/>
        <w:rPr>
          <w:rFonts w:ascii="Arial" w:cs="Arial" w:eastAsia="Arial" w:hAnsi="Arial"/>
          <w:sz w:val="18"/>
          <w:szCs w:val="18"/>
          <w:color w:val="auto"/>
        </w:rPr>
      </w:pPr>
    </w:p>
    <w:p>
      <w:pPr>
        <w:jc w:val="both"/>
        <w:ind w:left="-20" w:firstLine="656"/>
        <w:spacing w:after="0" w:line="273" w:lineRule="auto"/>
        <w:tabs>
          <w:tab w:leader="none" w:pos="1477"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Conduct of Business</w:t>
      </w:r>
      <w:r>
        <w:rPr>
          <w:rFonts w:ascii="Arial" w:cs="Arial" w:eastAsia="Arial" w:hAnsi="Arial"/>
          <w:sz w:val="17"/>
          <w:szCs w:val="17"/>
          <w:color w:val="auto"/>
        </w:rPr>
        <w:t>. The business of the Company and its Subsidiaries shall not be conducted in violation of any law, ordinance or regulation of any governmental entity, except where such violations would not result, either individually or in the aggregate, in a Material Adverse Effect. So long as the Subsidiary Notes are outstanding, the Company shall take such actions as may be necessary to assure that each Borrower Subsidiary is not Insolvent. Without the prior written consent of the Buyers, the Company shall not (i) modify or amend the terms of the Subsidiary Notes, (ii) release any collateral securing the Subsidiary Notes (except to the extent permitted in the Notes), (iii) forgive, in whole or in part, any amounts due under the Subsidiary Notes, or (iv) waive or agree to forbear from enforcing any rights or obligations under the Subsidiary Notes.</w:t>
      </w:r>
    </w:p>
    <w:p>
      <w:pPr>
        <w:spacing w:after="0" w:line="178" w:lineRule="exact"/>
        <w:rPr>
          <w:rFonts w:ascii="Arial" w:cs="Arial" w:eastAsia="Arial" w:hAnsi="Arial"/>
          <w:sz w:val="17"/>
          <w:szCs w:val="17"/>
          <w:color w:val="auto"/>
        </w:rPr>
      </w:pPr>
    </w:p>
    <w:p>
      <w:pPr>
        <w:jc w:val="both"/>
        <w:ind w:left="-20" w:firstLine="656"/>
        <w:spacing w:after="0" w:line="288" w:lineRule="auto"/>
        <w:tabs>
          <w:tab w:leader="none" w:pos="132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Until the date no Notes are outstanding, the Company and each Subsidiary shall be prohibited from effecting or entering into an agreement to effect any Subsequent Placement involving a Variable Rate Transaction.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3" w:name="page124"/>
    <w:bookmarkEnd w:id="123"/>
    <w:p>
      <w:pPr>
        <w:jc w:val="both"/>
        <w:ind w:left="-20" w:firstLine="656"/>
        <w:spacing w:after="0" w:line="264" w:lineRule="auto"/>
        <w:tabs>
          <w:tab w:leader="none" w:pos="128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Qualification Under Trust Indenture Act</w:t>
      </w:r>
      <w:r>
        <w:rPr>
          <w:rFonts w:ascii="Arial" w:cs="Arial" w:eastAsia="Arial" w:hAnsi="Arial"/>
          <w:sz w:val="18"/>
          <w:szCs w:val="18"/>
          <w:color w:val="auto"/>
        </w:rPr>
        <w:t>. Prior to any issuance of Notes hereunder, the Company shall qualify the Indenture under the Trust Indenture Act of 1939, as amended (the “</w:t>
      </w:r>
      <w:r>
        <w:rPr>
          <w:rFonts w:ascii="Arial" w:cs="Arial" w:eastAsia="Arial" w:hAnsi="Arial"/>
          <w:sz w:val="18"/>
          <w:szCs w:val="18"/>
          <w:b w:val="1"/>
          <w:bCs w:val="1"/>
          <w:color w:val="auto"/>
        </w:rPr>
        <w:t>TIA</w:t>
      </w:r>
      <w:r>
        <w:rPr>
          <w:rFonts w:ascii="Arial" w:cs="Arial" w:eastAsia="Arial" w:hAnsi="Arial"/>
          <w:sz w:val="18"/>
          <w:szCs w:val="18"/>
          <w:color w:val="auto"/>
        </w:rPr>
        <w:t>”) and enter into the Supplemental Indenture in connection therewith and, so long as the Notes remain outstanding, the Indenture and the Supplemental Indenture shall be maintained in compliance with the TIA.</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3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Participation Right</w:t>
      </w:r>
      <w:r>
        <w:rPr>
          <w:rFonts w:ascii="Arial" w:cs="Arial" w:eastAsia="Arial" w:hAnsi="Arial"/>
          <w:sz w:val="18"/>
          <w:szCs w:val="18"/>
          <w:color w:val="auto"/>
        </w:rPr>
        <w:t>. So long as any Notes remain outstanding, neither the Company nor any of its Subsidiaries shall, directly or indirectly, effect any Subsequent Placement unless the Company shall have first complied with this Section 4(s). The Company acknowledges and agrees that the right set forth in this Section 4(s) is a right granted by the Company, separately, to each Buyer.</w:t>
      </w:r>
    </w:p>
    <w:p>
      <w:pPr>
        <w:spacing w:after="0" w:line="181" w:lineRule="exact"/>
        <w:rPr>
          <w:rFonts w:ascii="Arial" w:cs="Arial" w:eastAsia="Arial" w:hAnsi="Arial"/>
          <w:sz w:val="18"/>
          <w:szCs w:val="18"/>
          <w:color w:val="auto"/>
        </w:rPr>
      </w:pPr>
    </w:p>
    <w:p>
      <w:pPr>
        <w:jc w:val="both"/>
        <w:ind w:left="640" w:firstLine="1293"/>
        <w:spacing w:after="0" w:line="267" w:lineRule="auto"/>
        <w:tabs>
          <w:tab w:leader="none" w:pos="2556"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At least five (5) Trading Days prior to any proposed or intended Subsequent Placement, the Company shall deliver to each Buyer a written notice of its proposal or intention to effect a Subsequent Placement (each such notice, a “</w:t>
      </w:r>
      <w:r>
        <w:rPr>
          <w:rFonts w:ascii="Arial" w:cs="Arial" w:eastAsia="Arial" w:hAnsi="Arial"/>
          <w:sz w:val="17"/>
          <w:szCs w:val="17"/>
          <w:b w:val="1"/>
          <w:bCs w:val="1"/>
          <w:color w:val="auto"/>
        </w:rPr>
        <w:t>Pre-Notice</w:t>
      </w:r>
      <w:r>
        <w:rPr>
          <w:rFonts w:ascii="Arial" w:cs="Arial" w:eastAsia="Arial" w:hAnsi="Arial"/>
          <w:sz w:val="17"/>
          <w:szCs w:val="17"/>
          <w:color w:val="auto"/>
        </w:rPr>
        <w:t>”), which Pre-Notice shall not contain any information (including, without limitation, material, non-public information) other than: (i) a statement that the Company proposes or intends to effect a Subsequent Placement, (ii) a statement that the statement in clause (i) above does not constitute material, non-public information and (iii)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Arial" w:cs="Arial" w:eastAsia="Arial" w:hAnsi="Arial"/>
          <w:sz w:val="17"/>
          <w:szCs w:val="17"/>
          <w:b w:val="1"/>
          <w:bCs w:val="1"/>
          <w:color w:val="auto"/>
        </w:rPr>
        <w:t>Offer Notice</w:t>
      </w:r>
      <w:r>
        <w:rPr>
          <w:rFonts w:ascii="Arial" w:cs="Arial" w:eastAsia="Arial" w:hAnsi="Arial"/>
          <w:sz w:val="17"/>
          <w:szCs w:val="17"/>
          <w:color w:val="auto"/>
        </w:rPr>
        <w:t>”) of any proposed or intended issuance or sale or exchange (the “</w:t>
      </w:r>
      <w:r>
        <w:rPr>
          <w:rFonts w:ascii="Arial" w:cs="Arial" w:eastAsia="Arial" w:hAnsi="Arial"/>
          <w:sz w:val="17"/>
          <w:szCs w:val="17"/>
          <w:b w:val="1"/>
          <w:bCs w:val="1"/>
          <w:color w:val="auto"/>
        </w:rPr>
        <w:t>Offer</w:t>
      </w:r>
      <w:r>
        <w:rPr>
          <w:rFonts w:ascii="Arial" w:cs="Arial" w:eastAsia="Arial" w:hAnsi="Arial"/>
          <w:sz w:val="17"/>
          <w:szCs w:val="17"/>
          <w:color w:val="auto"/>
        </w:rPr>
        <w:t>”) of the securities being offered (the “</w:t>
      </w:r>
      <w:r>
        <w:rPr>
          <w:rFonts w:ascii="Arial" w:cs="Arial" w:eastAsia="Arial" w:hAnsi="Arial"/>
          <w:sz w:val="17"/>
          <w:szCs w:val="17"/>
          <w:b w:val="1"/>
          <w:bCs w:val="1"/>
          <w:color w:val="auto"/>
        </w:rPr>
        <w:t>Offered Securities</w:t>
      </w:r>
      <w:r>
        <w:rPr>
          <w:rFonts w:ascii="Arial" w:cs="Arial" w:eastAsia="Arial" w:hAnsi="Arial"/>
          <w:sz w:val="17"/>
          <w:szCs w:val="17"/>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such Buyer in accordance with the terms of the Offer all of the Offered Securities, provided that the number of Offered Securities which such Buyer shall have the right to subscribe for under this Section 4(s) shall be (a) based on such Buyer’s pro rata portion of the aggregate original principal amount of the Notes purchased hereunder by all Buyers (the “</w:t>
      </w:r>
      <w:r>
        <w:rPr>
          <w:rFonts w:ascii="Arial" w:cs="Arial" w:eastAsia="Arial" w:hAnsi="Arial"/>
          <w:sz w:val="17"/>
          <w:szCs w:val="17"/>
          <w:b w:val="1"/>
          <w:bCs w:val="1"/>
          <w:color w:val="auto"/>
        </w:rPr>
        <w:t>Basic</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and (b) with respect to each Buyer that elects to purchase its Basic Amount, any additional portion of the Offered Securities attributable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Basic Amounts of other Buyers as such Buyer shall indicate it will purchase or acquire should the other Buyers subscribe for less than their Basic Amounts (the “</w:t>
      </w:r>
      <w:r>
        <w:rPr>
          <w:rFonts w:ascii="Arial" w:cs="Arial" w:eastAsia="Arial" w:hAnsi="Arial"/>
          <w:sz w:val="17"/>
          <w:szCs w:val="17"/>
          <w:b w:val="1"/>
          <w:bCs w:val="1"/>
          <w:color w:val="auto"/>
        </w:rPr>
        <w:t>Undersubscription Amount</w:t>
      </w:r>
      <w:r>
        <w:rPr>
          <w:rFonts w:ascii="Arial" w:cs="Arial" w:eastAsia="Arial" w:hAnsi="Arial"/>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4" w:name="page125"/>
    <w:bookmarkEnd w:id="124"/>
    <w:p>
      <w:pPr>
        <w:ind w:left="1980" w:hanging="687"/>
        <w:spacing w:after="0"/>
        <w:tabs>
          <w:tab w:leader="none" w:pos="19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accept an Offer, in whole or in part, such Buyer must deliver a written notice to the Company prior to the end of the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such Buyer’s receipt of the Offer Notice (the “</w:t>
      </w:r>
      <w:r>
        <w:rPr>
          <w:rFonts w:ascii="Arial" w:cs="Arial" w:eastAsia="Arial" w:hAnsi="Arial"/>
          <w:sz w:val="16"/>
          <w:szCs w:val="16"/>
          <w:b w:val="1"/>
          <w:bCs w:val="1"/>
          <w:color w:val="auto"/>
        </w:rPr>
        <w:t>Offer Period</w:t>
      </w:r>
      <w:r>
        <w:rPr>
          <w:rFonts w:ascii="Arial" w:cs="Arial" w:eastAsia="Arial" w:hAnsi="Arial"/>
          <w:sz w:val="16"/>
          <w:szCs w:val="16"/>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Arial" w:cs="Arial" w:eastAsia="Arial" w:hAnsi="Arial"/>
          <w:sz w:val="16"/>
          <w:szCs w:val="16"/>
          <w:b w:val="1"/>
          <w:bCs w:val="1"/>
          <w:color w:val="auto"/>
        </w:rPr>
        <w:t>Notice of Acceptance</w:t>
      </w:r>
      <w:r>
        <w:rPr>
          <w:rFonts w:ascii="Arial" w:cs="Arial" w:eastAsia="Arial" w:hAnsi="Arial"/>
          <w:sz w:val="16"/>
          <w:szCs w:val="16"/>
          <w:color w:val="auto"/>
        </w:rPr>
        <w:t>”). If the Basic Amounts subscribed for by all Buyers are less than the total of all of the Basic Amounts, then such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Arial" w:cs="Arial" w:eastAsia="Arial" w:hAnsi="Arial"/>
          <w:sz w:val="16"/>
          <w:szCs w:val="16"/>
          <w:b w:val="1"/>
          <w:bCs w:val="1"/>
          <w:color w:val="auto"/>
        </w:rPr>
        <w:t>Available</w:t>
      </w:r>
      <w:r>
        <w:rPr>
          <w:rFonts w:ascii="Arial" w:cs="Arial" w:eastAsia="Arial" w:hAnsi="Arial"/>
          <w:sz w:val="16"/>
          <w:szCs w:val="16"/>
          <w:color w:val="auto"/>
        </w:rPr>
        <w:t xml:space="preserve"> </w:t>
      </w:r>
      <w:r>
        <w:rPr>
          <w:rFonts w:ascii="Arial" w:cs="Arial" w:eastAsia="Arial" w:hAnsi="Arial"/>
          <w:sz w:val="16"/>
          <w:szCs w:val="16"/>
          <w:b w:val="1"/>
          <w:bCs w:val="1"/>
          <w:color w:val="auto"/>
        </w:rPr>
        <w:t>Undersubscription Amount</w:t>
      </w:r>
      <w:r>
        <w:rPr>
          <w:rFonts w:ascii="Arial" w:cs="Arial" w:eastAsia="Arial" w:hAnsi="Arial"/>
          <w:sz w:val="16"/>
          <w:szCs w:val="16"/>
          <w:color w:val="auto"/>
        </w:rPr>
        <w:t>”), such Buyer who has subscribed for any Undersubscription Amount shall be entitled to purchase only that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such Buyer’s receipt of such new Offer Notice.</w:t>
      </w:r>
    </w:p>
    <w:p>
      <w:pPr>
        <w:spacing w:after="0" w:line="58" w:lineRule="exact"/>
        <w:rPr>
          <w:sz w:val="20"/>
          <w:szCs w:val="20"/>
          <w:color w:val="auto"/>
        </w:rPr>
      </w:pPr>
    </w:p>
    <w:p>
      <w:pPr>
        <w:jc w:val="both"/>
        <w:ind w:firstLine="1293"/>
        <w:spacing w:after="0" w:line="290" w:lineRule="auto"/>
        <w:tabs>
          <w:tab w:leader="none" w:pos="19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shall have five (5) days from the expiration of the Offer Period above (i) to offer, issue, sell or exchange all or any part of such Offered Securities as to which a Notice of Acceptance has not been given by a Buyer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agreement(s)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(ii)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6" w:lineRule="exact"/>
        <w:rPr>
          <w:rFonts w:ascii="Arial" w:cs="Arial" w:eastAsia="Arial" w:hAnsi="Arial"/>
          <w:sz w:val="16"/>
          <w:szCs w:val="16"/>
          <w:color w:val="auto"/>
        </w:rPr>
      </w:pPr>
    </w:p>
    <w:p>
      <w:pPr>
        <w:jc w:val="both"/>
        <w:ind w:firstLine="1293"/>
        <w:spacing w:after="0" w:line="270" w:lineRule="auto"/>
        <w:tabs>
          <w:tab w:leader="none" w:pos="194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event the Company shall propose to sell less than all the Refused Securities (any such sale to be in the manner and on the terms specified in Section 4(s)(iii) above), then such Buyer may, at its sole option and in its sole discretion, reduce the number or amount of the Offered Securities specified in its Notice of Acceptance to an amount that shall be not less than the number or amount of the Offered Securities that such Buyer elected to purchase pursuant to Section 4(s)(ii) above multiplied by a fraction, (i) the numerator of which shall be the number or amount of Offered Securities the Company actually proposes to issue, sell or exchange (including Offered Securities to be issued or sold to Buyers pursuant to this Section 4(s)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4(s)(i) above.</w:t>
      </w:r>
    </w:p>
    <w:p>
      <w:pPr>
        <w:spacing w:after="0" w:line="3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ANNEX I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5" w:name="page126"/>
    <w:bookmarkEnd w:id="125"/>
    <w:p>
      <w:pPr>
        <w:jc w:val="both"/>
        <w:ind w:left="4" w:firstLine="1293"/>
        <w:spacing w:after="0" w:line="257" w:lineRule="auto"/>
        <w:tabs>
          <w:tab w:leader="none" w:pos="207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88" w:lineRule="exact"/>
        <w:rPr>
          <w:rFonts w:ascii="Arial" w:cs="Arial" w:eastAsia="Arial" w:hAnsi="Arial"/>
          <w:sz w:val="18"/>
          <w:szCs w:val="18"/>
          <w:color w:val="auto"/>
        </w:rPr>
      </w:pPr>
    </w:p>
    <w:p>
      <w:pPr>
        <w:ind w:left="4" w:right="20" w:firstLine="1293"/>
        <w:spacing w:after="0" w:line="277" w:lineRule="auto"/>
        <w:tabs>
          <w:tab w:leader="none" w:pos="196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Offered Securities not acquired by a Buyer or other Persons in accordance with this Section 4(s) may not be issued, sold or exchanged until they are again offered to such Buyer under the procedures specified in this Agreement.</w:t>
      </w:r>
    </w:p>
    <w:p>
      <w:pPr>
        <w:spacing w:after="0" w:line="170" w:lineRule="exact"/>
        <w:rPr>
          <w:rFonts w:ascii="Arial" w:cs="Arial" w:eastAsia="Arial" w:hAnsi="Arial"/>
          <w:sz w:val="18"/>
          <w:szCs w:val="18"/>
          <w:color w:val="auto"/>
        </w:rPr>
      </w:pPr>
    </w:p>
    <w:p>
      <w:pPr>
        <w:jc w:val="both"/>
        <w:ind w:left="4" w:firstLine="1293"/>
        <w:spacing w:after="0" w:line="286" w:lineRule="auto"/>
        <w:tabs>
          <w:tab w:leader="none" w:pos="195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The Company and each Buyer agree that if any Buyer elects to participate in the Offer,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 Placement Documents</w:t>
      </w:r>
      <w:r>
        <w:rPr>
          <w:rFonts w:ascii="Arial" w:cs="Arial" w:eastAsia="Arial" w:hAnsi="Arial"/>
          <w:sz w:val="16"/>
          <w:szCs w:val="16"/>
          <w:color w:val="auto"/>
        </w:rPr>
        <w:t>”) shall include any term or provision whereby such Buyer shall be required to agree to any restrictions on trading as to any securities of the Company (other than restrictions required by applicable securities laws on the resale of the specific “restricted securities” (as that term is defined under Rule</w:t>
      </w:r>
    </w:p>
    <w:p>
      <w:pPr>
        <w:spacing w:after="0" w:line="1" w:lineRule="exact"/>
        <w:rPr>
          <w:rFonts w:ascii="Arial" w:cs="Arial" w:eastAsia="Arial" w:hAnsi="Arial"/>
          <w:sz w:val="16"/>
          <w:szCs w:val="16"/>
          <w:color w:val="auto"/>
        </w:rPr>
      </w:pPr>
    </w:p>
    <w:p>
      <w:pPr>
        <w:ind w:left="4" w:right="20" w:hanging="4"/>
        <w:spacing w:after="0" w:line="323" w:lineRule="auto"/>
        <w:tabs>
          <w:tab w:leader="none" w:pos="38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being issued in the Subsequent Placement) or be required to consent to any amendment to or termination of, or grant any waiver, release or the like under or in connection with, any agreement previously entered into with the Company or any instrument received from the Company.</w:t>
      </w:r>
    </w:p>
    <w:p>
      <w:pPr>
        <w:spacing w:after="0" w:line="138" w:lineRule="exact"/>
        <w:rPr>
          <w:rFonts w:ascii="Arial" w:cs="Arial" w:eastAsia="Arial" w:hAnsi="Arial"/>
          <w:sz w:val="16"/>
          <w:szCs w:val="16"/>
          <w:color w:val="auto"/>
        </w:rPr>
      </w:pPr>
    </w:p>
    <w:p>
      <w:pPr>
        <w:jc w:val="both"/>
        <w:ind w:left="4" w:firstLine="1293"/>
        <w:spacing w:after="0" w:line="288" w:lineRule="auto"/>
        <w:tabs>
          <w:tab w:leader="none" w:pos="194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4(s)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w:t>
      </w:r>
    </w:p>
    <w:p>
      <w:pPr>
        <w:jc w:val="both"/>
        <w:ind w:left="4"/>
        <w:spacing w:after="0" w:line="236" w:lineRule="auto"/>
        <w:rPr>
          <w:sz w:val="20"/>
          <w:szCs w:val="20"/>
          <w:color w:val="auto"/>
        </w:rPr>
      </w:pPr>
      <w:r>
        <w:rPr>
          <w:rFonts w:ascii="Arial" w:cs="Arial" w:eastAsia="Arial" w:hAnsi="Arial"/>
          <w:sz w:val="18"/>
          <w:szCs w:val="18"/>
          <w:color w:val="auto"/>
        </w:rPr>
        <w:t>non-public information, by the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following delivery of the Offer Notice. If by such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again pursue such transaction with respect to the Offered Securities, the Company shall provide such Buyer with another Offer Notice in accordance with, and subject to, the terms of this Section 4(s) and such Buyer will again have the right of participation set forth in this Section 4(s). The Company shall not be permitted to deliver more than one Offer Notice to such Buyer in any forty-five (45) day period, except as expressly contemplated by the last sentence of Section 4(s)(ii).</w:t>
      </w:r>
    </w:p>
    <w:p>
      <w:pPr>
        <w:spacing w:after="0" w:line="207" w:lineRule="exact"/>
        <w:rPr>
          <w:sz w:val="20"/>
          <w:szCs w:val="20"/>
          <w:color w:val="auto"/>
        </w:rPr>
      </w:pPr>
    </w:p>
    <w:p>
      <w:pPr>
        <w:jc w:val="both"/>
        <w:ind w:left="4" w:firstLine="1293"/>
        <w:spacing w:after="0" w:line="264" w:lineRule="auto"/>
        <w:tabs>
          <w:tab w:leader="none" w:pos="21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restrictions contained in this Section 4(s) shall not apply in connection with the issuance of (i) any Excluded Securities or (ii) any Common Stock or Convertible Securities issued pursuant to an Approved Stock Plan. The Company shall not circumvent the provisions of this Section 4(s) by providing terms or conditions to one Buyer that are not provided to all.</w:t>
      </w:r>
    </w:p>
    <w:p>
      <w:pPr>
        <w:spacing w:after="0" w:line="397" w:lineRule="exact"/>
        <w:rPr>
          <w:sz w:val="20"/>
          <w:szCs w:val="20"/>
          <w:color w:val="auto"/>
        </w:rPr>
      </w:pPr>
    </w:p>
    <w:p>
      <w:pPr>
        <w:ind w:left="4524"/>
        <w:spacing w:after="0"/>
        <w:rPr>
          <w:sz w:val="20"/>
          <w:szCs w:val="20"/>
          <w:color w:val="auto"/>
        </w:rPr>
      </w:pPr>
      <w:r>
        <w:rPr>
          <w:rFonts w:ascii="Arial" w:cs="Arial" w:eastAsia="Arial" w:hAnsi="Arial"/>
          <w:sz w:val="18"/>
          <w:szCs w:val="18"/>
          <w:color w:val="auto"/>
        </w:rPr>
        <w:t>ANNEX I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6" w:name="page127"/>
    <w:bookmarkEnd w:id="126"/>
    <w:p>
      <w:pPr>
        <w:ind w:left="-20" w:firstLine="656"/>
        <w:spacing w:after="0" w:line="342" w:lineRule="auto"/>
        <w:tabs>
          <w:tab w:leader="none" w:pos="130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Passive Foreign Investment Company</w:t>
      </w:r>
      <w:r>
        <w:rPr>
          <w:rFonts w:ascii="Arial" w:cs="Arial" w:eastAsia="Arial" w:hAnsi="Arial"/>
          <w:sz w:val="16"/>
          <w:szCs w:val="16"/>
          <w:color w:val="auto"/>
        </w:rPr>
        <w:t>. The Company shall conduct its business in such a manner as will ensure that the Company will not be deemed to constitute a passive foreign investment company within the meaning of Section 1297 of the U.S. Internal Revenue Code of 1986, as amended.</w:t>
      </w:r>
    </w:p>
    <w:p>
      <w:pPr>
        <w:spacing w:after="0" w:line="123" w:lineRule="exact"/>
        <w:rPr>
          <w:rFonts w:ascii="Arial" w:cs="Arial" w:eastAsia="Arial" w:hAnsi="Arial"/>
          <w:sz w:val="16"/>
          <w:szCs w:val="16"/>
          <w:color w:val="auto"/>
        </w:rPr>
      </w:pPr>
    </w:p>
    <w:p>
      <w:pPr>
        <w:ind w:left="-20" w:right="20" w:firstLine="656"/>
        <w:spacing w:after="0" w:line="308" w:lineRule="auto"/>
        <w:tabs>
          <w:tab w:leader="none" w:pos="1491"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Restriction on Redemption and Cash Dividends</w:t>
      </w:r>
      <w:r>
        <w:rPr>
          <w:rFonts w:ascii="Arial" w:cs="Arial" w:eastAsia="Arial" w:hAnsi="Arial"/>
          <w:sz w:val="17"/>
          <w:szCs w:val="17"/>
          <w:color w:val="auto"/>
        </w:rPr>
        <w:t>. So long as any Notes are outstanding, the Company shall not, directly or indirectly, redeem, or declare or pay any cash dividend or distribution on, any securities of the Company without the prior express written consent of the Buyers.</w:t>
      </w:r>
    </w:p>
    <w:p>
      <w:pPr>
        <w:spacing w:after="0" w:line="146" w:lineRule="exact"/>
        <w:rPr>
          <w:rFonts w:ascii="Arial" w:cs="Arial" w:eastAsia="Arial" w:hAnsi="Arial"/>
          <w:sz w:val="17"/>
          <w:szCs w:val="17"/>
          <w:color w:val="auto"/>
        </w:rPr>
      </w:pPr>
    </w:p>
    <w:p>
      <w:pPr>
        <w:jc w:val="both"/>
        <w:ind w:left="-20" w:firstLine="656"/>
        <w:spacing w:after="0" w:line="264" w:lineRule="auto"/>
        <w:tabs>
          <w:tab w:leader="none" w:pos="124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Corporate Existence</w:t>
      </w:r>
      <w:r>
        <w:rPr>
          <w:rFonts w:ascii="Arial" w:cs="Arial" w:eastAsia="Arial" w:hAnsi="Arial"/>
          <w:sz w:val="18"/>
          <w:szCs w:val="18"/>
          <w:color w:val="auto"/>
        </w:rPr>
        <w:t>. So long as any Buyer owns any Notes or Warrants, the Company shall not be party to any Fundamental Transaction (as defined in the Notes) unless the Company is in compliance with the applicable provisions governing Fundamental Transactions set forth in the Notes and the Warrants.</w:t>
      </w:r>
    </w:p>
    <w:p>
      <w:pPr>
        <w:spacing w:after="0" w:line="181" w:lineRule="exact"/>
        <w:rPr>
          <w:rFonts w:ascii="Arial" w:cs="Arial" w:eastAsia="Arial" w:hAnsi="Arial"/>
          <w:sz w:val="18"/>
          <w:szCs w:val="18"/>
          <w:color w:val="auto"/>
        </w:rPr>
      </w:pPr>
    </w:p>
    <w:p>
      <w:pPr>
        <w:jc w:val="both"/>
        <w:ind w:left="-20" w:firstLine="656"/>
        <w:spacing w:after="0" w:line="286" w:lineRule="auto"/>
        <w:tabs>
          <w:tab w:leader="none" w:pos="1328"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xml:space="preserve"> The Company shall provide each stockholder entitled to vote at either (x) the next annual meeting of stockholders of the Company or (y) a special meeting of stockholders of the Company (the “</w:t>
      </w:r>
      <w:r>
        <w:rPr>
          <w:rFonts w:ascii="Arial" w:cs="Arial" w:eastAsia="Arial" w:hAnsi="Arial"/>
          <w:sz w:val="16"/>
          <w:szCs w:val="16"/>
          <w:b w:val="1"/>
          <w:bCs w:val="1"/>
          <w:color w:val="auto"/>
        </w:rPr>
        <w:t>Stockholder Meeting</w:t>
      </w:r>
      <w:r>
        <w:rPr>
          <w:rFonts w:ascii="Arial" w:cs="Arial" w:eastAsia="Arial" w:hAnsi="Arial"/>
          <w:sz w:val="16"/>
          <w:szCs w:val="16"/>
          <w:color w:val="auto"/>
        </w:rPr>
        <w:t>”), which shall be promptly called and held not later than December 1, 2015 (the “</w:t>
      </w:r>
      <w:r>
        <w:rPr>
          <w:rFonts w:ascii="Arial" w:cs="Arial" w:eastAsia="Arial" w:hAnsi="Arial"/>
          <w:sz w:val="16"/>
          <w:szCs w:val="16"/>
          <w:b w:val="1"/>
          <w:bCs w:val="1"/>
          <w:color w:val="auto"/>
        </w:rPr>
        <w:t>Stockholder Meeting Deadline</w:t>
      </w:r>
      <w:r>
        <w:rPr>
          <w:rFonts w:ascii="Arial" w:cs="Arial" w:eastAsia="Arial" w:hAnsi="Arial"/>
          <w:sz w:val="16"/>
          <w:szCs w:val="16"/>
          <w:color w:val="auto"/>
        </w:rPr>
        <w:t>”), a proxy statement soliciting each such stockholder's affirmative vote at the Stockholder Meeting for approval of resolutions (“</w:t>
      </w:r>
      <w:r>
        <w:rPr>
          <w:rFonts w:ascii="Arial" w:cs="Arial" w:eastAsia="Arial" w:hAnsi="Arial"/>
          <w:sz w:val="16"/>
          <w:szCs w:val="16"/>
          <w:b w:val="1"/>
          <w:bCs w:val="1"/>
          <w:color w:val="auto"/>
        </w:rPr>
        <w:t>Stockholder Resolutions</w:t>
      </w:r>
      <w:r>
        <w:rPr>
          <w:rFonts w:ascii="Arial" w:cs="Arial" w:eastAsia="Arial" w:hAnsi="Arial"/>
          <w:sz w:val="16"/>
          <w:szCs w:val="16"/>
          <w:color w:val="auto"/>
        </w:rPr>
        <w:t>”) providing for the Company’s (x) issuance of all of the Securities as described in the Transaction Documents in accordance with applicable law and the rules and regulations of the Principal Market and (y) an increase in the number of shares of Common Stock the Company is authorized to issue to 250,000,000 (such affirmative approval being referred to herein as the “</w:t>
      </w:r>
      <w:r>
        <w:rPr>
          <w:rFonts w:ascii="Arial" w:cs="Arial" w:eastAsia="Arial" w:hAnsi="Arial"/>
          <w:sz w:val="16"/>
          <w:szCs w:val="16"/>
          <w:b w:val="1"/>
          <w:bCs w:val="1"/>
          <w:color w:val="auto"/>
        </w:rPr>
        <w:t>Stockholder Approval</w:t>
      </w:r>
      <w:r>
        <w:rPr>
          <w:rFonts w:ascii="Arial" w:cs="Arial" w:eastAsia="Arial" w:hAnsi="Arial"/>
          <w:sz w:val="16"/>
          <w:szCs w:val="16"/>
          <w:color w:val="auto"/>
        </w:rPr>
        <w:t>”, and the date such Stockholder Approval is obtained, the “</w:t>
      </w:r>
      <w:r>
        <w:rPr>
          <w:rFonts w:ascii="Arial" w:cs="Arial" w:eastAsia="Arial" w:hAnsi="Arial"/>
          <w:sz w:val="16"/>
          <w:szCs w:val="16"/>
          <w:b w:val="1"/>
          <w:bCs w:val="1"/>
          <w:color w:val="auto"/>
        </w:rPr>
        <w:t>Stockholder Approval Date</w:t>
      </w:r>
      <w:r>
        <w:rPr>
          <w:rFonts w:ascii="Arial" w:cs="Arial" w:eastAsia="Arial" w:hAnsi="Arial"/>
          <w:sz w:val="16"/>
          <w:szCs w:val="16"/>
          <w:color w:val="auto"/>
        </w:rPr>
        <w:t>”), and the Company shall use its reasonable best efforts to solicit its stockholders' approval of such resolutions and to cause the Board of Directors of the Company to recommend to the stockholders that they approve such resolutions. The Company shall be obligated to seek to obtain the Stockholder Approval by the Stockholder Meeting Deadline. If, despite the Company's reasonable best efforts the Stockholder Approval is not obtained on or prior to the Stockholder Meeting Deadline, the Company shall cause an additional Stockholder Meeting to be held once in each of the three subsequent calendar quarters thereafter until such Stockholder Approval is obtained. If, despite the Company's reasonable best efforts the Stockholder Approval is not obtained after such subsequent stockholder meetings, the Company shall cause an additional Stockholder Meeting to be held semi-annually thereafter until such Stockholder Approval is obtained.</w:t>
      </w:r>
    </w:p>
    <w:p>
      <w:pPr>
        <w:spacing w:after="0" w:line="174" w:lineRule="exact"/>
        <w:rPr>
          <w:rFonts w:ascii="Arial" w:cs="Arial" w:eastAsia="Arial" w:hAnsi="Arial"/>
          <w:sz w:val="16"/>
          <w:szCs w:val="16"/>
          <w:color w:val="auto"/>
        </w:rPr>
      </w:pPr>
    </w:p>
    <w:p>
      <w:pPr>
        <w:jc w:val="both"/>
        <w:ind w:left="-20" w:firstLine="656"/>
        <w:spacing w:after="0" w:line="257" w:lineRule="auto"/>
        <w:tabs>
          <w:tab w:leader="none" w:pos="1423"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Conversion and Exercise Procedures</w:t>
      </w:r>
      <w:r>
        <w:rPr>
          <w:rFonts w:ascii="Arial" w:cs="Arial" w:eastAsia="Arial" w:hAnsi="Arial"/>
          <w:sz w:val="18"/>
          <w:szCs w:val="18"/>
          <w:color w:val="auto"/>
        </w:rPr>
        <w:t>. Each of the form of Exercise Notice included in the Warrants and the form of Conversion Notice included in the Notes set forth the totality of the procedures required of the Buyers in order to exercise the Warrants or convert the Notes. No additional legal opinion, other information or instructions shall be required of the Buyers to exercise their Warrants or convert their Notes. The Company shall honor exercises of the Warrants and conversions of the Notes and shall deliver the Conversion Shares, Interest Shares and Warrant Shares in accordance with the terms, conditions and time periods set forth in the Notes and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27" w:name="page128"/>
    <w:bookmarkEnd w:id="127"/>
    <w:p>
      <w:pPr>
        <w:ind w:left="592" w:hanging="592"/>
        <w:spacing w:after="0"/>
        <w:tabs>
          <w:tab w:leader="none" w:pos="592"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REGISTER; TRANSFER AGENT INSTRUCTIONS; LEGENDS.</w:t>
      </w:r>
    </w:p>
    <w:p>
      <w:pPr>
        <w:spacing w:after="0" w:line="229" w:lineRule="exact"/>
        <w:rPr>
          <w:rFonts w:ascii="Arial" w:cs="Arial" w:eastAsia="Arial" w:hAnsi="Arial"/>
          <w:sz w:val="18"/>
          <w:szCs w:val="18"/>
          <w:b w:val="1"/>
          <w:bCs w:val="1"/>
          <w:color w:val="auto"/>
        </w:rPr>
      </w:pPr>
    </w:p>
    <w:p>
      <w:pPr>
        <w:jc w:val="both"/>
        <w:ind w:left="-8" w:firstLine="656"/>
        <w:spacing w:after="0" w:line="293" w:lineRule="auto"/>
        <w:tabs>
          <w:tab w:leader="none" w:pos="131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Company shall maintain at its principal executive offices (or such other office or agency of the Company as it may designate by notice to each holder of Securities), a register for the Notes and the Warrants in which the Company shall record the name and address of the Person in whose name the Notes and the Warrants have been issued (including the name and address of each transferee), the principal amount of the Notes held by such Person, the number of Conversion Shares issuable upon conversion of the Notes held by such Person, the number of Interest Shares issuable with respect to the Notes held by such Person and the number of Warrant Shares issuable upon exercise of the Warrants held by such Person. The Company shall keep the register open and available at all times during business hours for inspection of any Buyer or its legal representatives.</w:t>
      </w:r>
    </w:p>
    <w:p>
      <w:pPr>
        <w:spacing w:after="0" w:line="164" w:lineRule="exact"/>
        <w:rPr>
          <w:rFonts w:ascii="Arial" w:cs="Arial" w:eastAsia="Arial" w:hAnsi="Arial"/>
          <w:sz w:val="16"/>
          <w:szCs w:val="16"/>
          <w:color w:val="auto"/>
        </w:rPr>
      </w:pPr>
    </w:p>
    <w:p>
      <w:pPr>
        <w:jc w:val="both"/>
        <w:ind w:left="-8" w:firstLine="656"/>
        <w:spacing w:after="0" w:line="285" w:lineRule="auto"/>
        <w:tabs>
          <w:tab w:leader="none" w:pos="1381"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its transfer agent and any subsequent transfer agent in a form acceptable to each of the Buyers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issue certificates or credit shares to the applicable balance accounts at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registered in the name of each Buyer or its respective nominee(s), for the Conversion Shares, the Interest Shares and the Warrant Shares in such amounts as specified from time to time by each Buyer to the Company upon conversion of the Notes or other issuance pursuant to the terms of the Notes or the exercise of the Warrants (as the case may be). The Company represents and warrants that no instruction other than the Irrevocable Transfer Agent Instructions referred to in this Section 5(b) will be given by the Company to its transfer agent with respect to the Securities, and that the Securities shall otherwise be freely transferable on the books and records of the Company. If a Buyer effects a sale, assignment or transfer of the Securities, the Company shall permit the transfer and, to the extent applicable, shall promptly instruct its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each Buyer. Accordingly, the Company acknowledges that the remedy at law for a breach of its obligations under this Section 5(b) will be inadequate and agrees, in the event of a breach or threatened breach by the Company of the provisions of this Section 5(b), that each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to the extent requested by such transfer agent. Any fees (with respect to the transfer agent, counsel to the Company or otherwise) associated with the issuance of such opinion shall be borne by the Company.</w:t>
      </w:r>
    </w:p>
    <w:p>
      <w:pPr>
        <w:spacing w:after="0" w:line="177" w:lineRule="exact"/>
        <w:rPr>
          <w:rFonts w:ascii="Arial" w:cs="Arial" w:eastAsia="Arial" w:hAnsi="Arial"/>
          <w:sz w:val="16"/>
          <w:szCs w:val="16"/>
          <w:color w:val="auto"/>
        </w:rPr>
      </w:pPr>
    </w:p>
    <w:p>
      <w:pPr>
        <w:ind w:left="1292" w:hanging="644"/>
        <w:spacing w:after="0"/>
        <w:tabs>
          <w:tab w:leader="none" w:pos="129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Certificates and any other instruments evidencing the Securities shall not bear any restrictive or other legend.</w:t>
      </w:r>
    </w:p>
    <w:p>
      <w:pPr>
        <w:spacing w:after="0" w:line="221" w:lineRule="exact"/>
        <w:rPr>
          <w:rFonts w:ascii="Arial" w:cs="Arial" w:eastAsia="Arial" w:hAnsi="Arial"/>
          <w:sz w:val="18"/>
          <w:szCs w:val="18"/>
          <w:color w:val="auto"/>
        </w:rPr>
      </w:pPr>
    </w:p>
    <w:p>
      <w:pPr>
        <w:ind w:left="592" w:hanging="592"/>
        <w:spacing w:after="0"/>
        <w:tabs>
          <w:tab w:leader="none" w:pos="592"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SELL.</w:t>
      </w:r>
    </w:p>
    <w:p>
      <w:pPr>
        <w:spacing w:after="0" w:line="229" w:lineRule="exact"/>
        <w:rPr>
          <w:rFonts w:ascii="Arial" w:cs="Arial" w:eastAsia="Arial" w:hAnsi="Arial"/>
          <w:sz w:val="18"/>
          <w:szCs w:val="18"/>
          <w:b w:val="1"/>
          <w:bCs w:val="1"/>
          <w:color w:val="auto"/>
        </w:rPr>
      </w:pPr>
    </w:p>
    <w:p>
      <w:pPr>
        <w:jc w:val="both"/>
        <w:ind w:left="-8" w:firstLine="656"/>
        <w:spacing w:after="0" w:line="264"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obligation of the Company hereunder to issue and sell the Notes and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28" w:name="page129"/>
    <w:bookmarkEnd w:id="128"/>
    <w:p>
      <w:pPr>
        <w:ind w:left="2612" w:hanging="667"/>
        <w:spacing w:after="0"/>
        <w:tabs>
          <w:tab w:leader="none" w:pos="261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Such Buyer shall have executed each of the other Transaction Documents to which it is a party and delivered the same to</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jc w:val="both"/>
        <w:ind w:left="652" w:firstLine="1293"/>
        <w:spacing w:after="0" w:line="264" w:lineRule="auto"/>
        <w:tabs>
          <w:tab w:leader="none" w:pos="264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Such Buyer and each other Buyer shall have delivered to the Company the Purchase Price (less, in the case of Iroquois, the amounts withheld pursuant to Section 4(j)) for the Notes and Warrants being purchased by such Buyer at the Closing by wire transfer of immediately available funds pursuant to the wire instructions provided by the Company.</w:t>
      </w:r>
    </w:p>
    <w:p>
      <w:pPr>
        <w:spacing w:after="0" w:line="181" w:lineRule="exact"/>
        <w:rPr>
          <w:rFonts w:ascii="Arial" w:cs="Arial" w:eastAsia="Arial" w:hAnsi="Arial"/>
          <w:sz w:val="18"/>
          <w:szCs w:val="18"/>
          <w:color w:val="auto"/>
        </w:rPr>
      </w:pPr>
    </w:p>
    <w:p>
      <w:pPr>
        <w:jc w:val="both"/>
        <w:ind w:left="652" w:firstLine="1293"/>
        <w:spacing w:after="0" w:line="257" w:lineRule="auto"/>
        <w:tabs>
          <w:tab w:leader="none" w:pos="2687"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84" w:lineRule="exact"/>
        <w:rPr>
          <w:rFonts w:ascii="Arial" w:cs="Arial" w:eastAsia="Arial" w:hAnsi="Arial"/>
          <w:sz w:val="18"/>
          <w:szCs w:val="18"/>
          <w:color w:val="auto"/>
        </w:rPr>
      </w:pPr>
    </w:p>
    <w:p>
      <w:pPr>
        <w:ind w:left="592" w:hanging="592"/>
        <w:spacing w:after="0"/>
        <w:tabs>
          <w:tab w:leader="none" w:pos="59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BUYER’S OBLIGATION TO PURCHASE.</w:t>
      </w:r>
    </w:p>
    <w:p>
      <w:pPr>
        <w:spacing w:after="0" w:line="229" w:lineRule="exact"/>
        <w:rPr>
          <w:rFonts w:ascii="Arial" w:cs="Arial" w:eastAsia="Arial" w:hAnsi="Arial"/>
          <w:sz w:val="18"/>
          <w:szCs w:val="18"/>
          <w:b w:val="1"/>
          <w:bCs w:val="1"/>
          <w:color w:val="auto"/>
        </w:rPr>
      </w:pPr>
    </w:p>
    <w:p>
      <w:pPr>
        <w:jc w:val="both"/>
        <w:ind w:left="-8" w:firstLine="656"/>
        <w:spacing w:after="0" w:line="264" w:lineRule="auto"/>
        <w:tabs>
          <w:tab w:leader="none" w:pos="143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obligation of each Buyer hereunder to purchase its Note and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81" w:lineRule="exact"/>
        <w:rPr>
          <w:rFonts w:ascii="Arial" w:cs="Arial" w:eastAsia="Arial" w:hAnsi="Arial"/>
          <w:sz w:val="18"/>
          <w:szCs w:val="18"/>
          <w:color w:val="auto"/>
        </w:rPr>
      </w:pPr>
    </w:p>
    <w:p>
      <w:pPr>
        <w:jc w:val="both"/>
        <w:ind w:left="652" w:firstLine="1293"/>
        <w:spacing w:after="0" w:line="257" w:lineRule="auto"/>
        <w:tabs>
          <w:tab w:leader="none" w:pos="2636"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Company and each Borrower Subsidiary (as the case may be) shall have duly executed and delivered to such Buyer each of the Transaction Documents to which it is a party and the Company shall have duly executed and delivered to such Buyer a Note (in such original principal amount as is set forth across from such Buyer’s name in column (3) on the Schedule of Buyers) and the related Warrants as is set forth across from such Buyer’s name in column (4) on the Schedule of Buyers, respectively), in each case, being purchased by such Buyer at the Closing pursuant to this Agreement.</w:t>
      </w:r>
    </w:p>
    <w:p>
      <w:pPr>
        <w:spacing w:after="0" w:line="188" w:lineRule="exact"/>
        <w:rPr>
          <w:rFonts w:ascii="Arial" w:cs="Arial" w:eastAsia="Arial" w:hAnsi="Arial"/>
          <w:sz w:val="18"/>
          <w:szCs w:val="18"/>
          <w:color w:val="auto"/>
        </w:rPr>
      </w:pPr>
    </w:p>
    <w:p>
      <w:pPr>
        <w:ind w:left="652" w:firstLine="1293"/>
        <w:spacing w:after="0" w:line="277" w:lineRule="auto"/>
        <w:tabs>
          <w:tab w:leader="none" w:pos="2735" w:val="left"/>
        </w:tabs>
        <w:numPr>
          <w:ilvl w:val="2"/>
          <w:numId w:val="169"/>
        </w:numPr>
        <w:rPr>
          <w:rFonts w:ascii="Arial" w:cs="Arial" w:eastAsia="Arial" w:hAnsi="Arial"/>
          <w:sz w:val="18"/>
          <w:szCs w:val="18"/>
          <w:color w:val="auto"/>
        </w:rPr>
      </w:pPr>
      <w:r>
        <w:rPr>
          <w:rFonts w:ascii="Arial" w:cs="Arial" w:eastAsia="Arial" w:hAnsi="Arial"/>
          <w:sz w:val="18"/>
          <w:szCs w:val="18"/>
          <w:color w:val="auto"/>
        </w:rPr>
        <w:t>Such Buyer shall have received the opinion of Mintz, Levin, Cohn, Ferris, Glovsky and Popeo, P.C., the Company’s counsel, dated as of the Closing Date, in the form previously provided to the Company.</w:t>
      </w:r>
    </w:p>
    <w:p>
      <w:pPr>
        <w:spacing w:after="0" w:line="170" w:lineRule="exact"/>
        <w:rPr>
          <w:rFonts w:ascii="Arial" w:cs="Arial" w:eastAsia="Arial" w:hAnsi="Arial"/>
          <w:sz w:val="18"/>
          <w:szCs w:val="18"/>
          <w:color w:val="auto"/>
        </w:rPr>
      </w:pPr>
    </w:p>
    <w:p>
      <w:pPr>
        <w:ind w:left="652" w:firstLine="1293"/>
        <w:spacing w:after="0" w:line="277" w:lineRule="auto"/>
        <w:tabs>
          <w:tab w:leader="none" w:pos="2633"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Trustee shall have duly executed and delivered to the Company and such Buyer the Indenture and the Supplemental Indenture. The Indenture and the Supplemental Indenture shall be qualified under the TIA.</w:t>
      </w:r>
    </w:p>
    <w:p>
      <w:pPr>
        <w:spacing w:after="0" w:line="170" w:lineRule="exact"/>
        <w:rPr>
          <w:rFonts w:ascii="Arial" w:cs="Arial" w:eastAsia="Arial" w:hAnsi="Arial"/>
          <w:sz w:val="18"/>
          <w:szCs w:val="18"/>
          <w:color w:val="auto"/>
        </w:rPr>
      </w:pPr>
    </w:p>
    <w:p>
      <w:pPr>
        <w:ind w:left="652" w:firstLine="1293"/>
        <w:spacing w:after="0" w:line="308" w:lineRule="auto"/>
        <w:tabs>
          <w:tab w:leader="none" w:pos="2730" w:val="left"/>
        </w:tabs>
        <w:numPr>
          <w:ilvl w:val="2"/>
          <w:numId w:val="169"/>
        </w:numPr>
        <w:rPr>
          <w:rFonts w:ascii="Arial" w:cs="Arial" w:eastAsia="Arial" w:hAnsi="Arial"/>
          <w:sz w:val="17"/>
          <w:szCs w:val="17"/>
          <w:color w:val="auto"/>
        </w:rPr>
      </w:pPr>
      <w:r>
        <w:rPr>
          <w:rFonts w:ascii="Arial" w:cs="Arial" w:eastAsia="Arial" w:hAnsi="Arial"/>
          <w:sz w:val="17"/>
          <w:szCs w:val="17"/>
          <w:color w:val="auto"/>
        </w:rPr>
        <w:t>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ANNEX I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9" w:name="page130"/>
    <w:bookmarkEnd w:id="129"/>
    <w:p>
      <w:pPr>
        <w:jc w:val="both"/>
        <w:ind w:left="-540" w:firstLine="1293"/>
        <w:spacing w:after="0" w:line="264" w:lineRule="auto"/>
        <w:tabs>
          <w:tab w:leader="none" w:pos="161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Closing Date.</w:t>
      </w:r>
    </w:p>
    <w:p>
      <w:pPr>
        <w:spacing w:after="0" w:line="181" w:lineRule="exact"/>
        <w:rPr>
          <w:rFonts w:ascii="Arial" w:cs="Arial" w:eastAsia="Arial" w:hAnsi="Arial"/>
          <w:sz w:val="18"/>
          <w:szCs w:val="18"/>
          <w:color w:val="auto"/>
        </w:rPr>
      </w:pPr>
    </w:p>
    <w:p>
      <w:pPr>
        <w:jc w:val="both"/>
        <w:ind w:left="-540" w:firstLine="1293"/>
        <w:spacing w:after="0" w:line="312" w:lineRule="auto"/>
        <w:tabs>
          <w:tab w:leader="none" w:pos="140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shall have delivered to such Buyer a certificate evidencing the Company’s and each Borrower Subsidiary’s qualification as a foreign corporation and good standing issued by the Secretary of State (or comparable office) of each jurisdiction in which the Company and each Borrower Subsidiary conducts business and is required to so qualify, as of a date within ten (10) days of the Closing Date.</w:t>
      </w:r>
    </w:p>
    <w:p>
      <w:pPr>
        <w:spacing w:after="0" w:line="146" w:lineRule="exact"/>
        <w:rPr>
          <w:rFonts w:ascii="Arial" w:cs="Arial" w:eastAsia="Arial" w:hAnsi="Arial"/>
          <w:sz w:val="16"/>
          <w:szCs w:val="16"/>
          <w:color w:val="auto"/>
        </w:rPr>
      </w:pPr>
    </w:p>
    <w:p>
      <w:pPr>
        <w:ind w:left="-540" w:firstLine="1293"/>
        <w:spacing w:after="0" w:line="277" w:lineRule="auto"/>
        <w:tabs>
          <w:tab w:leader="none" w:pos="146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Certificate of Incorporation as certified by the Secretary of State of Delaware within ten (10) days of the Closing Date.</w:t>
      </w:r>
    </w:p>
    <w:p>
      <w:pPr>
        <w:spacing w:after="0" w:line="170" w:lineRule="exact"/>
        <w:rPr>
          <w:rFonts w:ascii="Arial" w:cs="Arial" w:eastAsia="Arial" w:hAnsi="Arial"/>
          <w:sz w:val="18"/>
          <w:szCs w:val="18"/>
          <w:color w:val="auto"/>
        </w:rPr>
      </w:pPr>
    </w:p>
    <w:p>
      <w:pPr>
        <w:jc w:val="both"/>
        <w:ind w:left="-540" w:firstLine="1293"/>
        <w:spacing w:after="0" w:line="276" w:lineRule="auto"/>
        <w:tabs>
          <w:tab w:leader="none" w:pos="145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and each Borrower Subsidiary shall have delivered to such Buyer a certificate, in the form acceptable to such Buyer, executed by the Secretary of the Company and each Borrower Subsidiary and dated as of the Closing Date, as to (i) the resolutions consistent with Section 3(b) as adopted by the Company’s and each Borrower Subsidiary’s board of directors in a form reasonably acceptable to such Buyer, (ii) the Certificate of Incorporation of the Company and the organizational documents of each Borrower Subsidiary and (iii) the Bylaws of the Company and the bylaws of each Borrower Subsidiary, each as in effect at the Closing.</w:t>
      </w:r>
    </w:p>
    <w:p>
      <w:pPr>
        <w:spacing w:after="0" w:line="172" w:lineRule="exact"/>
        <w:rPr>
          <w:rFonts w:ascii="Arial" w:cs="Arial" w:eastAsia="Arial" w:hAnsi="Arial"/>
          <w:sz w:val="17"/>
          <w:szCs w:val="17"/>
          <w:color w:val="auto"/>
        </w:rPr>
      </w:pPr>
    </w:p>
    <w:p>
      <w:pPr>
        <w:jc w:val="both"/>
        <w:ind w:left="-540" w:firstLine="1293"/>
        <w:spacing w:after="0" w:line="291" w:lineRule="auto"/>
        <w:tabs>
          <w:tab w:leader="none" w:pos="146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Each and every representation and warranty of the Company shall be true and correct in all material respects (other than representations and warranties that are already qualified by materiality or Material Adverse Effect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67" w:lineRule="exact"/>
        <w:rPr>
          <w:rFonts w:ascii="Arial" w:cs="Arial" w:eastAsia="Arial" w:hAnsi="Arial"/>
          <w:sz w:val="16"/>
          <w:szCs w:val="16"/>
          <w:color w:val="auto"/>
        </w:rPr>
      </w:pPr>
    </w:p>
    <w:p>
      <w:pPr>
        <w:ind w:left="-540" w:firstLine="1293"/>
        <w:spacing w:after="0" w:line="277" w:lineRule="auto"/>
        <w:tabs>
          <w:tab w:leader="none" w:pos="15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Company’s transfer agent certifying the number of shares of Common Stock outstanding on the Business Day immediately prior to the Closing Date.</w:t>
      </w:r>
    </w:p>
    <w:p>
      <w:pPr>
        <w:spacing w:after="0" w:line="170" w:lineRule="exact"/>
        <w:rPr>
          <w:rFonts w:ascii="Arial" w:cs="Arial" w:eastAsia="Arial" w:hAnsi="Arial"/>
          <w:sz w:val="18"/>
          <w:szCs w:val="18"/>
          <w:color w:val="auto"/>
        </w:rPr>
      </w:pPr>
    </w:p>
    <w:p>
      <w:pPr>
        <w:jc w:val="both"/>
        <w:ind w:left="-540" w:firstLine="1293"/>
        <w:spacing w:after="0" w:line="259" w:lineRule="auto"/>
        <w:tabs>
          <w:tab w:leader="none" w:pos="151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Common Stock (I) shall be designated for quotation or listed on the Principal Market and (II) shall not have been suspended, as of the Closing Date, by the SEC or the Principal Market from trading on the Principal Market nor shall suspension by the SEC or the Principal Market have been threatened as of the Closing Date, either (A) in writing by the SEC or the Principal Market or (B) by falling below the minimum maintenance requirements of the Principal Market.</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ANNEX I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30" w:name="page131"/>
    <w:bookmarkEnd w:id="130"/>
    <w:p>
      <w:pPr>
        <w:ind w:left="-540" w:firstLine="1293"/>
        <w:spacing w:after="0" w:line="277" w:lineRule="auto"/>
        <w:tabs>
          <w:tab w:leader="none" w:pos="142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170" w:lineRule="exact"/>
        <w:rPr>
          <w:rFonts w:ascii="Arial" w:cs="Arial" w:eastAsia="Arial" w:hAnsi="Arial"/>
          <w:sz w:val="18"/>
          <w:szCs w:val="18"/>
          <w:color w:val="auto"/>
        </w:rPr>
      </w:pPr>
    </w:p>
    <w:p>
      <w:pPr>
        <w:jc w:val="both"/>
        <w:ind w:left="-540" w:firstLine="1293"/>
        <w:spacing w:after="0" w:line="264" w:lineRule="auto"/>
        <w:tabs>
          <w:tab w:leader="none" w:pos="14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81" w:lineRule="exact"/>
        <w:rPr>
          <w:rFonts w:ascii="Arial" w:cs="Arial" w:eastAsia="Arial" w:hAnsi="Arial"/>
          <w:sz w:val="18"/>
          <w:szCs w:val="18"/>
          <w:color w:val="auto"/>
        </w:rPr>
      </w:pPr>
    </w:p>
    <w:p>
      <w:pPr>
        <w:ind w:left="-540" w:firstLine="1293"/>
        <w:spacing w:after="0" w:line="277" w:lineRule="auto"/>
        <w:tabs>
          <w:tab w:leader="none" w:pos="137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reasonably would have or result in a Material Adverse Effect.</w:t>
      </w:r>
    </w:p>
    <w:p>
      <w:pPr>
        <w:spacing w:after="0" w:line="170" w:lineRule="exact"/>
        <w:rPr>
          <w:rFonts w:ascii="Arial" w:cs="Arial" w:eastAsia="Arial" w:hAnsi="Arial"/>
          <w:sz w:val="18"/>
          <w:szCs w:val="18"/>
          <w:color w:val="auto"/>
        </w:rPr>
      </w:pPr>
    </w:p>
    <w:p>
      <w:pPr>
        <w:jc w:val="both"/>
        <w:ind w:left="-540" w:firstLine="1293"/>
        <w:spacing w:after="0" w:line="273" w:lineRule="auto"/>
        <w:tabs>
          <w:tab w:leader="none" w:pos="157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 accordance with the terms of the Security Documents, the Company shall have delivered to such Buyer (i) the Subsidiary Notes, together with executed blank bond or other transfer powers, (ii) certificates representing the shares of capital stock or other equity ownership interests of each Subsidiary (other than the Borrower Subsidiaries) to the extent such subsidiary is a corporation or otherwise has certificated capital stock or other equity ownership interests, along with duly executed blank stock or other transfer powers, and (iii) appropriate financing statements on Form UCC-1 to be duly filed in such office or offices as may be necessary or, in the opinion of the Buyers, desirable to perfect the security interests purported to be created by the Subsidiary Notes and each Security Document.</w:t>
      </w:r>
    </w:p>
    <w:p>
      <w:pPr>
        <w:spacing w:after="0" w:line="178" w:lineRule="exact"/>
        <w:rPr>
          <w:rFonts w:ascii="Arial" w:cs="Arial" w:eastAsia="Arial" w:hAnsi="Arial"/>
          <w:sz w:val="17"/>
          <w:szCs w:val="17"/>
          <w:color w:val="auto"/>
        </w:rPr>
      </w:pPr>
    </w:p>
    <w:p>
      <w:pPr>
        <w:jc w:val="both"/>
        <w:ind w:left="-540" w:firstLine="1293"/>
        <w:spacing w:after="0" w:line="297" w:lineRule="auto"/>
        <w:tabs>
          <w:tab w:leader="none" w:pos="141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have delivered or caused to be delivered to each Buyer true copies of UCC search results, listing all effective financing statements which name as debtor the Company or any of its Subsidiaries filed in the prior five years to perfect an interest in any assets thereof, together with copies of such financing statements, none of which, except as otherwise agreed in writing by the Buyers, shall cover any of the Collateral (as defined in the Security Documents) and the results of searches for any tax lien and judgment lien filed against such Person or its property, which results, except as otherwise agreed to in writing by the Buyers shall not show any such Liens (as defined in the Security Documents).</w:t>
      </w:r>
    </w:p>
    <w:p>
      <w:pPr>
        <w:spacing w:after="0" w:line="158" w:lineRule="exact"/>
        <w:rPr>
          <w:rFonts w:ascii="Arial" w:cs="Arial" w:eastAsia="Arial" w:hAnsi="Arial"/>
          <w:sz w:val="16"/>
          <w:szCs w:val="16"/>
          <w:color w:val="auto"/>
        </w:rPr>
      </w:pPr>
    </w:p>
    <w:p>
      <w:pPr>
        <w:ind w:left="-540" w:right="20" w:firstLine="1293"/>
        <w:spacing w:after="0" w:line="277" w:lineRule="auto"/>
        <w:tabs>
          <w:tab w:leader="none" w:pos="150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Principal Market shall not have objected to the notification of additional listing provided by the Company with respect to the Conversion Shares and Interest Shares issuable pursuant to the Notes.</w:t>
      </w:r>
    </w:p>
    <w:p>
      <w:pPr>
        <w:spacing w:after="0" w:line="170" w:lineRule="exact"/>
        <w:rPr>
          <w:rFonts w:ascii="Arial" w:cs="Arial" w:eastAsia="Arial" w:hAnsi="Arial"/>
          <w:sz w:val="18"/>
          <w:szCs w:val="18"/>
          <w:color w:val="auto"/>
        </w:rPr>
      </w:pPr>
    </w:p>
    <w:p>
      <w:pPr>
        <w:ind w:left="-540" w:firstLine="1293"/>
        <w:spacing w:after="0" w:line="277" w:lineRule="auto"/>
        <w:tabs>
          <w:tab w:leader="none" w:pos="142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Such Buyer shall have received a letter on the letterhead of the Company, duly executed by an officer of the Company, setting forth the wire instructions of the Company.</w:t>
      </w:r>
    </w:p>
    <w:p>
      <w:pPr>
        <w:spacing w:after="0" w:line="170" w:lineRule="exact"/>
        <w:rPr>
          <w:rFonts w:ascii="Arial" w:cs="Arial" w:eastAsia="Arial" w:hAnsi="Arial"/>
          <w:sz w:val="18"/>
          <w:szCs w:val="18"/>
          <w:color w:val="auto"/>
        </w:rPr>
      </w:pPr>
    </w:p>
    <w:p>
      <w:pPr>
        <w:jc w:val="both"/>
        <w:ind w:left="-540" w:firstLine="1293"/>
        <w:spacing w:after="0" w:line="255" w:lineRule="auto"/>
        <w:tabs>
          <w:tab w:leader="none" w:pos="144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From the date hereof to the Closing Date, (i) trading in the Common Stock shall not have been suspended by the SEC or the Principal Market, and, (ii) at any time prior to the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200" w:lineRule="exact"/>
        <w:rPr>
          <w:sz w:val="20"/>
          <w:szCs w:val="20"/>
          <w:color w:val="auto"/>
        </w:rPr>
      </w:pPr>
    </w:p>
    <w:p>
      <w:pPr>
        <w:spacing w:after="0" w:line="20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ANNEX I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1" w:name="page132"/>
    <w:bookmarkEnd w:id="131"/>
    <w:p>
      <w:pPr>
        <w:jc w:val="both"/>
        <w:ind w:left="660" w:firstLine="1293"/>
        <w:spacing w:after="0" w:line="264" w:lineRule="auto"/>
        <w:tabs>
          <w:tab w:leader="none" w:pos="267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Registration Statement shall be effective and available for the issuance and sale of the Securities to be issued at the Closing hereunder and pursuant to the terms of the Notes and the Warrants and the Company shall have delivered to such Buyer the Prospectus and the Prospectus Supplement as required thereunder.</w:t>
      </w:r>
    </w:p>
    <w:p>
      <w:pPr>
        <w:spacing w:after="0" w:line="181" w:lineRule="exact"/>
        <w:rPr>
          <w:rFonts w:ascii="Arial" w:cs="Arial" w:eastAsia="Arial" w:hAnsi="Arial"/>
          <w:sz w:val="18"/>
          <w:szCs w:val="18"/>
          <w:color w:val="auto"/>
        </w:rPr>
      </w:pPr>
    </w:p>
    <w:p>
      <w:pPr>
        <w:ind w:left="660" w:firstLine="1293"/>
        <w:spacing w:after="0" w:line="277" w:lineRule="auto"/>
        <w:tabs>
          <w:tab w:leader="none" w:pos="268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66" w:lineRule="exact"/>
        <w:rPr>
          <w:rFonts w:ascii="Arial" w:cs="Arial" w:eastAsia="Arial" w:hAnsi="Arial"/>
          <w:sz w:val="18"/>
          <w:szCs w:val="18"/>
          <w:color w:val="auto"/>
        </w:rPr>
      </w:pPr>
    </w:p>
    <w:p>
      <w:pPr>
        <w:ind w:left="600" w:hanging="592"/>
        <w:spacing w:after="0"/>
        <w:tabs>
          <w:tab w:leader="none" w:pos="6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the Closing shall not have occurred with respect to a Buyer within five (5) days after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and the Warrants shall be applicable only to such Buyer providing such written notice, provided further that no such termination shall affect any obligation of the Company under this Agreement to reimburse such Buyer for the expenses described in Section 4(j)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78" w:lineRule="exact"/>
        <w:rPr>
          <w:sz w:val="20"/>
          <w:szCs w:val="20"/>
          <w:color w:val="auto"/>
        </w:rPr>
      </w:pPr>
    </w:p>
    <w:p>
      <w:pPr>
        <w:ind w:left="600" w:hanging="592"/>
        <w:spacing w:after="0"/>
        <w:tabs>
          <w:tab w:leader="none" w:pos="60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83" w:lineRule="auto"/>
        <w:tabs>
          <w:tab w:leader="none" w:pos="1582"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All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under any of the other Transaction Documents or in connection herewith or therewith or with any transaction contemplated hereby or thereby or discussed herein or therein,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Arial" w:cs="Arial" w:eastAsia="Arial" w:hAnsi="Arial"/>
          <w:sz w:val="16"/>
          <w:szCs w:val="16"/>
          <w:b w:val="1"/>
          <w:bCs w:val="1"/>
          <w:color w:val="auto"/>
        </w:rPr>
        <w:t>EACH PARTY HEREBY IRREVOCABLY WAIVES ANY RIGHT IT MAY HAVE</w:t>
      </w:r>
    </w:p>
    <w:p>
      <w:pPr>
        <w:spacing w:after="0" w:line="3"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AND AGREES NOT TO REQUEST, A JURY TRIAL FOR THE ADJUDICATION OF ANY DISPUTE HEREUNDER OR IN CONNECTION WITH OR ARISING OUT OF THIS AGREEMENT OR ANY TRANSACTION CONTEMPLATED HEREBY.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jc w:val="both"/>
        <w:ind w:left="-20" w:firstLine="656"/>
        <w:spacing w:after="0" w:line="257" w:lineRule="auto"/>
        <w:tabs>
          <w:tab w:leader="none" w:pos="1383"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electronic 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Arial" w:cs="Arial" w:eastAsia="Arial" w:hAnsi="Arial"/>
          <w:sz w:val="18"/>
          <w:szCs w:val="18"/>
          <w:color w:val="auto"/>
        </w:rPr>
      </w:pPr>
    </w:p>
    <w:p>
      <w:pPr>
        <w:jc w:val="both"/>
        <w:ind w:left="-20" w:firstLine="656"/>
        <w:spacing w:after="0" w:line="257" w:lineRule="auto"/>
        <w:tabs>
          <w:tab w:leader="none" w:pos="1332"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Headings; Gender</w:t>
      </w:r>
      <w:r>
        <w:rPr>
          <w:rFonts w:ascii="Arial" w:cs="Arial" w:eastAsia="Arial" w:hAnsi="Arial"/>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8" w:lineRule="exact"/>
        <w:rPr>
          <w:rFonts w:ascii="Arial" w:cs="Arial" w:eastAsia="Arial" w:hAnsi="Arial"/>
          <w:sz w:val="18"/>
          <w:szCs w:val="18"/>
          <w:color w:val="auto"/>
        </w:rPr>
      </w:pPr>
    </w:p>
    <w:p>
      <w:pPr>
        <w:jc w:val="both"/>
        <w:ind w:left="-20" w:firstLine="656"/>
        <w:spacing w:after="0" w:line="285" w:lineRule="auto"/>
        <w:tabs>
          <w:tab w:leader="none" w:pos="134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3" w:name="page134"/>
    <w:bookmarkEnd w:id="133"/>
    <w:p>
      <w:pPr>
        <w:jc w:val="both"/>
        <w:ind w:left="-20" w:firstLine="656"/>
        <w:spacing w:after="0" w:line="284" w:lineRule="auto"/>
        <w:tabs>
          <w:tab w:leader="none" w:pos="141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each of the Buyers. No waiver shall be effective unless it is in writing and signed by an authorized representative of the waiving party. No consideration shall be offered or paid to any Person to amend or consent to a waiver or modification of any provision of any of the Transaction Documents unless the same consideration also is offered to all of the parties to the Transaction Documents, all holders of the Notes or all holders of the Warrants (as the case may be).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(i)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(ii)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4" w:name="page135"/>
    <w:bookmarkEnd w:id="134"/>
    <w:p>
      <w:pPr>
        <w:jc w:val="both"/>
        <w:ind w:firstLine="656"/>
        <w:spacing w:after="0" w:line="279" w:lineRule="auto"/>
        <w:tabs>
          <w:tab w:leader="none" w:pos="1305"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or (iii) one (1) Business Day after deposit with an overnight courier service with next day delivery specified, in each case, properly addressed to the party to receive the same. The mailing addresses and electronic mail addresses for such communications shall be:</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(646) 532-6778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Exec@vringoinc.com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Andrew Perlman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Telephone: 212-692-6768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Attention: Kenneth R. Koch</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718-921-8210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admin5@amstock.com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Joe Alicia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to a Buyer, to its mailing address and electronic mail address set forth on the Schedule of Buyers, with copies to such Buyer’s representatives as set forth on the Schedule of Buyers,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Lowenstein Sandler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(973) 597-2382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jhogoboom@lowenstein.com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John. D. Hogoboom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8"/>
          <w:szCs w:val="18"/>
          <w:color w:val="auto"/>
        </w:rPr>
        <w:t>or to such other mailing address and/or electronic mail address and/or to the attention of such other Person as the recipient party has specified by written notice given to each other party five (5) days prior to the effectiveness of such change, provided that Lowenstein Sandler LLP shall only be provided copies of notices sent to Iroquois. Written or electronic mail confirmation of receipt (A) given by the recipient of such notice, consent, waiver or other communication, or (B) provided by an overnight courier service shall be rebuttable evidence of personal service or receipt from an overnight courier service in accordance with clause (i), (ii) or (iii) above, respectively.</w:t>
      </w:r>
    </w:p>
    <w:p>
      <w:pPr>
        <w:spacing w:after="0" w:line="188" w:lineRule="exact"/>
        <w:rPr>
          <w:sz w:val="20"/>
          <w:szCs w:val="20"/>
          <w:color w:val="auto"/>
        </w:rPr>
      </w:pPr>
    </w:p>
    <w:p>
      <w:pPr>
        <w:jc w:val="both"/>
        <w:ind w:firstLine="656"/>
        <w:spacing w:after="0" w:line="272" w:lineRule="auto"/>
        <w:tabs>
          <w:tab w:leader="none" w:pos="1389"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respective successors and assigns, including any assignee of any of the Securities. The Company shall not assign this Agreement or any rights or obligations hereunder without the prior written consent of each of the Buyers, including, without limitation, by way of a Fundamental Transaction (as defined in the Warrants) (unless the Company is in compliance with the applicable provisions governing Fundamental Transactions set forth in the Warrants) or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77" w:lineRule="exact"/>
        <w:rPr>
          <w:rFonts w:ascii="Arial" w:cs="Arial" w:eastAsia="Arial" w:hAnsi="Arial"/>
          <w:sz w:val="17"/>
          <w:szCs w:val="17"/>
          <w:color w:val="auto"/>
        </w:rPr>
      </w:pPr>
    </w:p>
    <w:p>
      <w:pPr>
        <w:ind w:firstLine="656"/>
        <w:spacing w:after="0" w:line="342" w:lineRule="auto"/>
        <w:tabs>
          <w:tab w:leader="none" w:pos="1335"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123" w:lineRule="exact"/>
        <w:rPr>
          <w:rFonts w:ascii="Arial" w:cs="Arial" w:eastAsia="Arial" w:hAnsi="Arial"/>
          <w:sz w:val="16"/>
          <w:szCs w:val="16"/>
          <w:color w:val="auto"/>
        </w:rPr>
      </w:pPr>
    </w:p>
    <w:p>
      <w:pPr>
        <w:ind w:firstLine="656"/>
        <w:spacing w:after="0" w:line="277" w:lineRule="auto"/>
        <w:tabs>
          <w:tab w:leader="none" w:pos="130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09"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ind w:left="664" w:hanging="664"/>
        <w:spacing w:after="0"/>
        <w:tabs>
          <w:tab w:leader="none" w:pos="66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3"/>
        <w:spacing w:after="0" w:line="284" w:lineRule="auto"/>
        <w:tabs>
          <w:tab w:leader="none" w:pos="213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or any Subsidiary in any of the Transaction Documents, (b) any breach of any covenant, agreement or obligation of the Company or any Subsidiary contained in any of the Transaction Documents, (c) any untrue statement or alleged untrue statement of a material fact contained, or incorporated by reference, in the Registration Statement or any amendment thereto or any omission or alleged omission to state therein, or in any document incorporated by reference therein, a material fact required to be stated therein or necessary to make the statements therein not misleading, (d) any untrue statement or alleged untrue statement of a material fact contained, or incorporated by reference, in the Prospectus, any Issuer Free Writing Prospectus, or in any amendment thereof or supplement thereto, or in any “issuer information” (as defined in Rule 433 under the Securities Act) of the Company, which “issuer information” is required to be, or is, filed with the Commission or otherwise contained in any Free Writing Prospectus, or any amendment or supplement thereto, or any omission or alleged omission to state therein, or in any document incorporated by reference therein, a material fact required to be stated therein or necessary to make the statements therein, in light of the circumstances under which they were made, not misleading, (e) any violation of United States federal or state securities laws or the rules and regulations of the Principal Market or any Eligible Market in connection with the transactions contemplated by this Agreement, the Warrants, the Indenture and the Notes by the Company or any of its Subsidiaries, affiliates, officers, directors or employees or (f)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(i) the execution, delivery, performance or enforcement of any of the Transaction Documents, (ii) any transaction financed or to be financed in whole or in part, directly or indirectly, with the proceeds of the issuance of the Securities, (iii) any disclosure properly made by such Buyer pursuant to Section 4(l), or (iv)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24"/>
        <w:spacing w:after="0"/>
        <w:rPr>
          <w:sz w:val="20"/>
          <w:szCs w:val="20"/>
          <w:color w:val="auto"/>
        </w:rPr>
      </w:pPr>
      <w:r>
        <w:rPr>
          <w:rFonts w:ascii="Arial" w:cs="Arial" w:eastAsia="Arial" w:hAnsi="Arial"/>
          <w:sz w:val="18"/>
          <w:szCs w:val="18"/>
          <w:color w:val="auto"/>
        </w:rPr>
        <w:t>ANNEX I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37" w:name="page138"/>
    <w:bookmarkEnd w:id="137"/>
    <w:p>
      <w:pPr>
        <w:jc w:val="both"/>
        <w:ind w:left="640" w:firstLine="1293"/>
        <w:spacing w:after="0" w:line="267" w:lineRule="auto"/>
        <w:tabs>
          <w:tab w:leader="none" w:pos="281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Promptly after receipt by an Indemnitee under this Section 9(k) of notice of the commencement of any action or proceeding (including any governmental action or proceeding) involving an Indemnified Liability, such Indemnitee shall, if a claim in respect thereof is to be made against the Company under this Section 9(k),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(i) the Company has agreed in writing to pay such fees and expenses; (ii) the Company shall have failed promptly to assume the defense of such Indemnified Liability and to employ counsel reasonably satisfactory to such Indemnitee in any such Indemnified Liability; or (iii)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(iii) above the Company shall not be responsible for the reasonable fees and expenses of more than one (1) separate legal counsel for such Indemnitee.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w:t>
      </w:r>
    </w:p>
    <w:p>
      <w:pPr>
        <w:spacing w:after="0" w:line="181" w:lineRule="exact"/>
        <w:rPr>
          <w:rFonts w:ascii="Arial" w:cs="Arial" w:eastAsia="Arial" w:hAnsi="Arial"/>
          <w:sz w:val="17"/>
          <w:szCs w:val="17"/>
          <w:color w:val="auto"/>
        </w:rPr>
      </w:pPr>
    </w:p>
    <w:p>
      <w:pPr>
        <w:ind w:left="640" w:firstLine="1293"/>
        <w:spacing w:after="0" w:line="277" w:lineRule="auto"/>
        <w:tabs>
          <w:tab w:leader="none" w:pos="263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indemnification required by this Section 9(k) shall be made by periodic payments of the amount thereof during the course of the investigation or defense, as and when bills are received or Indemnified Liabilities are incurred.</w:t>
      </w:r>
    </w:p>
    <w:p>
      <w:pPr>
        <w:spacing w:after="0" w:line="170" w:lineRule="exact"/>
        <w:rPr>
          <w:rFonts w:ascii="Arial" w:cs="Arial" w:eastAsia="Arial" w:hAnsi="Arial"/>
          <w:sz w:val="18"/>
          <w:szCs w:val="18"/>
          <w:color w:val="auto"/>
        </w:rPr>
      </w:pPr>
    </w:p>
    <w:p>
      <w:pPr>
        <w:ind w:left="640" w:firstLine="1293"/>
        <w:spacing w:after="0" w:line="277" w:lineRule="auto"/>
        <w:tabs>
          <w:tab w:leader="none" w:pos="279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indemnity agreement contained herein shall be in addition to (A) any cause of action or similar right of the Indemnitee against the Company or others, and (B) any liabilities the Company may be subject to pursuant to applicable law.</w:t>
      </w:r>
    </w:p>
    <w:p>
      <w:pPr>
        <w:spacing w:after="0" w:line="170" w:lineRule="exact"/>
        <w:rPr>
          <w:rFonts w:ascii="Arial" w:cs="Arial" w:eastAsia="Arial" w:hAnsi="Arial"/>
          <w:sz w:val="18"/>
          <w:szCs w:val="18"/>
          <w:color w:val="auto"/>
        </w:rPr>
      </w:pPr>
    </w:p>
    <w:p>
      <w:pPr>
        <w:jc w:val="both"/>
        <w:ind w:left="-20" w:firstLine="656"/>
        <w:spacing w:after="0" w:line="276" w:lineRule="auto"/>
        <w:tabs>
          <w:tab w:leader="none" w:pos="1302"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8" w:name="page139"/>
    <w:bookmarkEnd w:id="138"/>
    <w:p>
      <w:pPr>
        <w:jc w:val="both"/>
        <w:ind w:left="-20" w:firstLine="656"/>
        <w:spacing w:after="0" w:line="290" w:lineRule="auto"/>
        <w:tabs>
          <w:tab w:leader="none" w:pos="1379"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may prove to be inadequate relief to the Buyers. The Company therefore agrees that the Buyers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166" w:lineRule="exact"/>
        <w:rPr>
          <w:rFonts w:ascii="Arial" w:cs="Arial" w:eastAsia="Arial" w:hAnsi="Arial"/>
          <w:sz w:val="16"/>
          <w:szCs w:val="16"/>
          <w:color w:val="auto"/>
        </w:rPr>
      </w:pPr>
    </w:p>
    <w:p>
      <w:pPr>
        <w:jc w:val="both"/>
        <w:ind w:left="-20" w:firstLine="656"/>
        <w:spacing w:after="0" w:line="257" w:lineRule="auto"/>
        <w:tabs>
          <w:tab w:leader="none" w:pos="135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Withdrawal Right</w:t>
      </w:r>
      <w:r>
        <w:rPr>
          <w:rFonts w:ascii="Arial" w:cs="Arial" w:eastAsia="Arial" w:hAnsi="Arial"/>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8" w:lineRule="exact"/>
        <w:rPr>
          <w:rFonts w:ascii="Arial" w:cs="Arial" w:eastAsia="Arial" w:hAnsi="Arial"/>
          <w:sz w:val="18"/>
          <w:szCs w:val="18"/>
          <w:color w:val="auto"/>
        </w:rPr>
      </w:pPr>
    </w:p>
    <w:p>
      <w:pPr>
        <w:jc w:val="both"/>
        <w:ind w:left="-20" w:firstLine="656"/>
        <w:spacing w:after="0" w:line="287" w:lineRule="auto"/>
        <w:tabs>
          <w:tab w:leader="none" w:pos="1315"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9" w:name="page140"/>
    <w:bookmarkEnd w:id="139"/>
    <w:p>
      <w:pPr>
        <w:jc w:val="both"/>
        <w:ind w:left="-20" w:firstLine="656"/>
        <w:spacing w:after="0" w:line="255" w:lineRule="auto"/>
        <w:tabs>
          <w:tab w:leader="none" w:pos="135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Maximum Payments</w:t>
      </w:r>
      <w:r>
        <w:rPr>
          <w:rFonts w:ascii="Arial" w:cs="Arial" w:eastAsia="Arial" w:hAnsi="Arial"/>
          <w:sz w:val="18"/>
          <w:szCs w:val="18"/>
          <w:color w:val="auto"/>
        </w:rPr>
        <w:t>. Nothing contained in the Indenture, the Supplemental Indenture or any of the Notes shall be deemed to establish or require the payment of a rate of interest or other charges in excess of the maximum permitted by applicable law. In the event that the rate of interest required to be paid or other charges under any of the Notes exceeds the maximum permitted by such law, such rate and such charges, to the extent applicable, shall be automatically reduced to the maximum rate and charges, as applicable, permitted by applicable law, without further action by the parties hereto, and any payments or amounts actually received by the holder thereof in excess of such maximum shall be refunded to the Company, which refund may be accomplished, at the option of the Company, by credit against amounts owed by the Company to such holder or by actual return to the Company by such holder.</w:t>
      </w:r>
    </w:p>
    <w:p>
      <w:pPr>
        <w:spacing w:after="0" w:line="189" w:lineRule="exact"/>
        <w:rPr>
          <w:rFonts w:ascii="Arial" w:cs="Arial" w:eastAsia="Arial" w:hAnsi="Arial"/>
          <w:sz w:val="18"/>
          <w:szCs w:val="18"/>
          <w:color w:val="auto"/>
        </w:rPr>
      </w:pPr>
    </w:p>
    <w:p>
      <w:pPr>
        <w:jc w:val="both"/>
        <w:ind w:left="-20" w:firstLine="656"/>
        <w:spacing w:after="0" w:line="285" w:lineRule="auto"/>
        <w:tabs>
          <w:tab w:leader="none" w:pos="1288"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Independent Nature of Buyers’ Obligations and Rights</w:t>
      </w:r>
      <w:r>
        <w:rPr>
          <w:rFonts w:ascii="Arial" w:cs="Arial" w:eastAsia="Arial" w:hAnsi="Arial"/>
          <w:sz w:val="16"/>
          <w:szCs w:val="16"/>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72" w:lineRule="exact"/>
        <w:rPr>
          <w:rFonts w:ascii="Arial" w:cs="Arial" w:eastAsia="Arial" w:hAnsi="Arial"/>
          <w:sz w:val="16"/>
          <w:szCs w:val="16"/>
          <w:color w:val="auto"/>
        </w:rPr>
      </w:pPr>
    </w:p>
    <w:p>
      <w:pPr>
        <w:ind w:left="1260" w:hanging="624"/>
        <w:spacing w:after="0"/>
        <w:tabs>
          <w:tab w:leader="none" w:pos="12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293"/>
        <w:spacing w:after="0" w:line="272" w:lineRule="auto"/>
        <w:tabs>
          <w:tab w:leader="none" w:pos="267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If for the purpose of obtaining or enforcing judgment against the Company in any court in any jurisdiction it becomes necessary to convert into any other currency (such other currency being hereinafter in this Section 9(r)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U.S. Dollars under this Agreement or any other Transaction Document, the conversion shall be made at the Exchange Rate prevailing on the Trading Day immediately preceding: (1) the date actual payment of the amount due, in the case of any proceeding in the courts of Illinois or in the courts of any other jurisdiction that will give effect to such conversion being made on such date or (2) the date on which the foreign court determines, in the case of any proceeding in the courts of any other jurisdiction (the date as of which such conversion is made pursuant to this Section 9(r)(i) being hereinafter referred to as the “</w:t>
      </w:r>
      <w:r>
        <w:rPr>
          <w:rFonts w:ascii="Arial" w:cs="Arial" w:eastAsia="Arial" w:hAnsi="Arial"/>
          <w:sz w:val="17"/>
          <w:szCs w:val="17"/>
          <w:b w:val="1"/>
          <w:bCs w:val="1"/>
          <w:color w:val="auto"/>
        </w:rPr>
        <w:t>Judgment Conversion Date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0" w:name="page141"/>
    <w:bookmarkEnd w:id="140"/>
    <w:p>
      <w:pPr>
        <w:jc w:val="both"/>
        <w:ind w:left="-540" w:firstLine="1293"/>
        <w:spacing w:after="0" w:line="276" w:lineRule="auto"/>
        <w:tabs>
          <w:tab w:leader="none" w:pos="13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in the case of any proceeding in the court of any jurisdiction referred to in Section 9(r)(i)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2" w:lineRule="exact"/>
        <w:rPr>
          <w:rFonts w:ascii="Arial" w:cs="Arial" w:eastAsia="Arial" w:hAnsi="Arial"/>
          <w:sz w:val="17"/>
          <w:szCs w:val="17"/>
          <w:color w:val="auto"/>
        </w:rPr>
      </w:pPr>
    </w:p>
    <w:p>
      <w:pPr>
        <w:ind w:left="-540" w:firstLine="1293"/>
        <w:spacing w:after="0" w:line="308" w:lineRule="auto"/>
        <w:tabs>
          <w:tab w:leader="none" w:pos="152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4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ANNEX I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1" w:name="page142"/>
    <w:bookmarkEnd w:id="141"/>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IROQUOIS MASTER FUND LTD.</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3" w:name="page144"/>
    <w:bookmarkEnd w:id="143"/>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IROQUOIS CAPITAL INVESTMENT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GROUP LLC</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3"/>
          </w:tcPr>
          <w:p>
            <w:pPr>
              <w:ind w:left="1460"/>
              <w:spacing w:after="0"/>
              <w:rPr>
                <w:sz w:val="20"/>
                <w:szCs w:val="20"/>
                <w:color w:val="auto"/>
              </w:rPr>
            </w:pPr>
            <w:r>
              <w:rPr>
                <w:rFonts w:ascii="Arial" w:cs="Arial" w:eastAsia="Arial" w:hAnsi="Arial"/>
                <w:sz w:val="18"/>
                <w:szCs w:val="18"/>
                <w:b w:val="1"/>
                <w:bCs w:val="1"/>
                <w:color w:val="auto"/>
                <w:w w:val="99"/>
              </w:rPr>
              <w:t>SCHEDULE OF BUYERS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0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(1)</w:t>
            </w:r>
          </w:p>
        </w:tc>
        <w:tc>
          <w:tcPr>
            <w:tcW w:w="3220" w:type="dxa"/>
            <w:vAlign w:val="bottom"/>
            <w:gridSpan w:val="2"/>
          </w:tcPr>
          <w:p>
            <w:pPr>
              <w:ind w:left="156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Principal</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Amount of</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Buyer</w:t>
            </w:r>
          </w:p>
        </w:tc>
        <w:tc>
          <w:tcPr>
            <w:tcW w:w="120" w:type="dxa"/>
            <w:vAlign w:val="bottom"/>
          </w:tcPr>
          <w:p>
            <w:pPr>
              <w:spacing w:after="0"/>
              <w:rPr>
                <w:sz w:val="20"/>
                <w:szCs w:val="20"/>
                <w:color w:val="auto"/>
              </w:rPr>
            </w:pPr>
          </w:p>
        </w:tc>
        <w:tc>
          <w:tcPr>
            <w:tcW w:w="3100" w:type="dxa"/>
            <w:vAlign w:val="bottom"/>
          </w:tcPr>
          <w:p>
            <w:pPr>
              <w:ind w:left="440"/>
              <w:spacing w:after="0"/>
              <w:rPr>
                <w:sz w:val="20"/>
                <w:szCs w:val="20"/>
                <w:color w:val="auto"/>
              </w:rPr>
            </w:pPr>
            <w:r>
              <w:rPr>
                <w:rFonts w:ascii="Arial" w:cs="Arial" w:eastAsia="Arial" w:hAnsi="Arial"/>
                <w:sz w:val="18"/>
                <w:szCs w:val="18"/>
                <w:b w:val="1"/>
                <w:bCs w:val="1"/>
                <w:color w:val="auto"/>
              </w:rPr>
              <w:t>Address and E-mail Address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3"/>
              </w:rPr>
              <w:t>Notes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 Shares</w:t>
            </w: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Iroquois Master Fund Ltd.</w:t>
            </w:r>
          </w:p>
        </w:tc>
        <w:tc>
          <w:tcPr>
            <w:tcW w:w="3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205 East 42nd St- 20th Fl.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E-mail: JSilverman@icfund.com</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Iroquois Capital Investment Group</w:t>
            </w:r>
          </w:p>
        </w:tc>
        <w:tc>
          <w:tcPr>
            <w:tcW w:w="322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8"/>
                <w:szCs w:val="18"/>
                <w:color w:val="auto"/>
              </w:rPr>
              <w:t>205 East 42nd St- 20th Fl.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LLC</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E-mail: JSilverman@icfund.com</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1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12,500,000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SENIOR SECURED CONVERTIBLE NOTE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ANY TRANSFEREE OF THIS NOTE SHOULD CAREFULLY REVIEW THE TERMS OF THIS NOTE, INCLUDING SECTIONS 3(c)(iii) AND 18(a) HEREOF. THE PRINCIPAL AMOUNT REPRESENTED BY THIS NOTE AND, ACCORDINGLY, THE SECURITIES ISSUABLE UPON CONVERSION HEREOF MAY BE LESS THAN THE AMOUNTS SET FORTH ON THE FACE HEREOF PURSUANT TO SECTION 3(c)(iii) OF THIS NOTE.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ONVERTIBLE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ectPr>
          <w:pgSz w:w="11900" w:h="16838" w:orient="portrait"/>
          <w:cols w:equalWidth="0" w:num="1">
            <w:col w:w="11420"/>
          </w:cols>
          <w:pgMar w:left="240" w:top="715"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Issuance Date: May 4,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Original Principal Amount: U.S. $[_________]</w:t>
      </w:r>
    </w:p>
    <w:p>
      <w:pPr>
        <w:spacing w:after="0" w:line="200" w:lineRule="exact"/>
        <w:rPr>
          <w:sz w:val="20"/>
          <w:szCs w:val="20"/>
          <w:color w:val="auto"/>
        </w:rPr>
      </w:pPr>
    </w:p>
    <w:p>
      <w:pPr>
        <w:sectPr>
          <w:pgSz w:w="11900" w:h="16838" w:orient="portrait"/>
          <w:cols w:equalWidth="0" w:num="2">
            <w:col w:w="7300" w:space="720"/>
            <w:col w:w="3400"/>
          </w:cols>
          <w:pgMar w:left="240" w:top="715" w:right="23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 to the order of [________________] or</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its registered assigns (“</w:t>
      </w:r>
      <w:r>
        <w:rPr>
          <w:rFonts w:ascii="Arial" w:cs="Arial" w:eastAsia="Arial" w:hAnsi="Arial"/>
          <w:sz w:val="17"/>
          <w:szCs w:val="17"/>
          <w:b w:val="1"/>
          <w:bCs w:val="1"/>
          <w:color w:val="auto"/>
        </w:rPr>
        <w:t>Holder</w:t>
      </w:r>
      <w:r>
        <w:rPr>
          <w:rFonts w:ascii="Arial" w:cs="Arial" w:eastAsia="Arial" w:hAnsi="Arial"/>
          <w:sz w:val="17"/>
          <w:szCs w:val="17"/>
          <w:color w:val="auto"/>
        </w:rPr>
        <w:t>”) the amount set forth above as the Original Principal Amount (as reduced pursuant to the terms hereof pursuant to redemption, conversion or otherwise, the “</w:t>
      </w:r>
      <w:r>
        <w:rPr>
          <w:rFonts w:ascii="Arial" w:cs="Arial" w:eastAsia="Arial" w:hAnsi="Arial"/>
          <w:sz w:val="17"/>
          <w:szCs w:val="17"/>
          <w:b w:val="1"/>
          <w:bCs w:val="1"/>
          <w:color w:val="auto"/>
        </w:rPr>
        <w:t>Principal</w:t>
      </w:r>
      <w:r>
        <w:rPr>
          <w:rFonts w:ascii="Arial" w:cs="Arial" w:eastAsia="Arial" w:hAnsi="Arial"/>
          <w:sz w:val="17"/>
          <w:szCs w:val="17"/>
          <w:color w:val="auto"/>
        </w:rPr>
        <w:t>”) when due, whether upon the Maturity Date (as defined below), on any Installment Date with respect to the Installment Amount due on such Installment Date (each as defined below), or upon acceleration, redemption or otherwise (in each case in accordance with the terms hereof) and to pay interest (“</w:t>
      </w:r>
      <w:r>
        <w:rPr>
          <w:rFonts w:ascii="Arial" w:cs="Arial" w:eastAsia="Arial" w:hAnsi="Arial"/>
          <w:sz w:val="17"/>
          <w:szCs w:val="17"/>
          <w:b w:val="1"/>
          <w:bCs w:val="1"/>
          <w:color w:val="auto"/>
        </w:rPr>
        <w:t>Interest</w:t>
      </w:r>
      <w:r>
        <w:rPr>
          <w:rFonts w:ascii="Arial" w:cs="Arial" w:eastAsia="Arial" w:hAnsi="Arial"/>
          <w:sz w:val="17"/>
          <w:szCs w:val="17"/>
          <w:color w:val="auto"/>
        </w:rPr>
        <w:t>”) on any outstanding Principal at the applicable Interest Rate (as defined below) from the date set forth above as the Issuance Date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same becomes due and payable, whether upon the Maturity Date, any Installment Date with respect to the Installment Amount due on such Installment Date, or upon acceleration, conversion, redemption or otherwise (in each case in accordance with the terms hereof). This Senior Secured Convertible Note (including all Senior Secured Convertible Notes issued in exchange, transfer or replacement hereof, this “</w:t>
      </w:r>
      <w:r>
        <w:rPr>
          <w:rFonts w:ascii="Arial" w:cs="Arial" w:eastAsia="Arial" w:hAnsi="Arial"/>
          <w:sz w:val="17"/>
          <w:szCs w:val="17"/>
          <w:b w:val="1"/>
          <w:bCs w:val="1"/>
          <w:color w:val="auto"/>
        </w:rPr>
        <w:t>Note</w:t>
      </w:r>
      <w:r>
        <w:rPr>
          <w:rFonts w:ascii="Arial" w:cs="Arial" w:eastAsia="Arial" w:hAnsi="Arial"/>
          <w:sz w:val="17"/>
          <w:szCs w:val="17"/>
          <w:color w:val="auto"/>
        </w:rPr>
        <w:t>”) is one of an issue of Senior Secured Convertible Notes (collectively, the “</w:t>
      </w:r>
      <w:r>
        <w:rPr>
          <w:rFonts w:ascii="Arial" w:cs="Arial" w:eastAsia="Arial" w:hAnsi="Arial"/>
          <w:sz w:val="17"/>
          <w:szCs w:val="17"/>
          <w:b w:val="1"/>
          <w:bCs w:val="1"/>
          <w:color w:val="auto"/>
        </w:rPr>
        <w:t>Notes</w:t>
      </w:r>
      <w:r>
        <w:rPr>
          <w:rFonts w:ascii="Arial" w:cs="Arial" w:eastAsia="Arial" w:hAnsi="Arial"/>
          <w:sz w:val="17"/>
          <w:szCs w:val="17"/>
          <w:color w:val="auto"/>
        </w:rPr>
        <w:t>”) issued pursuant to (i) the Indenture, (ii) the Supplemental Indenture, (iii) the Securities Purchase Agreement and (iv) the Company’s Registration Statement on Form S-3 (File number 333-182823). Certain capitalized terms used herein are defined in Section 28.</w:t>
      </w:r>
    </w:p>
    <w:p>
      <w:pPr>
        <w:spacing w:after="0" w:line="180" w:lineRule="exact"/>
        <w:rPr>
          <w:sz w:val="20"/>
          <w:szCs w:val="20"/>
          <w:color w:val="auto"/>
        </w:rPr>
      </w:pPr>
    </w:p>
    <w:p>
      <w:pPr>
        <w:jc w:val="both"/>
        <w:ind w:firstLine="1305"/>
        <w:spacing w:after="0" w:line="297" w:lineRule="auto"/>
        <w:tabs>
          <w:tab w:leader="none" w:pos="1891"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PAYMENTS OF PRINCIPAL</w:t>
      </w:r>
      <w:r>
        <w:rPr>
          <w:rFonts w:ascii="Arial" w:cs="Arial" w:eastAsia="Arial" w:hAnsi="Arial"/>
          <w:sz w:val="16"/>
          <w:szCs w:val="16"/>
          <w:color w:val="auto"/>
        </w:rPr>
        <w:t>. On each Installment Date (which includes the Maturity Date), the Company shall pay to the Holder an amount equal to the Installment Amount due on such Installment Date in accordance with Section 8. On the Maturity Date, the Company shall pay to the Holder an amount in cash, shares of Common Stock, or a combination thereof, representing all outstanding Principal, accrued and unpaid Interest and accrued and unpaid Late Charges (as defined below), if any,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46" w:name="page147"/>
    <w:bookmarkEnd w:id="146"/>
    <w:p>
      <w:pPr>
        <w:ind w:left="624" w:hanging="624"/>
        <w:spacing w:after="0"/>
        <w:tabs>
          <w:tab w:leader="none" w:pos="62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39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Interest on this Note shall commence accruing on the Issuance Date and shall be computed on the basis of a 360-day year and twelve 30-day months, shall compound on each Interest Date, and shall be payable in arrears quarterly on each Interest Date with the first Interest Date being July 1, 2015. Interest shall be payable on each Interest Date, to the record holder of this Note on the applicable Interest Date, in shares of Common Stock (“</w:t>
      </w:r>
      <w:r>
        <w:rPr>
          <w:rFonts w:ascii="Arial" w:cs="Arial" w:eastAsia="Arial" w:hAnsi="Arial"/>
          <w:sz w:val="16"/>
          <w:szCs w:val="16"/>
          <w:b w:val="1"/>
          <w:bCs w:val="1"/>
          <w:color w:val="auto"/>
        </w:rPr>
        <w:t>Interest Shares</w:t>
      </w:r>
      <w:r>
        <w:rPr>
          <w:rFonts w:ascii="Arial" w:cs="Arial" w:eastAsia="Arial" w:hAnsi="Arial"/>
          <w:sz w:val="16"/>
          <w:szCs w:val="16"/>
          <w:color w:val="auto"/>
        </w:rPr>
        <w:t>”, and each such Interest Date in which Interest Shares are to paid hereunder, an “</w:t>
      </w:r>
      <w:r>
        <w:rPr>
          <w:rFonts w:ascii="Arial" w:cs="Arial" w:eastAsia="Arial" w:hAnsi="Arial"/>
          <w:sz w:val="16"/>
          <w:szCs w:val="16"/>
          <w:b w:val="1"/>
          <w:bCs w:val="1"/>
          <w:color w:val="auto"/>
        </w:rPr>
        <w:t>Interest 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Deadline</w:t>
      </w:r>
      <w:r>
        <w:rPr>
          <w:rFonts w:ascii="Arial" w:cs="Arial" w:eastAsia="Arial" w:hAnsi="Arial"/>
          <w:sz w:val="16"/>
          <w:szCs w:val="16"/>
          <w:color w:val="auto"/>
        </w:rPr>
        <w:t>”) so long as there has been no Equity Conditions Failure; provided however, that the Company may, at its option following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 pay Interest on any Interest Date in cash (“</w:t>
      </w:r>
      <w:r>
        <w:rPr>
          <w:rFonts w:ascii="Arial" w:cs="Arial" w:eastAsia="Arial" w:hAnsi="Arial"/>
          <w:sz w:val="16"/>
          <w:szCs w:val="16"/>
          <w:b w:val="1"/>
          <w:bCs w:val="1"/>
          <w:color w:val="auto"/>
        </w:rPr>
        <w:t>Cash Interest</w:t>
      </w:r>
      <w:r>
        <w:rPr>
          <w:rFonts w:ascii="Arial" w:cs="Arial" w:eastAsia="Arial" w:hAnsi="Arial"/>
          <w:sz w:val="16"/>
          <w:szCs w:val="16"/>
          <w:color w:val="auto"/>
        </w:rPr>
        <w:t>”) or in a combination of Cash Interest and Interest Shares. The Company</w:t>
      </w:r>
    </w:p>
    <w:p>
      <w:pPr>
        <w:spacing w:after="0" w:line="5" w:lineRule="exact"/>
        <w:rPr>
          <w:sz w:val="20"/>
          <w:szCs w:val="20"/>
          <w:color w:val="auto"/>
        </w:rPr>
      </w:pPr>
    </w:p>
    <w:p>
      <w:pPr>
        <w:jc w:val="both"/>
        <w:ind w:left="4"/>
        <w:spacing w:after="0" w:line="276" w:lineRule="auto"/>
        <w:rPr>
          <w:sz w:val="20"/>
          <w:szCs w:val="20"/>
          <w:color w:val="auto"/>
        </w:rPr>
      </w:pPr>
      <w:r>
        <w:rPr>
          <w:rFonts w:ascii="Arial" w:cs="Arial" w:eastAsia="Arial" w:hAnsi="Arial"/>
          <w:sz w:val="16"/>
          <w:szCs w:val="16"/>
          <w:color w:val="auto"/>
        </w:rPr>
        <w:t>shall deliver a written notice (each, an “</w:t>
      </w:r>
      <w:r>
        <w:rPr>
          <w:rFonts w:ascii="Arial" w:cs="Arial" w:eastAsia="Arial" w:hAnsi="Arial"/>
          <w:sz w:val="16"/>
          <w:szCs w:val="16"/>
          <w:b w:val="1"/>
          <w:bCs w:val="1"/>
          <w:color w:val="auto"/>
        </w:rPr>
        <w:t>Interest Election Notice</w:t>
      </w:r>
      <w:r>
        <w:rPr>
          <w:rFonts w:ascii="Arial" w:cs="Arial" w:eastAsia="Arial" w:hAnsi="Arial"/>
          <w:sz w:val="16"/>
          <w:szCs w:val="16"/>
          <w:color w:val="auto"/>
        </w:rPr>
        <w:t>”) to each holder of the Notes on or prior to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prior to the applicable Interest Date (the “</w:t>
      </w:r>
      <w:r>
        <w:rPr>
          <w:rFonts w:ascii="Arial" w:cs="Arial" w:eastAsia="Arial" w:hAnsi="Arial"/>
          <w:sz w:val="16"/>
          <w:szCs w:val="16"/>
          <w:b w:val="1"/>
          <w:bCs w:val="1"/>
          <w:color w:val="auto"/>
        </w:rPr>
        <w:t>Interest Notice Due Date</w:t>
      </w:r>
      <w:r>
        <w:rPr>
          <w:rFonts w:ascii="Arial" w:cs="Arial" w:eastAsia="Arial" w:hAnsi="Arial"/>
          <w:sz w:val="16"/>
          <w:szCs w:val="16"/>
          <w:color w:val="auto"/>
        </w:rPr>
        <w:t>”, and the date such notice is delivered to all of the holders of Notes, the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Notice Date</w:t>
      </w:r>
      <w:r>
        <w:rPr>
          <w:rFonts w:ascii="Arial" w:cs="Arial" w:eastAsia="Arial" w:hAnsi="Arial"/>
          <w:sz w:val="16"/>
          <w:szCs w:val="16"/>
          <w:color w:val="auto"/>
        </w:rPr>
        <w:t>”) which notice (i) either (A) confirms that Interest to be paid on such Interest Date shall be paid entirely in Interest Shares or (B) elects</w:t>
      </w:r>
      <w:r>
        <w:rPr>
          <w:rFonts w:ascii="Arial" w:cs="Arial" w:eastAsia="Arial" w:hAnsi="Arial"/>
          <w:sz w:val="16"/>
          <w:szCs w:val="16"/>
          <w:b w:val="1"/>
          <w:bCs w:val="1"/>
          <w:color w:val="auto"/>
        </w:rPr>
        <w:t xml:space="preserve"> </w:t>
      </w:r>
      <w:r>
        <w:rPr>
          <w:rFonts w:ascii="Arial" w:cs="Arial" w:eastAsia="Arial" w:hAnsi="Arial"/>
          <w:sz w:val="16"/>
          <w:szCs w:val="16"/>
          <w:color w:val="auto"/>
        </w:rPr>
        <w:t>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the applicable Interest Notice shall state either (x) the Company has elected to pay such Interest as Cash Interest or (y) the Company is seeking the consent of the Holder to waive the Equity Conditions Failure to permit the payment of such Interest, in whole or in part, as specified by the Company in such Interest Notice, in Interest Shares; provided, that if the Holder does not waive such Equity Conditions Failure, such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Interest Conversion Price in effect on the applicable Interest Date. If the Company fails to deliver an Interest Election Notice with respect to an Interest Date on or prior to the applicable Interest Notice Due Date, the Company shall be deemed to have delivered an Interest Election Notice confirming that Interest to be paid on such Interest Date shall be paid entirely in Interest Shares and certifying that no Equity Conditions Failure then exists.</w:t>
      </w:r>
    </w:p>
    <w:p>
      <w:pPr>
        <w:spacing w:after="0" w:line="200" w:lineRule="exact"/>
        <w:rPr>
          <w:sz w:val="20"/>
          <w:szCs w:val="20"/>
          <w:color w:val="auto"/>
        </w:rPr>
      </w:pPr>
    </w:p>
    <w:p>
      <w:pPr>
        <w:spacing w:after="0" w:line="203"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ANNEX 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7" w:name="page148"/>
    <w:bookmarkEnd w:id="147"/>
    <w:p>
      <w:pPr>
        <w:jc w:val="both"/>
        <w:ind w:left="560" w:firstLine="725"/>
        <w:spacing w:after="0" w:line="285" w:lineRule="auto"/>
        <w:tabs>
          <w:tab w:leader="none" w:pos="1905"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When any Interest Shares are to be paid on an Interest Date, the Company shall (i) (A) provided that the Company’s Transfer Agent (as defined below) is participating in the DTC (as defined below) Fast Automated Securities Transfer Program, credit such aggregate number of Interest Shares to which the Holder shall be entitled to the Holder’s or its designee’s balance account with DTC through its Deposit/Withdrawal at Custodian system, or (B) if the Transfer Agent is not participating in the DTC Fast Automated Securities Transfer Program, issue and deliver on the applicable Interest Date, to the address set forth in the register maintained by the Company for such purpose pursuant to the Securities Purchase Agreement or to such address as specified by the Holder in writing to the Company at least three (3) Business Days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 The Company shall not issue any fraction of a share of Common Stock upon any issuance of Interest Shares on any Interest Date. If the issuance would result in the issuance of a fraction of a share of Common Stock, the Company shall round such fraction of a share of Common Stock up to the nearest whole share. In addition to Holder’s right to pursue any remedies available to it hereunder, at law or in equity, including, without limitation, a decree of specific performance and/or injunctive relief with respect to the Company’s failure to timely deliver certificates representing Interest Shares (or to electronically deliver such Interest Shares), any failure by the Company to timely deliver Interest Shares to the Holder (or its designee) on an Interest Date shall be subject to the provisions of Section 3(c)(ii) below. When any Interest Shares are to be paid on an Interest Date, notwithstanding anything in the Indenture or the Supplemental Indenture to the contrary, such Interest Shares shall be delivered directly to, or to the account of, the Holder as provided above and the Company shall provide written notice to the Trustee that such Interest Shares have been delivered in full or partial satisfaction of the Company’s obligation to pay interest on this Note for the relevant interest period. The Trustee shall be entitled to absolutely rely on such notice without further inquiry or investigation.</w:t>
      </w:r>
    </w:p>
    <w:p>
      <w:pPr>
        <w:spacing w:after="0" w:line="391" w:lineRule="exact"/>
        <w:rPr>
          <w:rFonts w:ascii="Arial" w:cs="Arial" w:eastAsia="Arial" w:hAnsi="Arial"/>
          <w:sz w:val="16"/>
          <w:szCs w:val="16"/>
          <w:color w:val="auto"/>
        </w:rPr>
      </w:pPr>
    </w:p>
    <w:p>
      <w:pPr>
        <w:jc w:val="both"/>
        <w:ind w:left="640" w:firstLine="645"/>
        <w:spacing w:after="0" w:line="288" w:lineRule="auto"/>
        <w:tabs>
          <w:tab w:leader="none" w:pos="199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Prior to the payment of Interest on an Interest Date, the Maturity Date or any applicable Redemption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(as defined below). From and after the occurrence and during the continuance of any Event of Default, the Interest Rate shall automatically be increased to sixteen and on-half percent (16.5%) per annum. In the event that such Event of Default is subsequently cured,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 The Company shall pay any and all transfer, stamp, issuance and similar taxes, costs and expenses (including, without limitation, fees and expenses of the Transfer Agent (as defined below) and the Trustee) that may be payable with respect to the issuance and delivery of shares of Common Stock issuable hereunder.</w:t>
      </w:r>
    </w:p>
    <w:p>
      <w:pPr>
        <w:spacing w:after="0" w:line="169" w:lineRule="exact"/>
        <w:rPr>
          <w:rFonts w:ascii="Arial" w:cs="Arial" w:eastAsia="Arial" w:hAnsi="Arial"/>
          <w:sz w:val="16"/>
          <w:szCs w:val="16"/>
          <w:color w:val="auto"/>
        </w:rPr>
      </w:pPr>
    </w:p>
    <w:p>
      <w:pPr>
        <w:ind w:left="-20" w:firstLine="656"/>
        <w:spacing w:after="0" w:line="277" w:lineRule="auto"/>
        <w:tabs>
          <w:tab w:leader="none" w:pos="1236"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CONVERSION OF NOTES</w:t>
      </w:r>
      <w:r>
        <w:rPr>
          <w:rFonts w:ascii="Arial" w:cs="Arial" w:eastAsia="Arial" w:hAnsi="Arial"/>
          <w:sz w:val="18"/>
          <w:szCs w:val="18"/>
          <w:color w:val="auto"/>
        </w:rPr>
        <w:t>. This Note shall be convertible into validly issued, fully paid and non-assessable shares of Common Stock (as defined below), on the terms and conditions set forth in this Section 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8" w:name="page149"/>
    <w:bookmarkEnd w:id="148"/>
    <w:p>
      <w:pPr>
        <w:jc w:val="both"/>
        <w:ind w:left="-320" w:firstLine="645"/>
        <w:spacing w:after="0" w:line="291" w:lineRule="auto"/>
        <w:tabs>
          <w:tab w:leader="none" w:pos="973"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Conversion Right</w:t>
      </w:r>
      <w:r>
        <w:rPr>
          <w:rFonts w:ascii="Arial" w:cs="Arial" w:eastAsia="Arial" w:hAnsi="Arial"/>
          <w:sz w:val="16"/>
          <w:szCs w:val="16"/>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and the Trustee) that may be payable with respect to the issuance and delivery of Common Stock upon conversion of any Conversion Amount.</w:t>
      </w:r>
    </w:p>
    <w:p>
      <w:pPr>
        <w:spacing w:after="0" w:line="167" w:lineRule="exact"/>
        <w:rPr>
          <w:rFonts w:ascii="Arial" w:cs="Arial" w:eastAsia="Arial" w:hAnsi="Arial"/>
          <w:sz w:val="16"/>
          <w:szCs w:val="16"/>
          <w:color w:val="auto"/>
        </w:rPr>
      </w:pPr>
    </w:p>
    <w:p>
      <w:pPr>
        <w:ind w:left="940" w:hanging="615"/>
        <w:spacing w:after="0"/>
        <w:tabs>
          <w:tab w:leader="none" w:pos="9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Conversion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73"/>
        <w:spacing w:after="0" w:line="277" w:lineRule="auto"/>
        <w:tabs>
          <w:tab w:leader="none" w:pos="1652"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number of shares of Common Stock issuable upon conversion of any Conversion Amount pursuant to Section 3(a) shall be determined by dividing (x) such Conversion Amount by (y) the Conversion Price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980" w:firstLine="641"/>
        <w:spacing w:after="0" w:line="289" w:lineRule="auto"/>
        <w:tabs>
          <w:tab w:leader="none" w:pos="2243" w:val="left"/>
        </w:tabs>
        <w:numPr>
          <w:ilvl w:val="2"/>
          <w:numId w:val="1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Amount</w:t>
      </w:r>
      <w:r>
        <w:rPr>
          <w:rFonts w:ascii="Arial" w:cs="Arial" w:eastAsia="Arial" w:hAnsi="Arial"/>
          <w:sz w:val="17"/>
          <w:szCs w:val="17"/>
          <w:color w:val="auto"/>
        </w:rPr>
        <w:t>” means the portion of the Principal to be converted, redeemed or otherwise with respect to which this determination is being made, plus all accrued and unpaid Interest with respect to such portion of the Principal amount and accrued and unpaid Late Charges with respect to such portion of such Principal and such Interest.</w:t>
      </w:r>
    </w:p>
    <w:p>
      <w:pPr>
        <w:spacing w:after="0" w:line="158" w:lineRule="exact"/>
        <w:rPr>
          <w:rFonts w:ascii="Arial" w:cs="Arial" w:eastAsia="Arial" w:hAnsi="Arial"/>
          <w:sz w:val="17"/>
          <w:szCs w:val="17"/>
          <w:color w:val="auto"/>
        </w:rPr>
      </w:pPr>
    </w:p>
    <w:p>
      <w:pPr>
        <w:ind w:left="980" w:right="20" w:firstLine="641"/>
        <w:spacing w:after="0" w:line="282" w:lineRule="auto"/>
        <w:tabs>
          <w:tab w:leader="none" w:pos="2513" w:val="left"/>
        </w:tabs>
        <w:numPr>
          <w:ilvl w:val="2"/>
          <w:numId w:val="1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Conversion Date or other date of determination, $1.00, subject to adjustment as provided herein.</w:t>
      </w:r>
    </w:p>
    <w:p>
      <w:pPr>
        <w:spacing w:after="0" w:line="165" w:lineRule="exact"/>
        <w:rPr>
          <w:rFonts w:ascii="Arial" w:cs="Arial" w:eastAsia="Arial" w:hAnsi="Arial"/>
          <w:sz w:val="18"/>
          <w:szCs w:val="18"/>
          <w:color w:val="auto"/>
        </w:rPr>
      </w:pPr>
    </w:p>
    <w:p>
      <w:pPr>
        <w:ind w:left="920" w:hanging="595"/>
        <w:spacing w:after="0"/>
        <w:tabs>
          <w:tab w:leader="none" w:pos="9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73"/>
        <w:spacing w:after="0" w:line="284" w:lineRule="auto"/>
        <w:tabs>
          <w:tab w:leader="none" w:pos="1547"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Optional Conversion Prior to Maturity Date</w:t>
      </w:r>
      <w:r>
        <w:rPr>
          <w:rFonts w:ascii="Arial" w:cs="Arial" w:eastAsia="Arial" w:hAnsi="Arial"/>
          <w:sz w:val="16"/>
          <w:szCs w:val="16"/>
          <w:color w:val="auto"/>
        </w:rPr>
        <w:t>. To convert any Conversion Amount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deliver (whether via electronic mail or otherwise), for receipt on or prior to 11:59 p.m., New York time, on such date, a copy of an executed notice of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and the Trustee. If required by Section 3(c)(iii), within three (3) Trading Days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18(b)). On or before 5:00 p.m, New York time, on the</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first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Trading Day following the date of receipt of a Conversion Notice, the Company shall transmit by electronic mail an acknowledgment of confirmation, in the form attached hereto as </w:t>
      </w:r>
      <w:r>
        <w:rPr>
          <w:rFonts w:ascii="Arial" w:cs="Arial" w:eastAsia="Arial" w:hAnsi="Arial"/>
          <w:sz w:val="16"/>
          <w:szCs w:val="16"/>
          <w:u w:val="single" w:color="auto"/>
          <w:color w:val="auto"/>
        </w:rPr>
        <w:t>Exhibit II</w:t>
      </w:r>
      <w:r>
        <w:rPr>
          <w:rFonts w:ascii="Arial" w:cs="Arial" w:eastAsia="Arial" w:hAnsi="Arial"/>
          <w:sz w:val="16"/>
          <w:szCs w:val="16"/>
          <w:color w:val="auto"/>
        </w:rPr>
        <w:t>, of receipt of such Conversion Notice to the Holder, the Trustee and the Company’s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of a Conversion Notice, the Company shall (1) provided that the Transfer Agent is participating in The Depository Trust Company’s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(via reputable overnight courier) to the address as specified in the Conversion Notice, a certificate, registered in the name of the Holder or its designee, for the number of shares of Common Stock to which the Holder shall be entitled. If this Note is physically surrendered for conversion pursuant to Section 3(c)(iii) and the outstanding Principal of this Note is greater than the Principal portion of the Conversion Amount being converted, then the Company shall as soon as practicable and in no event later than five (5) Business Days after receipt of this Note and at its own expense, issue and, following authentication of such new Note, deliver to the Holder (or its designee) a new Note (in accordance with Section 18(d))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Principal amount converted shall be deducted from the Installment Amount(s) relating to the Installment Date(s) as set forth in the applicable Conversion Notice.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ANNEX 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9" w:right="239" w:bottom="1440" w:gutter="0" w:footer="0" w:header="0"/>
        </w:sectPr>
      </w:pPr>
    </w:p>
    <w:bookmarkStart w:id="149" w:name="page150"/>
    <w:bookmarkEnd w:id="149"/>
    <w:p>
      <w:pPr>
        <w:jc w:val="both"/>
        <w:ind w:firstLine="973"/>
        <w:spacing w:after="0" w:line="285" w:lineRule="auto"/>
        <w:tabs>
          <w:tab w:leader="none" w:pos="1678"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Convert</w:t>
      </w:r>
      <w:r>
        <w:rPr>
          <w:rFonts w:ascii="Arial" w:cs="Arial" w:eastAsia="Arial" w:hAnsi="Arial"/>
          <w:sz w:val="16"/>
          <w:szCs w:val="16"/>
          <w:color w:val="auto"/>
        </w:rPr>
        <w:t>. If the Company shall fail, for any reason or for no reason, to issue to the Holder within three (3) Trading Days after the Company’s receipt of a Conversion Notice (whether via electronic mail or otherwise), a certificate for the number of shares of Common Stock to which the Holder is entitled and register such shares of Common Stock on the Company’s share register or to credit the Holder’s or its designee’s balance account with DTC for such number of shares of Common Stock to which the Holder is entitled upon the Holder’s conversion of any Conversion Amount (as the case may be) (a “</w:t>
      </w:r>
      <w:r>
        <w:rPr>
          <w:rFonts w:ascii="Arial" w:cs="Arial" w:eastAsia="Arial" w:hAnsi="Arial"/>
          <w:sz w:val="16"/>
          <w:szCs w:val="16"/>
          <w:b w:val="1"/>
          <w:bCs w:val="1"/>
          <w:color w:val="auto"/>
        </w:rPr>
        <w:t>Conversion Failure</w:t>
      </w:r>
      <w:r>
        <w:rPr>
          <w:rFonts w:ascii="Arial" w:cs="Arial" w:eastAsia="Arial" w:hAnsi="Arial"/>
          <w:sz w:val="16"/>
          <w:szCs w:val="16"/>
          <w:color w:val="auto"/>
        </w:rPr>
        <w:t>”), then, in addition to all other remedies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available to the Holder, (1) the Company shall pay in cash to the Holder on each day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sum of the number of shares of Common Stock not issued to the Holder on a timely basis and to which the Holder is entitled multiplied by (B) the Closing Sale Price of the Common Stock on the Trading Day immediately preceding the last possible date which the Company could have issued such shares of Common Stock to the Holder without violating Section 3(c)(i)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within three (3) Trading Days after the Company’s receipt of a Conversion Notice (whether via electronic mail or otherwise), the Company shall fail to issue and deliver to the Holder (or its designee) a certificate and register such shares of Common Stock on the Company’s share register or credit the Holder’s or its designee’s balance account with DTC for the number of shares of Common Stock to which the Holder is entitled upon the Holder’s conversion hereunder</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the case may be),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conversion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conversion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Conversion Notice and ending on the date of such issuance and payment under this clause (ii).</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ANNEX 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9" w:right="239" w:bottom="1440" w:gutter="0" w:footer="0" w:header="0"/>
        </w:sectPr>
      </w:pPr>
    </w:p>
    <w:bookmarkStart w:id="150" w:name="page151"/>
    <w:bookmarkEnd w:id="150"/>
    <w:p>
      <w:pPr>
        <w:jc w:val="both"/>
        <w:ind w:firstLine="973"/>
        <w:spacing w:after="0" w:line="293" w:lineRule="auto"/>
        <w:tabs>
          <w:tab w:leader="none" w:pos="1769"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Trustee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 Notes</w:t>
      </w:r>
      <w:r>
        <w:rPr>
          <w:rFonts w:ascii="Arial" w:cs="Arial" w:eastAsia="Arial" w:hAnsi="Arial"/>
          <w:sz w:val="16"/>
          <w:szCs w:val="16"/>
          <w:color w:val="auto"/>
        </w:rPr>
        <w:t>”) as provided in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2.05 of the Indenture. No later than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after the delivery of the Conversion Notice or any redemption of this Note, the Company shall deliver written confirmation to the Trustee that such conversion or redemption, as applicable, has been completed in full, which confirmation shall set forth the aggregate Principal of this Note then converted or redeemed, as applicable, and the remaining aggregate principal of this Note then outstanding. The Trustee shall be entitled to conclusively rely on such confirmation by the Company, as authorization to adjust the Register in accordance with such confirmation. The entries in the Register shall be conclusive and binding for all purposes absent manifest error. The Company, the Trustee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Notwithstanding anything to the contrary set forth in this Section 3 or in the Indenture or in the Supplemental Indenture,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if any, converted and/or paid (as the case may be) and the dates of such conversions and/or payments (as the case may be) or shall use such other method, reasonably satisfactory to the Holder and the Company, so as not to require physical surrender of this Note upon conversion. Other than adjusting the Register to reflect the conversion of Notes, the Trustee shall have no duty to calculate the Conversion Rate or any other calculations under this Section 3, nor shall the Trustee have any duty or obligation to monitor, confirm or verify any of the activities relating to the conversion of the Notes or the permissibility of any such conversion.</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ANNEX 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151" w:name="page152"/>
    <w:bookmarkEnd w:id="151"/>
    <w:p>
      <w:pPr>
        <w:jc w:val="both"/>
        <w:ind w:firstLine="973"/>
        <w:spacing w:after="0" w:line="291" w:lineRule="auto"/>
        <w:tabs>
          <w:tab w:leader="none" w:pos="1691"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Pro Rata Conversion; Disputes</w:t>
      </w:r>
      <w:r>
        <w:rPr>
          <w:rFonts w:ascii="Arial" w:cs="Arial" w:eastAsia="Arial" w:hAnsi="Arial"/>
          <w:sz w:val="16"/>
          <w:szCs w:val="16"/>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23.</w:t>
      </w:r>
    </w:p>
    <w:p>
      <w:pPr>
        <w:spacing w:after="0" w:line="167" w:lineRule="exact"/>
        <w:rPr>
          <w:rFonts w:ascii="Arial" w:cs="Arial" w:eastAsia="Arial" w:hAnsi="Arial"/>
          <w:sz w:val="16"/>
          <w:szCs w:val="16"/>
          <w:color w:val="auto"/>
        </w:rPr>
      </w:pPr>
    </w:p>
    <w:p>
      <w:pPr>
        <w:ind w:left="940" w:hanging="615"/>
        <w:spacing w:after="0"/>
        <w:tabs>
          <w:tab w:leader="none" w:pos="9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73"/>
        <w:spacing w:after="0" w:line="282" w:lineRule="auto"/>
        <w:tabs>
          <w:tab w:leader="none" w:pos="1601"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Note, this Note shall not be convertible by the Holder hereof, and the Company shall not effect any conversion of this Note or otherwise issue any shares of Common Stock pursuant to Section 8 hereof, to the extent (but only to the extent) that the Holder or any of its affiliates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Note shall be convertible (vis-à-vis other convertible, exercisable or exchangeable securities owned by the Holder or any of its affiliates) and of which such securities shall be convertible, exercisable or exchangeable (as among all such securities owned by the Holder and its affiliates) shall, subject to such Maximum Percentage limitation, be determined on the basis of the first submission to the Company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Note.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Securities Purchase Agreement. By written notice to the Company, any Holder may increase or decrease the Maximum Percentage to any other percentage not in excess of 9.99% specified in such notice; provided</w:t>
      </w:r>
    </w:p>
    <w:p>
      <w:pPr>
        <w:spacing w:after="0" w:line="1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that (i) any such increase will not be effective until the 61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such notice is delivered to the Company, and (ii) any such increase or decrease shall apply only to the Holder sending such notice and not to any other holder of Notes.</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ANNEX 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8" w:right="239" w:bottom="1440" w:gutter="0" w:footer="0" w:header="0"/>
        </w:sectPr>
      </w:pPr>
    </w:p>
    <w:bookmarkStart w:id="152" w:name="page153"/>
    <w:bookmarkEnd w:id="152"/>
    <w:p>
      <w:pPr>
        <w:jc w:val="both"/>
        <w:ind w:firstLine="973"/>
        <w:spacing w:after="0" w:line="282" w:lineRule="auto"/>
        <w:tabs>
          <w:tab w:leader="none" w:pos="1691"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Principal Market Regulation</w:t>
      </w:r>
      <w:r>
        <w:rPr>
          <w:rFonts w:ascii="Arial" w:cs="Arial" w:eastAsia="Arial" w:hAnsi="Arial"/>
          <w:sz w:val="16"/>
          <w:szCs w:val="16"/>
          <w:color w:val="auto"/>
        </w:rPr>
        <w:t>. The Company shall not issue any shares of Common Stock upon conversion or otherwise pursuant to the terms of this Note if the issuance of such shares of Common Stock would exceed the aggregate number of shares of Common Stock which the Company may issue upon conversion or exercise (as the case may be) of the Notes and the Warrants or otherwise pursuant to the terms of this Note without breaching the Company’s obligations under the rules or regulations of the Principal Market (the number of shares which may be issued without violating such rules and regulations, the “</w:t>
      </w:r>
      <w:r>
        <w:rPr>
          <w:rFonts w:ascii="Arial" w:cs="Arial" w:eastAsia="Arial" w:hAnsi="Arial"/>
          <w:sz w:val="16"/>
          <w:szCs w:val="16"/>
          <w:b w:val="1"/>
          <w:bCs w:val="1"/>
          <w:color w:val="auto"/>
        </w:rPr>
        <w:t>Exchange Cap</w:t>
      </w:r>
      <w:r>
        <w:rPr>
          <w:rFonts w:ascii="Arial" w:cs="Arial" w:eastAsia="Arial" w:hAnsi="Arial"/>
          <w:sz w:val="16"/>
          <w:szCs w:val="16"/>
          <w:color w:val="auto"/>
        </w:rPr>
        <w:t>”), except that such limitation shall not apply in the event that the Company (A) obtains the approval of its stockholders as required by the applicable rules of the Principal Market for issuances of shares of Common Stock upon conversion or exercise (as the case may be) of the Notes and the Warrants or otherwise pursuant to the terms of this Note in excess of such amount or (B) obtains a written opinion from outside counsel to the Company that such approval is not required, which opinion shall be reasonably satisfactory to the Holder. Until such approval or such written opinion is obtained, no Buyer (as defined in the Securities Purchase Agreement) shall be issued in the aggregate, upon conversion or exercise (as the case may be) of any of Notes or any of the Warrants or otherwise pursuant to the terms of this Note, shares of Common Stock in an amount greater than the product of (i) the Exchange Cap multiplied by (ii) the quotient of (1) the aggregate original principal amount of Notes issued to such Buyer pursuant to the Securities Purchase Agreement on the Closing Date (as defined in the Securities Purchase Agreement) divided by (2) the aggregate original principal amount of all Notes issued to all the Buyers (as defined in the Securities Purchase Agreement) pursuant to the Securities Purchase Agreement on the Closing Date (with respect to each Buyer, the “</w:t>
      </w:r>
      <w:r>
        <w:rPr>
          <w:rFonts w:ascii="Arial" w:cs="Arial" w:eastAsia="Arial" w:hAnsi="Arial"/>
          <w:sz w:val="16"/>
          <w:szCs w:val="16"/>
          <w:b w:val="1"/>
          <w:bCs w:val="1"/>
          <w:color w:val="auto"/>
        </w:rPr>
        <w:t>Exchange Cap Allocation</w:t>
      </w:r>
      <w:r>
        <w:rPr>
          <w:rFonts w:ascii="Arial" w:cs="Arial" w:eastAsia="Arial" w:hAnsi="Arial"/>
          <w:sz w:val="16"/>
          <w:szCs w:val="16"/>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and exercise in full of a holder’s Notes and Warrants, the difference (if any) between such holder’s Exchange Cap Allocation and the number of shares of Common Stock actually issued to such holder upon such holder’s conversion in full of such holder’s Notes and exercise in full of such Warrants shall be allocated to the respective Exchange Cap Allocations of the remaining holders of Notes and Warrants on a pro rata basis in proportion to the shares of Common Stock underlying the Notes and Warrants then held by each such holder. In the event that the Company is prohibited from issuing shares of Common Stock pursuant to this Section 3(d)</w:t>
      </w:r>
    </w:p>
    <w:p>
      <w:pPr>
        <w:spacing w:after="0" w:line="12" w:lineRule="exact"/>
        <w:rPr>
          <w:rFonts w:ascii="Arial" w:cs="Arial" w:eastAsia="Arial" w:hAnsi="Arial"/>
          <w:sz w:val="16"/>
          <w:szCs w:val="16"/>
          <w:color w:val="auto"/>
        </w:rPr>
      </w:pPr>
    </w:p>
    <w:p>
      <w:pPr>
        <w:jc w:val="both"/>
        <w:spacing w:after="0" w:line="269" w:lineRule="auto"/>
        <w:tabs>
          <w:tab w:leader="none" w:pos="271"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Exchange Cap Shares</w:t>
      </w:r>
      <w:r>
        <w:rPr>
          <w:rFonts w:ascii="Arial" w:cs="Arial" w:eastAsia="Arial" w:hAnsi="Arial"/>
          <w:sz w:val="17"/>
          <w:szCs w:val="17"/>
          <w:color w:val="auto"/>
        </w:rPr>
        <w:t>”), the Company shall pay cash (each, an “</w:t>
      </w:r>
      <w:r>
        <w:rPr>
          <w:rFonts w:ascii="Arial" w:cs="Arial" w:eastAsia="Arial" w:hAnsi="Arial"/>
          <w:sz w:val="17"/>
          <w:szCs w:val="17"/>
          <w:b w:val="1"/>
          <w:bCs w:val="1"/>
          <w:color w:val="auto"/>
        </w:rPr>
        <w:t>Exchange Cap Share Cancellation Amount</w:t>
      </w:r>
      <w:r>
        <w:rPr>
          <w:rFonts w:ascii="Arial" w:cs="Arial" w:eastAsia="Arial" w:hAnsi="Arial"/>
          <w:sz w:val="17"/>
          <w:szCs w:val="17"/>
          <w:color w:val="auto"/>
        </w:rPr>
        <w:t>”) in exchange for the cancellation of such shares of Common Stock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3(d)(ii) and (ii)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39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ANNEX 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8" w:right="239" w:bottom="1440" w:gutter="0" w:footer="0" w:header="0"/>
        </w:sectPr>
      </w:pPr>
    </w:p>
    <w:bookmarkStart w:id="153" w:name="page154"/>
    <w:bookmarkEnd w:id="153"/>
    <w:p>
      <w:pPr>
        <w:ind w:left="624" w:hanging="624"/>
        <w:spacing w:after="0"/>
        <w:tabs>
          <w:tab w:leader="none" w:pos="624"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244" w:hanging="595"/>
        <w:spacing w:after="0"/>
        <w:tabs>
          <w:tab w:leader="none" w:pos="1244"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4" w:firstLine="973"/>
        <w:spacing w:after="0" w:line="308" w:lineRule="auto"/>
        <w:tabs>
          <w:tab w:leader="none" w:pos="2039" w:val="left"/>
        </w:tabs>
        <w:numPr>
          <w:ilvl w:val="2"/>
          <w:numId w:val="196"/>
        </w:numPr>
        <w:rPr>
          <w:rFonts w:ascii="Arial" w:cs="Arial" w:eastAsia="Arial" w:hAnsi="Arial"/>
          <w:sz w:val="17"/>
          <w:szCs w:val="17"/>
          <w:color w:val="auto"/>
        </w:rPr>
      </w:pPr>
      <w:r>
        <w:rPr>
          <w:rFonts w:ascii="Arial" w:cs="Arial" w:eastAsia="Arial" w:hAnsi="Arial"/>
          <w:sz w:val="17"/>
          <w:szCs w:val="17"/>
          <w:color w:val="auto"/>
        </w:rPr>
        <w:t>the suspension from trading or the failure of the Common Stock to be trading or listed (as applicable) on an Eligible Market for a period of five (5) consecutive Trading Days or for more than an aggregate of ten (10) Trading Days in any 365-day period;</w:t>
      </w:r>
    </w:p>
    <w:p>
      <w:pPr>
        <w:spacing w:after="0" w:line="146" w:lineRule="exact"/>
        <w:rPr>
          <w:rFonts w:ascii="Arial" w:cs="Arial" w:eastAsia="Arial" w:hAnsi="Arial"/>
          <w:sz w:val="17"/>
          <w:szCs w:val="17"/>
          <w:color w:val="auto"/>
        </w:rPr>
      </w:pPr>
    </w:p>
    <w:p>
      <w:pPr>
        <w:jc w:val="both"/>
        <w:ind w:left="324" w:firstLine="973"/>
        <w:spacing w:after="0" w:line="293" w:lineRule="auto"/>
        <w:tabs>
          <w:tab w:leader="none" w:pos="1984" w:val="left"/>
        </w:tabs>
        <w:numPr>
          <w:ilvl w:val="2"/>
          <w:numId w:val="196"/>
        </w:numPr>
        <w:rPr>
          <w:rFonts w:ascii="Arial" w:cs="Arial" w:eastAsia="Arial" w:hAnsi="Arial"/>
          <w:sz w:val="16"/>
          <w:szCs w:val="16"/>
          <w:color w:val="auto"/>
        </w:rPr>
      </w:pPr>
      <w:r>
        <w:rPr>
          <w:rFonts w:ascii="Arial" w:cs="Arial" w:eastAsia="Arial" w:hAnsi="Arial"/>
          <w:sz w:val="16"/>
          <w:szCs w:val="16"/>
          <w:color w:val="auto"/>
        </w:rPr>
        <w:t>the Company’s (A) failure to cure a Conversion Failure or a Delivery Failure (as defined in the Warrants) by delivery of the required number of shares of Common Stock within five (5) Trading Days after the applicable Conversion Date or exercise date (as the case may be) or (B) notice, written or oral, to any holder of the Notes or Warrants,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any Warrants for Warrant Shares (as defined in the Securities Purchase Agreement) in accordance with the provisions of the Warrants;</w:t>
      </w:r>
    </w:p>
    <w:p>
      <w:pPr>
        <w:spacing w:after="0" w:line="381"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ANNEX II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54" w:name="page155"/>
    <w:bookmarkEnd w:id="154"/>
    <w:p>
      <w:pPr>
        <w:jc w:val="both"/>
        <w:ind w:left="-220" w:firstLine="973"/>
        <w:spacing w:after="0" w:line="279" w:lineRule="auto"/>
        <w:tabs>
          <w:tab w:leader="none" w:pos="150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at any time after the one-year anniversary of the Issuance Date the Holder’s Authorized Share Allocation (as defined below) is less than the number of shares of Common Stock that the Holder would be entitled to receive upon a conversion of the full Conversion Amount of this Note for a period of ten (10) consecutive days (without regard to any limitations on conversion set forth in Section 3(d) or otherwise) unless the Lockbox Balance is sufficient to repay the Principal, Interest, Late Charges, if any, on this Note in full;</w:t>
      </w:r>
    </w:p>
    <w:p>
      <w:pPr>
        <w:spacing w:after="0" w:line="171" w:lineRule="exact"/>
        <w:rPr>
          <w:rFonts w:ascii="Arial" w:cs="Arial" w:eastAsia="Arial" w:hAnsi="Arial"/>
          <w:sz w:val="17"/>
          <w:szCs w:val="17"/>
          <w:color w:val="auto"/>
        </w:rPr>
      </w:pPr>
    </w:p>
    <w:p>
      <w:pPr>
        <w:jc w:val="both"/>
        <w:ind w:left="-220" w:firstLine="973"/>
        <w:spacing w:after="0" w:line="276" w:lineRule="auto"/>
        <w:tabs>
          <w:tab w:leader="none" w:pos="143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Company’s failure to pay to the Holder any amount of Principal, Interest, Late Charges or other amounts when and as due under this Note (including, without limitation, the Company’s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days;</w:t>
      </w:r>
    </w:p>
    <w:p>
      <w:pPr>
        <w:spacing w:after="0" w:line="172" w:lineRule="exact"/>
        <w:rPr>
          <w:rFonts w:ascii="Arial" w:cs="Arial" w:eastAsia="Arial" w:hAnsi="Arial"/>
          <w:sz w:val="17"/>
          <w:szCs w:val="17"/>
          <w:color w:val="auto"/>
        </w:rPr>
      </w:pPr>
    </w:p>
    <w:p>
      <w:pPr>
        <w:ind w:left="-220" w:firstLine="973"/>
        <w:spacing w:after="0" w:line="277" w:lineRule="auto"/>
        <w:tabs>
          <w:tab w:leader="none" w:pos="140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occurrence of any default under, redemption of or acceleration prior to maturity of any Subsidiary Note (as defined in the Securities Purchase Agreement);</w:t>
      </w:r>
    </w:p>
    <w:p>
      <w:pPr>
        <w:spacing w:after="0" w:line="170" w:lineRule="exact"/>
        <w:rPr>
          <w:rFonts w:ascii="Arial" w:cs="Arial" w:eastAsia="Arial" w:hAnsi="Arial"/>
          <w:sz w:val="18"/>
          <w:szCs w:val="18"/>
          <w:color w:val="auto"/>
        </w:rPr>
      </w:pPr>
    </w:p>
    <w:p>
      <w:pPr>
        <w:ind w:left="-220" w:firstLine="973"/>
        <w:spacing w:after="0" w:line="308" w:lineRule="auto"/>
        <w:tabs>
          <w:tab w:leader="none" w:pos="142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occurrence of any default under, redemption of or acceleration prior to maturity of any Indebtedness (as defined in the Securities Purchase Agreement) of the Company or any of its Subsidiaries in an aggregate amount in excess of $250,000;</w:t>
      </w:r>
    </w:p>
    <w:p>
      <w:pPr>
        <w:spacing w:after="0" w:line="146" w:lineRule="exact"/>
        <w:rPr>
          <w:rFonts w:ascii="Arial" w:cs="Arial" w:eastAsia="Arial" w:hAnsi="Arial"/>
          <w:sz w:val="17"/>
          <w:szCs w:val="17"/>
          <w:color w:val="auto"/>
        </w:rPr>
      </w:pPr>
    </w:p>
    <w:p>
      <w:pPr>
        <w:jc w:val="both"/>
        <w:ind w:left="-220" w:firstLine="973"/>
        <w:spacing w:after="0" w:line="264" w:lineRule="auto"/>
        <w:tabs>
          <w:tab w:leader="none" w:pos="153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forty-five (45) days of their initiation;</w:t>
      </w:r>
    </w:p>
    <w:p>
      <w:pPr>
        <w:spacing w:after="0" w:line="181" w:lineRule="exact"/>
        <w:rPr>
          <w:rFonts w:ascii="Arial" w:cs="Arial" w:eastAsia="Arial" w:hAnsi="Arial"/>
          <w:sz w:val="18"/>
          <w:szCs w:val="18"/>
          <w:color w:val="auto"/>
        </w:rPr>
      </w:pPr>
    </w:p>
    <w:p>
      <w:pPr>
        <w:jc w:val="both"/>
        <w:ind w:left="-220" w:firstLine="973"/>
        <w:spacing w:after="0" w:line="269" w:lineRule="auto"/>
        <w:tabs>
          <w:tab w:leader="none" w:pos="157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the Company or any Subsidiary of its inability to pay its debts generally as they become due, the taking of corporate action by the Company or any Subsidiary in furtherance of any such action or the commencement by any Person of a UCC foreclosure sale of a material portion of the Company’s or any Subsidiary’s assets or any other similar action under federal, state or foreign law;</w:t>
      </w:r>
    </w:p>
    <w:p>
      <w:pPr>
        <w:spacing w:after="0" w:line="3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5" w:name="page156"/>
    <w:bookmarkEnd w:id="155"/>
    <w:p>
      <w:pPr>
        <w:jc w:val="both"/>
        <w:ind w:firstLine="973"/>
        <w:spacing w:after="0" w:line="255" w:lineRule="auto"/>
        <w:tabs>
          <w:tab w:leader="none" w:pos="167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entry by a court of (i)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forty-five (45) consecutive days;</w:t>
      </w:r>
    </w:p>
    <w:p>
      <w:pPr>
        <w:spacing w:after="0" w:line="189" w:lineRule="exact"/>
        <w:rPr>
          <w:rFonts w:ascii="Arial" w:cs="Arial" w:eastAsia="Arial" w:hAnsi="Arial"/>
          <w:sz w:val="18"/>
          <w:szCs w:val="18"/>
          <w:color w:val="auto"/>
        </w:rPr>
      </w:pPr>
    </w:p>
    <w:p>
      <w:pPr>
        <w:jc w:val="both"/>
        <w:ind w:firstLine="973"/>
        <w:spacing w:after="0" w:line="283" w:lineRule="auto"/>
        <w:tabs>
          <w:tab w:leader="none" w:pos="187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final judgment, judgments, any arbitration or mediation award or any settlement of any litigation or any other satisfaction of any claim made by any Person pursuant to any litigation, as applicable, in the United States, its territories or possessions (other than in the ordinary course of the Company’s business of enforcing and licensing intellectual property rights, consistent with past practice) (each a “</w:t>
      </w:r>
      <w:r>
        <w:rPr>
          <w:rFonts w:ascii="Arial" w:cs="Arial" w:eastAsia="Arial" w:hAnsi="Arial"/>
          <w:sz w:val="16"/>
          <w:szCs w:val="16"/>
          <w:b w:val="1"/>
          <w:bCs w:val="1"/>
          <w:color w:val="auto"/>
        </w:rPr>
        <w:t>Judgment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Judgments</w:t>
      </w:r>
      <w:r>
        <w:rPr>
          <w:rFonts w:ascii="Arial" w:cs="Arial" w:eastAsia="Arial" w:hAnsi="Arial"/>
          <w:sz w:val="16"/>
          <w:szCs w:val="16"/>
          <w:color w:val="auto"/>
        </w:rPr>
        <w:t>”) with respect to the payment of cash, securities and/or other assets with an aggregate fair value (determined as provided below) in excess of $250,000 are rendered against, agreed to or otherwise accepted by, the Company and/or any of its Subsidiaries and which Judgments are not, within forty-five (45) days after the entry thereof, bonded, discharged or stayed pending appeal, or are not discharged within forty-five (45) days after the expiration of such stay; provided, however,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forty-five (45) days of the issuance of such Judgment. The fair value of any assets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such consideration will be determined within five (5) Trading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2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ANNEX II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8" w:right="239" w:bottom="1440" w:gutter="0" w:footer="0" w:header="0"/>
        </w:sectPr>
      </w:pPr>
    </w:p>
    <w:bookmarkStart w:id="156" w:name="page157"/>
    <w:bookmarkEnd w:id="156"/>
    <w:p>
      <w:pPr>
        <w:jc w:val="both"/>
        <w:ind w:left="-220" w:firstLine="973"/>
        <w:spacing w:after="0" w:line="270" w:lineRule="auto"/>
        <w:tabs>
          <w:tab w:leader="none" w:pos="157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and/or any Subsidiary, individually or in the aggregate, either (i) fails to pay, when due, or within any applicable grace period, any payment with respect to any Indebtedness in excess of $250,000 in the aggregate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 in the aggregate,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177" w:lineRule="exact"/>
        <w:rPr>
          <w:rFonts w:ascii="Arial" w:cs="Arial" w:eastAsia="Arial" w:hAnsi="Arial"/>
          <w:sz w:val="17"/>
          <w:szCs w:val="17"/>
          <w:color w:val="auto"/>
        </w:rPr>
      </w:pPr>
    </w:p>
    <w:p>
      <w:pPr>
        <w:jc w:val="both"/>
        <w:ind w:left="-220" w:firstLine="973"/>
        <w:spacing w:after="0" w:line="259" w:lineRule="auto"/>
        <w:tabs>
          <w:tab w:leader="none" w:pos="149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in any material respect any representation, warranty, covenant or other term or condition of any Transaction Document (including, without limitation, the Security Documents), except, in the case of a breach of a covenant or other term or condition that is curable, only if such breach remains uncured for a period of five (5) days;</w:t>
      </w:r>
    </w:p>
    <w:p>
      <w:pPr>
        <w:spacing w:after="0" w:line="186" w:lineRule="exact"/>
        <w:rPr>
          <w:rFonts w:ascii="Arial" w:cs="Arial" w:eastAsia="Arial" w:hAnsi="Arial"/>
          <w:sz w:val="18"/>
          <w:szCs w:val="18"/>
          <w:color w:val="auto"/>
        </w:rPr>
      </w:pPr>
    </w:p>
    <w:p>
      <w:pPr>
        <w:ind w:left="-220" w:firstLine="973"/>
        <w:spacing w:after="0" w:line="277" w:lineRule="auto"/>
        <w:tabs>
          <w:tab w:leader="none" w:pos="166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in any material respect with any provision of either of Sections 8 or 14 of this Note;</w:t>
      </w:r>
    </w:p>
    <w:p>
      <w:pPr>
        <w:spacing w:after="0" w:line="170" w:lineRule="exact"/>
        <w:rPr>
          <w:rFonts w:ascii="Arial" w:cs="Arial" w:eastAsia="Arial" w:hAnsi="Arial"/>
          <w:sz w:val="18"/>
          <w:szCs w:val="18"/>
          <w:color w:val="auto"/>
        </w:rPr>
      </w:pPr>
    </w:p>
    <w:p>
      <w:pPr>
        <w:ind w:left="-220" w:right="20" w:firstLine="973"/>
        <w:spacing w:after="0" w:line="308" w:lineRule="auto"/>
        <w:tabs>
          <w:tab w:leader="none" w:pos="155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 false or inaccurate certification (including a false or inaccurate deemed certification) by the Company that the Equity Conditions are satisfied, that there has been no Equity Conditions Failure or as to whether any Event of Default has occurred;</w:t>
      </w:r>
    </w:p>
    <w:p>
      <w:pPr>
        <w:spacing w:after="0" w:line="146" w:lineRule="exact"/>
        <w:rPr>
          <w:rFonts w:ascii="Arial" w:cs="Arial" w:eastAsia="Arial" w:hAnsi="Arial"/>
          <w:sz w:val="17"/>
          <w:szCs w:val="17"/>
          <w:color w:val="auto"/>
        </w:rPr>
      </w:pPr>
    </w:p>
    <w:p>
      <w:pPr>
        <w:ind w:left="1460" w:hanging="707"/>
        <w:spacing w:after="0"/>
        <w:tabs>
          <w:tab w:leader="none" w:pos="1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Material Adverse Effect (as defined in the Securities Purchase Agreement) occurs;</w:t>
      </w:r>
    </w:p>
    <w:p>
      <w:pPr>
        <w:spacing w:after="0" w:line="225" w:lineRule="exact"/>
        <w:rPr>
          <w:rFonts w:ascii="Arial" w:cs="Arial" w:eastAsia="Arial" w:hAnsi="Arial"/>
          <w:sz w:val="18"/>
          <w:szCs w:val="18"/>
          <w:color w:val="auto"/>
        </w:rPr>
      </w:pPr>
    </w:p>
    <w:p>
      <w:pPr>
        <w:jc w:val="both"/>
        <w:ind w:left="-220" w:firstLine="973"/>
        <w:spacing w:after="0" w:line="255" w:lineRule="auto"/>
        <w:tabs>
          <w:tab w:leader="none" w:pos="172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provision of any Transaction Document (including, without limitation, the Subsidiary Notes and the Security Documents) shall at any time for any reason (other than pursuant to the express terms thereof) cease to be valid and binding on or enforceable against the parties thereto in any material respect,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Subsidiary Notes and the Security Documents);</w:t>
      </w: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7" w:name="page158"/>
    <w:bookmarkEnd w:id="157"/>
    <w:p>
      <w:pPr>
        <w:jc w:val="both"/>
        <w:ind w:left="320" w:firstLine="973"/>
        <w:spacing w:after="0" w:line="264" w:lineRule="auto"/>
        <w:tabs>
          <w:tab w:leader="none" w:pos="21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Subsidiary Notes shall for any reason fail or cease to create a separate valid and perfected and, except to the extent permitted by the terms hereof or thereof, first priority Lien on the Collateral (as defined in the Subsidiary Notes) in favor of each of the Secured Parties (as defined in the Subsidiary Notes);</w:t>
      </w:r>
    </w:p>
    <w:p>
      <w:pPr>
        <w:spacing w:after="0" w:line="181" w:lineRule="exact"/>
        <w:rPr>
          <w:rFonts w:ascii="Arial" w:cs="Arial" w:eastAsia="Arial" w:hAnsi="Arial"/>
          <w:sz w:val="18"/>
          <w:szCs w:val="18"/>
          <w:color w:val="auto"/>
        </w:rPr>
      </w:pPr>
    </w:p>
    <w:p>
      <w:pPr>
        <w:jc w:val="both"/>
        <w:ind w:left="320" w:firstLine="973"/>
        <w:spacing w:after="0" w:line="264" w:lineRule="auto"/>
        <w:tabs>
          <w:tab w:leader="none" w:pos="225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separate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320" w:firstLine="973"/>
        <w:spacing w:after="0" w:line="259" w:lineRule="auto"/>
        <w:tabs>
          <w:tab w:leader="none" w:pos="215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spacing w:after="0" w:line="187" w:lineRule="exact"/>
        <w:rPr>
          <w:sz w:val="20"/>
          <w:szCs w:val="20"/>
          <w:color w:val="auto"/>
        </w:rPr>
      </w:pPr>
    </w:p>
    <w:p>
      <w:pPr>
        <w:jc w:val="both"/>
        <w:ind w:firstLine="645"/>
        <w:spacing w:after="0" w:line="286" w:lineRule="auto"/>
        <w:tabs>
          <w:tab w:leader="none" w:pos="1439"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Notice of an Event of Default; Redemption Right</w:t>
      </w:r>
      <w:r>
        <w:rPr>
          <w:rFonts w:ascii="Arial" w:cs="Arial" w:eastAsia="Arial" w:hAnsi="Arial"/>
          <w:sz w:val="16"/>
          <w:szCs w:val="16"/>
          <w:color w:val="auto"/>
        </w:rPr>
        <w:t>. Upon the occurrence of an Event of Default with respect to this Note, the Company shall within two (2) Business Days deliver written notice thereof via electronic mail and overnight courier (with next day delivery specified)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and the Trustee. At any time after the earlier of the Holder’s receipt of an Event of Default Notice and the Holder becoming aware of an Event of Default and ending (such ending date, the “</w:t>
      </w:r>
      <w:r>
        <w:rPr>
          <w:rFonts w:ascii="Arial" w:cs="Arial" w:eastAsia="Arial" w:hAnsi="Arial"/>
          <w:sz w:val="16"/>
          <w:szCs w:val="16"/>
          <w:b w:val="1"/>
          <w:bCs w:val="1"/>
          <w:color w:val="auto"/>
        </w:rPr>
        <w:t>Event of Default Right Expiration Date</w:t>
      </w:r>
      <w:r>
        <w:rPr>
          <w:rFonts w:ascii="Arial" w:cs="Arial" w:eastAsia="Arial" w:hAnsi="Arial"/>
          <w:sz w:val="16"/>
          <w:szCs w:val="16"/>
          <w:color w:val="auto"/>
        </w:rPr>
        <w:t>”) on the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tenth (10</w:t>
      </w:r>
      <w:r>
        <w:rPr>
          <w:rFonts w:ascii="Arial" w:cs="Arial" w:eastAsia="Arial" w:hAnsi="Arial"/>
          <w:sz w:val="26"/>
          <w:szCs w:val="26"/>
          <w:color w:val="auto"/>
          <w:vertAlign w:val="superscript"/>
        </w:rPr>
        <w:t>th</w:t>
      </w:r>
      <w:r>
        <w:rPr>
          <w:rFonts w:ascii="Arial" w:cs="Arial" w:eastAsia="Arial" w:hAnsi="Arial"/>
          <w:sz w:val="16"/>
          <w:szCs w:val="16"/>
          <w:color w:val="auto"/>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 of the Company to cure such Event of Default and (III) a certification as to the date the Event of Default occurred and the applicable Event of Default Right Expiration Date, the Holder may require the Company to redeem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and the Trustee,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Equity Value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ANNEX II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58" w:name="page159"/>
    <w:bookmarkEnd w:id="158"/>
    <w:p>
      <w:pPr>
        <w:ind w:left="624" w:hanging="624"/>
        <w:spacing w:after="0"/>
        <w:tabs>
          <w:tab w:leader="none" w:pos="624"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5" w:lineRule="auto"/>
        <w:tabs>
          <w:tab w:leader="none" w:pos="1338"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the Company’s Common Stock (or other securities, cash, assets or other property (except such items still issuable under Sections 6 and 15,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The provisions of this Section 5 shall apply similarly and equally to successive Fundamental Transactions and shall be applied without regard to any limitations on the conversion of this Note.</w:t>
      </w:r>
    </w:p>
    <w:p>
      <w:pPr>
        <w:spacing w:after="0" w:line="387"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59" w:name="page160"/>
    <w:bookmarkEnd w:id="159"/>
    <w:p>
      <w:pPr>
        <w:jc w:val="both"/>
        <w:ind w:left="4" w:firstLine="645"/>
        <w:spacing w:after="0" w:line="283" w:lineRule="auto"/>
        <w:tabs>
          <w:tab w:leader="none" w:pos="1307"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Notice of a Change of Control; Redemption Right</w:t>
      </w:r>
      <w:r>
        <w:rPr>
          <w:rFonts w:ascii="Arial" w:cs="Arial" w:eastAsia="Arial" w:hAnsi="Arial"/>
          <w:sz w:val="16"/>
          <w:szCs w:val="16"/>
          <w:color w:val="auto"/>
        </w:rPr>
        <w:t>. No sooner than twenty (20) Trading Days nor later than ten (10) Trading Days prior to the consummation of a Change of Control, but not prior to the public announcement of such Fundamental Transaction, the Company shall deliver written notice thereof via electronic mail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twenty (20) Trading Days after (A) consummation of such Change of Control or (B) the date of receipt of such Change of Control Notice, the Holder may require the Company to redeem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 to the Company and the Trustee, which Change of Control Redemption Notice shall indicate the Conversion Amount the Holder is electing to redeem. The portion of this Note subject to redemption pursuant to this Section 5 shall be redeemed by the Company in cash at a price equal to the product of</w:t>
      </w:r>
    </w:p>
    <w:p>
      <w:pPr>
        <w:spacing w:after="0" w:line="6" w:lineRule="exact"/>
        <w:rPr>
          <w:rFonts w:ascii="Arial" w:cs="Arial" w:eastAsia="Arial" w:hAnsi="Arial"/>
          <w:sz w:val="16"/>
          <w:szCs w:val="16"/>
          <w:color w:val="auto"/>
        </w:rPr>
      </w:pPr>
    </w:p>
    <w:p>
      <w:pPr>
        <w:jc w:val="both"/>
        <w:ind w:left="4" w:hanging="4"/>
        <w:spacing w:after="0" w:line="267" w:lineRule="auto"/>
        <w:tabs>
          <w:tab w:leader="none" w:pos="30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Change of Control Redemption Premium multiplied by (x) the Conversion Amount being redeemed (the “</w:t>
      </w:r>
      <w:r>
        <w:rPr>
          <w:rFonts w:ascii="Arial" w:cs="Arial" w:eastAsia="Arial" w:hAnsi="Arial"/>
          <w:sz w:val="17"/>
          <w:szCs w:val="17"/>
          <w:b w:val="1"/>
          <w:bCs w:val="1"/>
          <w:color w:val="auto"/>
        </w:rPr>
        <w:t>Change of Control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Redemptions required by this Section 5 shall be made in accordance with the provisions of Section 11 and shall have priority to payments to</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Fundamental Transaction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400"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0" w:name="page161"/>
    <w:bookmarkEnd w:id="160"/>
    <w:p>
      <w:pPr>
        <w:ind w:left="624" w:hanging="624"/>
        <w:spacing w:after="0"/>
        <w:tabs>
          <w:tab w:leader="none" w:pos="62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RIGHTS UPON ISSUANCE OF PURCHASE RIGHTS AND OTHER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69" w:lineRule="auto"/>
        <w:tabs>
          <w:tab w:leader="none" w:pos="1284"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7 below,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jc w:val="both"/>
        <w:ind w:left="4" w:firstLine="645"/>
        <w:spacing w:after="0" w:line="287" w:lineRule="auto"/>
        <w:tabs>
          <w:tab w:leader="none" w:pos="1388"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Other Corporate Events</w:t>
      </w:r>
      <w:r>
        <w:rPr>
          <w:rFonts w:ascii="Arial" w:cs="Arial" w:eastAsia="Arial" w:hAnsi="Arial"/>
          <w:sz w:val="16"/>
          <w:szCs w:val="16"/>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ensure that the Holder will thereafter have the right to receive upon a conversion of this Note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reasonably satisfactory to the Holder. The provisions of this Section 6 shall apply similarly and equally to successive Corporate Events and shall be applied without regard to any limitations on the conversion or redemption of this Note.</w:t>
      </w:r>
    </w:p>
    <w:p>
      <w:pPr>
        <w:spacing w:after="0" w:line="168" w:lineRule="exact"/>
        <w:rPr>
          <w:rFonts w:ascii="Arial" w:cs="Arial" w:eastAsia="Arial" w:hAnsi="Arial"/>
          <w:sz w:val="16"/>
          <w:szCs w:val="16"/>
          <w:color w:val="auto"/>
        </w:rPr>
      </w:pPr>
    </w:p>
    <w:p>
      <w:pPr>
        <w:ind w:left="624" w:hanging="624"/>
        <w:spacing w:after="0"/>
        <w:tabs>
          <w:tab w:leader="none" w:pos="624"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RIGHTS UPON ISSUANCE OF OTHER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0" w:lineRule="auto"/>
        <w:tabs>
          <w:tab w:leader="none" w:pos="1270"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Without limiting any provision of Section 5, if the Company at any time on or after the Subscription Date subdivides (by any stock split, stock dividend, stock combination, recapitalization or otherwise) one or more classes of its outstanding shares of Common Stock into a greater number of shares, the Conversion Price in effect immediately prior to such subdivision will be proportionately reduced. Without limiting any provision of Section 5, if the Company at any time on or after the Subscription Date combines (by any stock split, stock dividend, combination, recapitalization or otherwise) one or more classes of its outstanding shares of Common Stock into a smaller number of shares, the Conversion Price in effect immediately prior to such combination will be proportionately increased. Any adjustment pursuant to this Section 7(a) shall become effective immediately after the effective date of such subdivision or combination. If any event requiring an adjustment under this Section 7(a) occurs during the period that a Conversion Price is calculated hereunder, then the calculation of such Conversion Price shall be adjusted appropriately to reflect such event.</w:t>
      </w:r>
    </w:p>
    <w:p>
      <w:pPr>
        <w:spacing w:after="0" w:line="398"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1" w:name="page162"/>
    <w:bookmarkEnd w:id="161"/>
    <w:p>
      <w:pPr>
        <w:jc w:val="both"/>
        <w:ind w:left="-540" w:firstLine="645"/>
        <w:spacing w:after="0" w:line="286" w:lineRule="auto"/>
        <w:tabs>
          <w:tab w:leader="none" w:pos="723"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Holder’s Right of Adjusted Conversion Price</w:t>
      </w:r>
      <w:r>
        <w:rPr>
          <w:rFonts w:ascii="Arial" w:cs="Arial" w:eastAsia="Arial" w:hAnsi="Arial"/>
          <w:sz w:val="16"/>
          <w:szCs w:val="16"/>
          <w:color w:val="auto"/>
        </w:rPr>
        <w:t>. In addition to and not in limitation of the other provisions of this Section 7 or Section 4(q) of the Securities Purchase Agreement, if the Company in any manner issues or sells or enters into any agreement to issue or sell, any Common Stock, Options or Convertible Securities (any such securities, “</w:t>
      </w:r>
      <w:r>
        <w:rPr>
          <w:rFonts w:ascii="Arial" w:cs="Arial" w:eastAsia="Arial" w:hAnsi="Arial"/>
          <w:sz w:val="16"/>
          <w:szCs w:val="16"/>
          <w:b w:val="1"/>
          <w:bCs w:val="1"/>
          <w:color w:val="auto"/>
        </w:rPr>
        <w:t>Variable Price Securities</w:t>
      </w:r>
      <w:r>
        <w:rPr>
          <w:rFonts w:ascii="Arial" w:cs="Arial" w:eastAsia="Arial" w:hAnsi="Arial"/>
          <w:sz w:val="16"/>
          <w:szCs w:val="16"/>
          <w:color w:val="auto"/>
        </w:rPr>
        <w:t>”) that are issuable pursuant to such agreement or convertible into or exchangeable or exercisable for shares of Common Stock pursuant to such Options or Convertible Securities, as applicable,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6"/>
          <w:szCs w:val="16"/>
          <w:b w:val="1"/>
          <w:bCs w:val="1"/>
          <w:color w:val="auto"/>
        </w:rPr>
        <w:t>Variable Price</w:t>
      </w:r>
      <w:r>
        <w:rPr>
          <w:rFonts w:ascii="Arial" w:cs="Arial" w:eastAsia="Arial" w:hAnsi="Arial"/>
          <w:sz w:val="16"/>
          <w:szCs w:val="16"/>
          <w:color w:val="auto"/>
        </w:rPr>
        <w:t>”), the Company shall provide written notice thereof via electronic mail and overnight courier to the Holder on the date of such agreement and/or the issuance of such Convertible Securities or Options, as applicable.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174" w:lineRule="exact"/>
        <w:rPr>
          <w:rFonts w:ascii="Arial" w:cs="Arial" w:eastAsia="Arial" w:hAnsi="Arial"/>
          <w:sz w:val="16"/>
          <w:szCs w:val="16"/>
          <w:color w:val="auto"/>
        </w:rPr>
      </w:pPr>
    </w:p>
    <w:p>
      <w:pPr>
        <w:jc w:val="both"/>
        <w:ind w:left="-540" w:firstLine="645"/>
        <w:spacing w:after="0" w:line="270" w:lineRule="auto"/>
        <w:tabs>
          <w:tab w:leader="none" w:pos="713"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7(b)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39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2" w:name="page163"/>
    <w:bookmarkEnd w:id="162"/>
    <w:p>
      <w:pPr>
        <w:ind w:left="624" w:hanging="624"/>
        <w:spacing w:after="0"/>
        <w:tabs>
          <w:tab w:leader="none" w:pos="62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COMPANY INSTALLMENT CONVERSION OR REDEMPTION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90" w:lineRule="auto"/>
        <w:tabs>
          <w:tab w:leader="none" w:pos="1270"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each applicable Installment Date, the Company shall pay to the Holder of this Note the applicable Installment Amount due on such date by converting such Installment Amount in accordance with this Section 8 (a “</w:t>
      </w:r>
      <w:r>
        <w:rPr>
          <w:rFonts w:ascii="Arial" w:cs="Arial" w:eastAsia="Arial" w:hAnsi="Arial"/>
          <w:sz w:val="16"/>
          <w:szCs w:val="16"/>
          <w:b w:val="1"/>
          <w:bCs w:val="1"/>
          <w:color w:val="auto"/>
        </w:rPr>
        <w:t>Company Conversion</w:t>
      </w:r>
      <w:r>
        <w:rPr>
          <w:rFonts w:ascii="Arial" w:cs="Arial" w:eastAsia="Arial" w:hAnsi="Arial"/>
          <w:sz w:val="16"/>
          <w:szCs w:val="16"/>
          <w:color w:val="auto"/>
        </w:rPr>
        <w:t>”); provided, however, the Company may, at its option as described below, pay all or any part of such Installment Amount by redeeming such Installment Amount in cash (a “</w:t>
      </w:r>
      <w:r>
        <w:rPr>
          <w:rFonts w:ascii="Arial" w:cs="Arial" w:eastAsia="Arial" w:hAnsi="Arial"/>
          <w:sz w:val="16"/>
          <w:szCs w:val="16"/>
          <w:b w:val="1"/>
          <w:bCs w:val="1"/>
          <w:color w:val="auto"/>
        </w:rPr>
        <w:t>Company Redemption</w:t>
      </w:r>
      <w:r>
        <w:rPr>
          <w:rFonts w:ascii="Arial" w:cs="Arial" w:eastAsia="Arial" w:hAnsi="Arial"/>
          <w:sz w:val="16"/>
          <w:szCs w:val="16"/>
          <w:color w:val="auto"/>
        </w:rPr>
        <w:t>”) or by any combination of a Company Conversion and a Company Redemption so long as the entire amount of such Installment Amount due shall be converted and/or redeemed by the Company on the applicable Installment Date, subject to the provisions of this Section 8, provided further that the Company shall not be entitled to effect a Company Conversion with respect to any portion of such Installment Amount and shall be required to elect and to pay the entire amount of such Installment Amount in cash pursuant to a Company Redemption if on the applicable Installment Notice Due Date or on the applicable Installment Date (as the case may be) there is an Equity Conditions Failure.</w:t>
      </w:r>
    </w:p>
    <w:p>
      <w:pPr>
        <w:spacing w:after="0" w:line="166" w:lineRule="exact"/>
        <w:rPr>
          <w:rFonts w:ascii="Arial" w:cs="Arial" w:eastAsia="Arial" w:hAnsi="Arial"/>
          <w:sz w:val="16"/>
          <w:szCs w:val="16"/>
          <w:color w:val="auto"/>
        </w:rPr>
      </w:pPr>
    </w:p>
    <w:p>
      <w:pPr>
        <w:ind w:left="1344" w:hanging="695"/>
        <w:spacing w:after="0"/>
        <w:tabs>
          <w:tab w:leader="none" w:pos="1344"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Mechanics of Company Installment Payments</w:t>
      </w:r>
      <w:r>
        <w:rPr>
          <w:rFonts w:ascii="Arial" w:cs="Arial" w:eastAsia="Arial" w:hAnsi="Arial"/>
          <w:sz w:val="16"/>
          <w:szCs w:val="16"/>
          <w:color w:val="auto"/>
        </w:rPr>
        <w:t>. Except in the case of the first Installment Amount, on or prior to the date which is</w:t>
      </w:r>
    </w:p>
    <w:p>
      <w:pPr>
        <w:spacing w:after="0" w:line="46" w:lineRule="exact"/>
        <w:rPr>
          <w:sz w:val="20"/>
          <w:szCs w:val="20"/>
          <w:color w:val="auto"/>
        </w:rPr>
      </w:pPr>
    </w:p>
    <w:p>
      <w:pPr>
        <w:jc w:val="both"/>
        <w:ind w:left="4"/>
        <w:spacing w:after="0" w:line="278" w:lineRule="auto"/>
        <w:rPr>
          <w:sz w:val="20"/>
          <w:szCs w:val="20"/>
          <w:color w:val="auto"/>
        </w:rPr>
      </w:pPr>
      <w:r>
        <w:rPr>
          <w:rFonts w:ascii="Arial" w:cs="Arial" w:eastAsia="Arial" w:hAnsi="Arial"/>
          <w:sz w:val="16"/>
          <w:szCs w:val="16"/>
          <w:color w:val="auto"/>
        </w:rPr>
        <w:t>the twenty-second (22</w:t>
      </w:r>
      <w:r>
        <w:rPr>
          <w:rFonts w:ascii="Arial" w:cs="Arial" w:eastAsia="Arial" w:hAnsi="Arial"/>
          <w:sz w:val="26"/>
          <w:szCs w:val="26"/>
          <w:color w:val="auto"/>
          <w:vertAlign w:val="superscript"/>
        </w:rPr>
        <w:t>nd</w:t>
      </w:r>
      <w:r>
        <w:rPr>
          <w:rFonts w:ascii="Arial" w:cs="Arial" w:eastAsia="Arial" w:hAnsi="Arial"/>
          <w:sz w:val="16"/>
          <w:szCs w:val="16"/>
          <w:color w:val="auto"/>
        </w:rPr>
        <w:t>) Trading Day prior to each Installment Date (each, an “</w:t>
      </w:r>
      <w:r>
        <w:rPr>
          <w:rFonts w:ascii="Arial" w:cs="Arial" w:eastAsia="Arial" w:hAnsi="Arial"/>
          <w:sz w:val="16"/>
          <w:szCs w:val="16"/>
          <w:b w:val="1"/>
          <w:bCs w:val="1"/>
          <w:color w:val="auto"/>
        </w:rPr>
        <w:t>Installment Notice Due Date</w:t>
      </w:r>
      <w:r>
        <w:rPr>
          <w:rFonts w:ascii="Arial" w:cs="Arial" w:eastAsia="Arial" w:hAnsi="Arial"/>
          <w:sz w:val="16"/>
          <w:szCs w:val="16"/>
          <w:color w:val="auto"/>
        </w:rPr>
        <w:t>”), the Company shall deliver written notice (each, a “</w:t>
      </w:r>
      <w:r>
        <w:rPr>
          <w:rFonts w:ascii="Arial" w:cs="Arial" w:eastAsia="Arial" w:hAnsi="Arial"/>
          <w:sz w:val="16"/>
          <w:szCs w:val="16"/>
          <w:b w:val="1"/>
          <w:bCs w:val="1"/>
          <w:color w:val="auto"/>
        </w:rPr>
        <w:t>Company Installment Notice</w:t>
      </w:r>
      <w:r>
        <w:rPr>
          <w:rFonts w:ascii="Arial" w:cs="Arial" w:eastAsia="Arial" w:hAnsi="Arial"/>
          <w:sz w:val="16"/>
          <w:szCs w:val="16"/>
          <w:color w:val="auto"/>
        </w:rPr>
        <w:t>” and the date the Trustee and all of the holders receive such notice is referred to as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Installment Notice Date</w:t>
      </w:r>
      <w:r>
        <w:rPr>
          <w:rFonts w:ascii="Arial" w:cs="Arial" w:eastAsia="Arial" w:hAnsi="Arial"/>
          <w:sz w:val="16"/>
          <w:szCs w:val="16"/>
          <w:color w:val="auto"/>
        </w:rPr>
        <w:t>”), to the Trustee and each holder of Notes and such Company Installment Notice shall (i) either (A) confirm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Installment Amount of such holder’s Note shall be converted in whole pursuant to a Company Conversion or (B) (1) state that the Company elects to redeem, or is required to elect and redeem in accordance with the provisions of the Notes, in whole or in part, the applicable Installment Amount pursuant to a Company Redemption and (2) specify the portion of the applicable Installment Amount which the Company elects, or is required to elect and redeem, pursuant to a Company Redemption (such amount to be redeemed in cash, the “</w:t>
      </w:r>
      <w:r>
        <w:rPr>
          <w:rFonts w:ascii="Arial" w:cs="Arial" w:eastAsia="Arial" w:hAnsi="Arial"/>
          <w:sz w:val="16"/>
          <w:szCs w:val="16"/>
          <w:b w:val="1"/>
          <w:bCs w:val="1"/>
          <w:color w:val="auto"/>
        </w:rPr>
        <w:t>Company 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and the portion of the applicable Installment Amount, if any, with respect to which the Company will, and is permitted to, effect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Conversion (such amount of the applicable Installment Amount so specified to be so converted pursuant to this Section 8 is referred to herein as the “</w:t>
      </w:r>
      <w:r>
        <w:rPr>
          <w:rFonts w:ascii="Arial" w:cs="Arial" w:eastAsia="Arial" w:hAnsi="Arial"/>
          <w:sz w:val="16"/>
          <w:szCs w:val="16"/>
          <w:b w:val="1"/>
          <w:bCs w:val="1"/>
          <w:color w:val="auto"/>
        </w:rPr>
        <w:t>Company Conversion Amount</w:t>
      </w:r>
      <w:r>
        <w:rPr>
          <w:rFonts w:ascii="Arial" w:cs="Arial" w:eastAsia="Arial" w:hAnsi="Arial"/>
          <w:sz w:val="16"/>
          <w:szCs w:val="16"/>
          <w:color w:val="auto"/>
        </w:rPr>
        <w:t>”), which amounts when added together, must equal the entire applicable Installment Amount and (ii) if the applicable Installment Amount is to be paid, in whole or in part, pursuant to a Company Conversion, certify that there is not an Equity Conditions Failure as of the date of the applicable Company Installment Notice. Each Company Installment Notice shall be irrevocable. For purposes of the first Installment Amount, the Company Conversion Amount shall be deemed to be the entire Installment Amount. Except in the case of the first Installment Amount, if the Company does not timely deliver a Company Installment Notice in accordance with this Section 8 with respect to a particular Installment Date, then the Company shall be deemed to have delivered an irrevocable Company Installment Notice confirming a Company Conversion of the entire Installment Amount payable on such Installment Date and shall be deemed to have certified that there is not an Equity Conditions Failure on the applicable Installment Notice Due Date and the applicable Installment Date. No later than (i) one (1) Trading Day after the Issuance Date, in the case of the first Installment Amount, and (ii) with respect to all Installment Amounts other than the first Installment Amount, one (1) Trading Day after delivery or deemed delivery (as applicable) of the applicable Company Installment Notice setting forth a Company Conversion Amount, the Company shall deliver to the Holder’s account with DTC such number of shares of Common Stock (the “</w:t>
      </w:r>
      <w:r>
        <w:rPr>
          <w:rFonts w:ascii="Arial" w:cs="Arial" w:eastAsia="Arial" w:hAnsi="Arial"/>
          <w:sz w:val="16"/>
          <w:szCs w:val="16"/>
          <w:b w:val="1"/>
          <w:bCs w:val="1"/>
          <w:color w:val="auto"/>
        </w:rPr>
        <w:t>Pre-Installment Conversion Shares</w:t>
      </w:r>
      <w:r>
        <w:rPr>
          <w:rFonts w:ascii="Arial" w:cs="Arial" w:eastAsia="Arial" w:hAnsi="Arial"/>
          <w:sz w:val="16"/>
          <w:szCs w:val="16"/>
          <w:color w:val="auto"/>
        </w:rPr>
        <w:t>”) equal to the quotient of (x) such Company Conversion Amount divided by (y) the Pre-Installment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Price, and as to which the Holder shall be the owner thereof as of such time of delivery or deemed delivery (as the case may be) of such Company Installment Notice. Except as expressly provided in this Section 8(a),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w:t>
      </w:r>
    </w:p>
    <w:p>
      <w:pPr>
        <w:spacing w:after="0" w:line="200" w:lineRule="exact"/>
        <w:rPr>
          <w:sz w:val="20"/>
          <w:szCs w:val="20"/>
          <w:color w:val="auto"/>
        </w:rPr>
      </w:pPr>
    </w:p>
    <w:p>
      <w:pPr>
        <w:spacing w:after="0" w:line="205"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3" w:name="page164"/>
    <w:bookmarkEnd w:id="163"/>
    <w:p>
      <w:pPr>
        <w:jc w:val="both"/>
        <w:ind w:firstLine="645"/>
        <w:spacing w:after="0" w:line="282" w:lineRule="auto"/>
        <w:tabs>
          <w:tab w:leader="none" w:pos="128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Mechanics of Company Conversion</w:t>
      </w:r>
      <w:r>
        <w:rPr>
          <w:rFonts w:ascii="Arial" w:cs="Arial" w:eastAsia="Arial" w:hAnsi="Arial"/>
          <w:sz w:val="16"/>
          <w:szCs w:val="16"/>
          <w:color w:val="auto"/>
        </w:rPr>
        <w:t>. Subject to Section 3(d), if the Company delivers a Company Installment Notice and elects, or is deemed to have delivered a Company Installment Notice and deemed to have elected, in whole or in part, a Company Conversion in accordance with Section 8(a), then the remainder of this Section 8(c) shall apply. The applicable Company Conversion Amount, if any, which remains outstanding as of the applicable Installment Date shall be converted as of the applicable Installment Date by converting on such Installment Date such Company Conversion Amount at the Company Conversion Price, and the Company shall, on the applicable Installment Date, deliver to the Holder’s account with DTC such shares of Common Stock issued upon such conversion (subject to the reduction contemplated by the immediately following sentence and, if applicable, the last sentence of this Section 8(c)), provided that there is no Equity Conditions Failure as of such Installment Date and a Company Conversion is not otherwise prohibited under any other provision of this Note. The number of shares of Common Stock to be delivered upon such Company Conversion shall be reduced by the number of any Pre-Installment Conversion Shares delivered in connection with such Installment Date. If an Event of Default occurs during any applicable Company Conversion Measuring Period, then either (i) the Holder shall return any Pre-Installment Conversion Shares delivered in connection with the applicable Installment Date or (ii) the Conversion Amount used to calculate the Event of Default Redemption Price shall be reduced by the product of (x) the Company Conversion Amount applicable to such Installment Date multiplied by (y) the Conversion Share Ratio (as defined below). If there is an Equity Conditions Failure as of such Installment Date or a Company Conversion is not otherwise permitted under any other provision of this Note, then, at the option of the Holder designated in writing to the Company, the Holder may require the Company to do any one or more of the following: (i) the Company shall redeem all or any part designated by the Holder of the unconverted Company Conversion Amount (such designated amount is referred to as the “</w:t>
      </w:r>
      <w:r>
        <w:rPr>
          <w:rFonts w:ascii="Arial" w:cs="Arial" w:eastAsia="Arial" w:hAnsi="Arial"/>
          <w:sz w:val="16"/>
          <w:szCs w:val="16"/>
          <w:b w:val="1"/>
          <w:bCs w:val="1"/>
          <w:color w:val="auto"/>
        </w:rPr>
        <w:t>Designated</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Amount</w:t>
      </w:r>
      <w:r>
        <w:rPr>
          <w:rFonts w:ascii="Arial" w:cs="Arial" w:eastAsia="Arial" w:hAnsi="Arial"/>
          <w:sz w:val="16"/>
          <w:szCs w:val="16"/>
          <w:color w:val="auto"/>
        </w:rPr>
        <w:t>”) and the Company shall pay to the Holder within three (3) Business Days of such Installment Date, by wire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available funds, an amount in cash equal to 110% of such Designated Redemption Amount, and/or (ii) the Company Conversion shall be null and void with respect to all or any part designated by the Holder of the unconverted Company Conversion Amount and the Holder shall be entitled to all the rights of a holder of this Note with respect to such designated part of the Company Conversion Amount; provided, however, the Conversion Price for such designated part of such unconverted Company Conversion Amount shall thereafter be adjusted to equal the lesser of (A) the Company Conversion Price as in effect on the date on which the Holder voided the Company Conversion and (B) the Company Conversion Price that would be in effect on the date on which the Holder delivers a Conversion Notice relating thereto as if such date was an Installment Date. In addition, if there is an Equity Conditions Failure as of such Installment Date or a Company Conversion is not otherwise permitted under any other provision of this Note, then, at the Holder’s option, either (I) the Holder shall return any Pre-Installment Conversion Shares delivered in connection with the applicable Installment Date or (II) the applicable Designated Redemption Amount shall be reduced by the product of (X) the Company Conversion Amount applicable to such Installment Date multiplied by (Y) the Conversion Share Ratio. If the Company fails to redeem any</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Designated Redemption Amount by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applicable Installment Date by payment of such amount on the applicable Installment Date, then the Holder shall have the rights set forth in Section 11 as if the Company failed to pay the applicable Company Installment Redemption Price (as defined below) and all other rights under this Note (including, without limitation, such failure constituting an Event of Default described in Section 4(a)(xiii)). Notwithstanding anything to the contrary in this Section 8(c), but subject to Section 3(d), until the Company delivers Common Stock representing the Company Conversion Amount to the Holder, the Company Conversion Amount may be converted by the Holder into Common Stock pursuant to Section 3. In the event that the Holder elects to convert the Company Conversion Amount prior to the applicable Installment Date as set forth in the immediately preceding sentence, the Company Conversion Amount so converted shall be deducted from the Installment Amount(s) relating to the applicable Installment Date(s) as set forth in the applicable Conversion Notice. If, with respect to an Installment Date, the number of Pre-Installment Conversion Shares delivered to the Holder exceeds the number of Post-Installment Conversion Shares with respect to such Installment Date, then the number of shares of Common Stock equal to such excess shall constitute a credit against the number of shares of Common Stock to be issued to such Holder pursuant to Sections 3 and 8(b) hereof and shall reduce the number of shares of Common Stock required to be actually issued by the Company to the Holder under such sections on a share-for-share basis until such time as the number of shares that would have been issued by the Company to such Holder (not taking account of such credit) equals the amount of such excess.</w:t>
      </w:r>
    </w:p>
    <w:p>
      <w:pPr>
        <w:spacing w:after="0" w:line="200" w:lineRule="exact"/>
        <w:rPr>
          <w:sz w:val="20"/>
          <w:szCs w:val="20"/>
          <w:color w:val="auto"/>
        </w:rPr>
      </w:pPr>
    </w:p>
    <w:p>
      <w:pPr>
        <w:spacing w:after="0" w:line="20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ANNEX II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64" w:name="page165"/>
    <w:bookmarkEnd w:id="164"/>
    <w:p>
      <w:pPr>
        <w:jc w:val="both"/>
        <w:ind w:left="-540" w:firstLine="645"/>
        <w:spacing w:after="0" w:line="286" w:lineRule="auto"/>
        <w:tabs>
          <w:tab w:leader="none" w:pos="737"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Mechanics of Company Redemption</w:t>
      </w:r>
      <w:r>
        <w:rPr>
          <w:rFonts w:ascii="Arial" w:cs="Arial" w:eastAsia="Arial" w:hAnsi="Arial"/>
          <w:sz w:val="16"/>
          <w:szCs w:val="16"/>
          <w:color w:val="auto"/>
        </w:rPr>
        <w:t>. If the Company elects, or is required to elect, a Company Redemption, in whole or in part, in accordance with Section 8(a), then the Company Redemption Amount, if any, which is to be paid to the Holder on the applicable Installment Date shall be redeemed by the Company on such Installment Date in an amount of cash, and the Company shall pay to the Holder on such Installment Date, by wire transfer of immediately available funds an amount, equal to 102.5% of the applicable Company Redemption Amount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Installment Redemption Price</w:t>
      </w:r>
      <w:r>
        <w:rPr>
          <w:rFonts w:ascii="Arial" w:cs="Arial" w:eastAsia="Arial" w:hAnsi="Arial"/>
          <w:sz w:val="16"/>
          <w:szCs w:val="16"/>
          <w:color w:val="auto"/>
        </w:rPr>
        <w:t>”). If the Company fails to redeem the applicable Company Redemption Amount on the applicable Installment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by payment of the Company Installment Redemption Price on such date, then, at the option of the Holder designated in writing to the Company (any such designation shall be a “Conversion Notice” for purposes of this Note), the Holder may require the Company to convert all or any part of the Company Redemption Amount at the Company Conversion Price (determined as of the date of such designation as if such date were an Installment Date). Conversions required by this Section 8(d) shall be made in accordance with the provisions of Section 3(c). Notwithstanding anything to the contrary in this Section 8(d), but subject to Section 3(d), until the Company Installment Redemption Price (together with any Late Charges thereon) is paid in full, the Company Redemption Amount (together with any Late Charges thereon) may be converted, in whole or in part, by the Holder into Common Stock pursuant to Section 3. In the event the Holder elects to convert all or any portion of the Company Redemption Amount prior to the applicable Installment Date as set forth in the immediately preceding sentence, the Company Redemption Amount so converted shall be deducted from the Installment Amounts relating to the applicable Installment Date(s) as set forth in the applicable Conversion Notice.</w:t>
      </w:r>
    </w:p>
    <w:p>
      <w:pPr>
        <w:spacing w:after="0" w:line="171" w:lineRule="exact"/>
        <w:rPr>
          <w:rFonts w:ascii="Arial" w:cs="Arial" w:eastAsia="Arial" w:hAnsi="Arial"/>
          <w:sz w:val="16"/>
          <w:szCs w:val="16"/>
          <w:color w:val="auto"/>
        </w:rPr>
      </w:pPr>
    </w:p>
    <w:p>
      <w:pPr>
        <w:jc w:val="both"/>
        <w:ind w:left="-540" w:firstLine="645"/>
        <w:spacing w:after="0" w:line="290" w:lineRule="auto"/>
        <w:tabs>
          <w:tab w:leader="none" w:pos="902"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Acceleration of Installment Amounts</w:t>
      </w:r>
      <w:r>
        <w:rPr>
          <w:rFonts w:ascii="Arial" w:cs="Arial" w:eastAsia="Arial" w:hAnsi="Arial"/>
          <w:sz w:val="16"/>
          <w:szCs w:val="16"/>
          <w:color w:val="auto"/>
        </w:rPr>
        <w:t>. Notwithstanding any provision of this Section 8, during the period commencing on an Installment Date (a “</w:t>
      </w:r>
      <w:r>
        <w:rPr>
          <w:rFonts w:ascii="Arial" w:cs="Arial" w:eastAsia="Arial" w:hAnsi="Arial"/>
          <w:sz w:val="16"/>
          <w:szCs w:val="16"/>
          <w:b w:val="1"/>
          <w:bCs w:val="1"/>
          <w:color w:val="auto"/>
        </w:rPr>
        <w:t>Current Installment Date</w:t>
      </w:r>
      <w:r>
        <w:rPr>
          <w:rFonts w:ascii="Arial" w:cs="Arial" w:eastAsia="Arial" w:hAnsi="Arial"/>
          <w:sz w:val="16"/>
          <w:szCs w:val="16"/>
          <w:color w:val="auto"/>
        </w:rPr>
        <w:t>”) and ending on the Trading Day immediately prior to the next Installment Date (each, an “</w:t>
      </w:r>
      <w:r>
        <w:rPr>
          <w:rFonts w:ascii="Arial" w:cs="Arial" w:eastAsia="Arial" w:hAnsi="Arial"/>
          <w:sz w:val="16"/>
          <w:szCs w:val="16"/>
          <w:b w:val="1"/>
          <w:bCs w:val="1"/>
          <w:color w:val="auto"/>
        </w:rPr>
        <w:t>Installment Period</w:t>
      </w:r>
      <w:r>
        <w:rPr>
          <w:rFonts w:ascii="Arial" w:cs="Arial" w:eastAsia="Arial" w:hAnsi="Arial"/>
          <w:sz w:val="16"/>
          <w:szCs w:val="16"/>
          <w:color w:val="auto"/>
        </w:rPr>
        <w:t>”), at the option of the Holder, at one or more times, the Holder may convert one or more other Installment Amounts (each, an “</w:t>
      </w:r>
      <w:r>
        <w:rPr>
          <w:rFonts w:ascii="Arial" w:cs="Arial" w:eastAsia="Arial" w:hAnsi="Arial"/>
          <w:sz w:val="16"/>
          <w:szCs w:val="16"/>
          <w:b w:val="1"/>
          <w:bCs w:val="1"/>
          <w:color w:val="auto"/>
        </w:rPr>
        <w:t>Acceleration</w:t>
      </w:r>
      <w:r>
        <w:rPr>
          <w:rFonts w:ascii="Arial" w:cs="Arial" w:eastAsia="Arial" w:hAnsi="Arial"/>
          <w:sz w:val="16"/>
          <w:szCs w:val="16"/>
          <w:color w:val="auto"/>
        </w:rPr>
        <w:t xml:space="preserve">”), in whole or in part, at the Company Conversion Price of such Current Installment Date in accordance with the conversion procedures set forth in Section 3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 In the event that the Holder elects to effect any Acceleration pursuant to this Section 8(e), the Holder shall notify the Company and the Trustee as to the Installment Amounts subject to such Acceleration. Notwithstanding the foregoing, the Holder may not elect to effect the Acceleration of more than an aggregate of six (6) Installment Amounts pursuant to this Section 8(e). The amount of any other Installment Amount accelerated pursuant to this Section 8(e) is referred to as the “</w:t>
      </w:r>
      <w:r>
        <w:rPr>
          <w:rFonts w:ascii="Arial" w:cs="Arial" w:eastAsia="Arial" w:hAnsi="Arial"/>
          <w:sz w:val="16"/>
          <w:szCs w:val="16"/>
          <w:b w:val="1"/>
          <w:bCs w:val="1"/>
          <w:color w:val="auto"/>
        </w:rPr>
        <w:t>Acceleration Amount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540" w:firstLine="645"/>
        <w:spacing w:after="0" w:line="285" w:lineRule="auto"/>
        <w:tabs>
          <w:tab w:leader="none" w:pos="693"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Blocker Notice; Designated Specified Amounts</w:t>
      </w:r>
      <w:r>
        <w:rPr>
          <w:rFonts w:ascii="Arial" w:cs="Arial" w:eastAsia="Arial" w:hAnsi="Arial"/>
          <w:sz w:val="16"/>
          <w:szCs w:val="16"/>
          <w:color w:val="auto"/>
        </w:rPr>
        <w:t>. Notwithstanding the foregoing, if (i) the Company has elected to effect a Company Conversion pursuant to this Section 8 with respect to the applicable Installment Date, (ii) the Company is permitted pursuant to this Section 8 to effect such Company Conversion on such Installment Date and (iii) prior to such Installment Date the Holder has delivered (via electronic mail or otherwise) to the Company and the Trustee a written notice (a “</w:t>
      </w:r>
      <w:r>
        <w:rPr>
          <w:rFonts w:ascii="Arial" w:cs="Arial" w:eastAsia="Arial" w:hAnsi="Arial"/>
          <w:sz w:val="16"/>
          <w:szCs w:val="16"/>
          <w:b w:val="1"/>
          <w:bCs w:val="1"/>
          <w:color w:val="auto"/>
        </w:rPr>
        <w:t>Blocker Notice</w:t>
      </w:r>
      <w:r>
        <w:rPr>
          <w:rFonts w:ascii="Arial" w:cs="Arial" w:eastAsia="Arial" w:hAnsi="Arial"/>
          <w:sz w:val="16"/>
          <w:szCs w:val="16"/>
          <w:color w:val="auto"/>
        </w:rPr>
        <w:t>”) (A) stating that such Company Conversion would result in a violation of Section 3(d)(i) and (B) specifying the portion of the applicable Installment Amount with respect to which such Company Conversion would result in a violation of Section 3(d)(i) if such Company Conversion were effected (such amount so specified is referred to herein as the “</w:t>
      </w:r>
      <w:r>
        <w:rPr>
          <w:rFonts w:ascii="Arial" w:cs="Arial" w:eastAsia="Arial" w:hAnsi="Arial"/>
          <w:sz w:val="16"/>
          <w:szCs w:val="16"/>
          <w:b w:val="1"/>
          <w:bCs w:val="1"/>
          <w:color w:val="auto"/>
        </w:rPr>
        <w:t>Designated Specified Amount</w:t>
      </w:r>
      <w:r>
        <w:rPr>
          <w:rFonts w:ascii="Arial" w:cs="Arial" w:eastAsia="Arial" w:hAnsi="Arial"/>
          <w:sz w:val="16"/>
          <w:szCs w:val="16"/>
          <w:color w:val="auto"/>
        </w:rPr>
        <w:t>”), the Installment Amount of the Holder for such Installment Date shall be automatically reduced by such Designated Specified Amount; provided, that (x) at the Holder’s option, at any time prior to the applicable Installment Date, the Holder may reduce the Designated Specified Amount of shares of Common Stock covered by such Blocker Notice, in whole or in part, by delivery of one or more written notices to the Company and the Trustee (each, a “</w:t>
      </w:r>
      <w:r>
        <w:rPr>
          <w:rFonts w:ascii="Arial" w:cs="Arial" w:eastAsia="Arial" w:hAnsi="Arial"/>
          <w:sz w:val="16"/>
          <w:szCs w:val="16"/>
          <w:b w:val="1"/>
          <w:bCs w:val="1"/>
          <w:color w:val="auto"/>
        </w:rPr>
        <w:t>Withdrawal Notice</w:t>
      </w:r>
      <w:r>
        <w:rPr>
          <w:rFonts w:ascii="Arial" w:cs="Arial" w:eastAsia="Arial" w:hAnsi="Arial"/>
          <w:sz w:val="16"/>
          <w:szCs w:val="16"/>
          <w:color w:val="auto"/>
        </w:rPr>
        <w:t>”, and each date, a “</w:t>
      </w:r>
      <w:r>
        <w:rPr>
          <w:rFonts w:ascii="Arial" w:cs="Arial" w:eastAsia="Arial" w:hAnsi="Arial"/>
          <w:sz w:val="16"/>
          <w:szCs w:val="16"/>
          <w:b w:val="1"/>
          <w:bCs w:val="1"/>
          <w:color w:val="auto"/>
        </w:rPr>
        <w:t>Withdrawal Notice Date</w:t>
      </w:r>
      <w:r>
        <w:rPr>
          <w:rFonts w:ascii="Arial" w:cs="Arial" w:eastAsia="Arial" w:hAnsi="Arial"/>
          <w:sz w:val="16"/>
          <w:szCs w:val="16"/>
          <w:color w:val="auto"/>
        </w:rPr>
        <w:t>”) and elect to convert the Designated Specified Amount (or such lesser amount as set forth in the Withdrawal Notice) in accordance with this Section 8 (each a “</w:t>
      </w:r>
      <w:r>
        <w:rPr>
          <w:rFonts w:ascii="Arial" w:cs="Arial" w:eastAsia="Arial" w:hAnsi="Arial"/>
          <w:sz w:val="16"/>
          <w:szCs w:val="16"/>
          <w:b w:val="1"/>
          <w:bCs w:val="1"/>
          <w:color w:val="auto"/>
        </w:rPr>
        <w:t>Withdrawn Designated Specified Amount</w:t>
      </w:r>
      <w:r>
        <w:rPr>
          <w:rFonts w:ascii="Arial" w:cs="Arial" w:eastAsia="Arial" w:hAnsi="Arial"/>
          <w:sz w:val="16"/>
          <w:szCs w:val="16"/>
          <w:color w:val="auto"/>
        </w:rPr>
        <w:t>”) and (B) the Installment Amount with respect to such Installment Date shall be automatically increased by an amount equal to the sum of any Withdrawn Designated Specified Amounts set forth in Withdrawal Notices of the Holder with respect to such Installment Date delivered to the Company prior to such Installment Date and (y) either (A) if such Installment Date is prior to the Maturity Date, the Installment Amount of the immediately subsequent Installment Date shall be automatically increased by the Designated Specified Amount (less an amount equal to the sum of any Withdrawn Designated Specified Amounts set forth in Withdrawal Notices of the Holder delivered with respect to such Installment Date) or (Y) if such Installment Date is the Maturity Date, such Designated Specified Amount shall automatically increase the Company Redemption Amount to be paid in cash on the Maturity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5" w:name="page166"/>
    <w:bookmarkEnd w:id="165"/>
    <w:p>
      <w:pPr>
        <w:jc w:val="both"/>
        <w:ind w:left="-20" w:firstLine="656"/>
        <w:spacing w:after="0" w:line="253" w:lineRule="auto"/>
        <w:tabs>
          <w:tab w:leader="none" w:pos="141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the Company (i) shall not increase the par value of any shares of Common Stock receivable upon conversion of this Note above the Conversion Price then in effect, (ii) shall take all such actions as may be necessary or appropriate in order that the Company may validly and legally issue fully paid and nonassessable shares of Common Stock upon the conversion of this Note, and (iii) shall, so long as any of the Notes are outstanding, take all action necessary to reserve and keep available out of its authorized and unissued shares of Common Stock, solely for the purpose of effecting the conversion of the Notes, the maximum number of shares of Common Stock as shall from time to time be necessary to effect the conversion of the Notes then outstanding (without regard to any limitations on conversion).</w:t>
      </w:r>
    </w:p>
    <w:p>
      <w:pPr>
        <w:spacing w:after="0" w:line="192" w:lineRule="exact"/>
        <w:rPr>
          <w:rFonts w:ascii="Arial" w:cs="Arial" w:eastAsia="Arial" w:hAnsi="Arial"/>
          <w:sz w:val="18"/>
          <w:szCs w:val="18"/>
          <w:color w:val="auto"/>
        </w:rPr>
      </w:pPr>
    </w:p>
    <w:p>
      <w:pPr>
        <w:ind w:left="1320" w:hanging="684"/>
        <w:spacing w:after="0"/>
        <w:tabs>
          <w:tab w:leader="none" w:pos="132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RESERVATION OF 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68" w:lineRule="auto"/>
        <w:tabs>
          <w:tab w:leader="none" w:pos="1893"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Reservation</w:t>
      </w:r>
      <w:r>
        <w:rPr>
          <w:rFonts w:ascii="Arial" w:cs="Arial" w:eastAsia="Arial" w:hAnsi="Arial"/>
          <w:sz w:val="17"/>
          <w:szCs w:val="17"/>
          <w:color w:val="auto"/>
        </w:rPr>
        <w:t>. The Company shall initially reserve out of its authorized and unissued Common Stock a number of shares of Common Stock for each of the Notes equal to 100% of the entire Conversion Rate with respect to the entire Conversion Amount of each such Note as of the Issuance Date. So long as any of the Notes are outstanding, the Company shall take all action necessary to reserve and keep available out of its authorized and unissued Common Stock, solely for the purpose of effecting the conversion of the Notes, 100% of the number of shares of Common Stock as shall from time to time be necessary to effect the conversion of all of the Notes then outstanding pursuant to the terms hereof, provided that at no time shall the number of shares of Common Stock so reserved be less than the number of shares required to be reserved by the previous sentence (without regard to any limitations on conversions)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The initial number of shares of Common Stock reserved for conversions of the Notes and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the Holder shall sell or otherwise transfer any of this Note, each transferee shall be allocated a pro rata portion of the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6" w:name="page167"/>
    <w:bookmarkEnd w:id="166"/>
    <w:p>
      <w:pPr>
        <w:jc w:val="both"/>
        <w:ind w:left="-540" w:firstLine="645"/>
        <w:spacing w:after="0" w:line="267" w:lineRule="auto"/>
        <w:tabs>
          <w:tab w:leader="none" w:pos="764"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Insufficient Authorized Shares</w:t>
      </w:r>
      <w:r>
        <w:rPr>
          <w:rFonts w:ascii="Arial" w:cs="Arial" w:eastAsia="Arial" w:hAnsi="Arial"/>
          <w:sz w:val="17"/>
          <w:szCs w:val="17"/>
          <w:color w:val="auto"/>
        </w:rPr>
        <w:t>. If, notwithstanding Section 10(a),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Arial" w:cs="Arial" w:eastAsia="Arial" w:hAnsi="Arial"/>
          <w:sz w:val="17"/>
          <w:szCs w:val="17"/>
          <w:b w:val="1"/>
          <w:bCs w:val="1"/>
          <w:color w:val="auto"/>
        </w:rPr>
        <w:t>Authorized Share Failure</w:t>
      </w:r>
      <w:r>
        <w:rPr>
          <w:rFonts w:ascii="Arial" w:cs="Arial" w:eastAsia="Arial" w:hAnsi="Arial"/>
          <w:sz w:val="17"/>
          <w:szCs w:val="17"/>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any conversion due to the failure by the Company to have sufficient shares of Common Stock available out of the authorized but unissued shares of Common Stock (such unavailable number of shares of Common Stock, the “</w:t>
      </w:r>
      <w:r>
        <w:rPr>
          <w:rFonts w:ascii="Arial" w:cs="Arial" w:eastAsia="Arial" w:hAnsi="Arial"/>
          <w:sz w:val="17"/>
          <w:szCs w:val="17"/>
          <w:b w:val="1"/>
          <w:bCs w:val="1"/>
          <w:color w:val="auto"/>
        </w:rPr>
        <w:t>Authorization</w:t>
      </w:r>
      <w:r>
        <w:rPr>
          <w:rFonts w:ascii="Arial" w:cs="Arial" w:eastAsia="Arial" w:hAnsi="Arial"/>
          <w:sz w:val="17"/>
          <w:szCs w:val="17"/>
          <w:color w:val="auto"/>
        </w:rPr>
        <w:t xml:space="preserve"> </w:t>
      </w:r>
      <w:r>
        <w:rPr>
          <w:rFonts w:ascii="Arial" w:cs="Arial" w:eastAsia="Arial" w:hAnsi="Arial"/>
          <w:sz w:val="17"/>
          <w:szCs w:val="17"/>
          <w:b w:val="1"/>
          <w:bCs w:val="1"/>
          <w:color w:val="auto"/>
        </w:rPr>
        <w:t>Failure Shares</w:t>
      </w:r>
      <w:r>
        <w:rPr>
          <w:rFonts w:ascii="Arial" w:cs="Arial" w:eastAsia="Arial" w:hAnsi="Arial"/>
          <w:sz w:val="17"/>
          <w:szCs w:val="17"/>
          <w:color w:val="auto"/>
        </w:rPr>
        <w:t>”), in lieu of delivering such Authorization Failure Shares to the Holder, the Company shall pay cash (each, an “</w:t>
      </w:r>
      <w:r>
        <w:rPr>
          <w:rFonts w:ascii="Arial" w:cs="Arial" w:eastAsia="Arial" w:hAnsi="Arial"/>
          <w:sz w:val="17"/>
          <w:szCs w:val="17"/>
          <w:b w:val="1"/>
          <w:bCs w:val="1"/>
          <w:color w:val="auto"/>
        </w:rPr>
        <w:t>Authorized Failure Share Cancellation Amount</w:t>
      </w:r>
      <w:r>
        <w:rPr>
          <w:rFonts w:ascii="Arial" w:cs="Arial" w:eastAsia="Arial" w:hAnsi="Arial"/>
          <w:sz w:val="17"/>
          <w:szCs w:val="17"/>
          <w:color w:val="auto"/>
        </w:rPr>
        <w:t>”) in exchange for the redemption of such portion of the Conversion Amount convertible into such Authorized Failure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at an amount equal to the sum of (i) the product of (x) such number of Authorization Failure Shares and (y) the greatest Closing Sale Price of the Common Stock on any Trading Day during the period commencing on the date the Holder delivers the applicable Conversion Notice with respect to such Authorization Failure Shares to the Company and ending on the date of such issuance and payment under this Section 10(b) and (ii) to the extent the Holder purchases (in an open market transaction or otherwise) shares of Common Stock to deliver in satisfaction of a sale by the Holder of Authorization Failure Shares, any brokerage commissions and other out-of-pocket expenses, if any, of the Holder incurred in connection therewith. Nothing contained in Section 10(a) or this Section 10(b) shall limit any obligations of the Company under any provision of the Securities Purchase Agreement.</w:t>
      </w:r>
    </w:p>
    <w:p>
      <w:pPr>
        <w:spacing w:after="0" w:line="200" w:lineRule="exact"/>
        <w:rPr>
          <w:sz w:val="20"/>
          <w:szCs w:val="20"/>
          <w:color w:val="auto"/>
        </w:rPr>
      </w:pP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7" w:name="page168"/>
    <w:bookmarkEnd w:id="167"/>
    <w:p>
      <w:pPr>
        <w:jc w:val="both"/>
        <w:ind w:left="-20" w:firstLine="1305"/>
        <w:spacing w:after="0" w:line="284" w:lineRule="auto"/>
        <w:tabs>
          <w:tab w:leader="none" w:pos="203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HOLDER’S REDEMPTIONS</w:t>
      </w:r>
      <w:r>
        <w:rPr>
          <w:rFonts w:ascii="Arial" w:cs="Arial" w:eastAsia="Arial" w:hAnsi="Arial"/>
          <w:sz w:val="16"/>
          <w:szCs w:val="16"/>
          <w:color w:val="auto"/>
        </w:rPr>
        <w:t>. The Company, or at the Company’s direction, the Trustee, shall deliver the applicable Event of Default Redemption Price to the Holder in cash within three (3) Business Days after the Company’s receipt of the Holder’s Event of Default Redemption Notice. The Trustee shall not have any payment obligation under this Section 11 unless and until it has received sufficient cash from the Company to make any of the payments set forth in this Section 11. If the Holder has submitted a Fundamental Transaction Redemption Notice in accordance with Section 5(b), the Company, or at the Company’s directions, the Trustee, shall deliver the applicable Fundamental Transaction Redemption Price to the Holder in cash concurrently with the consummation of such Fundamental Transaction if such notice is received prior to the consummation of such Fundamental Transaction and within three (3) Business Days after the Company’s receipt of such notice otherwise. The Company, or at the Company’s direction, the Trustee, shall deliver the applicable Company Installment Redemption Price to the Holder in cash on the applicable Installment Date. In the event of a redemption of less than all of the Conversion Amount of this Note, the Company shall promptly cause to be issued and, following authentication of such new Note, delivered to the Holder a new Note (in accordance with Section 18(d))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duly authenticated Note (in accordance with Section 18(d)), to the Holder, and in each case the principal amount of this Note or such new Note (as the case may be) shall be increased by an amount equal to the difference between (1) the applicable Event of Default Redemption Price, Fundamental Transaction Redemption Price or Company Installment Redemption Price (as the case may be)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lowest Company Conversion Price of the Installment Dates occurring during the period commencing on the date the Holder delivers the applicable Redemption Notice and ending on the date the applicable Redemption Notice is voided, (B) 85% of the lowest Closing Bid Price of the Common Stock during the period beginning on and including the date on which the applicable Redemption Notice is delivered to the Company and ending on and including the date on which the applicable Redemption Notice is voided and (C) 85% of the VWAP of the Common Stock for the five (5) Trading Day period immediately preceding the Conversion Date of the applicable conversion.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8" w:name="page169"/>
    <w:bookmarkEnd w:id="168"/>
    <w:p>
      <w:pPr>
        <w:jc w:val="both"/>
        <w:ind w:left="-20" w:firstLine="656"/>
        <w:spacing w:after="0" w:line="284" w:lineRule="auto"/>
        <w:tabs>
          <w:tab w:leader="none" w:pos="148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COMPANY OPTIONAL REDEMPTION</w:t>
      </w:r>
      <w:r>
        <w:rPr>
          <w:rFonts w:ascii="Arial" w:cs="Arial" w:eastAsia="Arial" w:hAnsi="Arial"/>
          <w:sz w:val="16"/>
          <w:szCs w:val="16"/>
          <w:color w:val="auto"/>
        </w:rPr>
        <w:t>. If at any time after the four (4) month anniversary of the Issuance Date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Eligibility Date</w:t>
      </w:r>
      <w:r>
        <w:rPr>
          <w:rFonts w:ascii="Arial" w:cs="Arial" w:eastAsia="Arial" w:hAnsi="Arial"/>
          <w:sz w:val="16"/>
          <w:szCs w:val="16"/>
          <w:color w:val="auto"/>
        </w:rPr>
        <w:t>”), no Equity Conditions Failure exists, the Company shall have the right to redeem all but not less than all (except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 Company Optional Redemption Blocker Notice (as defined below)) or a portion, of the Conversion Amount then remaining under this Note (the “</w:t>
      </w:r>
      <w:r>
        <w:rPr>
          <w:rFonts w:ascii="Arial" w:cs="Arial" w:eastAsia="Arial" w:hAnsi="Arial"/>
          <w:sz w:val="16"/>
          <w:szCs w:val="16"/>
          <w:b w:val="1"/>
          <w:bCs w:val="1"/>
          <w:color w:val="auto"/>
        </w:rPr>
        <w:t>Company Optional Redemption Amount</w:t>
      </w:r>
      <w:r>
        <w:rPr>
          <w:rFonts w:ascii="Arial" w:cs="Arial" w:eastAsia="Arial" w:hAnsi="Arial"/>
          <w:sz w:val="16"/>
          <w:szCs w:val="16"/>
          <w:color w:val="auto"/>
        </w:rPr>
        <w:t>”) on the Company Optional Redemption Date (each as defined below) (a “</w:t>
      </w:r>
      <w:r>
        <w:rPr>
          <w:rFonts w:ascii="Arial" w:cs="Arial" w:eastAsia="Arial" w:hAnsi="Arial"/>
          <w:sz w:val="16"/>
          <w:szCs w:val="16"/>
          <w:b w:val="1"/>
          <w:bCs w:val="1"/>
          <w:color w:val="auto"/>
        </w:rPr>
        <w:t>Company 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provided that, notwithstanding the foregoing, if the Company Optional Redemption Amount for such Company Optional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exceeds such portion of the Conversion Amount remaining under this Note that the Holder would be permitted to convert into Common Stock pursuant to Section 3 on the Company Optional Redemption Notice Date (as defined below) without violating Section 3(d) (the “</w:t>
      </w:r>
      <w:r>
        <w:rPr>
          <w:rFonts w:ascii="Arial" w:cs="Arial" w:eastAsia="Arial" w:hAnsi="Arial"/>
          <w:sz w:val="16"/>
          <w:szCs w:val="16"/>
          <w:b w:val="1"/>
          <w:bCs w:val="1"/>
          <w:color w:val="auto"/>
        </w:rPr>
        <w:t>Permitted Company 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Amount</w:t>
      </w:r>
      <w:r>
        <w:rPr>
          <w:rFonts w:ascii="Arial" w:cs="Arial" w:eastAsia="Arial" w:hAnsi="Arial"/>
          <w:sz w:val="16"/>
          <w:szCs w:val="16"/>
          <w:color w:val="auto"/>
        </w:rPr>
        <w:t>”), the Holder, at its sole option, may deliver a written notice to the Company (a “</w:t>
      </w:r>
      <w:r>
        <w:rPr>
          <w:rFonts w:ascii="Arial" w:cs="Arial" w:eastAsia="Arial" w:hAnsi="Arial"/>
          <w:sz w:val="16"/>
          <w:szCs w:val="16"/>
          <w:b w:val="1"/>
          <w:bCs w:val="1"/>
          <w:color w:val="auto"/>
        </w:rPr>
        <w:t>Company Optional Redemption Blocker Notice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stating that such Company Optional Redemption Amount set forth in the applicable Company Optional Redemption Notice (as defined below) exceeds the Permitted Company Optional Redemption Amount and, thereafter, the applicable Company Optional Redemption Amount shall be automatically reduced to the Permitted Company Optional Redemption Amount set forth in the applicable Company Optional Redemption Blocker Notice. The portion of this Note subject to redemption pursuant to this Section 12 shall be redeemed by the Company in cash at a price (the “</w:t>
      </w:r>
      <w:r>
        <w:rPr>
          <w:rFonts w:ascii="Arial" w:cs="Arial" w:eastAsia="Arial" w:hAnsi="Arial"/>
          <w:sz w:val="16"/>
          <w:szCs w:val="16"/>
          <w:b w:val="1"/>
          <w:bCs w:val="1"/>
          <w:color w:val="auto"/>
        </w:rPr>
        <w:t>Company Optional Redemption Price</w:t>
      </w:r>
      <w:r>
        <w:rPr>
          <w:rFonts w:ascii="Arial" w:cs="Arial" w:eastAsia="Arial" w:hAnsi="Arial"/>
          <w:sz w:val="16"/>
          <w:szCs w:val="16"/>
          <w:color w:val="auto"/>
        </w:rPr>
        <w:t xml:space="preserve">”) equal to (i) 100% of the Principal amount being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 premium equal to 20% of the Principal amount being redeemed during the period between the Company Redemption Eligibility Date and the one-year anniversary date of the Issuance Date and 15% of the Principal amount being redeemed thereafter, </w:t>
      </w:r>
      <w:r>
        <w:rPr>
          <w:rFonts w:ascii="Arial" w:cs="Arial" w:eastAsia="Arial" w:hAnsi="Arial"/>
          <w:sz w:val="16"/>
          <w:szCs w:val="16"/>
          <w:i w:val="1"/>
          <w:iCs w:val="1"/>
          <w:color w:val="auto"/>
        </w:rPr>
        <w:t xml:space="preserve">plus </w:t>
      </w:r>
      <w:r>
        <w:rPr>
          <w:rFonts w:ascii="Arial" w:cs="Arial" w:eastAsia="Arial" w:hAnsi="Arial"/>
          <w:sz w:val="16"/>
          <w:szCs w:val="16"/>
          <w:color w:val="auto"/>
        </w:rPr>
        <w:t>(iii) all accrued and unpaid Interest with respect to such portion of the Principal amount and accrued and unpaid Late Charges, if any,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portion of such Principal and such Interest. The Company may exercise its right to require redemption under this Section 12 by delivering an irrevocable written notice thereof by electronic mail and overnight courier to all, but not less than all, of the holders of Notes (the “</w:t>
      </w:r>
      <w:r>
        <w:rPr>
          <w:rFonts w:ascii="Arial" w:cs="Arial" w:eastAsia="Arial" w:hAnsi="Arial"/>
          <w:sz w:val="16"/>
          <w:szCs w:val="16"/>
          <w:b w:val="1"/>
          <w:bCs w:val="1"/>
          <w:color w:val="auto"/>
        </w:rPr>
        <w:t>Company Optional 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and the date all of the holders of Notes received such notice is referred to as the “</w:t>
      </w:r>
      <w:r>
        <w:rPr>
          <w:rFonts w:ascii="Arial" w:cs="Arial" w:eastAsia="Arial" w:hAnsi="Arial"/>
          <w:sz w:val="16"/>
          <w:szCs w:val="16"/>
          <w:b w:val="1"/>
          <w:bCs w:val="1"/>
          <w:color w:val="auto"/>
        </w:rPr>
        <w:t>Company Optional Redemption Notice Date</w:t>
      </w:r>
      <w:r>
        <w:rPr>
          <w:rFonts w:ascii="Arial" w:cs="Arial" w:eastAsia="Arial" w:hAnsi="Arial"/>
          <w:sz w:val="16"/>
          <w:szCs w:val="16"/>
          <w:color w:val="auto"/>
        </w:rPr>
        <w: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deliver only one Company Optional Redemption Notice during any thirty-day period hereunder. The Company Optional Redemption Notice shall (x) state the date on which the Company Optional Redemption shall occur (the “</w:t>
      </w:r>
      <w:r>
        <w:rPr>
          <w:rFonts w:ascii="Arial" w:cs="Arial" w:eastAsia="Arial" w:hAnsi="Arial"/>
          <w:sz w:val="16"/>
          <w:szCs w:val="16"/>
          <w:b w:val="1"/>
          <w:bCs w:val="1"/>
          <w:color w:val="auto"/>
        </w:rPr>
        <w:t>Company Optional Redemption Date</w:t>
      </w:r>
      <w:r>
        <w:rPr>
          <w:rFonts w:ascii="Arial" w:cs="Arial" w:eastAsia="Arial" w:hAnsi="Arial"/>
          <w:sz w:val="16"/>
          <w:szCs w:val="16"/>
          <w:color w:val="auto"/>
        </w:rPr>
        <w:t>”) which date shall not be less than twenty (20) Trading Days nor more than thirty (30) Trading Days following the Company Optional Redemption Notice Date, (y) certify that no Equity Conditions Failure exists as of the date of the Company Optional Redemption Notice, and (z) state the aggregate Conversion Amount of the Notes which is being redeemed in such Company Optional Redemption from the Holder and all of the other holders of the Notes pursuant to this Section 12 on the Company Optional Redemption Date. Notwithstanding anything herein to the contrary, (i) if an Equity Conditions Failure occurs at any time prior to the Company Optional Redemption Date, (A) the Company shall provide the Holder a subsequent notice to that effect and (B) unless the Holder waives the applicable Equity Conditions Failure occurrence, the Company Optional 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Holders into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12 shall be made in accordance with Section 11.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169" w:name="page170"/>
    <w:bookmarkEnd w:id="169"/>
    <w:p>
      <w:pPr>
        <w:ind w:left="-20" w:firstLine="656"/>
        <w:spacing w:after="0" w:line="277" w:lineRule="auto"/>
        <w:tabs>
          <w:tab w:leader="none" w:pos="1447"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70" w:lineRule="exact"/>
        <w:rPr>
          <w:rFonts w:ascii="Arial" w:cs="Arial" w:eastAsia="Arial" w:hAnsi="Arial"/>
          <w:sz w:val="18"/>
          <w:szCs w:val="18"/>
          <w:color w:val="auto"/>
        </w:rPr>
      </w:pPr>
    </w:p>
    <w:p>
      <w:pPr>
        <w:ind w:left="1260" w:hanging="624"/>
        <w:spacing w:after="0"/>
        <w:tabs>
          <w:tab w:leader="none" w:pos="126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converted, redeemed or otherwise satisfied in accordance with their terms:</w:t>
      </w:r>
    </w:p>
    <w:p>
      <w:pPr>
        <w:spacing w:after="0" w:line="225" w:lineRule="exact"/>
        <w:rPr>
          <w:rFonts w:ascii="Arial" w:cs="Arial" w:eastAsia="Arial" w:hAnsi="Arial"/>
          <w:sz w:val="18"/>
          <w:szCs w:val="18"/>
          <w:color w:val="auto"/>
        </w:rPr>
      </w:pPr>
    </w:p>
    <w:p>
      <w:pPr>
        <w:ind w:left="1880" w:hanging="595"/>
        <w:spacing w:after="0"/>
        <w:tabs>
          <w:tab w:leader="none" w:pos="188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w:t>
      </w:r>
    </w:p>
    <w:p>
      <w:pPr>
        <w:spacing w:after="0" w:line="225" w:lineRule="exact"/>
        <w:rPr>
          <w:rFonts w:ascii="Arial" w:cs="Arial" w:eastAsia="Arial" w:hAnsi="Arial"/>
          <w:sz w:val="18"/>
          <w:szCs w:val="18"/>
          <w:color w:val="auto"/>
        </w:rPr>
      </w:pPr>
    </w:p>
    <w:p>
      <w:pPr>
        <w:ind w:left="640" w:firstLine="645"/>
        <w:spacing w:after="0" w:line="277" w:lineRule="auto"/>
        <w:tabs>
          <w:tab w:leader="none" w:pos="2119"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directly or indirectly, incur or guarantee, assume or suffer to exist any Indebtedness (other than (i) the Indebtedness evidenced by the Notes and (ii) Permitted Indebtedness).</w:t>
      </w:r>
    </w:p>
    <w:p>
      <w:pPr>
        <w:spacing w:after="0" w:line="170" w:lineRule="exact"/>
        <w:rPr>
          <w:rFonts w:ascii="Arial" w:cs="Arial" w:eastAsia="Arial" w:hAnsi="Arial"/>
          <w:sz w:val="18"/>
          <w:szCs w:val="18"/>
          <w:color w:val="auto"/>
        </w:rPr>
      </w:pPr>
    </w:p>
    <w:p>
      <w:pPr>
        <w:ind w:left="640" w:firstLine="645"/>
        <w:spacing w:after="0" w:line="277" w:lineRule="auto"/>
        <w:tabs>
          <w:tab w:leader="none" w:pos="1920"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 by Subsidiaries</w:t>
      </w:r>
      <w:r>
        <w:rPr>
          <w:rFonts w:ascii="Arial" w:cs="Arial" w:eastAsia="Arial" w:hAnsi="Arial"/>
          <w:sz w:val="18"/>
          <w:szCs w:val="18"/>
          <w:color w:val="auto"/>
        </w:rPr>
        <w:t>. The Company shall cause each of its Subsidiaries to not, directly or indirectly, incur or guarantee, assume or suffer to exist any Indebtedness other than the Subsidiary Notes.</w:t>
      </w:r>
    </w:p>
    <w:p>
      <w:pPr>
        <w:spacing w:after="0" w:line="170" w:lineRule="exact"/>
        <w:rPr>
          <w:rFonts w:ascii="Arial" w:cs="Arial" w:eastAsia="Arial" w:hAnsi="Arial"/>
          <w:sz w:val="18"/>
          <w:szCs w:val="18"/>
          <w:color w:val="auto"/>
        </w:rPr>
      </w:pPr>
    </w:p>
    <w:p>
      <w:pPr>
        <w:jc w:val="both"/>
        <w:ind w:left="640" w:firstLine="645"/>
        <w:spacing w:after="0" w:line="264" w:lineRule="auto"/>
        <w:tabs>
          <w:tab w:leader="none" w:pos="2065"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The Company shall not, directly or indirectly, allow or suffer to exist any mortgage, lien, pledge, charge, security interest or other encumbrance upon or in any property or assets (including accounts and contract rights) owned by the Company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181" w:lineRule="exact"/>
        <w:rPr>
          <w:rFonts w:ascii="Arial" w:cs="Arial" w:eastAsia="Arial" w:hAnsi="Arial"/>
          <w:sz w:val="18"/>
          <w:szCs w:val="18"/>
          <w:color w:val="auto"/>
        </w:rPr>
      </w:pPr>
    </w:p>
    <w:p>
      <w:pPr>
        <w:jc w:val="both"/>
        <w:ind w:left="640" w:firstLine="645"/>
        <w:spacing w:after="0" w:line="286" w:lineRule="auto"/>
        <w:tabs>
          <w:tab w:leader="none" w:pos="2001"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Existence of Subsidiary Liens</w:t>
      </w:r>
      <w:r>
        <w:rPr>
          <w:rFonts w:ascii="Arial" w:cs="Arial" w:eastAsia="Arial" w:hAnsi="Arial"/>
          <w:sz w:val="17"/>
          <w:szCs w:val="17"/>
          <w:color w:val="auto"/>
        </w:rPr>
        <w:t>. The Company shall cause each of its Subsidiaries to not, directly or indirectly, allow or suffer to exist any Lien upon or in any property or assets (including accounts and contract rights) owned by any of its Subsidiaries other than (i) Liens created pursuant to the Subsidiary Notes and (ii) Liens specified in clauses (i) through (iii) of the definition of Permitted Liens.</w:t>
      </w:r>
    </w:p>
    <w:p>
      <w:pPr>
        <w:spacing w:after="0" w:line="165" w:lineRule="exact"/>
        <w:rPr>
          <w:rFonts w:ascii="Arial" w:cs="Arial" w:eastAsia="Arial" w:hAnsi="Arial"/>
          <w:sz w:val="17"/>
          <w:szCs w:val="17"/>
          <w:color w:val="auto"/>
        </w:rPr>
      </w:pPr>
    </w:p>
    <w:p>
      <w:pPr>
        <w:jc w:val="both"/>
        <w:ind w:left="640" w:firstLine="645"/>
        <w:spacing w:after="0" w:line="255" w:lineRule="auto"/>
        <w:tabs>
          <w:tab w:leader="none" w:pos="1954"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93" w:lineRule="exact"/>
        <w:rPr>
          <w:rFonts w:ascii="Arial" w:cs="Arial" w:eastAsia="Arial" w:hAnsi="Arial"/>
          <w:sz w:val="18"/>
          <w:szCs w:val="18"/>
          <w:color w:val="auto"/>
        </w:rPr>
      </w:pPr>
    </w:p>
    <w:p>
      <w:pPr>
        <w:jc w:val="both"/>
        <w:ind w:left="640" w:firstLine="645"/>
        <w:spacing w:after="0" w:line="279" w:lineRule="auto"/>
        <w:tabs>
          <w:tab w:leader="none" w:pos="1957"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other than in accordance with the terms of the Subsidiary Notes.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0" w:name="page171"/>
    <w:bookmarkEnd w:id="170"/>
    <w:p>
      <w:pPr>
        <w:jc w:val="both"/>
        <w:ind w:left="4" w:firstLine="645"/>
        <w:spacing w:after="0" w:line="288" w:lineRule="auto"/>
        <w:tabs>
          <w:tab w:leader="none" w:pos="1321"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 and Cash Dividends</w:t>
      </w:r>
      <w:r>
        <w:rPr>
          <w:rFonts w:ascii="Arial" w:cs="Arial" w:eastAsia="Arial" w:hAnsi="Arial"/>
          <w:sz w:val="16"/>
          <w:szCs w:val="16"/>
          <w:color w:val="auto"/>
        </w:rPr>
        <w:t>. The Company shall not, and the Company shall cause each of its Subsidiaries to not, directly or indirectly, redeem, repurchase or declare or pay any cash dividend or distribution on any of its capital stock (other than dividends paid by wholly-owned Subsidiaries to the Company or to other wholly-owned Subsidiaries if either (i) such Subsidiary is a Borrower Subsidiary or</w:t>
      </w:r>
    </w:p>
    <w:p>
      <w:pPr>
        <w:ind w:left="264" w:hanging="264"/>
        <w:spacing w:after="0"/>
        <w:tabs>
          <w:tab w:leader="none" w:pos="2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equity interests of such Subsidiary have been pledged to the Collateral Agent as provided in the Security Documents).</w:t>
      </w:r>
    </w:p>
    <w:p>
      <w:pPr>
        <w:spacing w:after="0" w:line="210" w:lineRule="exact"/>
        <w:rPr>
          <w:rFonts w:ascii="Arial" w:cs="Arial" w:eastAsia="Arial" w:hAnsi="Arial"/>
          <w:sz w:val="18"/>
          <w:szCs w:val="18"/>
          <w:color w:val="auto"/>
        </w:rPr>
      </w:pPr>
    </w:p>
    <w:p>
      <w:pPr>
        <w:jc w:val="both"/>
        <w:ind w:left="4" w:firstLine="645"/>
        <w:spacing w:after="0" w:line="255" w:lineRule="auto"/>
        <w:tabs>
          <w:tab w:leader="none" w:pos="1281"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Restriction on Transfer of Assets</w:t>
      </w:r>
      <w:r>
        <w:rPr>
          <w:rFonts w:ascii="Arial" w:cs="Arial" w:eastAsia="Arial" w:hAnsi="Arial"/>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sales, leases, licenses, assignments, transfers, conveyances and other dispositions of intellectual property rights by the Company and its Subsidiaries in the ordinary course of the Company’s business of enforcing and licensing intellectual property rights. For the avoidance of doubt, this clause shall prevent (i) the Company from transferring any of its assets to any Subsidiary except pursuant to the Subsidiary Notes, and (ii) any Subsidiary from transferring any of its assets to any other Subsidiary.</w:t>
      </w:r>
    </w:p>
    <w:p>
      <w:pPr>
        <w:spacing w:after="0" w:line="189" w:lineRule="exact"/>
        <w:rPr>
          <w:rFonts w:ascii="Arial" w:cs="Arial" w:eastAsia="Arial" w:hAnsi="Arial"/>
          <w:sz w:val="18"/>
          <w:szCs w:val="18"/>
          <w:color w:val="auto"/>
        </w:rPr>
      </w:pPr>
    </w:p>
    <w:p>
      <w:pPr>
        <w:ind w:left="4" w:firstLine="645"/>
        <w:spacing w:after="0" w:line="308" w:lineRule="auto"/>
        <w:tabs>
          <w:tab w:leader="none" w:pos="1470"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Maturity of Indebtedness</w:t>
      </w:r>
      <w:r>
        <w:rPr>
          <w:rFonts w:ascii="Arial" w:cs="Arial" w:eastAsia="Arial" w:hAnsi="Arial"/>
          <w:sz w:val="17"/>
          <w:szCs w:val="17"/>
          <w:color w:val="auto"/>
        </w:rPr>
        <w:t>. The Company shall not, and the Company shall cause each of its Subsidiaries to not, directly or indirectly, permit any Indebtedness of the Company or any of its Subsidiaries to mature or accelerate prior to the Maturity Date.</w:t>
      </w:r>
    </w:p>
    <w:p>
      <w:pPr>
        <w:spacing w:after="0" w:line="146" w:lineRule="exact"/>
        <w:rPr>
          <w:rFonts w:ascii="Arial" w:cs="Arial" w:eastAsia="Arial" w:hAnsi="Arial"/>
          <w:sz w:val="17"/>
          <w:szCs w:val="17"/>
          <w:color w:val="auto"/>
        </w:rPr>
      </w:pPr>
    </w:p>
    <w:p>
      <w:pPr>
        <w:jc w:val="both"/>
        <w:ind w:left="4" w:firstLine="645"/>
        <w:spacing w:after="0" w:line="297" w:lineRule="auto"/>
        <w:tabs>
          <w:tab w:leader="none" w:pos="1375"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 provided that an acquisition of intellectual property and related assets which can be used in other industries shall be permitted.</w:t>
      </w:r>
    </w:p>
    <w:p>
      <w:pPr>
        <w:spacing w:after="0" w:line="158" w:lineRule="exact"/>
        <w:rPr>
          <w:rFonts w:ascii="Arial" w:cs="Arial" w:eastAsia="Arial" w:hAnsi="Arial"/>
          <w:sz w:val="16"/>
          <w:szCs w:val="16"/>
          <w:color w:val="auto"/>
        </w:rPr>
      </w:pPr>
    </w:p>
    <w:p>
      <w:pPr>
        <w:jc w:val="both"/>
        <w:ind w:left="4" w:firstLine="645"/>
        <w:spacing w:after="0" w:line="271" w:lineRule="auto"/>
        <w:tabs>
          <w:tab w:leader="none" w:pos="1416" w:val="left"/>
        </w:tabs>
        <w:numPr>
          <w:ilvl w:val="1"/>
          <w:numId w:val="216"/>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The Company shall take all action necessary to prevent any Borrower Subsidiary from becoming Insolvent (as such term is defined in the Securities Purchase Agreement). The Company shall cause each Borrower Subsidiary to pay all accounts payable and other amounts owed by such Borrower Subsidiary (other than Indebtedness) when due, except for such amounts as are being contested in good faith and for which adequate reserves have been established and are being maintained by such Borrower Subsidiary in accordance with GAAP (as defined in the Securities Purchase Agreement).</w:t>
      </w:r>
    </w:p>
    <w:p>
      <w:pPr>
        <w:spacing w:after="0" w:line="395"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71" w:name="page172"/>
    <w:bookmarkEnd w:id="171"/>
    <w:p>
      <w:pPr>
        <w:jc w:val="both"/>
        <w:ind w:left="-540" w:firstLine="645"/>
        <w:spacing w:after="0" w:line="302" w:lineRule="auto"/>
        <w:tabs>
          <w:tab w:leader="none" w:pos="90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in all material respects with the provisions of all leases to which it is a party as lessee or under which it occupies property, so as to prevent any loss or forfeiture thereof or thereunder.</w:t>
      </w:r>
    </w:p>
    <w:p>
      <w:pPr>
        <w:spacing w:after="0" w:line="154" w:lineRule="exact"/>
        <w:rPr>
          <w:rFonts w:ascii="Arial" w:cs="Arial" w:eastAsia="Arial" w:hAnsi="Arial"/>
          <w:sz w:val="16"/>
          <w:szCs w:val="16"/>
          <w:color w:val="auto"/>
        </w:rPr>
      </w:pPr>
    </w:p>
    <w:p>
      <w:pPr>
        <w:jc w:val="both"/>
        <w:ind w:left="-540" w:firstLine="645"/>
        <w:spacing w:after="0" w:line="259" w:lineRule="auto"/>
        <w:tabs>
          <w:tab w:leader="none" w:pos="83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Maintenance of Intellectual Property</w:t>
      </w:r>
      <w:r>
        <w:rPr>
          <w:rFonts w:ascii="Arial" w:cs="Arial" w:eastAsia="Arial" w:hAnsi="Arial"/>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the Board of Directors of the Company, in the good faith exercise of its business judgment, determines are necessary or material to the conduct of its business in full force and effect.</w:t>
      </w:r>
    </w:p>
    <w:p>
      <w:pPr>
        <w:spacing w:after="0" w:line="186" w:lineRule="exact"/>
        <w:rPr>
          <w:rFonts w:ascii="Arial" w:cs="Arial" w:eastAsia="Arial" w:hAnsi="Arial"/>
          <w:sz w:val="18"/>
          <w:szCs w:val="18"/>
          <w:color w:val="auto"/>
        </w:rPr>
      </w:pPr>
    </w:p>
    <w:p>
      <w:pPr>
        <w:jc w:val="both"/>
        <w:ind w:left="-540" w:firstLine="645"/>
        <w:spacing w:after="0" w:line="257" w:lineRule="auto"/>
        <w:tabs>
          <w:tab w:leader="none" w:pos="75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8" w:lineRule="exact"/>
        <w:rPr>
          <w:rFonts w:ascii="Arial" w:cs="Arial" w:eastAsia="Arial" w:hAnsi="Arial"/>
          <w:sz w:val="18"/>
          <w:szCs w:val="18"/>
          <w:color w:val="auto"/>
        </w:rPr>
      </w:pPr>
    </w:p>
    <w:p>
      <w:pPr>
        <w:ind w:left="-540" w:right="20" w:firstLine="645"/>
        <w:spacing w:after="0" w:line="276" w:lineRule="auto"/>
        <w:tabs>
          <w:tab w:leader="none" w:pos="723"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The Company shall not, and the Company shall cause each of its Subsidiaries to not, directly or indirectly, without the prior written express consent of the Holder, lend money or credit (by way of guarantee or otherwise) or make advances to any Subsidiary, or purchase or acquire any stock, bonds, notes, debentures or other obligations or securities of, or any other interest in, or make any capital contribution to, any Subsidiary (other than (A) a wholly-owned Subsidiary (i) that is a Borrower Subsidiary or (ii) the equity interests of which have been pledged to the Collateral Agent as provided in the Security Documents or (B) pursuant to the Subsidiary Notes).</w:t>
      </w:r>
    </w:p>
    <w:p>
      <w:pPr>
        <w:spacing w:after="0" w:line="172" w:lineRule="exact"/>
        <w:rPr>
          <w:rFonts w:ascii="Arial" w:cs="Arial" w:eastAsia="Arial" w:hAnsi="Arial"/>
          <w:sz w:val="17"/>
          <w:szCs w:val="17"/>
          <w:color w:val="auto"/>
        </w:rPr>
      </w:pPr>
    </w:p>
    <w:p>
      <w:pPr>
        <w:jc w:val="both"/>
        <w:ind w:left="-540" w:firstLine="645"/>
        <w:spacing w:after="0" w:line="257" w:lineRule="auto"/>
        <w:tabs>
          <w:tab w:leader="none" w:pos="75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8" w:lineRule="exact"/>
        <w:rPr>
          <w:rFonts w:ascii="Arial" w:cs="Arial" w:eastAsia="Arial" w:hAnsi="Arial"/>
          <w:sz w:val="18"/>
          <w:szCs w:val="18"/>
          <w:color w:val="auto"/>
        </w:rPr>
      </w:pPr>
    </w:p>
    <w:p>
      <w:pPr>
        <w:jc w:val="both"/>
        <w:ind w:left="-540" w:firstLine="645"/>
        <w:spacing w:after="0" w:line="259"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Restricted Issuances</w:t>
      </w:r>
      <w:r>
        <w:rPr>
          <w:rFonts w:ascii="Arial" w:cs="Arial" w:eastAsia="Arial" w:hAnsi="Arial"/>
          <w:sz w:val="18"/>
          <w:szCs w:val="18"/>
          <w:color w:val="auto"/>
        </w:rPr>
        <w:t>. The Company shall not, directly or indirectly, without the prior written consent of the holders of a majority in aggregate principal amount of the Notes then outstanding, (i) issue any Notes (other than as contemplated by the Securities Purchase Agreement, the Indenture, the Supplemental Indenture and the Notes) or (ii) issue any other securities that would cause a breach or default under the Notes or the Warrants.</w:t>
      </w:r>
    </w:p>
    <w:p>
      <w:pPr>
        <w:spacing w:after="0" w:line="200" w:lineRule="exact"/>
        <w:rPr>
          <w:sz w:val="20"/>
          <w:szCs w:val="20"/>
          <w:color w:val="auto"/>
        </w:rPr>
      </w:pP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2" w:name="page173"/>
    <w:bookmarkEnd w:id="172"/>
    <w:p>
      <w:pPr>
        <w:jc w:val="both"/>
        <w:ind w:left="-540" w:firstLine="645"/>
        <w:spacing w:after="0" w:line="285" w:lineRule="auto"/>
        <w:tabs>
          <w:tab w:leader="none" w:pos="784"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New Subsidiaries</w:t>
      </w:r>
      <w:r>
        <w:rPr>
          <w:rFonts w:ascii="Arial" w:cs="Arial" w:eastAsia="Arial" w:hAnsi="Arial"/>
          <w:sz w:val="16"/>
          <w:szCs w:val="16"/>
          <w:color w:val="auto"/>
        </w:rPr>
        <w:t>. Simultaneously with the acquisition or formation of any new Subsidiary (a “</w:t>
      </w:r>
      <w:r>
        <w:rPr>
          <w:rFonts w:ascii="Arial" w:cs="Arial" w:eastAsia="Arial" w:hAnsi="Arial"/>
          <w:sz w:val="16"/>
          <w:szCs w:val="16"/>
          <w:b w:val="1"/>
          <w:bCs w:val="1"/>
          <w:color w:val="auto"/>
        </w:rPr>
        <w:t>New Subsidiary</w:t>
      </w:r>
      <w:r>
        <w:rPr>
          <w:rFonts w:ascii="Arial" w:cs="Arial" w:eastAsia="Arial" w:hAnsi="Arial"/>
          <w:sz w:val="16"/>
          <w:szCs w:val="16"/>
          <w:color w:val="auto"/>
        </w:rPr>
        <w:t>”), the Company shall deliver, or cause the applicable Subsidiary to deliver to the Collateral Agent, each of the physical stock certificates or other ownership certificates representing all of the equity ownership interest in such New Subsidiary, along with undated stock powers (or the equivalent) for each such certificates, executed in blank (or, if any such shares or other ownership interests are uncertificated, confirmation and evidence reasonably satisfactory to the Collateral Agent that the security interest in such uncertificated securities has been transferred to and perfected by the Collateral Agent, in accordance with Sections 8-313, 8-321 and 9-115 of the Code or any other similar or local or foreign law that may be applicable); provided, however no certificates shall be delivered or required to be delivered by the Company to the extent such delivery results in the New Subsidiary being required to file separate financial statements with the SEC (or any other governmental agency) pursuant to Rule 3-16 of Regulation S-X under the Securities Act, in which case, the Company shall at the time of the formation of the New Subsidiary (i) lend to the New Subsidiary pursuant to a Subsidiary Note an amount equal to the fair market value of the assets to be contributed to or to be acquired by such New Subsidiary minus $1.00, (ii) cause the New Subsidiary to execute a Subsidiary Note in the amount specified in clause (i), (iii) file a UCC-1 in the appropriate jurisdiction (or the analog thereof if such Subsidiary is outside the United States) in the name of the Company listing the Collateral Agent as the assignee thereof, (iv) if applicable, cause the New Subsidiary to enter into a patent assignment in favor of the Company in a form reasonably satisfactory to the Collateral Agent assigning all of the New Subsidiary’s patent rights to the Company, (v) if applicable, file with the U.S. Patent and Trademark Office the patent assignment referenced in (iv) along with a patent assignment in favor of the Collateral Agent in a form reasonably satisfactory to the Collateral Agent assigning all of the Company’s rights in the patent assignment referenced in (iv) to the Collateral Agent, and (vi) deliver to the Collateral Agent (A) the Subsidiary Note, endorsed to the order of the Collateral Agent, (B) a Collateral Assignment Agreement assigning the Company’s right, title and interest in the Subsidiary Note to the Collateral Agent, (C) evidence of the filing of the UCC-1 (or any foreign analog), and (D) if applicable, filed copies of the patent assignments referenced in clauses (iv) and (v).</w:t>
      </w:r>
    </w:p>
    <w:p>
      <w:pPr>
        <w:spacing w:after="0" w:line="174" w:lineRule="exact"/>
        <w:rPr>
          <w:rFonts w:ascii="Arial" w:cs="Arial" w:eastAsia="Arial" w:hAnsi="Arial"/>
          <w:sz w:val="16"/>
          <w:szCs w:val="16"/>
          <w:color w:val="auto"/>
        </w:rPr>
      </w:pPr>
    </w:p>
    <w:p>
      <w:pPr>
        <w:ind w:left="680" w:hanging="575"/>
        <w:spacing w:after="0"/>
        <w:tabs>
          <w:tab w:leader="none" w:pos="68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Lockbox Balance; Lockbox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70" w:lineRule="auto"/>
        <w:tabs>
          <w:tab w:leader="none" w:pos="141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Commencing on the date that the Closing Bid Price of the Common Stock is less than $0.25 (appropriately adjusted for any stock dividend, stock split, stock combination, recapitalizations or other similar transaction occurring after the Issuance Date) and continuing until the average VWAP of the Common Stock for a period of ten (10) consecutive Trading Days is greater than $0.25 (appropriately adjusted for any stock dividend, stock split, stock combination, recapitalizations or other similar transaction occurring after the Issuance Date), the Company shall at all times cause the Lockbox Balance in a bank account controlled by the Collateral Agent (as defined in the Security Agreement) and otherwise reasonably satisfactory to the Holder to exceed the sum of 50% of the principal and accrued and unpaid interest, Late Charges, if any, and other amounts owed under this Note and the other Transaction Documents at such time (collectively, the “</w:t>
      </w:r>
      <w:r>
        <w:rPr>
          <w:rFonts w:ascii="Arial" w:cs="Arial" w:eastAsia="Arial" w:hAnsi="Arial"/>
          <w:sz w:val="17"/>
          <w:szCs w:val="17"/>
          <w:b w:val="1"/>
          <w:bCs w:val="1"/>
          <w:color w:val="auto"/>
        </w:rPr>
        <w:t>Adjusted Note Obligations</w:t>
      </w:r>
      <w:r>
        <w:rPr>
          <w:rFonts w:ascii="Arial" w:cs="Arial" w:eastAsia="Arial" w:hAnsi="Arial"/>
          <w:sz w:val="17"/>
          <w:szCs w:val="17"/>
          <w:color w:val="auto"/>
        </w:rPr>
        <w:t>”). The Company shall establish and maintain a Controlled Account Agreement with the Collateral Agent and the bank each bank at which the Controlled Account is maintained in form and substance reasonably acceptable to the Collateral Agent.</w:t>
      </w:r>
    </w:p>
    <w:p>
      <w:pPr>
        <w:spacing w:after="0" w:line="39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73" w:name="page174"/>
    <w:bookmarkEnd w:id="173"/>
    <w:p>
      <w:pPr>
        <w:ind w:left="1280" w:firstLine="653"/>
        <w:spacing w:after="0" w:line="277" w:lineRule="auto"/>
        <w:tabs>
          <w:tab w:leader="none" w:pos="2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If on any day, the Adjusted Note Obligations exceeds the Lockbox Balance, the Company shall, within three (3) Business Days, cause an amount equal to such excess to be deposited into the Controlled Account.</w:t>
      </w:r>
    </w:p>
    <w:p>
      <w:pPr>
        <w:spacing w:after="0" w:line="170" w:lineRule="exact"/>
        <w:rPr>
          <w:rFonts w:ascii="Arial" w:cs="Arial" w:eastAsia="Arial" w:hAnsi="Arial"/>
          <w:sz w:val="18"/>
          <w:szCs w:val="18"/>
          <w:color w:val="auto"/>
        </w:rPr>
      </w:pPr>
    </w:p>
    <w:p>
      <w:pPr>
        <w:jc w:val="both"/>
        <w:ind w:left="-20" w:firstLine="656"/>
        <w:spacing w:after="0" w:line="290" w:lineRule="auto"/>
        <w:tabs>
          <w:tab w:leader="none" w:pos="1326"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In addition to any adjustments pursuant to Section 7, the Holder, as the holder of this Note, shall be entitled to receive such dividends paid and distributions made to the holders of Common Stock to the same extent as if the Holder had converted this Note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 (provided, however, to the extent that the Holder’s right to participate in any such dividend or distribution would result in the Holder exceeding the Maximum Percentage, then the Holder shall not be entitled to participate in such dividend or distribution to such extent (or the beneficial ownership of any such shares of Common Stock as a result of such dividend or distribution to such extent) and such dividend or distribution to such extent shall be held in abeyance for the benefit of the Holder until such time, if ever, as its right thereto would not result in the Holder exceeding the Maximum Percentage).</w:t>
      </w:r>
    </w:p>
    <w:p>
      <w:pPr>
        <w:spacing w:after="0" w:line="166" w:lineRule="exact"/>
        <w:rPr>
          <w:rFonts w:ascii="Arial" w:cs="Arial" w:eastAsia="Arial" w:hAnsi="Arial"/>
          <w:sz w:val="16"/>
          <w:szCs w:val="16"/>
          <w:color w:val="auto"/>
        </w:rPr>
      </w:pPr>
    </w:p>
    <w:p>
      <w:pPr>
        <w:jc w:val="both"/>
        <w:ind w:left="-20" w:firstLine="656"/>
        <w:spacing w:after="0" w:line="259" w:lineRule="auto"/>
        <w:tabs>
          <w:tab w:leader="none" w:pos="127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AMENDING THE TERMS OF THIS NOTE</w:t>
      </w:r>
      <w:r>
        <w:rPr>
          <w:rFonts w:ascii="Arial" w:cs="Arial" w:eastAsia="Arial" w:hAnsi="Arial"/>
          <w:sz w:val="18"/>
          <w:szCs w:val="18"/>
          <w:color w:val="auto"/>
        </w:rPr>
        <w:t>. The prior written consent of the Holder and the Trustee (if such amendment adversely affects the rights, privileges and immunities of the Trustee) shall be required for any change or amendment to this Note. No consideration shall be offered or paid to the Holder to amend or consent to a waiver or modification of any provision of this Note unless the same consideration is also offered to all of the holders of the Notes.</w:t>
      </w:r>
    </w:p>
    <w:p>
      <w:pPr>
        <w:spacing w:after="0" w:line="186" w:lineRule="exact"/>
        <w:rPr>
          <w:rFonts w:ascii="Arial" w:cs="Arial" w:eastAsia="Arial" w:hAnsi="Arial"/>
          <w:sz w:val="18"/>
          <w:szCs w:val="18"/>
          <w:color w:val="auto"/>
        </w:rPr>
      </w:pPr>
    </w:p>
    <w:p>
      <w:pPr>
        <w:ind w:left="-20" w:firstLine="656"/>
        <w:spacing w:after="0" w:line="342" w:lineRule="auto"/>
        <w:tabs>
          <w:tab w:leader="none" w:pos="127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Note and any shares of Common Stock issued upon conversion of this Note may be offered, sold, assigned or transferred by the Holder without restriction and without the consent of the Company; provided, that this Note may not be transferred to more than five (5) transferees.</w:t>
      </w:r>
    </w:p>
    <w:p>
      <w:pPr>
        <w:spacing w:after="0" w:line="123" w:lineRule="exact"/>
        <w:rPr>
          <w:rFonts w:ascii="Arial" w:cs="Arial" w:eastAsia="Arial" w:hAnsi="Arial"/>
          <w:sz w:val="16"/>
          <w:szCs w:val="16"/>
          <w:color w:val="auto"/>
        </w:rPr>
      </w:pPr>
    </w:p>
    <w:p>
      <w:pPr>
        <w:ind w:left="1260" w:hanging="624"/>
        <w:spacing w:after="0"/>
        <w:tabs>
          <w:tab w:leader="none" w:pos="126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55" w:lineRule="auto"/>
        <w:tabs>
          <w:tab w:leader="none" w:pos="2055"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following authentication of such new Note, deliver upon the order of the Holder a new Note (in accordance with Section 18(d)), registered as the Holder may request, representing the outstanding Principal being transferred by the Holder and, if less than the entire outstanding Principal is being transferred, a new, duly authenticated Note (in accordance with Section 18(d))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4" w:name="page175"/>
    <w:bookmarkEnd w:id="174"/>
    <w:p>
      <w:pPr>
        <w:ind w:left="640" w:firstLine="645"/>
        <w:spacing w:after="0" w:line="342" w:lineRule="auto"/>
        <w:tabs>
          <w:tab w:leader="none" w:pos="1998"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Note</w:t>
      </w:r>
      <w:r>
        <w:rPr>
          <w:rFonts w:ascii="Arial" w:cs="Arial" w:eastAsia="Arial" w:hAnsi="Arial"/>
          <w:sz w:val="16"/>
          <w:szCs w:val="16"/>
          <w:color w:val="auto"/>
        </w:rPr>
        <w:t>. Upon compliance with Section 2.07 of the Indenture, the Company shall execute and, following authentication of such new Note, deliver to the Holder a new Note (in accordance with Section 18(d)) representing the outstanding Principal.</w:t>
      </w:r>
    </w:p>
    <w:p>
      <w:pPr>
        <w:spacing w:after="0" w:line="123" w:lineRule="exact"/>
        <w:rPr>
          <w:rFonts w:ascii="Arial" w:cs="Arial" w:eastAsia="Arial" w:hAnsi="Arial"/>
          <w:sz w:val="16"/>
          <w:szCs w:val="16"/>
          <w:color w:val="auto"/>
        </w:rPr>
      </w:pPr>
    </w:p>
    <w:p>
      <w:pPr>
        <w:jc w:val="both"/>
        <w:ind w:left="640" w:firstLine="645"/>
        <w:spacing w:after="0" w:line="259" w:lineRule="auto"/>
        <w:tabs>
          <w:tab w:leader="none" w:pos="2095"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duly authenticated Note or Notes (in accordance with Section 18(d)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86" w:lineRule="exact"/>
        <w:rPr>
          <w:rFonts w:ascii="Arial" w:cs="Arial" w:eastAsia="Arial" w:hAnsi="Arial"/>
          <w:sz w:val="18"/>
          <w:szCs w:val="18"/>
          <w:color w:val="auto"/>
        </w:rPr>
      </w:pPr>
    </w:p>
    <w:p>
      <w:pPr>
        <w:jc w:val="both"/>
        <w:ind w:left="640" w:firstLine="645"/>
        <w:spacing w:after="0" w:line="254" w:lineRule="auto"/>
        <w:tabs>
          <w:tab w:leader="none" w:pos="1984"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Issuance of New Notes</w:t>
      </w:r>
      <w:r>
        <w:rPr>
          <w:rFonts w:ascii="Arial" w:cs="Arial" w:eastAsia="Arial" w:hAnsi="Arial"/>
          <w:sz w:val="18"/>
          <w:szCs w:val="18"/>
          <w:color w:val="auto"/>
        </w:rPr>
        <w:t>. Whenever the Company is required to issue a new duly authenticated Note pursuant to the terms of this Note, such new Note (i) shall be of like tenor with this Note, (ii) shall represent, as indicated on the face of such new Note, the Principal remaining outstanding (or in the case of a new Note being issued pursuant to Section 18(a) or Section 18(c),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(v) shall represent accrued and unpaid Interest and Late Charges on the Principal and Interest of this Note, from the Issuance Date and (vi) shall be duly authenticated by the Trustee in accordance with the Indenture.</w:t>
      </w:r>
    </w:p>
    <w:p>
      <w:pPr>
        <w:spacing w:after="0" w:line="192" w:lineRule="exact"/>
        <w:rPr>
          <w:rFonts w:ascii="Arial" w:cs="Arial" w:eastAsia="Arial" w:hAnsi="Arial"/>
          <w:sz w:val="18"/>
          <w:szCs w:val="18"/>
          <w:color w:val="auto"/>
        </w:rPr>
      </w:pPr>
    </w:p>
    <w:p>
      <w:pPr>
        <w:jc w:val="both"/>
        <w:ind w:left="-20" w:firstLine="656"/>
        <w:spacing w:after="0" w:line="287" w:lineRule="auto"/>
        <w:tabs>
          <w:tab w:leader="none" w:pos="1326"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and the Trustee that is requested by the Holder to enable the Holder to confirm the Company’s compliance with the terms and conditions of this Note (including, without limitation, compliance with Section 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5" w:name="page176"/>
    <w:bookmarkEnd w:id="175"/>
    <w:p>
      <w:pPr>
        <w:jc w:val="both"/>
        <w:ind w:left="-20" w:firstLine="656"/>
        <w:spacing w:after="0" w:line="271" w:lineRule="auto"/>
        <w:tabs>
          <w:tab w:leader="none" w:pos="1474"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 The Trustee shall have no duty under the Notes to confirm or verify or monitor the Company’s compliance with the terms or its obligations under the Notes.</w:t>
      </w:r>
    </w:p>
    <w:p>
      <w:pPr>
        <w:spacing w:after="0" w:line="178" w:lineRule="exact"/>
        <w:rPr>
          <w:rFonts w:ascii="Arial" w:cs="Arial" w:eastAsia="Arial" w:hAnsi="Arial"/>
          <w:sz w:val="17"/>
          <w:szCs w:val="17"/>
          <w:color w:val="auto"/>
        </w:rPr>
      </w:pPr>
    </w:p>
    <w:p>
      <w:pPr>
        <w:jc w:val="both"/>
        <w:ind w:left="-20" w:firstLine="656"/>
        <w:spacing w:after="0" w:line="259" w:lineRule="auto"/>
        <w:tabs>
          <w:tab w:leader="none" w:pos="147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shall have the meanings ascribed to such terms on the Closing Date in such other Transaction Documents unless otherwise consented to in writing by the Holder.</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27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86" w:lineRule="exact"/>
        <w:rPr>
          <w:rFonts w:ascii="Arial" w:cs="Arial" w:eastAsia="Arial" w:hAnsi="Arial"/>
          <w:sz w:val="18"/>
          <w:szCs w:val="18"/>
          <w:color w:val="auto"/>
        </w:rPr>
      </w:pPr>
    </w:p>
    <w:p>
      <w:pPr>
        <w:jc w:val="both"/>
        <w:ind w:left="-20" w:firstLine="656"/>
        <w:spacing w:after="0" w:line="286" w:lineRule="auto"/>
        <w:tabs>
          <w:tab w:leader="none" w:pos="1285"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Conversion Price, the Closing Bid Price, the Closing Sale Price or fair market value (as the case may be) or the arithmetic calculation of the Conversion Rate or the applicable Redemption Price (as the case may be), the Company or the Holder (as the case may be) shall submit the disputed determinations or arithmetic calculations (as the case may be) via electronic mail (i) within three (3) Business Days after receipt of the applicable notice giving rise to such dispute to the Company or the Holder (as the case may be) or (ii) if no notice gave rise to such dispute, at any time after the Holder learned of the circumstances giving rise to such dispute. If the Holder and the Company are unable to agree upon such determination or calculation within three (3) Business Days of such disputed determination or arithmetic calculation (as the case may be) being submitted to the Company or the Holder (as the case may be), then the Company shall, within two (2) Business Days, submit via electronic mail (a) the disputed determination of the Conversion Price, the Closing Bid Price, the Closing Sale Price or fair market value (as the case may be) to an independent, reputable investment bank selected by the Holder and reasonably acceptable to the Company or (b) the disputed arithmetic calculation of the Conversion Rate or any Redemption Price (as the case may be)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76" w:name="page177"/>
    <w:bookmarkEnd w:id="176"/>
    <w:p>
      <w:pPr>
        <w:ind w:left="624" w:hanging="624"/>
        <w:spacing w:after="0"/>
        <w:tabs>
          <w:tab w:leader="none" w:pos="62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53" w:lineRule="auto"/>
        <w:tabs>
          <w:tab w:leader="none" w:pos="132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9(f) of the Securities Purchase Agreement. The Company will give written notice to the Holder and the Trustee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All notices to be provided to the Trustee hereunder shall be delivered to the Trustee by facsimile (303-262-0608) or via hard copy to the Trustee at its Corporate Trust Office (as defined in the Indenture) located in Highlands Ranch, Colorado.</w:t>
      </w:r>
    </w:p>
    <w:p>
      <w:pPr>
        <w:spacing w:after="0" w:line="190" w:lineRule="exact"/>
        <w:rPr>
          <w:rFonts w:ascii="Arial" w:cs="Arial" w:eastAsia="Arial" w:hAnsi="Arial"/>
          <w:sz w:val="18"/>
          <w:szCs w:val="18"/>
          <w:color w:val="auto"/>
        </w:rPr>
      </w:pPr>
    </w:p>
    <w:p>
      <w:pPr>
        <w:jc w:val="both"/>
        <w:ind w:left="4" w:firstLine="645"/>
        <w:spacing w:after="0" w:line="256" w:lineRule="auto"/>
        <w:tabs>
          <w:tab w:leader="none" w:pos="133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Note are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Arial" w:cs="Arial" w:eastAsia="Arial" w:hAnsi="Arial"/>
          <w:sz w:val="18"/>
          <w:szCs w:val="18"/>
          <w:b w:val="1"/>
          <w:bCs w:val="1"/>
          <w:color w:val="auto"/>
        </w:rPr>
        <w:t>Exchange Rate</w:t>
      </w:r>
      <w:r>
        <w:rPr>
          <w:rFonts w:ascii="Arial" w:cs="Arial" w:eastAsia="Arial" w:hAnsi="Arial"/>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91" w:lineRule="exact"/>
        <w:rPr>
          <w:rFonts w:ascii="Arial" w:cs="Arial" w:eastAsia="Arial" w:hAnsi="Arial"/>
          <w:sz w:val="18"/>
          <w:szCs w:val="18"/>
          <w:color w:val="auto"/>
        </w:rPr>
      </w:pPr>
    </w:p>
    <w:p>
      <w:pPr>
        <w:jc w:val="both"/>
        <w:ind w:left="4" w:firstLine="645"/>
        <w:spacing w:after="0" w:line="270" w:lineRule="auto"/>
        <w:tabs>
          <w:tab w:leader="none" w:pos="1365"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sixteen and one-half percent (16.5%) per annum from the date such amount was due until the same is paid in full (“</w:t>
      </w:r>
      <w:r>
        <w:rPr>
          <w:rFonts w:ascii="Arial" w:cs="Arial" w:eastAsia="Arial" w:hAnsi="Arial"/>
          <w:sz w:val="17"/>
          <w:szCs w:val="17"/>
          <w:b w:val="1"/>
          <w:bCs w:val="1"/>
          <w:color w:val="auto"/>
        </w:rPr>
        <w:t>Late Charge</w:t>
      </w:r>
      <w:r>
        <w:rPr>
          <w:rFonts w:ascii="Arial" w:cs="Arial" w:eastAsia="Arial" w:hAnsi="Arial"/>
          <w:sz w:val="17"/>
          <w:szCs w:val="17"/>
          <w:color w:val="auto"/>
        </w:rPr>
        <w:t>”).</w:t>
      </w:r>
    </w:p>
    <w:p>
      <w:pPr>
        <w:spacing w:after="0" w:line="394"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77" w:name="page178"/>
    <w:bookmarkEnd w:id="177"/>
    <w:p>
      <w:pPr>
        <w:ind w:firstLine="656"/>
        <w:spacing w:after="0" w:line="308" w:lineRule="auto"/>
        <w:tabs>
          <w:tab w:leader="none" w:pos="133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33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292"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 JURY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NOTE OR ANY TRANSACTION CONTEMPLATED HEREBY.</w:t>
      </w:r>
    </w:p>
    <w:p>
      <w:pPr>
        <w:spacing w:after="0" w:line="183" w:lineRule="exact"/>
        <w:rPr>
          <w:rFonts w:ascii="Arial" w:cs="Arial" w:eastAsia="Arial" w:hAnsi="Arial"/>
          <w:sz w:val="16"/>
          <w:szCs w:val="16"/>
          <w:color w:val="auto"/>
        </w:rPr>
      </w:pPr>
    </w:p>
    <w:p>
      <w:pPr>
        <w:ind w:left="1280" w:hanging="624"/>
        <w:spacing w:after="0"/>
        <w:tabs>
          <w:tab w:leader="none" w:pos="12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ind w:left="1900" w:hanging="595"/>
        <w:spacing w:after="0"/>
        <w:tabs>
          <w:tab w:leader="none" w:pos="19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jc w:val="both"/>
        <w:ind w:left="660" w:firstLine="645"/>
        <w:spacing w:after="0" w:line="266" w:lineRule="auto"/>
        <w:tabs>
          <w:tab w:leader="none" w:pos="192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(i) a Saturday or a Sunday, or (ii) a day on which Federal or State banking institutions in the Borough of Manhattan, the City and State of New York or in the State in which the Corporate Trust Office (as defined in the Indenture) may be located from time to time, are authorized or obligated by law, executive order or regulation to close.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jc w:val="both"/>
        <w:ind w:left="-540" w:firstLine="645"/>
        <w:spacing w:after="0" w:line="255" w:lineRule="auto"/>
        <w:tabs>
          <w:tab w:leader="none" w:pos="88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(i) any merger of the Company or any of its, direct or indirect, wholly-owned Subsidiaries with or into any of the foregoing, (ii) any reorganization, recapitalization or reclassification of the shares of Common Stock in which holders of a majority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5" w:lineRule="exact"/>
        <w:rPr>
          <w:rFonts w:ascii="Arial" w:cs="Arial" w:eastAsia="Arial" w:hAnsi="Arial"/>
          <w:sz w:val="18"/>
          <w:szCs w:val="18"/>
          <w:color w:val="auto"/>
        </w:rPr>
      </w:pPr>
    </w:p>
    <w:p>
      <w:pPr>
        <w:ind w:left="-540" w:firstLine="645"/>
        <w:spacing w:after="0" w:line="282" w:lineRule="auto"/>
        <w:tabs>
          <w:tab w:leader="none" w:pos="7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jc w:val="both"/>
        <w:ind w:left="-540" w:firstLine="645"/>
        <w:spacing w:after="0" w:line="286" w:lineRule="auto"/>
        <w:tabs>
          <w:tab w:leader="none" w:pos="80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Inc.(formerly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recapitalizations or other similar transaction during such period.</w:t>
      </w:r>
    </w:p>
    <w:p>
      <w:pPr>
        <w:spacing w:after="0" w:line="171" w:lineRule="exact"/>
        <w:rPr>
          <w:rFonts w:ascii="Arial" w:cs="Arial" w:eastAsia="Arial" w:hAnsi="Arial"/>
          <w:sz w:val="16"/>
          <w:szCs w:val="16"/>
          <w:color w:val="auto"/>
        </w:rPr>
      </w:pPr>
    </w:p>
    <w:p>
      <w:pPr>
        <w:ind w:left="680" w:hanging="575"/>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Uniform Commercial Code as in effect from time to time in the State of New York.</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79" w:name="page180"/>
    <w:bookmarkEnd w:id="179"/>
    <w:p>
      <w:pPr>
        <w:ind w:left="1324" w:hanging="675"/>
        <w:spacing w:after="0"/>
        <w:tabs>
          <w:tab w:leader="none" w:pos="132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Assignment Agreement</w:t>
      </w:r>
      <w:r>
        <w:rPr>
          <w:rFonts w:ascii="Arial" w:cs="Arial" w:eastAsia="Arial" w:hAnsi="Arial"/>
          <w:sz w:val="16"/>
          <w:szCs w:val="16"/>
          <w:color w:val="auto"/>
        </w:rPr>
        <w:t>” manes the Collateral Assignment Agreement, the form of which is included in the Security</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06" w:lineRule="exact"/>
        <w:rPr>
          <w:rFonts w:ascii="Arial" w:cs="Arial" w:eastAsia="Arial" w:hAnsi="Arial"/>
          <w:sz w:val="16"/>
          <w:szCs w:val="16"/>
          <w:color w:val="auto"/>
        </w:rPr>
      </w:pPr>
    </w:p>
    <w:p>
      <w:pPr>
        <w:ind w:left="4" w:right="20" w:firstLine="645"/>
        <w:spacing w:after="0" w:line="313" w:lineRule="auto"/>
        <w:tabs>
          <w:tab w:leader="none" w:pos="138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38" w:lineRule="exact"/>
        <w:rPr>
          <w:rFonts w:ascii="Arial" w:cs="Arial" w:eastAsia="Arial" w:hAnsi="Arial"/>
          <w:sz w:val="17"/>
          <w:szCs w:val="17"/>
          <w:color w:val="auto"/>
        </w:rPr>
      </w:pPr>
    </w:p>
    <w:p>
      <w:pPr>
        <w:ind w:left="1244" w:hanging="595"/>
        <w:spacing w:after="0"/>
        <w:tabs>
          <w:tab w:leader="none" w:pos="1244" w:val="left"/>
        </w:tabs>
        <w:numPr>
          <w:ilvl w:val="1"/>
          <w:numId w:val="2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Conversion Price</w:t>
      </w:r>
      <w:r>
        <w:rPr>
          <w:rFonts w:ascii="Arial" w:cs="Arial" w:eastAsia="Arial" w:hAnsi="Arial"/>
          <w:sz w:val="16"/>
          <w:szCs w:val="16"/>
          <w:color w:val="auto"/>
        </w:rPr>
        <w:t>” means, with respect to a particular date of determination, the price which is equal to the product of</w:t>
      </w:r>
    </w:p>
    <w:p>
      <w:pPr>
        <w:spacing w:after="0" w:line="50" w:lineRule="exact"/>
        <w:rPr>
          <w:rFonts w:ascii="Arial" w:cs="Arial" w:eastAsia="Arial" w:hAnsi="Arial"/>
          <w:sz w:val="16"/>
          <w:szCs w:val="16"/>
          <w:color w:val="auto"/>
        </w:rPr>
      </w:pPr>
    </w:p>
    <w:p>
      <w:pPr>
        <w:ind w:left="264" w:hanging="264"/>
        <w:spacing w:after="0"/>
        <w:tabs>
          <w:tab w:leader="none" w:pos="26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85% multiplied by (2) the quotient of (A) the sum of each of the three (3) lowest Closing Sale Prices of the Common Stock during the period of</w:t>
      </w:r>
    </w:p>
    <w:p>
      <w:pPr>
        <w:spacing w:after="0" w:line="32" w:lineRule="exact"/>
        <w:rPr>
          <w:rFonts w:ascii="Arial" w:cs="Arial" w:eastAsia="Arial" w:hAnsi="Arial"/>
          <w:sz w:val="16"/>
          <w:szCs w:val="16"/>
          <w:color w:val="auto"/>
        </w:rPr>
      </w:pPr>
    </w:p>
    <w:p>
      <w:pPr>
        <w:jc w:val="both"/>
        <w:ind w:left="4"/>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the first Installment Amount, the number of Trading Days between the Issuance Date and the Installment Date of the first Installment Amount and (Y) with respect to any Installment Amount other than the first Installment Amount, twenty (20) consecutive Trading Day immediately preceding the applicable Installment Date (each such period, a “</w:t>
      </w:r>
      <w:r>
        <w:rPr>
          <w:rFonts w:ascii="Arial" w:cs="Arial" w:eastAsia="Arial" w:hAnsi="Arial"/>
          <w:sz w:val="18"/>
          <w:szCs w:val="18"/>
          <w:b w:val="1"/>
          <w:bCs w:val="1"/>
          <w:color w:val="auto"/>
        </w:rPr>
        <w:t>Company Conversion Measuring Period</w:t>
      </w:r>
      <w:r>
        <w:rPr>
          <w:rFonts w:ascii="Arial" w:cs="Arial" w:eastAsia="Arial" w:hAnsi="Arial"/>
          <w:sz w:val="18"/>
          <w:szCs w:val="18"/>
          <w:color w:val="auto"/>
        </w:rPr>
        <w:t>”) divided by (B) three (3). All such determinations to be appropriately adjusted for any stock split, stock dividend, stock combination or other similar transaction during any such Company Conversion Measuring Period.</w:t>
      </w:r>
    </w:p>
    <w:p>
      <w:pPr>
        <w:spacing w:after="0" w:line="187" w:lineRule="exact"/>
        <w:rPr>
          <w:rFonts w:ascii="Arial" w:cs="Arial" w:eastAsia="Arial" w:hAnsi="Arial"/>
          <w:sz w:val="16"/>
          <w:szCs w:val="16"/>
          <w:color w:val="auto"/>
        </w:rPr>
      </w:pPr>
    </w:p>
    <w:p>
      <w:pPr>
        <w:jc w:val="both"/>
        <w:ind w:left="4" w:firstLine="645"/>
        <w:spacing w:after="0" w:line="266" w:lineRule="auto"/>
        <w:tabs>
          <w:tab w:leader="none" w:pos="148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 Ratio</w:t>
      </w:r>
      <w:r>
        <w:rPr>
          <w:rFonts w:ascii="Arial" w:cs="Arial" w:eastAsia="Arial" w:hAnsi="Arial"/>
          <w:sz w:val="18"/>
          <w:szCs w:val="18"/>
          <w:color w:val="auto"/>
        </w:rPr>
        <w:t>” means as to any applicable Installment Date, the quotient of (i) the number of Pre-Installment Conversion Shares delivered in connection with such Installment Date divided by (ii) the number of Post-Installment Conversion Shares applicable to such Installment Date.</w:t>
      </w:r>
    </w:p>
    <w:p>
      <w:pPr>
        <w:spacing w:after="0" w:line="176" w:lineRule="exact"/>
        <w:rPr>
          <w:rFonts w:ascii="Arial" w:cs="Arial" w:eastAsia="Arial" w:hAnsi="Arial"/>
          <w:sz w:val="18"/>
          <w:szCs w:val="18"/>
          <w:color w:val="auto"/>
        </w:rPr>
      </w:pPr>
    </w:p>
    <w:p>
      <w:pPr>
        <w:jc w:val="both"/>
        <w:ind w:left="4" w:firstLine="645"/>
        <w:spacing w:after="0" w:line="266" w:lineRule="auto"/>
        <w:tabs>
          <w:tab w:leader="none" w:pos="132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6" w:lineRule="exact"/>
        <w:rPr>
          <w:rFonts w:ascii="Arial" w:cs="Arial" w:eastAsia="Arial" w:hAnsi="Arial"/>
          <w:sz w:val="18"/>
          <w:szCs w:val="18"/>
          <w:color w:val="auto"/>
        </w:rPr>
      </w:pPr>
    </w:p>
    <w:p>
      <w:pPr>
        <w:ind w:left="4" w:firstLine="645"/>
        <w:spacing w:after="0" w:line="282" w:lineRule="auto"/>
        <w:tabs>
          <w:tab w:leader="none" w:pos="124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Nasdaq Global Select Market, the Nasdaq Global Market, the NYSE MKT, the OTCQB or the Principal Market.</w:t>
      </w:r>
    </w:p>
    <w:p>
      <w:pPr>
        <w:spacing w:after="0" w:line="382"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80" w:name="page181"/>
    <w:bookmarkEnd w:id="180"/>
    <w:p>
      <w:pPr>
        <w:jc w:val="both"/>
        <w:ind w:left="4" w:firstLine="645"/>
        <w:spacing w:after="0" w:line="284" w:lineRule="auto"/>
        <w:tabs>
          <w:tab w:leader="none" w:pos="135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(i) on each day during the period beginning one month prior to the applicable date of determination and ending on and including the applicable date of determination (the “</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the Common Stock (including all of the Registrable Securities) is listed or designated for quotation (as applicable) on an Eligible Market and shall not have been suspended from trading on an Eligible Market (other than suspensions of not more than two (2) Trading Days and occurring prior to the applicable date of determination due to business announcements by the Company); (ii) on each day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(iii) any shares of Common Stock to be issued in connection with the event requiring determination may be issued in full without violating Section 3(d)(i)(i) hereof;</w:t>
      </w:r>
    </w:p>
    <w:p>
      <w:pPr>
        <w:spacing w:after="0" w:line="5" w:lineRule="exact"/>
        <w:rPr>
          <w:rFonts w:ascii="Arial" w:cs="Arial" w:eastAsia="Arial" w:hAnsi="Arial"/>
          <w:sz w:val="16"/>
          <w:szCs w:val="16"/>
          <w:color w:val="auto"/>
        </w:rPr>
      </w:pPr>
    </w:p>
    <w:p>
      <w:pPr>
        <w:jc w:val="both"/>
        <w:ind w:left="4" w:hanging="4"/>
        <w:spacing w:after="0" w:line="267" w:lineRule="auto"/>
        <w:tabs>
          <w:tab w:leader="none" w:pos="31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shares of Common Stock to be issued in connection with the event requiring determination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Transaction shall have occurred which has not been abandoned, terminated or consummated; (vi) the Holder shall not be in (and no other Buyer shall be in) possession of any material, non-public information provided to any of them by the Company, any of its Subsidiaries or any of their respective affiliates, employees, officers, representatives, agents or the like; (vii) on each day during the Equity Conditions Measuring Period, the Company otherwise shall have been in material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and (viii) without limiting clause (viii) above, on each day during the Equity Conditions Measuring Period, there shall not have occurred an Event of Default or an event that with the passage of time or giving of notice would constitute an Event of Default; and (viii) no Material Adverse Change then exists.</w:t>
      </w:r>
    </w:p>
    <w:p>
      <w:pPr>
        <w:spacing w:after="0" w:line="181" w:lineRule="exact"/>
        <w:rPr>
          <w:rFonts w:ascii="Arial" w:cs="Arial" w:eastAsia="Arial" w:hAnsi="Arial"/>
          <w:sz w:val="17"/>
          <w:szCs w:val="17"/>
          <w:color w:val="auto"/>
        </w:rPr>
      </w:pPr>
    </w:p>
    <w:p>
      <w:pPr>
        <w:jc w:val="both"/>
        <w:ind w:left="4" w:firstLine="645"/>
        <w:spacing w:after="0" w:line="266" w:lineRule="auto"/>
        <w:tabs>
          <w:tab w:leader="none" w:pos="151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with respect to a particular date of determination, that on any day during the period commencing twenty (20) Trading Days immediately prior to such date of determination, the Equity Conditions have not been satisfied (or waived in writing by the Holder).</w:t>
      </w:r>
    </w:p>
    <w:p>
      <w:pPr>
        <w:spacing w:after="0" w:line="176" w:lineRule="exact"/>
        <w:rPr>
          <w:rFonts w:ascii="Arial" w:cs="Arial" w:eastAsia="Arial" w:hAnsi="Arial"/>
          <w:sz w:val="18"/>
          <w:szCs w:val="18"/>
          <w:color w:val="auto"/>
        </w:rPr>
      </w:pPr>
    </w:p>
    <w:p>
      <w:pPr>
        <w:ind w:left="4" w:right="160" w:firstLine="645"/>
        <w:spacing w:after="0" w:line="282" w:lineRule="auto"/>
        <w:tabs>
          <w:tab w:leader="none" w:pos="126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Value 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jc w:val="both"/>
        <w:ind w:left="4" w:firstLine="645"/>
        <w:spacing w:after="0" w:line="286" w:lineRule="auto"/>
        <w:tabs>
          <w:tab w:leader="none" w:pos="142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(1) the Company shall, directly or indirectly, in one or more related transactions, consolidate or merge with or into (whether or not the Company is the surviving corporation) any other Person, or (2) the Company shall, directly or indirectly, in one or more related transactions, sell, lease, license, assign, transfer, convey or otherwise dispose of all or substantially all of its respective properties or assets to any other Person, or (3) the Company shall, directly or indirectly, in one or more related transactions,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shall, directly or indirectly, in one or more related transactions,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directly or indirectly, in one or more related transactions, reorganize, recapitalize or reclassify the Common Stock (which shall not include a reverse stock split),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 excluding Iroquois (as defined in the Securities Purchase Agreement).</w:t>
      </w:r>
    </w:p>
    <w:p>
      <w:pPr>
        <w:spacing w:after="0" w:line="386"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81" w:name="page182"/>
    <w:bookmarkEnd w:id="181"/>
    <w:p>
      <w:pPr>
        <w:ind w:left="1264" w:hanging="615"/>
        <w:spacing w:after="0"/>
        <w:tabs>
          <w:tab w:leader="none" w:pos="12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left="4" w:firstLine="645"/>
        <w:spacing w:after="0" w:line="266" w:lineRule="auto"/>
        <w:tabs>
          <w:tab w:leader="none" w:pos="1399" w:val="left"/>
        </w:tabs>
        <w:numPr>
          <w:ilvl w:val="1"/>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Pro Rata Amount</w:t>
      </w:r>
      <w:r>
        <w:rPr>
          <w:rFonts w:ascii="Arial" w:cs="Arial" w:eastAsia="Arial" w:hAnsi="Arial"/>
          <w:sz w:val="18"/>
          <w:szCs w:val="18"/>
          <w:color w:val="auto"/>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spacing w:after="0" w:line="176" w:lineRule="exact"/>
        <w:rPr>
          <w:rFonts w:ascii="Arial" w:cs="Arial" w:eastAsia="Arial" w:hAnsi="Arial"/>
          <w:sz w:val="18"/>
          <w:szCs w:val="18"/>
          <w:color w:val="auto"/>
        </w:rPr>
      </w:pPr>
    </w:p>
    <w:p>
      <w:pPr>
        <w:ind w:left="4" w:right="20" w:firstLine="645"/>
        <w:spacing w:after="0" w:line="313" w:lineRule="auto"/>
        <w:tabs>
          <w:tab w:leader="none" w:pos="1274"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that certain Indenture, dated as of the Issuance Date, by and between the Company and the Trustee, as may be amended or supplemented from time to time, including without limitation, by any Supplemental Indenture (as defined below).</w:t>
      </w:r>
    </w:p>
    <w:p>
      <w:pPr>
        <w:spacing w:after="0" w:line="138" w:lineRule="exact"/>
        <w:rPr>
          <w:rFonts w:ascii="Arial" w:cs="Arial" w:eastAsia="Arial" w:hAnsi="Arial"/>
          <w:sz w:val="17"/>
          <w:szCs w:val="17"/>
          <w:color w:val="auto"/>
        </w:rPr>
      </w:pPr>
    </w:p>
    <w:p>
      <w:pPr>
        <w:jc w:val="both"/>
        <w:ind w:left="4" w:firstLine="645"/>
        <w:spacing w:after="0" w:line="270" w:lineRule="auto"/>
        <w:tabs>
          <w:tab w:leader="none" w:pos="1281"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Installment Amount</w:t>
      </w:r>
      <w:r>
        <w:rPr>
          <w:rFonts w:ascii="Arial" w:cs="Arial" w:eastAsia="Arial" w:hAnsi="Arial"/>
          <w:sz w:val="17"/>
          <w:szCs w:val="17"/>
          <w:color w:val="auto"/>
        </w:rPr>
        <w:t>” means, with respect to any Installment Date, the sum of (A) (I) with respect to any Installment Date other than the Maturity Date, lesser of (X) the product of (I) $595,238.10, multiplied by (II) the Holder Pro Rata Amount and (Y)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otherwise), (B) any Acceleration Amount accelerated pursuant to Section 8(e) and included in such Installment Amount in accordance therewith, (C) any Designated Specified Amount deferred pursuant to Section 8(f) and included in such Installment Amount in accordance therewith and (D) in each case of clauses (A) through (C) above, the sum of any accrued and unpaid Interest as of such Installment Date under this Note and accrued and unpaid Late Charges, if any, under this Note as of such Installment Date. In the event the Holder shall sell or otherwise transfer any portion of this Note, the transferee shall be allocated a pro rata portion of each unpaid Installment Amount hereunder.</w:t>
      </w:r>
    </w:p>
    <w:p>
      <w:pPr>
        <w:spacing w:after="0" w:line="185" w:lineRule="exact"/>
        <w:rPr>
          <w:rFonts w:ascii="Arial" w:cs="Arial" w:eastAsia="Arial" w:hAnsi="Arial"/>
          <w:sz w:val="17"/>
          <w:szCs w:val="17"/>
          <w:color w:val="auto"/>
        </w:rPr>
      </w:pPr>
    </w:p>
    <w:p>
      <w:pPr>
        <w:ind w:left="1264" w:hanging="615"/>
        <w:spacing w:after="0"/>
        <w:tabs>
          <w:tab w:leader="none" w:pos="1264"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Installment Date</w:t>
      </w:r>
      <w:r>
        <w:rPr>
          <w:rFonts w:ascii="Arial" w:cs="Arial" w:eastAsia="Arial" w:hAnsi="Arial"/>
          <w:sz w:val="17"/>
          <w:szCs w:val="17"/>
          <w:color w:val="auto"/>
        </w:rPr>
        <w:t>” means the first (1</w:t>
      </w:r>
      <w:r>
        <w:rPr>
          <w:rFonts w:ascii="Arial" w:cs="Arial" w:eastAsia="Arial" w:hAnsi="Arial"/>
          <w:sz w:val="28"/>
          <w:szCs w:val="28"/>
          <w:color w:val="auto"/>
          <w:vertAlign w:val="superscript"/>
        </w:rPr>
        <w:t>st</w:t>
      </w:r>
      <w:r>
        <w:rPr>
          <w:rFonts w:ascii="Arial" w:cs="Arial" w:eastAsia="Arial" w:hAnsi="Arial"/>
          <w:sz w:val="17"/>
          <w:szCs w:val="17"/>
          <w:color w:val="auto"/>
        </w:rPr>
        <w:t>) Trading Day of every calendar month after the Issuance Date until the Maturity Date.</w:t>
      </w:r>
    </w:p>
    <w:p>
      <w:pPr>
        <w:spacing w:after="0" w:line="142" w:lineRule="exact"/>
        <w:rPr>
          <w:rFonts w:ascii="Arial" w:cs="Arial" w:eastAsia="Arial" w:hAnsi="Arial"/>
          <w:sz w:val="17"/>
          <w:szCs w:val="17"/>
          <w:color w:val="auto"/>
        </w:rPr>
      </w:pPr>
    </w:p>
    <w:p>
      <w:pPr>
        <w:ind w:left="1424" w:hanging="775"/>
        <w:spacing w:after="0"/>
        <w:tabs>
          <w:tab w:leader="none" w:pos="1424" w:val="left"/>
        </w:tabs>
        <w:numPr>
          <w:ilvl w:val="1"/>
          <w:numId w:val="2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Conversion Price</w:t>
      </w:r>
      <w:r>
        <w:rPr>
          <w:rFonts w:ascii="Arial" w:cs="Arial" w:eastAsia="Arial" w:hAnsi="Arial"/>
          <w:sz w:val="17"/>
          <w:szCs w:val="17"/>
          <w:color w:val="auto"/>
        </w:rPr>
        <w:t>” means, for any Interest Date, the sum of the VWAP of the Common Stock for each of the five</w:t>
      </w:r>
    </w:p>
    <w:p>
      <w:pPr>
        <w:spacing w:after="0" w:line="38" w:lineRule="exact"/>
        <w:rPr>
          <w:rFonts w:ascii="Arial" w:cs="Arial" w:eastAsia="Arial" w:hAnsi="Arial"/>
          <w:sz w:val="17"/>
          <w:szCs w:val="17"/>
          <w:color w:val="auto"/>
        </w:rPr>
      </w:pPr>
    </w:p>
    <w:p>
      <w:pPr>
        <w:ind w:left="4" w:hanging="4"/>
        <w:spacing w:after="0" w:line="290" w:lineRule="auto"/>
        <w:tabs>
          <w:tab w:leader="none" w:pos="26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consecutive Trading Days immediately preceding such Interest Date, divided by (y) five (5). All such determinations to be appropriately adjusted for any stock split, stock dividend, stock combination or other similar transaction during any such measuring period.</w:t>
      </w:r>
    </w:p>
    <w:p>
      <w:pPr>
        <w:spacing w:after="0" w:line="378"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82" w:name="page183"/>
    <w:bookmarkEnd w:id="182"/>
    <w:p>
      <w:pPr>
        <w:ind w:left="1264" w:hanging="615"/>
        <w:spacing w:after="0"/>
        <w:tabs>
          <w:tab w:leader="none" w:pos="12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Date</w:t>
      </w:r>
      <w:r>
        <w:rPr>
          <w:rFonts w:ascii="Arial" w:cs="Arial" w:eastAsia="Arial" w:hAnsi="Arial"/>
          <w:sz w:val="18"/>
          <w:szCs w:val="18"/>
          <w:color w:val="auto"/>
        </w:rPr>
        <w:t>” means January 1, April 1, July 1 and October 1 of each year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4" w:hanging="615"/>
        <w:spacing w:after="0"/>
        <w:tabs>
          <w:tab w:leader="none" w:pos="126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eight percent (8%) per annum, as may be adjusted from time to time in accordance with Section 2.</w:t>
      </w:r>
    </w:p>
    <w:p>
      <w:pPr>
        <w:spacing w:after="0" w:line="236" w:lineRule="exact"/>
        <w:rPr>
          <w:rFonts w:ascii="Arial" w:cs="Arial" w:eastAsia="Arial" w:hAnsi="Arial"/>
          <w:sz w:val="17"/>
          <w:szCs w:val="17"/>
          <w:color w:val="auto"/>
        </w:rPr>
      </w:pPr>
    </w:p>
    <w:p>
      <w:pPr>
        <w:ind w:left="1264" w:hanging="615"/>
        <w:spacing w:after="0"/>
        <w:tabs>
          <w:tab w:leader="none" w:pos="12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Lockbox Balance</w:t>
      </w:r>
      <w:r>
        <w:rPr>
          <w:rFonts w:ascii="Arial" w:cs="Arial" w:eastAsia="Arial" w:hAnsi="Arial"/>
          <w:sz w:val="18"/>
          <w:szCs w:val="18"/>
          <w:color w:val="auto"/>
        </w:rPr>
        <w:t>” means, as of any given time, the cash balance held in the Controlled Account.</w:t>
      </w:r>
    </w:p>
    <w:p>
      <w:pPr>
        <w:spacing w:after="0" w:line="225" w:lineRule="exact"/>
        <w:rPr>
          <w:rFonts w:ascii="Arial" w:cs="Arial" w:eastAsia="Arial" w:hAnsi="Arial"/>
          <w:sz w:val="18"/>
          <w:szCs w:val="18"/>
          <w:color w:val="auto"/>
        </w:rPr>
      </w:pPr>
    </w:p>
    <w:p>
      <w:pPr>
        <w:jc w:val="both"/>
        <w:ind w:left="4" w:firstLine="645"/>
        <w:spacing w:after="0" w:line="258" w:lineRule="auto"/>
        <w:tabs>
          <w:tab w:leader="none" w:pos="136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w:t>
      </w:r>
      <w:r>
        <w:rPr>
          <w:rFonts w:ascii="Arial" w:cs="Arial" w:eastAsia="Arial" w:hAnsi="Arial"/>
          <w:sz w:val="18"/>
          <w:szCs w:val="18"/>
          <w:color w:val="auto"/>
        </w:rPr>
        <w:t>” means, for any given date, the lesser of (x) the VWAP of the Common Stock on the Trading Day immediately preceding such given date and (y) quotient of (I) the sum of the three (3) lowest VWAPs of the Common Stock during the ten (10) consecutive Trading Day period ending and including the Trading Day immediately prior to such given date, divided by (II) three (3) (such period, the “</w:t>
      </w:r>
      <w:r>
        <w:rPr>
          <w:rFonts w:ascii="Arial" w:cs="Arial" w:eastAsia="Arial" w:hAnsi="Arial"/>
          <w:sz w:val="18"/>
          <w:szCs w:val="18"/>
          <w:b w:val="1"/>
          <w:bCs w:val="1"/>
          <w:color w:val="auto"/>
        </w:rPr>
        <w:t>Market</w:t>
      </w:r>
      <w:r>
        <w:rPr>
          <w:rFonts w:ascii="Arial" w:cs="Arial" w:eastAsia="Arial" w:hAnsi="Arial"/>
          <w:sz w:val="18"/>
          <w:szCs w:val="18"/>
          <w:color w:val="auto"/>
        </w:rPr>
        <w:t xml:space="preserve"> </w:t>
      </w:r>
      <w:r>
        <w:rPr>
          <w:rFonts w:ascii="Arial" w:cs="Arial" w:eastAsia="Arial" w:hAnsi="Arial"/>
          <w:sz w:val="18"/>
          <w:szCs w:val="18"/>
          <w:b w:val="1"/>
          <w:bCs w:val="1"/>
          <w:color w:val="auto"/>
        </w:rPr>
        <w:t>Price Measuring Period</w:t>
      </w:r>
      <w:r>
        <w:rPr>
          <w:rFonts w:ascii="Arial" w:cs="Arial" w:eastAsia="Arial" w:hAnsi="Arial"/>
          <w:sz w:val="18"/>
          <w:szCs w:val="18"/>
          <w:color w:val="auto"/>
        </w:rPr>
        <w:t>”). All such determinations to be appropriately adjusted for any stock dividend, stock split, stock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or similar transactions during such Market Price Measuring Period.</w:t>
      </w:r>
    </w:p>
    <w:p>
      <w:pPr>
        <w:spacing w:after="0" w:line="184" w:lineRule="exact"/>
        <w:rPr>
          <w:sz w:val="20"/>
          <w:szCs w:val="20"/>
          <w:color w:val="auto"/>
        </w:rPr>
      </w:pPr>
    </w:p>
    <w:p>
      <w:pPr>
        <w:jc w:val="both"/>
        <w:ind w:left="4" w:firstLine="645"/>
        <w:spacing w:after="0" w:line="254" w:lineRule="auto"/>
        <w:tabs>
          <w:tab w:leader="none" w:pos="12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shall mean, as of any time of determination, during the period commencing on the Subscription Date and ending on such time of determination, a material adverse change and/or a material adverse development in the business, assets, liabilities, properties, operations (including results thereof), condition (financial or otherwise) or prospects of the Company and its Subsidiaries, taken as a whole; provided that none of the following will constitute, or be considered in determining whether there has been, a Material Adverse Change: any event, change, circumstance, effect or other matter resulting from or related to (i) any outbreak or escalation of war or major hostilities or any act of terrorism, (ii) changes in laws, GAAP or enforcement or interpretation thereof, (iii) changes that generally affect the industries and markets in which the Company operates which do not have a disproportionate effect on the Company and its Subsidiaries, (iv) changes in financial markets, general economic conditions (including prevailing interest rates, exchange rates, commodity prices and fuel costs) or political conditions, or (v) any action taken or failed to be taken pursuant to or in accordance with any Transaction Document at the written request of, or consented to in writing by, the Holder.</w:t>
      </w:r>
    </w:p>
    <w:p>
      <w:pPr>
        <w:spacing w:after="0" w:line="186" w:lineRule="exact"/>
        <w:rPr>
          <w:rFonts w:ascii="Arial" w:cs="Arial" w:eastAsia="Arial" w:hAnsi="Arial"/>
          <w:sz w:val="18"/>
          <w:szCs w:val="18"/>
          <w:color w:val="auto"/>
        </w:rPr>
      </w:pPr>
    </w:p>
    <w:p>
      <w:pPr>
        <w:ind w:left="1244" w:hanging="595"/>
        <w:spacing w:after="0"/>
        <w:tabs>
          <w:tab w:leader="none" w:pos="1244" w:val="left"/>
        </w:tabs>
        <w:numPr>
          <w:ilvl w:val="1"/>
          <w:numId w:val="2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shall mean February 4, 2017; provided, however, the Maturity Date may be extended at the option of the Holder</w:t>
      </w:r>
    </w:p>
    <w:p>
      <w:pPr>
        <w:spacing w:after="0" w:line="50" w:lineRule="exact"/>
        <w:rPr>
          <w:rFonts w:ascii="Arial" w:cs="Arial" w:eastAsia="Arial" w:hAnsi="Arial"/>
          <w:sz w:val="16"/>
          <w:szCs w:val="16"/>
          <w:color w:val="auto"/>
        </w:rPr>
      </w:pPr>
    </w:p>
    <w:p>
      <w:pPr>
        <w:jc w:val="both"/>
        <w:ind w:left="4" w:hanging="4"/>
        <w:spacing w:after="0" w:line="270" w:lineRule="auto"/>
        <w:tabs>
          <w:tab w:leader="none" w:pos="2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395"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83" w:name="page184"/>
    <w:bookmarkEnd w:id="183"/>
    <w:p>
      <w:pPr>
        <w:ind w:left="1244" w:hanging="595"/>
        <w:spacing w:after="0"/>
        <w:tabs>
          <w:tab w:leader="none" w:pos="124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rFonts w:ascii="Arial" w:cs="Arial" w:eastAsia="Arial" w:hAnsi="Arial"/>
          <w:sz w:val="16"/>
          <w:szCs w:val="16"/>
          <w:color w:val="auto"/>
        </w:rPr>
      </w:pPr>
    </w:p>
    <w:p>
      <w:pPr>
        <w:jc w:val="both"/>
        <w:ind w:left="4" w:firstLine="645"/>
        <w:spacing w:after="0" w:line="289" w:lineRule="auto"/>
        <w:tabs>
          <w:tab w:leader="none" w:pos="1267" w:val="left"/>
        </w:tabs>
        <w:numPr>
          <w:ilvl w:val="1"/>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4" w:firstLine="645"/>
        <w:spacing w:after="0" w:line="292" w:lineRule="auto"/>
        <w:tabs>
          <w:tab w:leader="none" w:pos="138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(i) Indebtedness evidenced by this Note and the other Notes; (ii) other Indebtedness of the Company (other than as expressly specified in, and permitted by, clause (iii) below) not to exceed $250,000 in the aggregate outstanding at any time; provided, however, such Indebtedness shall be made expressly subordinate in right of payment to the Indebtedness evidenced by the Notes,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the Interest Rate; and (iii) equipment leases and purchase money obligations of the Company not to exceed $250,000 in the aggregate outstanding at any time.</w:t>
      </w:r>
    </w:p>
    <w:p>
      <w:pPr>
        <w:spacing w:after="0" w:line="161" w:lineRule="exact"/>
        <w:rPr>
          <w:rFonts w:ascii="Arial" w:cs="Arial" w:eastAsia="Arial" w:hAnsi="Arial"/>
          <w:sz w:val="16"/>
          <w:szCs w:val="16"/>
          <w:color w:val="auto"/>
        </w:rPr>
      </w:pPr>
    </w:p>
    <w:p>
      <w:pPr>
        <w:jc w:val="both"/>
        <w:ind w:left="4" w:firstLine="645"/>
        <w:spacing w:after="0" w:line="286" w:lineRule="auto"/>
        <w:tabs>
          <w:tab w:leader="none" w:pos="1523"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securing the Indebtedness expressly permitted by clause</w:t>
      </w:r>
    </w:p>
    <w:p>
      <w:pPr>
        <w:spacing w:after="0" w:line="2" w:lineRule="exact"/>
        <w:rPr>
          <w:rFonts w:ascii="Arial" w:cs="Arial" w:eastAsia="Arial" w:hAnsi="Arial"/>
          <w:sz w:val="16"/>
          <w:szCs w:val="16"/>
          <w:color w:val="auto"/>
        </w:rPr>
      </w:pPr>
    </w:p>
    <w:p>
      <w:pPr>
        <w:ind w:left="4" w:hanging="4"/>
        <w:spacing w:after="0" w:line="261" w:lineRule="auto"/>
        <w:tabs>
          <w:tab w:leader="none" w:pos="3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of the definition of Permitted Indebtedness; provided such Liens are limited only to the assets financed by such Indebtedness; and (iv) Liens securing the Company’s obligations under the Transaction Documents.</w:t>
      </w:r>
    </w:p>
    <w:p>
      <w:pPr>
        <w:spacing w:after="0" w:line="179" w:lineRule="exact"/>
        <w:rPr>
          <w:rFonts w:ascii="Arial" w:cs="Arial" w:eastAsia="Arial" w:hAnsi="Arial"/>
          <w:sz w:val="18"/>
          <w:szCs w:val="18"/>
          <w:color w:val="auto"/>
        </w:rPr>
      </w:pPr>
    </w:p>
    <w:p>
      <w:pPr>
        <w:ind w:left="4" w:firstLine="645"/>
        <w:spacing w:after="0" w:line="282" w:lineRule="auto"/>
        <w:tabs>
          <w:tab w:leader="none" w:pos="130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jc w:val="both"/>
        <w:ind w:left="4" w:firstLine="645"/>
        <w:spacing w:after="0" w:line="256" w:lineRule="auto"/>
        <w:tabs>
          <w:tab w:leader="none" w:pos="137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Pre-Installment Conversion Price</w:t>
      </w:r>
      <w:r>
        <w:rPr>
          <w:rFonts w:ascii="Arial" w:cs="Arial" w:eastAsia="Arial" w:hAnsi="Arial"/>
          <w:sz w:val="18"/>
          <w:szCs w:val="18"/>
          <w:color w:val="auto"/>
        </w:rPr>
        <w:t>” means, with respect to a particular date of determination, the price which is equal to the product of (1) 85% multiplied by (2) the quotient of (A) the sum of each of the three (3) lowest Closing Sale Prices of the Common Stock during the twenty (20) consecutive Trading Day period immediately preceding (i) the Issuance Date (with respect to the first Installment Amount only) and (ii) with respect to any Installment Amount other than the first Installment Amount, the delivery or deemed delivery of the applicable Company Installment Notice divided by (B) three (3). All such determinations to be appropriately adjusted for any stock split, stock dividend, stock combination or other similar transaction during any such measuring period.</w:t>
      </w:r>
    </w:p>
    <w:p>
      <w:pPr>
        <w:spacing w:after="0" w:line="200" w:lineRule="exact"/>
        <w:rPr>
          <w:sz w:val="20"/>
          <w:szCs w:val="20"/>
          <w:color w:val="auto"/>
        </w:rPr>
      </w:pPr>
    </w:p>
    <w:p>
      <w:pPr>
        <w:spacing w:after="0" w:line="208"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ANNEX II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5" w:right="239" w:bottom="1440" w:gutter="0" w:footer="0" w:header="0"/>
        </w:sectPr>
      </w:pPr>
    </w:p>
    <w:bookmarkStart w:id="184" w:name="page185"/>
    <w:bookmarkEnd w:id="184"/>
    <w:p>
      <w:pPr>
        <w:ind w:left="720" w:hanging="615"/>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540" w:right="20" w:firstLine="645"/>
        <w:spacing w:after="0" w:line="347" w:lineRule="auto"/>
        <w:tabs>
          <w:tab w:leader="none" w:pos="84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Post-Installment Conversion Shares</w:t>
      </w:r>
      <w:r>
        <w:rPr>
          <w:rFonts w:ascii="Arial" w:cs="Arial" w:eastAsia="Arial" w:hAnsi="Arial"/>
          <w:sz w:val="16"/>
          <w:szCs w:val="16"/>
          <w:color w:val="auto"/>
        </w:rPr>
        <w:t>” means that number of shares of Common Stock that would be required to be delivered pursuant to Section 8 on an applicable Installment Date without taking into account the delivery of any Pre-Installment Conversion Shares.</w:t>
      </w:r>
    </w:p>
    <w:p>
      <w:pPr>
        <w:spacing w:after="0" w:line="116" w:lineRule="exact"/>
        <w:rPr>
          <w:rFonts w:ascii="Arial" w:cs="Arial" w:eastAsia="Arial" w:hAnsi="Arial"/>
          <w:sz w:val="16"/>
          <w:szCs w:val="16"/>
          <w:color w:val="auto"/>
        </w:rPr>
      </w:pPr>
    </w:p>
    <w:p>
      <w:pPr>
        <w:jc w:val="both"/>
        <w:ind w:left="-540" w:firstLine="645"/>
        <w:spacing w:after="0" w:line="289" w:lineRule="auto"/>
        <w:tabs>
          <w:tab w:leader="none" w:pos="81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w:t>
      </w:r>
      <w:r>
        <w:rPr>
          <w:rFonts w:ascii="Arial" w:cs="Arial" w:eastAsia="Arial" w:hAnsi="Arial"/>
          <w:sz w:val="17"/>
          <w:szCs w:val="17"/>
          <w:color w:val="auto"/>
        </w:rPr>
        <w:t>” means each of: (i) the period beginning on and including January 1 and ending on and including March 31; (ii) the period beginning on and including April 1 and ending on and including June 30; (iii) the period beginning on and including July 1 and ending on and including September 30; and (iv) the period beginning on and including October 1 and ending on and including December 31.</w:t>
      </w:r>
    </w:p>
    <w:p>
      <w:pPr>
        <w:spacing w:after="0" w:line="158" w:lineRule="exact"/>
        <w:rPr>
          <w:rFonts w:ascii="Arial" w:cs="Arial" w:eastAsia="Arial" w:hAnsi="Arial"/>
          <w:sz w:val="17"/>
          <w:szCs w:val="17"/>
          <w:color w:val="auto"/>
        </w:rPr>
      </w:pPr>
    </w:p>
    <w:p>
      <w:pPr>
        <w:ind w:left="-540" w:firstLine="645"/>
        <w:spacing w:after="0" w:line="282" w:lineRule="auto"/>
        <w:tabs>
          <w:tab w:leader="none" w:pos="84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Event of Default Redemption Notices and Change of Control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40" w:right="20" w:firstLine="645"/>
        <w:spacing w:after="0" w:line="282" w:lineRule="auto"/>
        <w:tabs>
          <w:tab w:leader="none" w:pos="7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ind w:left="-540" w:firstLine="645"/>
        <w:spacing w:after="0" w:line="282"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Event of Default Redemption Prices, the Change of Control Redemption Prices and the Company Installment Redemption Prices, and each of the foregoing, individually, a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80" w:hanging="575"/>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225" w:lineRule="exact"/>
        <w:rPr>
          <w:rFonts w:ascii="Arial" w:cs="Arial" w:eastAsia="Arial" w:hAnsi="Arial"/>
          <w:sz w:val="18"/>
          <w:szCs w:val="18"/>
          <w:color w:val="auto"/>
        </w:rPr>
      </w:pPr>
    </w:p>
    <w:p>
      <w:pPr>
        <w:jc w:val="both"/>
        <w:ind w:left="-540" w:firstLine="645"/>
        <w:spacing w:after="0" w:line="266" w:lineRule="auto"/>
        <w:tabs>
          <w:tab w:leader="none" w:pos="7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the Subscription Date, by and among the Company and the initial holders of Notes pursuant to which the Company issued Notes and Warrants, as may be amended from time to time.</w:t>
      </w:r>
    </w:p>
    <w:p>
      <w:pPr>
        <w:spacing w:after="0" w:line="176" w:lineRule="exact"/>
        <w:rPr>
          <w:rFonts w:ascii="Arial" w:cs="Arial" w:eastAsia="Arial" w:hAnsi="Arial"/>
          <w:sz w:val="18"/>
          <w:szCs w:val="18"/>
          <w:color w:val="auto"/>
        </w:rPr>
      </w:pPr>
    </w:p>
    <w:p>
      <w:pPr>
        <w:ind w:left="680" w:hanging="575"/>
        <w:spacing w:after="0"/>
        <w:tabs>
          <w:tab w:leader="none" w:pos="6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of the SEC promulgated thereunder.</w:t>
      </w:r>
    </w:p>
    <w:p>
      <w:pPr>
        <w:spacing w:after="0" w:line="248" w:lineRule="exact"/>
        <w:rPr>
          <w:rFonts w:ascii="Arial" w:cs="Arial" w:eastAsia="Arial" w:hAnsi="Arial"/>
          <w:sz w:val="16"/>
          <w:szCs w:val="16"/>
          <w:color w:val="auto"/>
        </w:rPr>
      </w:pPr>
    </w:p>
    <w:p>
      <w:pPr>
        <w:ind w:left="-540" w:right="20" w:firstLine="645"/>
        <w:spacing w:after="0" w:line="282" w:lineRule="auto"/>
        <w:tabs>
          <w:tab w:leader="none" w:pos="88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security agreement, dated as of the Closing Date, by and among the Company, its Subsidiaries and the initial holders of the Notes, as may be amended from time to time.</w:t>
      </w:r>
    </w:p>
    <w:p>
      <w:pPr>
        <w:spacing w:after="0" w:line="161" w:lineRule="exact"/>
        <w:rPr>
          <w:rFonts w:ascii="Arial" w:cs="Arial" w:eastAsia="Arial" w:hAnsi="Arial"/>
          <w:sz w:val="18"/>
          <w:szCs w:val="18"/>
          <w:color w:val="auto"/>
        </w:rPr>
      </w:pPr>
    </w:p>
    <w:p>
      <w:pPr>
        <w:ind w:left="680" w:hanging="575"/>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has the meaning set forth in the Securities Purchase Agreement.</w:t>
      </w:r>
    </w:p>
    <w:p>
      <w:pPr>
        <w:spacing w:after="0" w:line="225" w:lineRule="exact"/>
        <w:rPr>
          <w:rFonts w:ascii="Arial" w:cs="Arial" w:eastAsia="Arial" w:hAnsi="Arial"/>
          <w:sz w:val="18"/>
          <w:szCs w:val="18"/>
          <w:color w:val="auto"/>
        </w:rPr>
      </w:pPr>
    </w:p>
    <w:p>
      <w:pPr>
        <w:ind w:left="720" w:hanging="615"/>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Date</w:t>
      </w:r>
      <w:r>
        <w:rPr>
          <w:rFonts w:ascii="Arial" w:cs="Arial" w:eastAsia="Arial" w:hAnsi="Arial"/>
          <w:sz w:val="18"/>
          <w:szCs w:val="18"/>
          <w:color w:val="auto"/>
        </w:rPr>
        <w:t>” means May 4, 2015.</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85" w:name="page186"/>
    <w:bookmarkEnd w:id="185"/>
    <w:p>
      <w:pPr>
        <w:jc w:val="both"/>
        <w:ind w:left="-540" w:firstLine="645"/>
        <w:spacing w:after="0" w:line="266" w:lineRule="auto"/>
        <w:tabs>
          <w:tab w:leader="none" w:pos="77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all of the foregoing.</w:t>
      </w:r>
    </w:p>
    <w:p>
      <w:pPr>
        <w:spacing w:after="0" w:line="176" w:lineRule="exact"/>
        <w:rPr>
          <w:rFonts w:ascii="Arial" w:cs="Arial" w:eastAsia="Arial" w:hAnsi="Arial"/>
          <w:sz w:val="18"/>
          <w:szCs w:val="18"/>
          <w:color w:val="auto"/>
        </w:rPr>
      </w:pPr>
    </w:p>
    <w:p>
      <w:pPr>
        <w:jc w:val="both"/>
        <w:ind w:left="-540" w:right="20" w:firstLine="645"/>
        <w:spacing w:after="0" w:line="266" w:lineRule="auto"/>
        <w:tabs>
          <w:tab w:leader="none" w:pos="69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ind w:left="-540" w:firstLine="645"/>
        <w:spacing w:after="0" w:line="282" w:lineRule="auto"/>
        <w:tabs>
          <w:tab w:leader="none" w:pos="90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Indenture</w:t>
      </w:r>
      <w:r>
        <w:rPr>
          <w:rFonts w:ascii="Arial" w:cs="Arial" w:eastAsia="Arial" w:hAnsi="Arial"/>
          <w:sz w:val="18"/>
          <w:szCs w:val="18"/>
          <w:color w:val="auto"/>
        </w:rPr>
        <w:t>” shall have the meaning ascribed to such term in the Securities Purchase Agreement, as such supplemental indenture may be amended, modified or supplemented from time to time.</w:t>
      </w:r>
    </w:p>
    <w:p>
      <w:pPr>
        <w:spacing w:after="0" w:line="161" w:lineRule="exact"/>
        <w:rPr>
          <w:rFonts w:ascii="Arial" w:cs="Arial" w:eastAsia="Arial" w:hAnsi="Arial"/>
          <w:sz w:val="18"/>
          <w:szCs w:val="18"/>
          <w:color w:val="auto"/>
        </w:rPr>
      </w:pPr>
    </w:p>
    <w:p>
      <w:pPr>
        <w:jc w:val="both"/>
        <w:ind w:left="-540" w:firstLine="645"/>
        <w:spacing w:after="0" w:line="295" w:lineRule="auto"/>
        <w:tabs>
          <w:tab w:leader="none" w:pos="83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55" w:lineRule="exact"/>
        <w:rPr>
          <w:rFonts w:ascii="Arial" w:cs="Arial" w:eastAsia="Arial" w:hAnsi="Arial"/>
          <w:sz w:val="16"/>
          <w:szCs w:val="16"/>
          <w:color w:val="auto"/>
        </w:rPr>
      </w:pPr>
    </w:p>
    <w:p>
      <w:pPr>
        <w:ind w:left="-540" w:right="20" w:firstLine="645"/>
        <w:spacing w:after="0" w:line="282" w:lineRule="auto"/>
        <w:tabs>
          <w:tab w:leader="none" w:pos="8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Computershare Trust Company, N.A., in its capacity as trustee under the Indenture, or any successor or any additional trustee appointed with respect to the Notes pursuant to the Indenture.</w:t>
      </w:r>
    </w:p>
    <w:p>
      <w:pPr>
        <w:spacing w:after="0" w:line="161" w:lineRule="exact"/>
        <w:rPr>
          <w:rFonts w:ascii="Arial" w:cs="Arial" w:eastAsia="Arial" w:hAnsi="Arial"/>
          <w:sz w:val="18"/>
          <w:szCs w:val="18"/>
          <w:color w:val="auto"/>
        </w:rPr>
      </w:pPr>
    </w:p>
    <w:p>
      <w:pPr>
        <w:jc w:val="both"/>
        <w:ind w:left="-540" w:firstLine="645"/>
        <w:spacing w:after="0" w:line="261" w:lineRule="auto"/>
        <w:tabs>
          <w:tab w:leader="none" w:pos="80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180" w:lineRule="exact"/>
        <w:rPr>
          <w:sz w:val="20"/>
          <w:szCs w:val="20"/>
          <w:color w:val="auto"/>
        </w:rPr>
      </w:pPr>
    </w:p>
    <w:p>
      <w:pPr>
        <w:jc w:val="both"/>
        <w:ind w:left="-540" w:firstLine="645"/>
        <w:spacing w:after="0" w:line="269" w:lineRule="auto"/>
        <w:tabs>
          <w:tab w:leader="none" w:pos="8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OTC Markets Inc.(formerly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or other similar transaction during such period.</w:t>
      </w:r>
    </w:p>
    <w:p>
      <w:pPr>
        <w:spacing w:after="0" w:line="40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II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86" w:name="page187"/>
    <w:bookmarkEnd w:id="186"/>
    <w:p>
      <w:pPr>
        <w:ind w:left="660" w:firstLine="645"/>
        <w:spacing w:after="0" w:line="282" w:lineRule="auto"/>
        <w:tabs>
          <w:tab w:leader="none" w:pos="1919" w:val="left"/>
        </w:tabs>
        <w:numPr>
          <w:ilvl w:val="1"/>
          <w:numId w:val="2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ascribed to such term in the Securities Purchase Agreement, as may be amended from time to time, and shall include all warrants issued in exchange therefor or replacement thereof.</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305"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unless the Company has in good faith determined that the matters relating to such notice do not constitute material, non-public information relating to the Company or any of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Nothing contained in this Section 29 shall limit any obligations of the Company, or any rights of the Holder, under Section 4(j) of the Securities Purchase Agreement.</w:t>
      </w:r>
    </w:p>
    <w:p>
      <w:pPr>
        <w:spacing w:after="0" w:line="178" w:lineRule="exact"/>
        <w:rPr>
          <w:rFonts w:ascii="Arial" w:cs="Arial" w:eastAsia="Arial" w:hAnsi="Arial"/>
          <w:sz w:val="17"/>
          <w:szCs w:val="17"/>
          <w:color w:val="auto"/>
        </w:rPr>
      </w:pPr>
    </w:p>
    <w:p>
      <w:pPr>
        <w:jc w:val="both"/>
        <w:ind w:firstLine="656"/>
        <w:spacing w:after="0" w:line="279" w:lineRule="auto"/>
        <w:tabs>
          <w:tab w:leader="none" w:pos="140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MAXIMUM PAYMENTS</w:t>
      </w:r>
      <w:r>
        <w:rPr>
          <w:rFonts w:ascii="Arial" w:cs="Arial" w:eastAsia="Arial" w:hAnsi="Arial"/>
          <w:sz w:val="17"/>
          <w:szCs w:val="17"/>
          <w:color w:val="auto"/>
        </w:rPr>
        <w:t>. Without limiting Section 9(d) of the Securities Purchase Agreement, nothing contained in this Note shall, or shall be deemed to, establish or require the payment of a rate of interest or other charges in excess of the maximum permitted by applicable law. In the event that the rate of interest required to be paid or other charges under this Note exceeds the maximum permitted by such law, any payments in excess of such maximum shall be credited against amounts owed by the Company to the Holder and thus refunded to the Company.</w:t>
      </w:r>
    </w:p>
    <w:p>
      <w:pPr>
        <w:spacing w:after="0" w:line="171" w:lineRule="exact"/>
        <w:rPr>
          <w:rFonts w:ascii="Arial" w:cs="Arial" w:eastAsia="Arial" w:hAnsi="Arial"/>
          <w:sz w:val="17"/>
          <w:szCs w:val="17"/>
          <w:color w:val="auto"/>
        </w:rPr>
      </w:pPr>
    </w:p>
    <w:p>
      <w:pPr>
        <w:ind w:firstLine="656"/>
        <w:spacing w:after="0" w:line="277" w:lineRule="auto"/>
        <w:tabs>
          <w:tab w:leader="none" w:pos="133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and the other Notes are secured to the extent and in the manner set forth in the Transaction Documents (including, without limitation, the Security Agreement and the other Security Documents).</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The rights, privileges and immunities of the Trustee set forth in Article VII of the Indenture are incorporated herein, </w:t>
      </w:r>
      <w:r>
        <w:rPr>
          <w:rFonts w:ascii="Arial" w:cs="Arial" w:eastAsia="Arial" w:hAnsi="Arial"/>
          <w:sz w:val="16"/>
          <w:szCs w:val="16"/>
          <w:i w:val="1"/>
          <w:iCs w:val="1"/>
          <w:color w:val="auto"/>
        </w:rPr>
        <w:t>mutatis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IN WITNESS WHEREOF, the Company has caused this Note to be duly executed as of the Issuance Date set out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-130810</wp:posOffset>
            </wp:positionV>
            <wp:extent cx="3378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ANNEX II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341" w:right="1440"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Reference is made to the Senior Secured Convertible Note (the “</w:t>
      </w:r>
      <w:r>
        <w:rPr>
          <w:rFonts w:ascii="Arial" w:cs="Arial" w:eastAsia="Arial" w:hAnsi="Arial"/>
          <w:sz w:val="17"/>
          <w:szCs w:val="17"/>
          <w:b w:val="1"/>
          <w:bCs w:val="1"/>
          <w:color w:val="auto"/>
        </w:rPr>
        <w:t>Note</w:t>
      </w:r>
      <w:r>
        <w:rPr>
          <w:rFonts w:ascii="Arial" w:cs="Arial" w:eastAsia="Arial" w:hAnsi="Arial"/>
          <w:sz w:val="17"/>
          <w:szCs w:val="17"/>
          <w:color w:val="auto"/>
        </w:rPr>
        <w:t>”) issued to the undersigned by Vringo, Inc. (the “</w:t>
      </w:r>
      <w:r>
        <w:rPr>
          <w:rFonts w:ascii="Arial" w:cs="Arial" w:eastAsia="Arial" w:hAnsi="Arial"/>
          <w:sz w:val="17"/>
          <w:szCs w:val="17"/>
          <w:b w:val="1"/>
          <w:bCs w:val="1"/>
          <w:color w:val="auto"/>
        </w:rPr>
        <w:t>Company</w:t>
      </w:r>
      <w:r>
        <w:rPr>
          <w:rFonts w:ascii="Arial" w:cs="Arial" w:eastAsia="Arial" w:hAnsi="Arial"/>
          <w:sz w:val="17"/>
          <w:szCs w:val="17"/>
          <w:color w:val="auto"/>
        </w:rPr>
        <w:t>”). In accordance with and pursuant to the Note, the undersigned hereby elects to convert the Conversion Amount (as defined in the Note) of the Note indicated below into shares of common stock, $0.01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as of the date specified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52654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34645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581025</wp:posOffset>
            </wp:positionV>
            <wp:extent cx="59258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297815</wp:posOffset>
            </wp:positionV>
            <wp:extent cx="59258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59258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52654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55568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14605</wp:posOffset>
            </wp:positionV>
            <wp:extent cx="57804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14605</wp:posOffset>
            </wp:positionV>
            <wp:extent cx="5411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38246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-130810</wp:posOffset>
            </wp:positionV>
            <wp:extent cx="4759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ind w:left="100"/>
        <w:spacing w:after="0"/>
        <w:tabs>
          <w:tab w:leader="none" w:pos="5360" w:val="left"/>
        </w:tabs>
        <w:rPr>
          <w:sz w:val="20"/>
          <w:szCs w:val="20"/>
          <w:color w:val="auto"/>
        </w:rPr>
      </w:pPr>
      <w:r>
        <w:rPr>
          <w:rFonts w:ascii="Arial" w:cs="Arial" w:eastAsia="Arial" w:hAnsi="Arial"/>
          <w:sz w:val="18"/>
          <w:szCs w:val="18"/>
          <w:color w:val="auto"/>
        </w:rPr>
        <w:t>Installment Amount(s) to be reduced (and corresponding Installment</w:t>
      </w:r>
      <w:r>
        <w:rPr>
          <w:sz w:val="20"/>
          <w:szCs w:val="20"/>
          <w:color w:val="auto"/>
        </w:rPr>
        <w:tab/>
      </w:r>
      <w:r>
        <w:rPr>
          <w:rFonts w:ascii="Arial" w:cs="Arial" w:eastAsia="Arial" w:hAnsi="Arial"/>
          <w:sz w:val="16"/>
          <w:szCs w:val="16"/>
          <w:color w:val="auto"/>
        </w:rPr>
        <w:t>_________________________________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Date(s)) and amount of reduction: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acknowledges this Conversion Notice and hereby directs American Stock Transfer &amp; Trust Company, LLC to issue the above indicated number of shares of Common Stock in accordance with the Transfer Agent Instructions dated May 4, 2015 from the Company and acknowledged and agreed to by American Stock Transfer &amp; Trust Company, LLC.</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ANNEX III</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COMPUTERSHARE TRUST COMPANY, N.A.</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4, 2015</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ANNEX III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715"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Indenture</w:t>
            </w: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312(a)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0890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905" w:right="239" w:bottom="1440" w:gutter="0" w:footer="0" w:header="0"/>
          <w:type w:val="continuous"/>
        </w:sectPr>
      </w:pPr>
    </w:p>
    <w:p>
      <w:pPr>
        <w:spacing w:after="0" w:line="146" w:lineRule="exact"/>
        <w:rPr>
          <w:sz w:val="20"/>
          <w:szCs w:val="20"/>
          <w:color w:val="auto"/>
        </w:rPr>
      </w:pPr>
    </w:p>
    <w:p>
      <w:pPr>
        <w:ind w:left="460" w:right="740" w:hanging="452"/>
        <w:spacing w:after="0" w:line="277" w:lineRule="auto"/>
        <w:tabs>
          <w:tab w:leader="none" w:pos="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0" w:type="dxa"/>
            <w:vAlign w:val="bottom"/>
          </w:tcPr>
          <w:p>
            <w:pPr>
              <w:ind w:left="2620"/>
              <w:spacing w:after="0"/>
              <w:rPr>
                <w:sz w:val="20"/>
                <w:szCs w:val="20"/>
                <w:color w:val="auto"/>
              </w:rPr>
            </w:pPr>
            <w:r>
              <w:rPr>
                <w:rFonts w:ascii="Arial" w:cs="Arial" w:eastAsia="Arial" w:hAnsi="Arial"/>
                <w:sz w:val="18"/>
                <w:szCs w:val="18"/>
                <w:color w:val="auto"/>
              </w:rPr>
              <w:t>TABLE OF CONTENTS (2)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DEFINITIONS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Definitions of Terms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Designation and Terms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2.02</w:t>
            </w:r>
          </w:p>
        </w:tc>
        <w:tc>
          <w:tcPr>
            <w:tcW w:w="8800" w:type="dxa"/>
            <w:vAlign w:val="bottom"/>
          </w:tcPr>
          <w:p>
            <w:pPr>
              <w:ind w:left="580"/>
              <w:spacing w:after="0"/>
              <w:rPr>
                <w:sz w:val="20"/>
                <w:szCs w:val="20"/>
                <w:color w:val="auto"/>
              </w:rPr>
            </w:pPr>
            <w:r>
              <w:rPr>
                <w:rFonts w:ascii="Arial" w:cs="Arial" w:eastAsia="Arial" w:hAnsi="Arial"/>
                <w:sz w:val="18"/>
                <w:szCs w:val="18"/>
                <w:color w:val="auto"/>
              </w:rPr>
              <w:t>Form of Securities and Trustee’s Certificate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Denominations: Provisions for Payment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2.04</w:t>
            </w:r>
          </w:p>
        </w:tc>
        <w:tc>
          <w:tcPr>
            <w:tcW w:w="8800" w:type="dxa"/>
            <w:vAlign w:val="bottom"/>
          </w:tcPr>
          <w:p>
            <w:pPr>
              <w:ind w:left="580"/>
              <w:spacing w:after="0"/>
              <w:rPr>
                <w:sz w:val="20"/>
                <w:szCs w:val="20"/>
                <w:color w:val="auto"/>
              </w:rPr>
            </w:pPr>
            <w:r>
              <w:rPr>
                <w:rFonts w:ascii="Arial" w:cs="Arial" w:eastAsia="Arial" w:hAnsi="Arial"/>
                <w:sz w:val="18"/>
                <w:szCs w:val="18"/>
                <w:color w:val="auto"/>
              </w:rPr>
              <w:t>Execution and Authentications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2.05</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Registration of Transfer and Exchange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2.06</w:t>
            </w:r>
          </w:p>
        </w:tc>
        <w:tc>
          <w:tcPr>
            <w:tcW w:w="8800" w:type="dxa"/>
            <w:vAlign w:val="bottom"/>
          </w:tcPr>
          <w:p>
            <w:pPr>
              <w:ind w:left="580"/>
              <w:spacing w:after="0"/>
              <w:rPr>
                <w:sz w:val="20"/>
                <w:szCs w:val="20"/>
                <w:color w:val="auto"/>
              </w:rPr>
            </w:pPr>
            <w:r>
              <w:rPr>
                <w:rFonts w:ascii="Arial" w:cs="Arial" w:eastAsia="Arial" w:hAnsi="Arial"/>
                <w:sz w:val="18"/>
                <w:szCs w:val="18"/>
                <w:color w:val="auto"/>
              </w:rPr>
              <w:t>Temporary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2.07</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Mutilated, Destroyed, Lost or Stolen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2.08</w:t>
            </w:r>
          </w:p>
        </w:tc>
        <w:tc>
          <w:tcPr>
            <w:tcW w:w="8800" w:type="dxa"/>
            <w:vAlign w:val="bottom"/>
          </w:tcPr>
          <w:p>
            <w:pPr>
              <w:ind w:left="580"/>
              <w:spacing w:after="0"/>
              <w:rPr>
                <w:sz w:val="20"/>
                <w:szCs w:val="20"/>
                <w:color w:val="auto"/>
              </w:rPr>
            </w:pPr>
            <w:r>
              <w:rPr>
                <w:rFonts w:ascii="Arial" w:cs="Arial" w:eastAsia="Arial" w:hAnsi="Arial"/>
                <w:sz w:val="18"/>
                <w:szCs w:val="18"/>
                <w:color w:val="auto"/>
              </w:rPr>
              <w:t>Cancellation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2.09</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Benefits of Indenture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8800" w:type="dxa"/>
            <w:vAlign w:val="bottom"/>
          </w:tcPr>
          <w:p>
            <w:pPr>
              <w:ind w:left="580"/>
              <w:spacing w:after="0"/>
              <w:rPr>
                <w:sz w:val="20"/>
                <w:szCs w:val="20"/>
                <w:color w:val="auto"/>
              </w:rPr>
            </w:pPr>
            <w:r>
              <w:rPr>
                <w:rFonts w:ascii="Arial" w:cs="Arial" w:eastAsia="Arial" w:hAnsi="Arial"/>
                <w:sz w:val="18"/>
                <w:szCs w:val="18"/>
                <w:color w:val="auto"/>
              </w:rPr>
              <w:t>Authenticating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Global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REDEMPTION OF SECURITIES AND SINKING FUND PROVISIONS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800" w:type="dxa"/>
            <w:vAlign w:val="bottom"/>
          </w:tcPr>
          <w:p>
            <w:pPr>
              <w:ind w:left="580"/>
              <w:spacing w:after="0"/>
              <w:rPr>
                <w:sz w:val="20"/>
                <w:szCs w:val="20"/>
                <w:color w:val="auto"/>
              </w:rPr>
            </w:pPr>
            <w:r>
              <w:rPr>
                <w:rFonts w:ascii="Arial" w:cs="Arial" w:eastAsia="Arial" w:hAnsi="Arial"/>
                <w:sz w:val="18"/>
                <w:szCs w:val="18"/>
                <w:color w:val="auto"/>
              </w:rPr>
              <w:t>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Payment Upon 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800" w:type="dxa"/>
            <w:vAlign w:val="bottom"/>
          </w:tcPr>
          <w:p>
            <w:pPr>
              <w:ind w:left="580"/>
              <w:spacing w:after="0"/>
              <w:rPr>
                <w:sz w:val="20"/>
                <w:szCs w:val="20"/>
                <w:color w:val="auto"/>
              </w:rPr>
            </w:pPr>
            <w:r>
              <w:rPr>
                <w:rFonts w:ascii="Arial" w:cs="Arial" w:eastAsia="Arial" w:hAnsi="Arial"/>
                <w:sz w:val="18"/>
                <w:szCs w:val="18"/>
                <w:color w:val="auto"/>
              </w:rPr>
              <w:t>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Satisfaction of Sinking Fund Payments with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800" w:type="dxa"/>
            <w:vAlign w:val="bottom"/>
          </w:tcPr>
          <w:p>
            <w:pPr>
              <w:ind w:left="580"/>
              <w:spacing w:after="0"/>
              <w:rPr>
                <w:sz w:val="20"/>
                <w:szCs w:val="20"/>
                <w:color w:val="auto"/>
              </w:rPr>
            </w:pPr>
            <w:r>
              <w:rPr>
                <w:rFonts w:ascii="Arial" w:cs="Arial" w:eastAsia="Arial" w:hAnsi="Arial"/>
                <w:sz w:val="18"/>
                <w:szCs w:val="18"/>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ARTICLE IV</w:t>
            </w:r>
          </w:p>
        </w:tc>
        <w:tc>
          <w:tcPr>
            <w:tcW w:w="8800" w:type="dxa"/>
            <w:vAlign w:val="bottom"/>
          </w:tcPr>
          <w:p>
            <w:pPr>
              <w:ind w:left="580"/>
              <w:spacing w:after="0"/>
              <w:rPr>
                <w:sz w:val="20"/>
                <w:szCs w:val="20"/>
                <w:color w:val="auto"/>
              </w:rPr>
            </w:pPr>
            <w:r>
              <w:rPr>
                <w:rFonts w:ascii="Arial" w:cs="Arial" w:eastAsia="Arial" w:hAnsi="Arial"/>
                <w:sz w:val="18"/>
                <w:szCs w:val="18"/>
                <w:color w:val="auto"/>
              </w:rPr>
              <w:t>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8800" w:type="dxa"/>
            <w:vAlign w:val="bottom"/>
          </w:tcPr>
          <w:p>
            <w:pPr>
              <w:ind w:left="580"/>
              <w:spacing w:after="0"/>
              <w:rPr>
                <w:sz w:val="20"/>
                <w:szCs w:val="20"/>
                <w:color w:val="auto"/>
              </w:rPr>
            </w:pPr>
            <w:r>
              <w:rPr>
                <w:rFonts w:ascii="Arial" w:cs="Arial" w:eastAsia="Arial" w:hAnsi="Arial"/>
                <w:sz w:val="18"/>
                <w:szCs w:val="18"/>
                <w:color w:val="auto"/>
              </w:rPr>
              <w:t>Payment of Principal, Premium and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4.02</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Maintenance of Office or Agency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4.03</w:t>
            </w:r>
          </w:p>
        </w:tc>
        <w:tc>
          <w:tcPr>
            <w:tcW w:w="8800" w:type="dxa"/>
            <w:vAlign w:val="bottom"/>
          </w:tcPr>
          <w:p>
            <w:pPr>
              <w:ind w:left="580"/>
              <w:spacing w:after="0"/>
              <w:rPr>
                <w:sz w:val="20"/>
                <w:szCs w:val="20"/>
                <w:color w:val="auto"/>
              </w:rPr>
            </w:pPr>
            <w:r>
              <w:rPr>
                <w:rFonts w:ascii="Arial" w:cs="Arial" w:eastAsia="Arial" w:hAnsi="Arial"/>
                <w:sz w:val="18"/>
                <w:szCs w:val="18"/>
                <w:color w:val="auto"/>
              </w:rPr>
              <w:t>Paying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4.04</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Appointment to Fill Vacancy in Office of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4.05</w:t>
            </w:r>
          </w:p>
        </w:tc>
        <w:tc>
          <w:tcPr>
            <w:tcW w:w="8800" w:type="dxa"/>
            <w:vAlign w:val="bottom"/>
          </w:tcPr>
          <w:p>
            <w:pPr>
              <w:ind w:left="580"/>
              <w:spacing w:after="0"/>
              <w:rPr>
                <w:sz w:val="20"/>
                <w:szCs w:val="20"/>
                <w:color w:val="auto"/>
              </w:rPr>
            </w:pPr>
            <w:r>
              <w:rPr>
                <w:rFonts w:ascii="Arial" w:cs="Arial" w:eastAsia="Arial" w:hAnsi="Arial"/>
                <w:sz w:val="18"/>
                <w:szCs w:val="18"/>
                <w:color w:val="auto"/>
              </w:rPr>
              <w:t>Compliance with Consolidation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ARTICLE V</w:t>
            </w:r>
          </w:p>
        </w:tc>
        <w:tc>
          <w:tcPr>
            <w:tcW w:w="8800" w:type="dxa"/>
            <w:vAlign w:val="bottom"/>
          </w:tcPr>
          <w:p>
            <w:pPr>
              <w:ind w:left="580"/>
              <w:spacing w:after="0"/>
              <w:rPr>
                <w:sz w:val="20"/>
                <w:szCs w:val="20"/>
                <w:color w:val="auto"/>
              </w:rPr>
            </w:pPr>
            <w:r>
              <w:rPr>
                <w:rFonts w:ascii="Arial" w:cs="Arial" w:eastAsia="Arial" w:hAnsi="Arial"/>
                <w:sz w:val="18"/>
                <w:szCs w:val="18"/>
                <w:color w:val="auto"/>
              </w:rPr>
              <w:t>SECURITYHOLDERS’ LISTS AND REPORTS BY THE COMPANY AND THE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8800" w:type="dxa"/>
            <w:vAlign w:val="bottom"/>
          </w:tcPr>
          <w:p>
            <w:pPr>
              <w:ind w:left="58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Preservation Of Information; Communications With Securityholders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8800" w:type="dxa"/>
            <w:vAlign w:val="bottom"/>
          </w:tcPr>
          <w:p>
            <w:pPr>
              <w:ind w:left="580"/>
              <w:spacing w:after="0"/>
              <w:rPr>
                <w:sz w:val="20"/>
                <w:szCs w:val="20"/>
                <w:color w:val="auto"/>
              </w:rPr>
            </w:pPr>
            <w:r>
              <w:rPr>
                <w:rFonts w:ascii="Arial" w:cs="Arial" w:eastAsia="Arial" w:hAnsi="Arial"/>
                <w:sz w:val="18"/>
                <w:szCs w:val="18"/>
                <w:color w:val="auto"/>
              </w:rPr>
              <w:t>Reports by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Reports by the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REMEDIES OF THE TRUSTEE AND SECURITYHOLDERS ON EVENT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Events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800" w:type="dxa"/>
            <w:vAlign w:val="bottom"/>
          </w:tcPr>
          <w:p>
            <w:pPr>
              <w:ind w:left="580"/>
              <w:spacing w:after="0"/>
              <w:rPr>
                <w:sz w:val="20"/>
                <w:szCs w:val="20"/>
                <w:color w:val="auto"/>
              </w:rPr>
            </w:pPr>
            <w:r>
              <w:rPr>
                <w:rFonts w:ascii="Arial" w:cs="Arial" w:eastAsia="Arial" w:hAnsi="Arial"/>
                <w:sz w:val="18"/>
                <w:szCs w:val="18"/>
                <w:color w:val="auto"/>
              </w:rPr>
              <w:t>Collection of Indebtedness and Suits for Enforcement by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Application of Moneys Collected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Limitation on Suits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6.05</w:t>
            </w:r>
          </w:p>
        </w:tc>
        <w:tc>
          <w:tcPr>
            <w:tcW w:w="7440" w:type="dxa"/>
            <w:vAlign w:val="bottom"/>
          </w:tcPr>
          <w:p>
            <w:pPr>
              <w:ind w:left="540"/>
              <w:spacing w:after="0"/>
              <w:rPr>
                <w:sz w:val="20"/>
                <w:szCs w:val="20"/>
                <w:color w:val="auto"/>
              </w:rPr>
            </w:pPr>
            <w:r>
              <w:rPr>
                <w:rFonts w:ascii="Arial" w:cs="Arial" w:eastAsia="Arial" w:hAnsi="Arial"/>
                <w:sz w:val="18"/>
                <w:szCs w:val="18"/>
                <w:color w:val="auto"/>
              </w:rPr>
              <w:t>Rights and Remedies Cumulative; Delay or Omission Not Waiver</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Control by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6.07</w:t>
            </w:r>
          </w:p>
        </w:tc>
        <w:tc>
          <w:tcPr>
            <w:tcW w:w="7440" w:type="dxa"/>
            <w:vAlign w:val="bottom"/>
          </w:tcPr>
          <w:p>
            <w:pPr>
              <w:ind w:left="540"/>
              <w:spacing w:after="0"/>
              <w:rPr>
                <w:sz w:val="20"/>
                <w:szCs w:val="20"/>
                <w:color w:val="auto"/>
              </w:rPr>
            </w:pPr>
            <w:r>
              <w:rPr>
                <w:rFonts w:ascii="Arial" w:cs="Arial" w:eastAsia="Arial" w:hAnsi="Arial"/>
                <w:sz w:val="18"/>
                <w:szCs w:val="18"/>
                <w:color w:val="auto"/>
              </w:rPr>
              <w:t>Undertaking to Pay Costs</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ARTICLE VII</w:t>
            </w:r>
          </w:p>
        </w:tc>
        <w:tc>
          <w:tcPr>
            <w:tcW w:w="7440" w:type="dxa"/>
            <w:vAlign w:val="bottom"/>
          </w:tcPr>
          <w:p>
            <w:pPr>
              <w:ind w:left="540"/>
              <w:spacing w:after="0"/>
              <w:rPr>
                <w:sz w:val="20"/>
                <w:szCs w:val="20"/>
                <w:color w:val="auto"/>
              </w:rPr>
            </w:pPr>
            <w:r>
              <w:rPr>
                <w:rFonts w:ascii="Arial" w:cs="Arial" w:eastAsia="Arial" w:hAnsi="Arial"/>
                <w:sz w:val="18"/>
                <w:szCs w:val="18"/>
                <w:color w:val="auto"/>
              </w:rPr>
              <w:t>CONCERNING THE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7440" w:type="dxa"/>
            <w:vAlign w:val="bottom"/>
          </w:tcPr>
          <w:p>
            <w:pPr>
              <w:ind w:left="540"/>
              <w:spacing w:after="0"/>
              <w:rPr>
                <w:sz w:val="20"/>
                <w:szCs w:val="20"/>
                <w:color w:val="auto"/>
              </w:rPr>
            </w:pPr>
            <w:r>
              <w:rPr>
                <w:rFonts w:ascii="Arial" w:cs="Arial" w:eastAsia="Arial" w:hAnsi="Arial"/>
                <w:sz w:val="18"/>
                <w:szCs w:val="18"/>
                <w:color w:val="auto"/>
              </w:rPr>
              <w:t>Certain Duties and Responsibilities of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Certain Rights of Trustee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7440" w:type="dxa"/>
            <w:vAlign w:val="bottom"/>
          </w:tcPr>
          <w:p>
            <w:pPr>
              <w:ind w:left="540"/>
              <w:spacing w:after="0"/>
              <w:rPr>
                <w:sz w:val="20"/>
                <w:szCs w:val="20"/>
                <w:color w:val="auto"/>
              </w:rPr>
            </w:pPr>
            <w:r>
              <w:rPr>
                <w:rFonts w:ascii="Arial" w:cs="Arial" w:eastAsia="Arial" w:hAnsi="Arial"/>
                <w:sz w:val="18"/>
                <w:szCs w:val="18"/>
                <w:color w:val="auto"/>
              </w:rPr>
              <w:t>Trustee Not Responsible for Recitals or Issuance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Hold Securities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7.05</w:t>
            </w:r>
          </w:p>
        </w:tc>
        <w:tc>
          <w:tcPr>
            <w:tcW w:w="7440" w:type="dxa"/>
            <w:vAlign w:val="bottom"/>
          </w:tcPr>
          <w:p>
            <w:pPr>
              <w:ind w:left="540"/>
              <w:spacing w:after="0"/>
              <w:rPr>
                <w:sz w:val="20"/>
                <w:szCs w:val="20"/>
                <w:color w:val="auto"/>
              </w:rPr>
            </w:pPr>
            <w:r>
              <w:rPr>
                <w:rFonts w:ascii="Arial" w:cs="Arial" w:eastAsia="Arial" w:hAnsi="Arial"/>
                <w:sz w:val="18"/>
                <w:szCs w:val="18"/>
                <w:color w:val="auto"/>
              </w:rPr>
              <w:t>Moneys Held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and Reimbursement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7.07</w:t>
            </w:r>
          </w:p>
        </w:tc>
        <w:tc>
          <w:tcPr>
            <w:tcW w:w="7440" w:type="dxa"/>
            <w:vAlign w:val="bottom"/>
          </w:tcPr>
          <w:p>
            <w:pPr>
              <w:ind w:left="540"/>
              <w:spacing w:after="0"/>
              <w:rPr>
                <w:sz w:val="20"/>
                <w:szCs w:val="20"/>
                <w:color w:val="auto"/>
              </w:rPr>
            </w:pPr>
            <w:r>
              <w:rPr>
                <w:rFonts w:ascii="Arial" w:cs="Arial" w:eastAsia="Arial" w:hAnsi="Arial"/>
                <w:sz w:val="18"/>
                <w:szCs w:val="18"/>
                <w:color w:val="auto"/>
              </w:rPr>
              <w:t>Reliance on Officers’ Certificate</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7.08</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Disqualification; Conflicting Interests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7.09</w:t>
            </w:r>
          </w:p>
        </w:tc>
        <w:tc>
          <w:tcPr>
            <w:tcW w:w="7440" w:type="dxa"/>
            <w:vAlign w:val="bottom"/>
          </w:tcPr>
          <w:p>
            <w:pPr>
              <w:ind w:left="540"/>
              <w:spacing w:after="0"/>
              <w:rPr>
                <w:sz w:val="20"/>
                <w:szCs w:val="20"/>
                <w:color w:val="auto"/>
              </w:rPr>
            </w:pPr>
            <w:r>
              <w:rPr>
                <w:rFonts w:ascii="Arial" w:cs="Arial" w:eastAsia="Arial" w:hAnsi="Arial"/>
                <w:sz w:val="18"/>
                <w:szCs w:val="18"/>
                <w:color w:val="auto"/>
              </w:rPr>
              <w:t>Corporate Trustee Required; Eligibility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7.10</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Resignation and Removal; Appointment of Successor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7.11</w:t>
            </w:r>
          </w:p>
        </w:tc>
        <w:tc>
          <w:tcPr>
            <w:tcW w:w="7440" w:type="dxa"/>
            <w:vAlign w:val="bottom"/>
          </w:tcPr>
          <w:p>
            <w:pPr>
              <w:ind w:left="540"/>
              <w:spacing w:after="0"/>
              <w:rPr>
                <w:sz w:val="20"/>
                <w:szCs w:val="20"/>
                <w:color w:val="auto"/>
              </w:rPr>
            </w:pPr>
            <w:r>
              <w:rPr>
                <w:rFonts w:ascii="Arial" w:cs="Arial" w:eastAsia="Arial" w:hAnsi="Arial"/>
                <w:sz w:val="18"/>
                <w:szCs w:val="18"/>
                <w:color w:val="auto"/>
              </w:rPr>
              <w:t>Acceptance of Appointment By Successor</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Merger, Conversion, Consolidation or Succession to Business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7.13</w:t>
            </w:r>
          </w:p>
        </w:tc>
        <w:tc>
          <w:tcPr>
            <w:tcW w:w="7440" w:type="dxa"/>
            <w:vAlign w:val="bottom"/>
          </w:tcPr>
          <w:p>
            <w:pPr>
              <w:ind w:left="540"/>
              <w:spacing w:after="0"/>
              <w:rPr>
                <w:sz w:val="20"/>
                <w:szCs w:val="20"/>
                <w:color w:val="auto"/>
              </w:rPr>
            </w:pPr>
            <w:r>
              <w:rPr>
                <w:rFonts w:ascii="Arial" w:cs="Arial" w:eastAsia="Arial" w:hAnsi="Arial"/>
                <w:sz w:val="18"/>
                <w:szCs w:val="18"/>
                <w:color w:val="auto"/>
              </w:rPr>
              <w:t>Preferential Collection of Claims Against the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ARTICLE VIII</w:t>
            </w:r>
          </w:p>
        </w:tc>
        <w:tc>
          <w:tcPr>
            <w:tcW w:w="7440" w:type="dxa"/>
            <w:vAlign w:val="bottom"/>
          </w:tcPr>
          <w:p>
            <w:pPr>
              <w:ind w:left="540"/>
              <w:spacing w:after="0"/>
              <w:rPr>
                <w:sz w:val="20"/>
                <w:szCs w:val="20"/>
                <w:color w:val="auto"/>
              </w:rPr>
            </w:pPr>
            <w:r>
              <w:rPr>
                <w:rFonts w:ascii="Arial" w:cs="Arial" w:eastAsia="Arial" w:hAnsi="Arial"/>
                <w:sz w:val="18"/>
                <w:szCs w:val="18"/>
                <w:color w:val="auto"/>
              </w:rPr>
              <w:t>CONCERNING THE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8.01</w:t>
            </w:r>
          </w:p>
        </w:tc>
        <w:tc>
          <w:tcPr>
            <w:tcW w:w="7440" w:type="dxa"/>
            <w:vAlign w:val="bottom"/>
          </w:tcPr>
          <w:p>
            <w:pPr>
              <w:ind w:left="540"/>
              <w:spacing w:after="0"/>
              <w:rPr>
                <w:sz w:val="20"/>
                <w:szCs w:val="20"/>
                <w:color w:val="auto"/>
              </w:rPr>
            </w:pPr>
            <w:r>
              <w:rPr>
                <w:rFonts w:ascii="Arial" w:cs="Arial" w:eastAsia="Arial" w:hAnsi="Arial"/>
                <w:sz w:val="18"/>
                <w:szCs w:val="18"/>
                <w:color w:val="auto"/>
              </w:rPr>
              <w:t>Evidence of Action by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Proof of Execution by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7440" w:type="dxa"/>
            <w:vAlign w:val="bottom"/>
          </w:tcPr>
          <w:p>
            <w:pPr>
              <w:ind w:left="540"/>
              <w:spacing w:after="0"/>
              <w:rPr>
                <w:sz w:val="20"/>
                <w:szCs w:val="20"/>
                <w:color w:val="auto"/>
              </w:rPr>
            </w:pPr>
            <w:r>
              <w:rPr>
                <w:rFonts w:ascii="Arial" w:cs="Arial" w:eastAsia="Arial" w:hAnsi="Arial"/>
                <w:sz w:val="18"/>
                <w:szCs w:val="18"/>
                <w:color w:val="auto"/>
              </w:rPr>
              <w:t>Who May be Deemed Owners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Certain Securities Owned by Company Disregarded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8.05</w:t>
            </w:r>
          </w:p>
        </w:tc>
        <w:tc>
          <w:tcPr>
            <w:tcW w:w="7440" w:type="dxa"/>
            <w:vAlign w:val="bottom"/>
          </w:tcPr>
          <w:p>
            <w:pPr>
              <w:ind w:left="540"/>
              <w:spacing w:after="0"/>
              <w:rPr>
                <w:sz w:val="20"/>
                <w:szCs w:val="20"/>
                <w:color w:val="auto"/>
              </w:rPr>
            </w:pPr>
            <w:r>
              <w:rPr>
                <w:rFonts w:ascii="Arial" w:cs="Arial" w:eastAsia="Arial" w:hAnsi="Arial"/>
                <w:sz w:val="18"/>
                <w:szCs w:val="18"/>
                <w:color w:val="auto"/>
              </w:rPr>
              <w:t>Actions Binding on Future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Purposes for Which Meetings May Be Called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8.07</w:t>
            </w:r>
          </w:p>
        </w:tc>
        <w:tc>
          <w:tcPr>
            <w:tcW w:w="7440" w:type="dxa"/>
            <w:vAlign w:val="bottom"/>
          </w:tcPr>
          <w:p>
            <w:pPr>
              <w:ind w:left="540"/>
              <w:spacing w:after="0"/>
              <w:rPr>
                <w:sz w:val="20"/>
                <w:szCs w:val="20"/>
                <w:color w:val="auto"/>
              </w:rPr>
            </w:pPr>
            <w:r>
              <w:rPr>
                <w:rFonts w:ascii="Arial" w:cs="Arial" w:eastAsia="Arial" w:hAnsi="Arial"/>
                <w:sz w:val="18"/>
                <w:szCs w:val="18"/>
                <w:color w:val="auto"/>
              </w:rPr>
              <w:t>Call Notice and Place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8.08</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Persons Entitled To Vote at Meetings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8.09</w:t>
            </w:r>
          </w:p>
        </w:tc>
        <w:tc>
          <w:tcPr>
            <w:tcW w:w="7440" w:type="dxa"/>
            <w:vAlign w:val="bottom"/>
          </w:tcPr>
          <w:p>
            <w:pPr>
              <w:ind w:left="540"/>
              <w:spacing w:after="0"/>
              <w:rPr>
                <w:sz w:val="20"/>
                <w:szCs w:val="20"/>
                <w:color w:val="auto"/>
              </w:rPr>
            </w:pPr>
            <w:r>
              <w:rPr>
                <w:rFonts w:ascii="Arial" w:cs="Arial" w:eastAsia="Arial" w:hAnsi="Arial"/>
                <w:sz w:val="18"/>
                <w:szCs w:val="18"/>
                <w:color w:val="auto"/>
              </w:rPr>
              <w:t>Quorum; Action</w:t>
            </w: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8.10</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8.11</w:t>
            </w:r>
          </w:p>
        </w:tc>
        <w:tc>
          <w:tcPr>
            <w:tcW w:w="7440" w:type="dxa"/>
            <w:vAlign w:val="bottom"/>
          </w:tcPr>
          <w:p>
            <w:pPr>
              <w:ind w:left="540"/>
              <w:spacing w:after="0"/>
              <w:rPr>
                <w:sz w:val="20"/>
                <w:szCs w:val="20"/>
                <w:color w:val="auto"/>
              </w:rPr>
            </w:pPr>
            <w:r>
              <w:rPr>
                <w:rFonts w:ascii="Arial" w:cs="Arial" w:eastAsia="Arial" w:hAnsi="Arial"/>
                <w:sz w:val="18"/>
                <w:szCs w:val="18"/>
                <w:color w:val="auto"/>
              </w:rPr>
              <w:t>Counting Votes and Recording Action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2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9.01</w:t>
            </w:r>
          </w:p>
        </w:tc>
        <w:tc>
          <w:tcPr>
            <w:tcW w:w="7440" w:type="dxa"/>
            <w:vAlign w:val="bottom"/>
          </w:tcPr>
          <w:p>
            <w:pPr>
              <w:ind w:left="540"/>
              <w:spacing w:after="0"/>
              <w:rPr>
                <w:sz w:val="20"/>
                <w:szCs w:val="20"/>
                <w:color w:val="auto"/>
              </w:rPr>
            </w:pPr>
            <w:r>
              <w:rPr>
                <w:rFonts w:ascii="Arial" w:cs="Arial" w:eastAsia="Arial" w:hAnsi="Arial"/>
                <w:sz w:val="18"/>
                <w:szCs w:val="18"/>
                <w:color w:val="auto"/>
              </w:rPr>
              <w:t>Supplemental Indentures Without the Consent of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Supplemental Indentures With Consent of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9.03</w:t>
            </w:r>
          </w:p>
        </w:tc>
        <w:tc>
          <w:tcPr>
            <w:tcW w:w="7440" w:type="dxa"/>
            <w:vAlign w:val="bottom"/>
          </w:tcPr>
          <w:p>
            <w:pPr>
              <w:ind w:left="540"/>
              <w:spacing w:after="0"/>
              <w:rPr>
                <w:sz w:val="20"/>
                <w:szCs w:val="20"/>
                <w:color w:val="auto"/>
              </w:rPr>
            </w:pPr>
            <w:r>
              <w:rPr>
                <w:rFonts w:ascii="Arial" w:cs="Arial" w:eastAsia="Arial" w:hAnsi="Arial"/>
                <w:sz w:val="18"/>
                <w:szCs w:val="18"/>
                <w:color w:val="auto"/>
              </w:rPr>
              <w:t>Effect of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Affected by Supplemental Indentures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9.05</w:t>
            </w:r>
          </w:p>
        </w:tc>
        <w:tc>
          <w:tcPr>
            <w:tcW w:w="7440" w:type="dxa"/>
            <w:vAlign w:val="bottom"/>
          </w:tcPr>
          <w:p>
            <w:pPr>
              <w:ind w:left="540"/>
              <w:spacing w:after="0"/>
              <w:rPr>
                <w:sz w:val="20"/>
                <w:szCs w:val="20"/>
                <w:color w:val="auto"/>
              </w:rPr>
            </w:pPr>
            <w:r>
              <w:rPr>
                <w:rFonts w:ascii="Arial" w:cs="Arial" w:eastAsia="Arial" w:hAnsi="Arial"/>
                <w:sz w:val="18"/>
                <w:szCs w:val="18"/>
                <w:color w:val="auto"/>
              </w:rPr>
              <w:t>Execution of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2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ARTICLE X SUCCESSOR ENTITY</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10.01</w:t>
            </w:r>
          </w:p>
        </w:tc>
        <w:tc>
          <w:tcPr>
            <w:tcW w:w="7440" w:type="dxa"/>
            <w:vAlign w:val="bottom"/>
          </w:tcPr>
          <w:p>
            <w:pPr>
              <w:ind w:left="540"/>
              <w:spacing w:after="0"/>
              <w:rPr>
                <w:sz w:val="20"/>
                <w:szCs w:val="20"/>
                <w:color w:val="auto"/>
              </w:rPr>
            </w:pPr>
            <w:r>
              <w:rPr>
                <w:rFonts w:ascii="Arial" w:cs="Arial" w:eastAsia="Arial" w:hAnsi="Arial"/>
                <w:sz w:val="18"/>
                <w:szCs w:val="18"/>
                <w:color w:val="auto"/>
              </w:rPr>
              <w:t>Company May Consolidate, Etc</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Successor Entity Substituted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Evidence of Consolidation, Etc. to Trustee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Satisfaction and Discharge of Indenture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11.02</w:t>
            </w:r>
          </w:p>
        </w:tc>
        <w:tc>
          <w:tcPr>
            <w:tcW w:w="8160" w:type="dxa"/>
            <w:vAlign w:val="bottom"/>
          </w:tcPr>
          <w:p>
            <w:pPr>
              <w:ind w:left="540"/>
              <w:spacing w:after="0"/>
              <w:rPr>
                <w:sz w:val="20"/>
                <w:szCs w:val="20"/>
                <w:color w:val="auto"/>
              </w:rPr>
            </w:pPr>
            <w:r>
              <w:rPr>
                <w:rFonts w:ascii="Arial" w:cs="Arial" w:eastAsia="Arial" w:hAnsi="Arial"/>
                <w:sz w:val="18"/>
                <w:szCs w:val="18"/>
                <w:color w:val="auto"/>
              </w:rPr>
              <w:t>Discharge of Obligations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Deposited Moneys to be Held in Trust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11.04</w:t>
            </w:r>
          </w:p>
        </w:tc>
        <w:tc>
          <w:tcPr>
            <w:tcW w:w="8160" w:type="dxa"/>
            <w:vAlign w:val="bottom"/>
          </w:tcPr>
          <w:p>
            <w:pPr>
              <w:ind w:left="540"/>
              <w:spacing w:after="0"/>
              <w:rPr>
                <w:sz w:val="20"/>
                <w:szCs w:val="20"/>
                <w:color w:val="auto"/>
              </w:rPr>
            </w:pPr>
            <w:r>
              <w:rPr>
                <w:rFonts w:ascii="Arial" w:cs="Arial" w:eastAsia="Arial" w:hAnsi="Arial"/>
                <w:sz w:val="18"/>
                <w:szCs w:val="18"/>
                <w:color w:val="auto"/>
              </w:rPr>
              <w:t>Payment of Moneys Held by Paying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11.05</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Repayment to Company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ARTICLE XII</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IMMUNITY OF INCORPORATORS, STOCKHOLDERS, OFFICERS AND DIRECTORS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 Recourse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MISCELLANEOUS PROVISIONS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Effect on Successors and Assigns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13.02</w:t>
            </w:r>
          </w:p>
        </w:tc>
        <w:tc>
          <w:tcPr>
            <w:tcW w:w="8160" w:type="dxa"/>
            <w:vAlign w:val="bottom"/>
          </w:tcPr>
          <w:p>
            <w:pPr>
              <w:ind w:left="540"/>
              <w:spacing w:after="0"/>
              <w:rPr>
                <w:sz w:val="20"/>
                <w:szCs w:val="20"/>
                <w:color w:val="auto"/>
              </w:rPr>
            </w:pPr>
            <w:r>
              <w:rPr>
                <w:rFonts w:ascii="Arial" w:cs="Arial" w:eastAsia="Arial" w:hAnsi="Arial"/>
                <w:sz w:val="18"/>
                <w:szCs w:val="18"/>
                <w:color w:val="auto"/>
              </w:rPr>
              <w:t>Actions by Successor</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Surrender of Company Powers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13.04</w:t>
            </w:r>
          </w:p>
        </w:tc>
        <w:tc>
          <w:tcPr>
            <w:tcW w:w="8160" w:type="dxa"/>
            <w:vAlign w:val="bottom"/>
          </w:tcPr>
          <w:p>
            <w:pPr>
              <w:ind w:left="540"/>
              <w:spacing w:after="0"/>
              <w:rPr>
                <w:sz w:val="20"/>
                <w:szCs w:val="20"/>
                <w:color w:val="auto"/>
              </w:rPr>
            </w:pPr>
            <w:r>
              <w:rPr>
                <w:rFonts w:ascii="Arial" w:cs="Arial" w:eastAsia="Arial" w:hAnsi="Arial"/>
                <w:sz w:val="18"/>
                <w:szCs w:val="18"/>
                <w:color w:val="auto"/>
              </w:rPr>
              <w:t>Notices</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13.05</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Governing Law</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13.06</w:t>
            </w:r>
          </w:p>
        </w:tc>
        <w:tc>
          <w:tcPr>
            <w:tcW w:w="8160" w:type="dxa"/>
            <w:vAlign w:val="bottom"/>
          </w:tcPr>
          <w:p>
            <w:pPr>
              <w:ind w:left="540"/>
              <w:spacing w:after="0"/>
              <w:rPr>
                <w:sz w:val="20"/>
                <w:szCs w:val="20"/>
                <w:color w:val="auto"/>
              </w:rPr>
            </w:pPr>
            <w:r>
              <w:rPr>
                <w:rFonts w:ascii="Arial" w:cs="Arial" w:eastAsia="Arial" w:hAnsi="Arial"/>
                <w:sz w:val="18"/>
                <w:szCs w:val="18"/>
                <w:color w:val="auto"/>
              </w:rPr>
              <w:t>Treatment of Securities as Debt</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13.07</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Compliance Certificates and Opinions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13.08</w:t>
            </w:r>
          </w:p>
        </w:tc>
        <w:tc>
          <w:tcPr>
            <w:tcW w:w="8160" w:type="dxa"/>
            <w:vAlign w:val="bottom"/>
          </w:tcPr>
          <w:p>
            <w:pPr>
              <w:ind w:left="540"/>
              <w:spacing w:after="0"/>
              <w:rPr>
                <w:sz w:val="20"/>
                <w:szCs w:val="20"/>
                <w:color w:val="auto"/>
              </w:rPr>
            </w:pPr>
            <w:r>
              <w:rPr>
                <w:rFonts w:ascii="Arial" w:cs="Arial" w:eastAsia="Arial" w:hAnsi="Arial"/>
                <w:sz w:val="18"/>
                <w:szCs w:val="18"/>
                <w:color w:val="auto"/>
              </w:rPr>
              <w:t>Payments on Business Days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13.09</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Conflict with Trust Indenture Act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13.10</w:t>
            </w:r>
          </w:p>
        </w:tc>
        <w:tc>
          <w:tcPr>
            <w:tcW w:w="8160" w:type="dxa"/>
            <w:vAlign w:val="bottom"/>
          </w:tcPr>
          <w:p>
            <w:pPr>
              <w:ind w:left="540"/>
              <w:spacing w:after="0"/>
              <w:rPr>
                <w:sz w:val="20"/>
                <w:szCs w:val="20"/>
                <w:color w:val="auto"/>
              </w:rPr>
            </w:pPr>
            <w:r>
              <w:rPr>
                <w:rFonts w:ascii="Arial" w:cs="Arial" w:eastAsia="Arial" w:hAnsi="Arial"/>
                <w:sz w:val="18"/>
                <w:szCs w:val="18"/>
                <w:color w:val="auto"/>
              </w:rPr>
              <w:t>Counterparts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Separability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13.12</w:t>
            </w:r>
          </w:p>
        </w:tc>
        <w:tc>
          <w:tcPr>
            <w:tcW w:w="8160" w:type="dxa"/>
            <w:vAlign w:val="bottom"/>
          </w:tcPr>
          <w:p>
            <w:pPr>
              <w:ind w:left="540"/>
              <w:spacing w:after="0"/>
              <w:rPr>
                <w:sz w:val="20"/>
                <w:szCs w:val="20"/>
                <w:color w:val="auto"/>
              </w:rPr>
            </w:pPr>
            <w:r>
              <w:rPr>
                <w:rFonts w:ascii="Arial" w:cs="Arial" w:eastAsia="Arial" w:hAnsi="Arial"/>
                <w:sz w:val="18"/>
                <w:szCs w:val="18"/>
                <w:color w:val="auto"/>
              </w:rPr>
              <w:t>Assignment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890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2" w:lineRule="exact"/>
        <w:rPr>
          <w:sz w:val="20"/>
          <w:szCs w:val="20"/>
          <w:color w:val="auto"/>
        </w:rPr>
      </w:pPr>
    </w:p>
    <w:p>
      <w:pPr>
        <w:jc w:val="center"/>
        <w:ind w:left="5180" w:right="160" w:hanging="5172"/>
        <w:spacing w:after="0" w:line="778" w:lineRule="auto"/>
        <w:tabs>
          <w:tab w:leader="none" w:pos="47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Table of Contents does not constitute part of the Indenture and shall not have any bearing on the interpretation of any of its terms and provisions. ANNEX III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95" w:name="page196"/>
    <w:bookmarkEnd w:id="195"/>
    <w:p>
      <w:pPr>
        <w:spacing w:after="0" w:line="277" w:lineRule="auto"/>
        <w:rPr>
          <w:sz w:val="20"/>
          <w:szCs w:val="20"/>
          <w:color w:val="auto"/>
        </w:rPr>
      </w:pPr>
      <w:r>
        <w:rPr>
          <w:rFonts w:ascii="Arial" w:cs="Arial" w:eastAsia="Arial" w:hAnsi="Arial"/>
          <w:sz w:val="18"/>
          <w:szCs w:val="18"/>
          <w:color w:val="auto"/>
        </w:rPr>
        <w:t>INDENTURE, dated as of May 4, 2015, by and between Vringo, Inc., a Delaware corporation (the “Company”), and Computershare Trust Company, N.A., as trustee (the “Trustee”):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defined below) or that are by reference in the Trust Indenture Act, or are defined in the Securities Act of 1933, as amended (except as herein otherwise expressly provided or unless the context otherwise requires), shall have the meanings assigned to such terms in said Trust Indenture Act and in said Securities Act of 1933, as amended, as in force at the date of the execution of this instrument.</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“Business Day” means, with respect to any series of Securities, any day other than (i) a Saturday or Sunday or (ii) a day on which Federal or State banking institutions in the Borough of Manhattan, the City and State of New York or in the State in which the Corporate Trust Office may be located from time to time, are authorized or obligated by law, executive order or regulation to close.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“Certificate” means a certificate signed by the principal executive officer, the principal financial officer or the principal accounting officer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96" w:name="page197"/>
    <w:bookmarkEnd w:id="196"/>
    <w:p>
      <w:pPr>
        <w:ind w:right="80"/>
        <w:spacing w:after="0" w:line="259"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8742 Lucent Boulevard, Suite 225, Highlands Ranch, CO 80129, except that whenever a provision herein refers to an office or agency of the Trustee in the Borough of Manhattan, the City and State of New York, such office is located, at the date hereof, at 1290 Avenue of the Americas, 9th Floor, New York, NY 10104.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“Officers’ Certificate” means a certificate signed by the President, Chief Executive Officer or a Vice President and by the Chief Financial Officer, the Treasurer or an Assistant Treasurer or the Controller or an Assistant Controller or the Secretary or an Assistant Secretary of the Company that is delivered to the Trustee in accordance with the terms hereof. An Officers’ Certificate shall include the statements provided for in Section 13.07, if and to the extent required by the provisions thereof.</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counsel and which opinion is acceptable to the Trustee which acceptance shall not be unreasonably withheld.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7" w:name="page198"/>
    <w:bookmarkEnd w:id="197"/>
    <w:p>
      <w:pPr>
        <w:spacing w:after="0" w:line="290"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6"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“Person” means any individual, corporation, limited liability company, partnership, joint-venture, association, joint-stock company, trust, estate, unincorporated organization or government or any agency or political subdivision thereof or any other entity and any successors thereto.</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“Responsible Officer,” when used with respect to the Trustee, means any officer of the Trustee (solely in its capacity as Trustee and solely those officers who are engaged in the corporate trust business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2.05(b).</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and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920" w:hanging="453"/>
        <w:spacing w:after="0" w:line="257" w:lineRule="auto"/>
        <w:tabs>
          <w:tab w:leader="none" w:pos="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500" w:hanging="574"/>
        <w:spacing w:after="0"/>
        <w:tabs>
          <w:tab w:leader="none" w:pos="15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ind w:left="1500" w:right="60" w:hanging="574"/>
        <w:spacing w:after="0" w:line="286" w:lineRule="auto"/>
        <w:tabs>
          <w:tab w:leader="none" w:pos="150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5" w:lineRule="exact"/>
        <w:rPr>
          <w:rFonts w:ascii="Arial" w:cs="Arial" w:eastAsia="Arial" w:hAnsi="Arial"/>
          <w:sz w:val="17"/>
          <w:szCs w:val="17"/>
          <w:color w:val="auto"/>
        </w:rPr>
      </w:pPr>
    </w:p>
    <w:p>
      <w:pPr>
        <w:ind w:left="1500" w:right="140" w:hanging="574"/>
        <w:spacing w:after="0" w:line="277" w:lineRule="auto"/>
        <w:tabs>
          <w:tab w:leader="none" w:pos="15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500" w:hanging="574"/>
        <w:spacing w:after="0"/>
        <w:tabs>
          <w:tab w:leader="none" w:pos="150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jc w:val="both"/>
        <w:ind w:left="1500" w:right="120" w:hanging="574"/>
        <w:spacing w:after="0" w:line="286" w:lineRule="auto"/>
        <w:tabs>
          <w:tab w:leader="none" w:pos="150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500" w:hanging="574"/>
        <w:spacing w:after="0"/>
        <w:tabs>
          <w:tab w:leader="none" w:pos="150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to defer the payment of interest and the duration of such extension;</w:t>
      </w:r>
    </w:p>
    <w:p>
      <w:pPr>
        <w:spacing w:after="0" w:line="236" w:lineRule="exact"/>
        <w:rPr>
          <w:rFonts w:ascii="Arial" w:cs="Arial" w:eastAsia="Arial" w:hAnsi="Arial"/>
          <w:sz w:val="17"/>
          <w:szCs w:val="17"/>
          <w:color w:val="auto"/>
        </w:rPr>
      </w:pPr>
    </w:p>
    <w:p>
      <w:pPr>
        <w:ind w:left="1500" w:right="80" w:hanging="574"/>
        <w:spacing w:after="0" w:line="277" w:lineRule="auto"/>
        <w:tabs>
          <w:tab w:leader="none" w:pos="15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500" w:hanging="574"/>
        <w:spacing w:after="0" w:line="259" w:lineRule="auto"/>
        <w:tabs>
          <w:tab w:leader="none" w:pos="15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99" w:name="page200"/>
    <w:bookmarkEnd w:id="199"/>
    <w:p>
      <w:pPr>
        <w:ind w:left="1500" w:hanging="574"/>
        <w:spacing w:after="0"/>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500" w:hanging="574"/>
        <w:spacing w:after="0"/>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500" w:right="540" w:hanging="574"/>
        <w:spacing w:after="0" w:line="277" w:lineRule="auto"/>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500" w:right="100" w:hanging="574"/>
        <w:spacing w:after="0" w:line="264" w:lineRule="auto"/>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500" w:hanging="574"/>
        <w:spacing w:after="0"/>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500" w:right="500" w:hanging="574"/>
        <w:spacing w:after="0" w:line="342" w:lineRule="auto"/>
        <w:tabs>
          <w:tab w:leader="none" w:pos="15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500" w:right="400" w:hanging="574"/>
        <w:spacing w:after="0" w:line="277" w:lineRule="auto"/>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(but which do not affect the rights, duties or immunities of the Trustee)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spacing w:after="0"/>
        <w:tabs>
          <w:tab w:leader="none" w:pos="17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interest on such Security will be paid upon presentation and surrender of such Security as provided in Section 3.03.</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500" w:right="20" w:hanging="574"/>
        <w:spacing w:after="0" w:line="268" w:lineRule="auto"/>
        <w:tabs>
          <w:tab w:leader="none" w:pos="15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3" w:lineRule="exact"/>
        <w:rPr>
          <w:rFonts w:ascii="Arial" w:cs="Arial" w:eastAsia="Arial" w:hAnsi="Arial"/>
          <w:sz w:val="17"/>
          <w:szCs w:val="17"/>
          <w:color w:val="auto"/>
        </w:rPr>
      </w:pPr>
    </w:p>
    <w:p>
      <w:pPr>
        <w:jc w:val="both"/>
        <w:ind w:left="1500" w:hanging="574"/>
        <w:spacing w:after="0" w:line="259" w:lineRule="auto"/>
        <w:tabs>
          <w:tab w:leader="none" w:pos="15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1" w:name="page202"/>
    <w:bookmarkEnd w:id="201"/>
    <w:p>
      <w:pPr>
        <w:ind w:right="220"/>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920" w:right="120" w:hanging="453"/>
        <w:spacing w:after="0" w:line="293" w:lineRule="auto"/>
        <w:tabs>
          <w:tab w:leader="none" w:pos="9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on receipt of a written order (in accordance with Section 2.04 above)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2" w:name="page203"/>
    <w:bookmarkEnd w:id="202"/>
    <w:p>
      <w:pPr>
        <w:ind w:left="920" w:right="40" w:hanging="453"/>
        <w:spacing w:after="0" w:line="297" w:lineRule="auto"/>
        <w:tabs>
          <w:tab w:leader="none" w:pos="92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5" w:lineRule="exact"/>
        <w:rPr>
          <w:rFonts w:ascii="Arial" w:cs="Arial" w:eastAsia="Arial" w:hAnsi="Arial"/>
          <w:sz w:val="16"/>
          <w:szCs w:val="16"/>
          <w:color w:val="auto"/>
        </w:rPr>
      </w:pPr>
    </w:p>
    <w:p>
      <w:pPr>
        <w:jc w:val="both"/>
        <w:ind w:left="920"/>
        <w:spacing w:after="0" w:line="264" w:lineRule="auto"/>
        <w:rPr>
          <w:rFonts w:ascii="Arial" w:cs="Arial" w:eastAsia="Arial" w:hAnsi="Arial"/>
          <w:sz w:val="16"/>
          <w:szCs w:val="16"/>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208" w:lineRule="exact"/>
        <w:rPr>
          <w:rFonts w:ascii="Arial" w:cs="Arial" w:eastAsia="Arial" w:hAnsi="Arial"/>
          <w:sz w:val="16"/>
          <w:szCs w:val="16"/>
          <w:color w:val="auto"/>
        </w:rPr>
      </w:pPr>
    </w:p>
    <w:p>
      <w:pPr>
        <w:jc w:val="both"/>
        <w:ind w:left="920"/>
        <w:spacing w:after="0" w:line="259" w:lineRule="auto"/>
        <w:rPr>
          <w:rFonts w:ascii="Arial" w:cs="Arial" w:eastAsia="Arial" w:hAnsi="Arial"/>
          <w:sz w:val="16"/>
          <w:szCs w:val="16"/>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(including any signature guarantees, if required), duly executed by the registered holder or by such holder’s duly authorized attorney in writing.</w:t>
      </w:r>
    </w:p>
    <w:p>
      <w:pPr>
        <w:spacing w:after="0" w:line="186" w:lineRule="exact"/>
        <w:rPr>
          <w:rFonts w:ascii="Arial" w:cs="Arial" w:eastAsia="Arial" w:hAnsi="Arial"/>
          <w:sz w:val="16"/>
          <w:szCs w:val="16"/>
          <w:color w:val="auto"/>
        </w:rPr>
      </w:pPr>
    </w:p>
    <w:p>
      <w:pPr>
        <w:ind w:left="920" w:right="40" w:hanging="453"/>
        <w:spacing w:after="0" w:line="286" w:lineRule="auto"/>
        <w:tabs>
          <w:tab w:leader="none" w:pos="92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65" w:lineRule="exact"/>
        <w:rPr>
          <w:rFonts w:ascii="Arial" w:cs="Arial" w:eastAsia="Arial" w:hAnsi="Arial"/>
          <w:sz w:val="17"/>
          <w:szCs w:val="17"/>
          <w:color w:val="auto"/>
        </w:rPr>
      </w:pPr>
    </w:p>
    <w:p>
      <w:pPr>
        <w:ind w:left="920" w:right="80" w:hanging="453"/>
        <w:spacing w:after="0" w:line="302" w:lineRule="auto"/>
        <w:tabs>
          <w:tab w:leader="none" w:pos="92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on receipt of a written order (in accordance with Section 2.04 above)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spacing w:after="0"/>
        <w:tabs>
          <w:tab w:leader="none" w:pos="17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case any temporary or definitive Security shall become mutilated or be destroyed, lost or stolen, the Company (subject to the next succeeding sentence) shall execute, and upon the Company’s request the Trustee (subject as aforesaid and upon receipt of a written order (in accordance with Section 2.04 above))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Person that has a combined capital and surplus, as most recently reported or determined by it, sufficient under the laws of any jurisdiction under which it is organized or in which it is doing business to conduct a corporate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4" w:name="page205"/>
    <w:bookmarkEnd w:id="204"/>
    <w:p>
      <w:pPr>
        <w:ind w:right="260"/>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920" w:right="100" w:hanging="453"/>
        <w:spacing w:after="0" w:line="291" w:lineRule="auto"/>
        <w:tabs>
          <w:tab w:leader="none" w:pos="92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w:t>
      </w:r>
    </w:p>
    <w:p>
      <w:pPr>
        <w:ind w:left="920" w:right="100"/>
        <w:spacing w:after="0" w:line="292" w:lineRule="auto"/>
        <w:rPr>
          <w:rFonts w:ascii="Arial" w:cs="Arial" w:eastAsia="Arial" w:hAnsi="Arial"/>
          <w:sz w:val="16"/>
          <w:szCs w:val="16"/>
          <w:color w:val="auto"/>
        </w:rPr>
      </w:pPr>
      <w:r>
        <w:rPr>
          <w:rFonts w:ascii="Arial" w:cs="Arial" w:eastAsia="Arial" w:hAnsi="Arial"/>
          <w:sz w:val="16"/>
          <w:szCs w:val="16"/>
          <w:color w:val="auto"/>
        </w:rPr>
        <w:t>(i)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as well as any other legend required by the Depositary.</w:t>
      </w:r>
    </w:p>
    <w:p>
      <w:pPr>
        <w:spacing w:after="0" w:line="162" w:lineRule="exact"/>
        <w:rPr>
          <w:rFonts w:ascii="Arial" w:cs="Arial" w:eastAsia="Arial" w:hAnsi="Arial"/>
          <w:sz w:val="16"/>
          <w:szCs w:val="16"/>
          <w:color w:val="auto"/>
        </w:rPr>
      </w:pPr>
    </w:p>
    <w:p>
      <w:pPr>
        <w:ind w:left="920" w:right="300" w:hanging="453"/>
        <w:spacing w:after="0" w:line="264" w:lineRule="auto"/>
        <w:tabs>
          <w:tab w:leader="none" w:pos="9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920" w:right="160" w:hanging="453"/>
        <w:spacing w:after="0" w:line="285" w:lineRule="auto"/>
        <w:tabs>
          <w:tab w:leader="none" w:pos="92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upon receipt of a written order (in accordance with Section</w:t>
      </w:r>
    </w:p>
    <w:p>
      <w:pPr>
        <w:spacing w:after="0" w:line="2" w:lineRule="exact"/>
        <w:rPr>
          <w:rFonts w:ascii="Arial" w:cs="Arial" w:eastAsia="Arial" w:hAnsi="Arial"/>
          <w:sz w:val="16"/>
          <w:szCs w:val="16"/>
          <w:color w:val="auto"/>
        </w:rPr>
      </w:pPr>
    </w:p>
    <w:p>
      <w:pPr>
        <w:ind w:left="920"/>
        <w:spacing w:after="0" w:line="285" w:lineRule="auto"/>
        <w:rPr>
          <w:rFonts w:ascii="Arial" w:cs="Arial" w:eastAsia="Arial" w:hAnsi="Arial"/>
          <w:sz w:val="16"/>
          <w:szCs w:val="16"/>
          <w:color w:val="auto"/>
        </w:rPr>
      </w:pPr>
      <w:r>
        <w:rPr>
          <w:rFonts w:ascii="Arial" w:cs="Arial" w:eastAsia="Arial" w:hAnsi="Arial"/>
          <w:sz w:val="16"/>
          <w:szCs w:val="16"/>
          <w:color w:val="auto"/>
        </w:rPr>
        <w:t>2.04 above)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and the written order (in accordance with Section 2.04 above),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 SINKING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FUND PROVISIONS</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920" w:hanging="453"/>
        <w:spacing w:after="0" w:line="288" w:lineRule="auto"/>
        <w:tabs>
          <w:tab w:leader="none" w:pos="92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the right reserved so to do, the Company shall, or shall cause the Trustee (if given the form of notice)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such notice of redemption shall be prepared by the Company and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920" w:hanging="453"/>
        <w:spacing w:after="0" w:line="289" w:lineRule="auto"/>
        <w:tabs>
          <w:tab w:leader="none" w:pos="9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6" w:name="page207"/>
    <w:bookmarkEnd w:id="206"/>
    <w:p>
      <w:pPr>
        <w:ind w:left="920" w:right="40"/>
        <w:spacing w:after="0" w:line="257" w:lineRule="auto"/>
        <w:rPr>
          <w:sz w:val="20"/>
          <w:szCs w:val="20"/>
          <w:color w:val="auto"/>
        </w:rPr>
      </w:pPr>
      <w:r>
        <w:rPr>
          <w:rFonts w:ascii="Arial" w:cs="Arial" w:eastAsia="Arial" w:hAnsi="Arial"/>
          <w:sz w:val="18"/>
          <w:szCs w:val="18"/>
          <w:color w:val="auto"/>
        </w:rPr>
        <w:t>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Neither the Trustee nor any paying agent shall have any obligation to deliver any notice of redemption hereunder if they have not received from the Company the form of notice to be delivered.</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920" w:right="40" w:hanging="453"/>
        <w:spacing w:after="0" w:line="253" w:lineRule="auto"/>
        <w:tabs>
          <w:tab w:leader="none" w:pos="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7" w:lineRule="exact"/>
        <w:rPr>
          <w:rFonts w:ascii="Arial" w:cs="Arial" w:eastAsia="Arial" w:hAnsi="Arial"/>
          <w:sz w:val="18"/>
          <w:szCs w:val="18"/>
          <w:color w:val="auto"/>
        </w:rPr>
      </w:pPr>
    </w:p>
    <w:p>
      <w:pPr>
        <w:ind w:left="920" w:right="120" w:hanging="453"/>
        <w:spacing w:after="0" w:line="259" w:lineRule="auto"/>
        <w:tabs>
          <w:tab w:leader="none" w:pos="9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Upon presentation of any Security of such series that is to be redeemed in part only, the Company shall execute and the Trustee on receipt of a written order (in accordance with Section 2.04 above)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ind w:left="920" w:right="280" w:hanging="453"/>
        <w:spacing w:after="0" w:line="264" w:lineRule="auto"/>
        <w:tabs>
          <w:tab w:leader="none" w:pos="9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jc w:val="both"/>
        <w:ind w:left="1500" w:right="80" w:hanging="574"/>
        <w:spacing w:after="0" w:line="264" w:lineRule="auto"/>
        <w:tabs>
          <w:tab w:leader="none" w:pos="15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500" w:right="40" w:hanging="574"/>
        <w:spacing w:after="0" w:line="308" w:lineRule="auto"/>
        <w:tabs>
          <w:tab w:leader="none" w:pos="15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500" w:right="40" w:hanging="574"/>
        <w:spacing w:after="0" w:line="277" w:lineRule="auto"/>
        <w:tabs>
          <w:tab w:leader="none" w:pos="15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8" w:name="page209"/>
    <w:bookmarkEnd w:id="208"/>
    <w:p>
      <w:pPr>
        <w:ind w:left="920" w:right="100" w:hanging="453"/>
        <w:spacing w:after="0" w:line="270" w:lineRule="auto"/>
        <w:tabs>
          <w:tab w:leader="none" w:pos="9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920" w:hanging="453"/>
        <w:spacing w:after="0" w:line="255" w:lineRule="auto"/>
        <w:tabs>
          <w:tab w:leader="none" w:pos="9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SECURITYHOLDERS’ LISTS AND REPORTS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 COMPANY AND THE TRUSTEE</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920" w:right="160" w:hanging="453"/>
        <w:spacing w:after="0" w:line="259" w:lineRule="auto"/>
        <w:tabs>
          <w:tab w:leader="none" w:pos="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9" w:name="page210"/>
    <w:bookmarkEnd w:id="209"/>
    <w:p>
      <w:pPr>
        <w:ind w:left="920" w:hanging="453"/>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920" w:hanging="453"/>
        <w:spacing w:after="0" w:line="270" w:lineRule="auto"/>
        <w:tabs>
          <w:tab w:leader="none" w:pos="9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920" w:right="60" w:hanging="453"/>
        <w:spacing w:after="0" w:line="286" w:lineRule="auto"/>
        <w:tabs>
          <w:tab w:leader="none" w:pos="92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920" w:right="40" w:hanging="453"/>
        <w:spacing w:after="0" w:line="288" w:lineRule="auto"/>
        <w:tabs>
          <w:tab w:leader="none" w:pos="9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92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920" w:right="40" w:hanging="453"/>
        <w:spacing w:after="0" w:line="264" w:lineRule="auto"/>
        <w:tabs>
          <w:tab w:leader="none" w:pos="9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1" w:lineRule="exact"/>
        <w:rPr>
          <w:rFonts w:ascii="Arial" w:cs="Arial" w:eastAsia="Arial" w:hAnsi="Arial"/>
          <w:sz w:val="18"/>
          <w:szCs w:val="18"/>
          <w:color w:val="auto"/>
        </w:rPr>
      </w:pPr>
    </w:p>
    <w:p>
      <w:pPr>
        <w:ind w:left="920" w:right="40" w:hanging="453"/>
        <w:spacing w:after="0" w:line="286" w:lineRule="auto"/>
        <w:tabs>
          <w:tab w:leader="none" w:pos="92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EVENT OF DEFAULT</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920" w:right="40" w:hanging="453"/>
        <w:spacing w:after="0" w:line="277" w:lineRule="auto"/>
        <w:tabs>
          <w:tab w:leader="none" w:pos="9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500" w:right="40" w:hanging="574"/>
        <w:spacing w:after="0" w:line="259" w:lineRule="auto"/>
        <w:tabs>
          <w:tab w:leader="none" w:pos="15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500" w:right="20" w:hanging="574"/>
        <w:spacing w:after="0" w:line="257" w:lineRule="auto"/>
        <w:tabs>
          <w:tab w:leader="none" w:pos="15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8" w:lineRule="exact"/>
        <w:rPr>
          <w:rFonts w:ascii="Arial" w:cs="Arial" w:eastAsia="Arial" w:hAnsi="Arial"/>
          <w:sz w:val="18"/>
          <w:szCs w:val="18"/>
          <w:color w:val="auto"/>
        </w:rPr>
      </w:pPr>
    </w:p>
    <w:p>
      <w:pPr>
        <w:ind w:left="1500" w:hanging="574"/>
        <w:spacing w:after="0" w:line="269" w:lineRule="auto"/>
        <w:tabs>
          <w:tab w:leader="none" w:pos="150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 (4)the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(5)a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79" w:lineRule="exact"/>
        <w:rPr>
          <w:rFonts w:ascii="Arial" w:cs="Arial" w:eastAsia="Arial" w:hAnsi="Arial"/>
          <w:sz w:val="17"/>
          <w:szCs w:val="17"/>
          <w:color w:val="auto"/>
        </w:rPr>
      </w:pPr>
    </w:p>
    <w:p>
      <w:pPr>
        <w:ind w:left="920" w:right="80" w:hanging="453"/>
        <w:spacing w:after="0" w:line="273" w:lineRule="auto"/>
        <w:tabs>
          <w:tab w:leader="none" w:pos="92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hall become and shall be immediately due and payable.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1" w:name="page212"/>
    <w:bookmarkEnd w:id="211"/>
    <w:p>
      <w:pPr>
        <w:ind w:left="920" w:right="60" w:hanging="453"/>
        <w:spacing w:after="0" w:line="285" w:lineRule="auto"/>
        <w:tabs>
          <w:tab w:leader="none" w:pos="9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w:t>
      </w:r>
    </w:p>
    <w:p>
      <w:pPr>
        <w:spacing w:after="0" w:line="2" w:lineRule="exact"/>
        <w:rPr>
          <w:rFonts w:ascii="Arial" w:cs="Arial" w:eastAsia="Arial" w:hAnsi="Arial"/>
          <w:sz w:val="16"/>
          <w:szCs w:val="16"/>
          <w:color w:val="auto"/>
        </w:rPr>
      </w:pPr>
    </w:p>
    <w:p>
      <w:pPr>
        <w:ind w:left="920"/>
        <w:spacing w:after="0" w:line="270" w:lineRule="auto"/>
        <w:rPr>
          <w:rFonts w:ascii="Arial" w:cs="Arial" w:eastAsia="Arial" w:hAnsi="Arial"/>
          <w:sz w:val="16"/>
          <w:szCs w:val="16"/>
          <w:color w:val="auto"/>
        </w:rPr>
      </w:pPr>
      <w:r>
        <w:rPr>
          <w:rFonts w:ascii="Arial" w:cs="Arial" w:eastAsia="Arial" w:hAnsi="Arial"/>
          <w:sz w:val="17"/>
          <w:szCs w:val="17"/>
          <w:color w:val="auto"/>
        </w:rPr>
        <w:t>(i)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78" w:lineRule="exact"/>
        <w:rPr>
          <w:rFonts w:ascii="Arial" w:cs="Arial" w:eastAsia="Arial" w:hAnsi="Arial"/>
          <w:sz w:val="16"/>
          <w:szCs w:val="16"/>
          <w:color w:val="auto"/>
        </w:rPr>
      </w:pPr>
    </w:p>
    <w:p>
      <w:pPr>
        <w:ind w:left="920" w:right="200" w:hanging="453"/>
        <w:spacing w:after="0" w:line="257" w:lineRule="auto"/>
        <w:tabs>
          <w:tab w:leader="none" w:pos="9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920" w:right="20" w:hanging="453"/>
        <w:spacing w:after="0" w:line="270" w:lineRule="auto"/>
        <w:tabs>
          <w:tab w:leader="none" w:pos="9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920" w:right="40" w:hanging="453"/>
        <w:spacing w:after="0" w:line="276" w:lineRule="auto"/>
        <w:tabs>
          <w:tab w:leader="none" w:pos="9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920" w:right="40" w:hanging="453"/>
        <w:spacing w:after="0" w:line="270" w:lineRule="auto"/>
        <w:tabs>
          <w:tab w:leader="none" w:pos="92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2" w:name="page213"/>
    <w:bookmarkEnd w:id="212"/>
    <w:p>
      <w:pPr>
        <w:ind w:left="920" w:right="80" w:hanging="453"/>
        <w:spacing w:after="0" w:line="257" w:lineRule="auto"/>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 and</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13" w:name="page214"/>
    <w:bookmarkEnd w:id="213"/>
    <w:p>
      <w:pPr>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920" w:right="80" w:hanging="453"/>
        <w:spacing w:after="0" w:line="259" w:lineRule="auto"/>
        <w:tabs>
          <w:tab w:leader="none" w:pos="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920" w:right="40" w:hanging="453"/>
        <w:spacing w:after="0" w:line="302" w:lineRule="auto"/>
        <w:tabs>
          <w:tab w:leader="none" w:pos="9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Securityholders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4" w:name="page215"/>
    <w:bookmarkEnd w:id="214"/>
    <w:p>
      <w:pPr>
        <w:ind w:right="20"/>
        <w:spacing w:after="0" w:line="272" w:lineRule="auto"/>
        <w:rPr>
          <w:sz w:val="20"/>
          <w:szCs w:val="20"/>
          <w:color w:val="auto"/>
        </w:rPr>
      </w:pPr>
      <w:r>
        <w:rPr>
          <w:rFonts w:ascii="Arial" w:cs="Arial" w:eastAsia="Arial" w:hAnsi="Arial"/>
          <w:sz w:val="17"/>
          <w:szCs w:val="17"/>
          <w:color w:val="auto"/>
        </w:rPr>
        <w:t>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920" w:right="80" w:hanging="453"/>
        <w:spacing w:after="0" w:line="293" w:lineRule="auto"/>
        <w:tabs>
          <w:tab w:leader="none" w:pos="9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920" w:hanging="453"/>
        <w:spacing w:after="0" w:line="277" w:lineRule="auto"/>
        <w:tabs>
          <w:tab w:leader="none" w:pos="9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500" w:right="80" w:hanging="574"/>
        <w:spacing w:after="0" w:line="277" w:lineRule="auto"/>
        <w:tabs>
          <w:tab w:leader="none" w:pos="15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960" w:right="120" w:hanging="466"/>
        <w:spacing w:after="0" w:line="259" w:lineRule="auto"/>
        <w:tabs>
          <w:tab w:leader="none" w:pos="196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III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15" w:name="page216"/>
    <w:bookmarkEnd w:id="215"/>
    <w:p>
      <w:pPr>
        <w:ind w:left="1960" w:hanging="466"/>
        <w:spacing w:after="0" w:line="276" w:lineRule="auto"/>
        <w:tabs>
          <w:tab w:leader="none" w:pos="19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500" w:right="480" w:hanging="574"/>
        <w:spacing w:after="0" w:line="277" w:lineRule="auto"/>
        <w:tabs>
          <w:tab w:leader="none" w:pos="15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500" w:right="80" w:hanging="574"/>
        <w:spacing w:after="0" w:line="279" w:lineRule="auto"/>
        <w:tabs>
          <w:tab w:leader="none" w:pos="15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1" w:lineRule="exact"/>
        <w:rPr>
          <w:rFonts w:ascii="Arial" w:cs="Arial" w:eastAsia="Arial" w:hAnsi="Arial"/>
          <w:sz w:val="17"/>
          <w:szCs w:val="17"/>
          <w:color w:val="auto"/>
        </w:rPr>
      </w:pPr>
    </w:p>
    <w:p>
      <w:pPr>
        <w:ind w:left="1500" w:right="100" w:hanging="574"/>
        <w:spacing w:after="0" w:line="259" w:lineRule="auto"/>
        <w:tabs>
          <w:tab w:leader="none" w:pos="15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left="920" w:right="180" w:hanging="453"/>
        <w:spacing w:after="0" w:line="264" w:lineRule="auto"/>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920" w:right="480" w:hanging="453"/>
        <w:spacing w:after="0" w:line="312" w:lineRule="auto"/>
        <w:tabs>
          <w:tab w:leader="none" w:pos="9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46" w:lineRule="exact"/>
        <w:rPr>
          <w:rFonts w:ascii="Arial" w:cs="Arial" w:eastAsia="Arial" w:hAnsi="Arial"/>
          <w:sz w:val="16"/>
          <w:szCs w:val="16"/>
          <w:color w:val="auto"/>
        </w:rPr>
      </w:pPr>
    </w:p>
    <w:p>
      <w:pPr>
        <w:ind w:left="920" w:right="80" w:hanging="453"/>
        <w:spacing w:after="0" w:line="277" w:lineRule="auto"/>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920" w:right="60" w:hanging="453"/>
        <w:spacing w:after="0" w:line="293" w:lineRule="auto"/>
        <w:tabs>
          <w:tab w:leader="none" w:pos="92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6" w:name="page217"/>
    <w:bookmarkEnd w:id="216"/>
    <w:p>
      <w:pPr>
        <w:ind w:left="920" w:right="340" w:hanging="453"/>
        <w:spacing w:after="0" w:line="277" w:lineRule="auto"/>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920" w:hanging="453"/>
        <w:spacing w:after="0" w:line="271" w:lineRule="auto"/>
        <w:tabs>
          <w:tab w:leader="none" w:pos="9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78" w:lineRule="exact"/>
        <w:rPr>
          <w:rFonts w:ascii="Arial" w:cs="Arial" w:eastAsia="Arial" w:hAnsi="Arial"/>
          <w:sz w:val="17"/>
          <w:szCs w:val="17"/>
          <w:color w:val="auto"/>
        </w:rPr>
      </w:pPr>
    </w:p>
    <w:p>
      <w:pPr>
        <w:ind w:left="920" w:right="100" w:hanging="453"/>
        <w:spacing w:after="0" w:line="264" w:lineRule="auto"/>
        <w:tabs>
          <w:tab w:leader="none" w:pos="9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920" w:right="20" w:hanging="453"/>
        <w:spacing w:after="0" w:line="277" w:lineRule="auto"/>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920" w:right="120" w:hanging="453"/>
        <w:spacing w:after="0" w:line="286" w:lineRule="auto"/>
        <w:tabs>
          <w:tab w:leader="none" w:pos="9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920" w:hanging="453"/>
        <w:spacing w:after="0" w:line="269" w:lineRule="auto"/>
        <w:tabs>
          <w:tab w:leader="none" w:pos="9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or liability in connection with the exercise or performance of any of its power or duties hereunder.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17" w:name="page218"/>
    <w:bookmarkEnd w:id="217"/>
    <w:p>
      <w:pPr>
        <w:ind w:left="920" w:right="80" w:hanging="453"/>
        <w:spacing w:after="0" w:line="259" w:lineRule="auto"/>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Person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(together with its affiliates) a combined capital and surplus of at least 50 million U.S. dollars ($50,000,000), and subject to supervision or examination by Federal, State, Territorial, or District of Columbia authority. If such Person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920" w:right="20" w:hanging="453"/>
        <w:spacing w:after="0" w:line="270" w:lineRule="auto"/>
        <w:tabs>
          <w:tab w:leader="none" w:pos="92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8" w:name="page219"/>
    <w:bookmarkEnd w:id="218"/>
    <w:p>
      <w:pPr>
        <w:ind w:left="920" w:hanging="453"/>
        <w:spacing w:after="0"/>
        <w:tabs>
          <w:tab w:leader="none" w:pos="9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500" w:right="1020" w:hanging="574"/>
        <w:spacing w:after="0" w:line="308" w:lineRule="auto"/>
        <w:tabs>
          <w:tab w:leader="none" w:pos="150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46" w:lineRule="exact"/>
        <w:rPr>
          <w:rFonts w:ascii="Arial" w:cs="Arial" w:eastAsia="Arial" w:hAnsi="Arial"/>
          <w:sz w:val="17"/>
          <w:szCs w:val="17"/>
          <w:color w:val="auto"/>
        </w:rPr>
      </w:pPr>
    </w:p>
    <w:p>
      <w:pPr>
        <w:ind w:left="1500" w:right="540" w:hanging="574"/>
        <w:spacing w:after="0" w:line="277" w:lineRule="auto"/>
        <w:tabs>
          <w:tab w:leader="none" w:pos="150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500" w:right="40" w:hanging="574"/>
        <w:spacing w:after="0" w:line="289" w:lineRule="auto"/>
        <w:tabs>
          <w:tab w:leader="none" w:pos="150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Arial" w:cs="Arial" w:eastAsia="Arial" w:hAnsi="Arial"/>
          <w:sz w:val="16"/>
          <w:szCs w:val="16"/>
          <w:color w:val="auto"/>
        </w:rPr>
      </w:pPr>
    </w:p>
    <w:p>
      <w:pPr>
        <w:ind w:left="920" w:right="300" w:hanging="453"/>
        <w:spacing w:after="0" w:line="264" w:lineRule="auto"/>
        <w:tabs>
          <w:tab w:leader="none" w:pos="9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920" w:right="80" w:hanging="453"/>
        <w:spacing w:after="0" w:line="342" w:lineRule="auto"/>
        <w:tabs>
          <w:tab w:leader="none" w:pos="92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920" w:right="380" w:hanging="453"/>
        <w:spacing w:after="0" w:line="308" w:lineRule="auto"/>
        <w:tabs>
          <w:tab w:leader="none" w:pos="92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920" w:hanging="453"/>
        <w:spacing w:after="0" w:line="255" w:lineRule="auto"/>
        <w:tabs>
          <w:tab w:leader="none" w:pos="9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19" w:name="page220"/>
    <w:bookmarkEnd w:id="219"/>
    <w:p>
      <w:pPr>
        <w:ind w:left="920" w:hanging="453"/>
        <w:spacing w:after="0" w:line="285" w:lineRule="auto"/>
        <w:tabs>
          <w:tab w:leader="none" w:pos="9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0" w:lineRule="exact"/>
        <w:rPr>
          <w:rFonts w:ascii="Arial" w:cs="Arial" w:eastAsia="Arial" w:hAnsi="Arial"/>
          <w:sz w:val="16"/>
          <w:szCs w:val="16"/>
          <w:color w:val="auto"/>
        </w:rPr>
      </w:pPr>
    </w:p>
    <w:p>
      <w:pPr>
        <w:ind w:left="920" w:right="440" w:hanging="453"/>
        <w:spacing w:after="0" w:line="342" w:lineRule="auto"/>
        <w:tabs>
          <w:tab w:leader="none" w:pos="9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920" w:right="440" w:hanging="453"/>
        <w:spacing w:after="0" w:line="277" w:lineRule="auto"/>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920" w:right="140" w:hanging="453"/>
        <w:spacing w:after="0" w:line="259" w:lineRule="auto"/>
        <w:tabs>
          <w:tab w:leader="none" w:pos="9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Person into which the Trustee may be merged or converted or with which it may be consolidated, or any Person resulting from any merger, conversion or consolidation to which the Trustee shall be a party, or any Person succeeding to the corporate trust business of the Trustee, shall be the successor of the Trustee hereunder, provided that such Person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0" w:name="page221"/>
    <w:bookmarkEnd w:id="220"/>
    <w:p>
      <w:pPr>
        <w:spacing w:after="0"/>
        <w:tabs>
          <w:tab w:leader="none" w:pos="170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920" w:hanging="453"/>
        <w:spacing w:after="0"/>
        <w:tabs>
          <w:tab w:leader="none" w:pos="92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920" w:hanging="453"/>
        <w:spacing w:after="0"/>
        <w:tabs>
          <w:tab w:leader="none" w:pos="9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920" w:hanging="453"/>
        <w:spacing w:after="0"/>
        <w:tabs>
          <w:tab w:leader="none" w:pos="9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1" w:name="page222"/>
    <w:bookmarkEnd w:id="221"/>
    <w:p>
      <w:pPr>
        <w:spacing w:after="0"/>
        <w:tabs>
          <w:tab w:leader="none" w:pos="17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920" w:right="220" w:hanging="453"/>
        <w:spacing w:after="0" w:line="255" w:lineRule="auto"/>
        <w:tabs>
          <w:tab w:leader="none" w:pos="9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2" w:name="page223"/>
    <w:bookmarkEnd w:id="222"/>
    <w:p>
      <w:pPr>
        <w:ind w:left="920" w:right="20" w:hanging="453"/>
        <w:spacing w:after="0" w:line="291" w:lineRule="auto"/>
        <w:tabs>
          <w:tab w:leader="none" w:pos="9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w:t>
      </w:r>
    </w:p>
    <w:p>
      <w:pPr>
        <w:ind w:left="920" w:right="120"/>
        <w:spacing w:after="0" w:line="271" w:lineRule="auto"/>
        <w:rPr>
          <w:rFonts w:ascii="Arial" w:cs="Arial" w:eastAsia="Arial" w:hAnsi="Arial"/>
          <w:sz w:val="16"/>
          <w:szCs w:val="16"/>
          <w:color w:val="auto"/>
        </w:rPr>
      </w:pPr>
      <w:r>
        <w:rPr>
          <w:rFonts w:ascii="Arial" w:cs="Arial" w:eastAsia="Arial" w:hAnsi="Arial"/>
          <w:sz w:val="17"/>
          <w:szCs w:val="17"/>
          <w:color w:val="auto"/>
        </w:rPr>
        <w:t>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color w:val="auto"/>
        </w:rPr>
        <w:t>Quorum; Action.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920" w:right="20" w:hanging="453"/>
        <w:spacing w:after="0" w:line="259" w:lineRule="auto"/>
        <w:tabs>
          <w:tab w:leader="none" w:pos="9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3" w:name="page224"/>
    <w:bookmarkEnd w:id="223"/>
    <w:p>
      <w:pPr>
        <w:ind w:left="920" w:hanging="453"/>
        <w:spacing w:after="0" w:line="257" w:lineRule="auto"/>
        <w:tabs>
          <w:tab w:leader="none" w:pos="9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920" w:right="100" w:hanging="453"/>
        <w:spacing w:after="0" w:line="279" w:lineRule="auto"/>
        <w:tabs>
          <w:tab w:leader="none" w:pos="9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920" w:right="280" w:hanging="453"/>
        <w:spacing w:after="0" w:line="286" w:lineRule="auto"/>
        <w:tabs>
          <w:tab w:leader="none" w:pos="9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920" w:hanging="453"/>
        <w:spacing w:after="0" w:line="286" w:lineRule="auto"/>
        <w:tabs>
          <w:tab w:leader="none" w:pos="9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4" w:name="page225"/>
    <w:bookmarkEnd w:id="224"/>
    <w:p>
      <w:pPr>
        <w:ind w:left="920" w:hanging="453"/>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920" w:right="280" w:hanging="453"/>
        <w:spacing w:after="0" w:line="264" w:lineRule="auto"/>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920" w:right="20" w:hanging="453"/>
        <w:spacing w:after="0" w:line="264" w:lineRule="auto"/>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920" w:hanging="453"/>
        <w:spacing w:after="0"/>
        <w:tabs>
          <w:tab w:leader="none" w:pos="9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comply with the requirements of the Commission in order to effect or maintain the qualification of this Indenture under the Trust Indenture Act.</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III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25" w:name="page226"/>
    <w:bookmarkEnd w:id="225"/>
    <w:p>
      <w:pPr>
        <w:ind w:right="2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6" w:name="page227"/>
    <w:bookmarkEnd w:id="226"/>
    <w:p>
      <w:pPr>
        <w:spacing w:after="0"/>
        <w:tabs>
          <w:tab w:leader="none" w:pos="17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920" w:right="20" w:hanging="453"/>
        <w:spacing w:after="0" w:line="255" w:lineRule="auto"/>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920" w:right="500" w:hanging="453"/>
        <w:spacing w:after="0" w:line="277" w:lineRule="auto"/>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920" w:right="60" w:hanging="453"/>
        <w:spacing w:after="0" w:line="264" w:lineRule="auto"/>
        <w:tabs>
          <w:tab w:leader="none" w:pos="9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Trustee, subject to the provisions of Section 7.01, may request and, in which shall receive, an Opinion of Counsel as conclusive evidence that any such consolidation, merger, sale, conveyance, transfer or other disposition, and any such assumption, comply with the provisions of this Article.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(without reinvestment)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7" w:name="page228"/>
    <w:bookmarkEnd w:id="227"/>
    <w:p>
      <w:pPr>
        <w:spacing w:after="0"/>
        <w:tabs>
          <w:tab w:leader="none" w:pos="170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w:t>
      </w:r>
    </w:p>
    <w:p>
      <w:pPr>
        <w:spacing w:after="0" w:line="252" w:lineRule="auto"/>
        <w:rPr>
          <w:sz w:val="20"/>
          <w:szCs w:val="20"/>
          <w:color w:val="auto"/>
        </w:rPr>
      </w:pPr>
      <w:r>
        <w:rPr>
          <w:rFonts w:ascii="Arial" w:cs="Arial" w:eastAsia="Arial" w:hAnsi="Arial"/>
          <w:sz w:val="17"/>
          <w:szCs w:val="17"/>
          <w:color w:val="auto"/>
        </w:rPr>
        <w:t>letterbox addressed (until another address is filed in writing by the Company with the Trustee), as follows: 708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III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9" w:name="page230"/>
    <w:bookmarkEnd w:id="229"/>
    <w:p>
      <w:pPr>
        <w:spacing w:after="0"/>
        <w:tabs>
          <w:tab w:leader="none" w:pos="170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laws of the State of New York and shall be governed and construed in accordance with the laws of the State of New York without regard to conflicts of law principles thereof.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920" w:hanging="453"/>
        <w:spacing w:after="0" w:line="255" w:lineRule="auto"/>
        <w:tabs>
          <w:tab w:leader="none" w:pos="9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with respect to conditions precedents specifically required by any provision of this Indenture relating to such particular application or demand, no additional certificate or opinion need be furnished.</w:t>
      </w:r>
    </w:p>
    <w:p>
      <w:pPr>
        <w:spacing w:after="0" w:line="193" w:lineRule="exact"/>
        <w:rPr>
          <w:rFonts w:ascii="Arial" w:cs="Arial" w:eastAsia="Arial" w:hAnsi="Arial"/>
          <w:sz w:val="18"/>
          <w:szCs w:val="18"/>
          <w:color w:val="auto"/>
        </w:rPr>
      </w:pPr>
    </w:p>
    <w:p>
      <w:pPr>
        <w:ind w:left="920" w:hanging="453"/>
        <w:spacing w:after="0" w:line="273" w:lineRule="auto"/>
        <w:tabs>
          <w:tab w:leader="none" w:pos="9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color w:val="auto"/>
        </w:rPr>
        <w:t>Conflict with Trust Indenture Act.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30" w:name="page231"/>
    <w:bookmarkEnd w:id="230"/>
    <w:p>
      <w:pPr>
        <w:spacing w:after="0"/>
        <w:tabs>
          <w:tab w:leader="none" w:pos="170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III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ANNEX IV</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COMPUTERSHARE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SUPPLEMENTAL INDENTURE TO</w:t>
      </w:r>
    </w:p>
    <w:p>
      <w:pPr>
        <w:spacing w:after="0" w:line="23" w:lineRule="exact"/>
        <w:rPr>
          <w:sz w:val="20"/>
          <w:szCs w:val="20"/>
          <w:color w:val="auto"/>
        </w:rPr>
      </w:pPr>
    </w:p>
    <w:p>
      <w:pPr>
        <w:jc w:val="center"/>
        <w:ind w:right="1200"/>
        <w:spacing w:after="0"/>
        <w:tabs>
          <w:tab w:leader="none" w:pos="160" w:val="left"/>
        </w:tabs>
        <w:rPr>
          <w:sz w:val="20"/>
          <w:szCs w:val="20"/>
          <w:color w:val="auto"/>
        </w:rPr>
      </w:pPr>
      <w:r>
        <w:rPr>
          <w:rFonts w:ascii="Arial" w:cs="Arial" w:eastAsia="Arial" w:hAnsi="Arial"/>
          <w:sz w:val="18"/>
          <w:szCs w:val="18"/>
          <w:color w:val="auto"/>
        </w:rPr>
        <w:t>INDENTURE DATED [</w:t>
      </w:r>
      <w:r>
        <w:rPr>
          <w:sz w:val="20"/>
          <w:szCs w:val="20"/>
          <w:color w:val="auto"/>
        </w:rPr>
        <w:tab/>
      </w:r>
      <w:r>
        <w:rPr>
          <w:rFonts w:ascii="Arial" w:cs="Arial" w:eastAsia="Arial" w:hAnsi="Arial"/>
          <w:sz w:val="16"/>
          <w:szCs w:val="16"/>
          <w:color w:val="auto"/>
        </w:rPr>
        <w:t>], 2015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DEBT SECURITIES)</w:t>
      </w:r>
    </w:p>
    <w:p>
      <w:pPr>
        <w:spacing w:after="0" w:line="211" w:lineRule="exact"/>
        <w:rPr>
          <w:sz w:val="20"/>
          <w:szCs w:val="20"/>
          <w:color w:val="auto"/>
        </w:rPr>
      </w:pPr>
    </w:p>
    <w:p>
      <w:pPr>
        <w:ind w:left="3700"/>
        <w:spacing w:after="0"/>
        <w:tabs>
          <w:tab w:leader="none" w:pos="480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Senior Secured Convertible Notes</w:t>
      </w: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715" w:right="239"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SUPPLEMENTAL INDENTURE TO</w:t>
      </w:r>
    </w:p>
    <w:p>
      <w:pPr>
        <w:spacing w:after="0" w:line="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INDENTURE DATED [</w:t>
      </w:r>
      <w:r>
        <w:rPr>
          <w:sz w:val="20"/>
          <w:szCs w:val="20"/>
          <w:color w:val="auto"/>
        </w:rPr>
        <w:tab/>
      </w:r>
      <w:r>
        <w:rPr>
          <w:rFonts w:ascii="Arial" w:cs="Arial" w:eastAsia="Arial" w:hAnsi="Arial"/>
          <w:sz w:val="16"/>
          <w:szCs w:val="16"/>
          <w:b w:val="1"/>
          <w:bCs w:val="1"/>
          <w:color w:val="auto"/>
        </w:rPr>
        <w:t>],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DEBT SECURITIES)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SECURED CONVERTIBLE NOTES</w:t>
      </w:r>
    </w:p>
    <w:p>
      <w:pPr>
        <w:spacing w:after="0" w:line="225"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color w:val="auto"/>
        </w:rPr>
        <w:t>FIRST SUPPLEMENTAL INDENTURE, dated as of [ ], 2015 (this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between VRINGO,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Computershare Trust Company, N.A., a national banking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ectPr>
          <w:pgSz w:w="11900" w:h="16838" w:orient="portrait"/>
          <w:cols w:equalWidth="0" w:num="1">
            <w:col w:w="11400"/>
          </w:cols>
          <w:pgMar w:left="240" w:top="905" w:right="259" w:bottom="1440" w:gutter="0" w:footer="0" w:header="0"/>
        </w:sectPr>
      </w:pP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Company has heretofore executed and delivered to the Trustee an Indenture, dated as of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2015, (the “</w:t>
      </w:r>
      <w:r>
        <w:rPr>
          <w:rFonts w:ascii="Arial" w:cs="Arial" w:eastAsia="Arial" w:hAnsi="Arial"/>
          <w:sz w:val="17"/>
          <w:szCs w:val="17"/>
          <w:b w:val="1"/>
          <w:bCs w:val="1"/>
          <w:color w:val="auto"/>
        </w:rPr>
        <w:t>Indenture</w:t>
      </w:r>
      <w:r>
        <w:rPr>
          <w:rFonts w:ascii="Arial" w:cs="Arial" w:eastAsia="Arial" w:hAnsi="Arial"/>
          <w:sz w:val="17"/>
          <w:szCs w:val="17"/>
          <w:color w:val="auto"/>
        </w:rPr>
        <w:t>”), providing for</w:t>
      </w:r>
    </w:p>
    <w:p>
      <w:pPr>
        <w:spacing w:after="0" w:line="39" w:lineRule="exact"/>
        <w:rPr>
          <w:sz w:val="20"/>
          <w:szCs w:val="20"/>
          <w:color w:val="auto"/>
        </w:rPr>
      </w:pPr>
    </w:p>
    <w:p>
      <w:pPr>
        <w:sectPr>
          <w:pgSz w:w="11900" w:h="16838" w:orient="portrait"/>
          <w:cols w:equalWidth="0" w:num="2">
            <w:col w:w="8080" w:space="180"/>
            <w:col w:w="3140"/>
          </w:cols>
          <w:pgMar w:left="240" w:top="905" w:right="259" w:bottom="1440" w:gutter="0" w:footer="0" w:header="0"/>
          <w:type w:val="continuous"/>
        </w:sectPr>
      </w:pPr>
    </w:p>
    <w:p>
      <w:pPr>
        <w:spacing w:after="0"/>
        <w:rPr>
          <w:sz w:val="20"/>
          <w:szCs w:val="20"/>
          <w:color w:val="auto"/>
        </w:rPr>
      </w:pPr>
      <w:r>
        <w:rPr>
          <w:rFonts w:ascii="Arial" w:cs="Arial" w:eastAsia="Arial" w:hAnsi="Arial"/>
          <w:sz w:val="18"/>
          <w:szCs w:val="18"/>
          <w:color w:val="auto"/>
        </w:rPr>
        <w:t>the issuance from time to time of Securities (as defined in the Indenture) by the Company.</w:t>
      </w:r>
    </w:p>
    <w:p>
      <w:pPr>
        <w:spacing w:after="0" w:line="211" w:lineRule="exact"/>
        <w:rPr>
          <w:sz w:val="20"/>
          <w:szCs w:val="20"/>
          <w:color w:val="auto"/>
        </w:rPr>
      </w:pPr>
    </w:p>
    <w:p>
      <w:pPr>
        <w:ind w:right="760" w:firstLine="656"/>
        <w:spacing w:after="0" w:line="277" w:lineRule="auto"/>
        <w:tabs>
          <w:tab w:leader="none" w:pos="130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Section 2.01 of the Indenture provides for various matters with respect to any series of Securities issued under the Indenture to be established in an indenture supplemental to the Indenture.</w:t>
      </w:r>
    </w:p>
    <w:p>
      <w:pPr>
        <w:spacing w:after="0" w:line="170" w:lineRule="exact"/>
        <w:rPr>
          <w:rFonts w:ascii="Arial" w:cs="Arial" w:eastAsia="Arial" w:hAnsi="Arial"/>
          <w:sz w:val="18"/>
          <w:szCs w:val="18"/>
          <w:color w:val="auto"/>
        </w:rPr>
      </w:pPr>
    </w:p>
    <w:p>
      <w:pPr>
        <w:ind w:right="60" w:firstLine="656"/>
        <w:spacing w:after="0" w:line="342" w:lineRule="auto"/>
        <w:tabs>
          <w:tab w:leader="none" w:pos="130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Section 9.01(g) of the Indenture provides for the Company and the Trustee to enter into an indenture supplemental to the Indenture without the consent of Holders of Securities in order to establish the form or terms of Securities of any series as provided by Sections 2.01 of the Indenture.</w:t>
      </w:r>
    </w:p>
    <w:p>
      <w:pPr>
        <w:spacing w:after="0" w:line="119" w:lineRule="exact"/>
        <w:rPr>
          <w:rFonts w:ascii="Arial" w:cs="Arial" w:eastAsia="Arial" w:hAnsi="Arial"/>
          <w:sz w:val="16"/>
          <w:szCs w:val="16"/>
          <w:color w:val="auto"/>
        </w:rPr>
      </w:pPr>
    </w:p>
    <w:p>
      <w:pPr>
        <w:jc w:val="both"/>
        <w:ind w:right="80" w:firstLine="656"/>
        <w:spacing w:after="0" w:line="292" w:lineRule="auto"/>
        <w:tabs>
          <w:tab w:leader="none" w:pos="131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In accordance with that certain Securities Purchase Agreement, dated ●, 2015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by and among the Company and the investors party thereto (the “</w:t>
      </w:r>
      <w:r>
        <w:rPr>
          <w:rFonts w:ascii="Arial" w:cs="Arial" w:eastAsia="Arial" w:hAnsi="Arial"/>
          <w:sz w:val="16"/>
          <w:szCs w:val="16"/>
          <w:b w:val="1"/>
          <w:bCs w:val="1"/>
          <w:color w:val="auto"/>
        </w:rPr>
        <w:t>Investors</w:t>
      </w:r>
      <w:r>
        <w:rPr>
          <w:rFonts w:ascii="Arial" w:cs="Arial" w:eastAsia="Arial" w:hAnsi="Arial"/>
          <w:sz w:val="16"/>
          <w:szCs w:val="16"/>
          <w:color w:val="auto"/>
        </w:rPr>
        <w:t>”), the Company has agreed to sell to the Investors, and the Investors have agreed to purchase, at the Closing (as defined in the Securities Purchase Agreement) subject to the satisfaction of certain terms and conditions set forth therein), in accordance with the Indenture and this Supplemental Indenture (i) $12,500,000 in aggregate principal amount of the Notes (as defined below) and (ii) Warrants (as defined in the Securities Purchase Agreement) to purchase Common Stock (as defined in the Securities Purchase Agreement) of the Company, to be issued pursuant to the Company’s Registration Statement on Form S-3 (File number 333-182823)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filed by the Company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firstLine="656"/>
        <w:spacing w:after="0" w:line="277" w:lineRule="auto"/>
        <w:tabs>
          <w:tab w:leader="none" w:pos="12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hereby desires to supplement the Indenture pursuant to this First Supplemental Indenture to set forth the terms and conditions of the Notes to be issued in accordance herewith.</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NOW, THEREFORE, THIS FIRST SUPPLEMENTAL INDENTURE WITNESSETH, for and in consideration of the premises and the issuance of the series of Securities provided for herein, it is mutually agreed, for the equal and proportionate benefit of all Holders of the Securities of such series,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RELATION TO INDENTURE; DEFINITIONS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RELATION TO INDENTURE; HOLDERS DEEMED TO BE BOUND</w:t>
      </w:r>
      <w:r>
        <w:rPr>
          <w:rFonts w:ascii="Arial" w:cs="Arial" w:eastAsia="Arial" w:hAnsi="Arial"/>
          <w:sz w:val="18"/>
          <w:szCs w:val="18"/>
          <w:color w:val="auto"/>
        </w:rPr>
        <w:t>. This First Supplemental Indenture constitutes an integral part of the Indenture. All references herein to the Indenture shall mean the Indenture, as amended and supplemented by this First Supplemental Indenture. The holders of the Notes, by acceptance of such Notes, are deemed to be bound by the terms and conditions of the Indenture as amended and supplemented by this First Supplemental Indenture.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IV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type w:val="continuous"/>
        </w:sectPr>
      </w:pPr>
    </w:p>
    <w:bookmarkStart w:id="233" w:name="page234"/>
    <w:bookmarkEnd w:id="233"/>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First Supplemental Indenture:</w:t>
      </w:r>
    </w:p>
    <w:p>
      <w:pPr>
        <w:spacing w:after="0" w:line="225" w:lineRule="exact"/>
        <w:rPr>
          <w:sz w:val="20"/>
          <w:szCs w:val="20"/>
          <w:color w:val="auto"/>
        </w:rPr>
      </w:pPr>
    </w:p>
    <w:p>
      <w:pPr>
        <w:ind w:left="900" w:hanging="244"/>
        <w:spacing w:after="0"/>
        <w:tabs>
          <w:tab w:leader="none" w:pos="90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Capitalized terms used herein without definition shall have the meanings specified in the Indenture or in the Securities, as applicable;</w:t>
      </w:r>
    </w:p>
    <w:p>
      <w:pPr>
        <w:spacing w:after="0" w:line="236" w:lineRule="exact"/>
        <w:rPr>
          <w:rFonts w:ascii="Arial" w:cs="Arial" w:eastAsia="Arial" w:hAnsi="Arial"/>
          <w:sz w:val="17"/>
          <w:szCs w:val="17"/>
          <w:color w:val="auto"/>
        </w:rPr>
      </w:pPr>
    </w:p>
    <w:p>
      <w:pPr>
        <w:ind w:right="840" w:firstLine="656"/>
        <w:spacing w:after="0" w:line="277" w:lineRule="auto"/>
        <w:tabs>
          <w:tab w:leader="none" w:pos="90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references herein to Articles and Sections, unless otherwise specified, refer to the corresponding Articles and Sections of this First Supplemental Indenture;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terms “herein,” “hereof,” “hereunder” and other words of similar import refer to this First Supplemental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SERIES OF SECURITIES</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TITLE</w:t>
      </w:r>
      <w:r>
        <w:rPr>
          <w:rFonts w:ascii="Arial" w:cs="Arial" w:eastAsia="Arial" w:hAnsi="Arial"/>
          <w:sz w:val="16"/>
          <w:szCs w:val="16"/>
          <w:color w:val="auto"/>
        </w:rPr>
        <w:t>. There shall be a series of Securities designated the “Senior Secured Convertible Note” (the “</w:t>
      </w:r>
      <w:r>
        <w:rPr>
          <w:rFonts w:ascii="Arial" w:cs="Arial" w:eastAsia="Arial" w:hAnsi="Arial"/>
          <w:sz w:val="16"/>
          <w:szCs w:val="16"/>
          <w:b w:val="1"/>
          <w:bCs w:val="1"/>
          <w:color w:val="auto"/>
        </w:rPr>
        <w:t>Notes</w:t>
      </w:r>
      <w:r>
        <w:rPr>
          <w:rFonts w:ascii="Arial" w:cs="Arial" w:eastAsia="Arial" w:hAnsi="Arial"/>
          <w:sz w:val="16"/>
          <w:szCs w:val="16"/>
          <w:color w:val="auto"/>
        </w:rPr>
        <w: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LIMITATION ON AGGREGATE PRINCIPAL AMOUNT</w:t>
      </w:r>
      <w:r>
        <w:rPr>
          <w:rFonts w:ascii="Arial" w:cs="Arial" w:eastAsia="Arial" w:hAnsi="Arial"/>
          <w:sz w:val="18"/>
          <w:szCs w:val="18"/>
          <w:color w:val="auto"/>
        </w:rPr>
        <w:t>. The aggregate principal amount of the Notes shall be limited to $12,500,000.</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RANK</w:t>
      </w:r>
      <w:r>
        <w:rPr>
          <w:rFonts w:ascii="Arial" w:cs="Arial" w:eastAsia="Arial" w:hAnsi="Arial"/>
          <w:sz w:val="18"/>
          <w:szCs w:val="18"/>
          <w:color w:val="auto"/>
        </w:rPr>
        <w:t>. The Notes shall rank senior to all Indebtedness (as defined in the Securities Purchase Agreement) of the Company and shall be secured by the Collateral (as defined in the Security Documents) (as defined in the Securities Purchase Agreement) as provided in the Security Documents.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PRINCIPAL PAYMENT DATE</w:t>
      </w:r>
      <w:r>
        <w:rPr>
          <w:rFonts w:ascii="Arial" w:cs="Arial" w:eastAsia="Arial" w:hAnsi="Arial"/>
          <w:sz w:val="18"/>
          <w:szCs w:val="18"/>
          <w:color w:val="auto"/>
        </w:rPr>
        <w:t>. The principal amount of the Notes outstanding (together with any accrued and unpaid interest and other amounts) shall be payable in accordance with the terms and conditions set forth in the Notes on each Installment Date, Interest Date, Conversion Date, Redemption Date and on the Maturity Date, in each case as defined in the Notes.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INTEREST AND INTEREST RATES</w:t>
      </w:r>
      <w:r>
        <w:rPr>
          <w:rFonts w:ascii="Arial" w:cs="Arial" w:eastAsia="Arial" w:hAnsi="Arial"/>
          <w:sz w:val="18"/>
          <w:szCs w:val="18"/>
          <w:color w:val="auto"/>
        </w:rPr>
        <w:t>. The rate of interest on the Notes shall be 8% per annum, subject to adjustment as provided in the Notes, accruing from [ ], 2015, and shall be payable at such times and in the manner set forth in the Notes. Any interest to be paid with respect to any Note will, as provided in the Indenture and the Notes, be paid to the record holder of such Note on the applicable Interest Date in Interest Shares, Cash Interest or a combination of Interest Shares and Cash Interest, as applicable, as set forth in the Notes.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PLACE OF PAYMENT</w:t>
      </w:r>
      <w:r>
        <w:rPr>
          <w:rFonts w:ascii="Arial" w:cs="Arial" w:eastAsia="Arial" w:hAnsi="Arial"/>
          <w:sz w:val="17"/>
          <w:szCs w:val="17"/>
          <w:color w:val="auto"/>
        </w:rPr>
        <w:t>. Except as otherwise provided in the Notes, (i) the Place of Payment where the Notes may be presented or surrendered for payment or redemption, (ii) where the Notes may be surrendered for registration of transfer or exchange (to the extent required or permitted, as applicable, by the terms of the Notes), and (iii) where notices and demand to or upon the Trustee in respect of the Notes and the Indenture may be made, shall initially be the Corporate Trust Office of the Trustee located in Highlands Ranch, Colorado as specified in the Indenture.</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 The Company may redeem the Notes, in whole or in part, at such times and in the manner set forth in the Notes.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DENOMINATION</w:t>
      </w:r>
      <w:r>
        <w:rPr>
          <w:rFonts w:ascii="Arial" w:cs="Arial" w:eastAsia="Arial" w:hAnsi="Arial"/>
          <w:sz w:val="18"/>
          <w:szCs w:val="18"/>
          <w:color w:val="auto"/>
        </w:rPr>
        <w:t>. The Securities of this series shall be issuable only in registered form without coupons and in minimum denominations of $1,000 and integral multiples of $1.00 in excess thereof.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CURRENCY</w:t>
      </w:r>
      <w:r>
        <w:rPr>
          <w:rFonts w:ascii="Arial" w:cs="Arial" w:eastAsia="Arial" w:hAnsi="Arial"/>
          <w:sz w:val="18"/>
          <w:szCs w:val="18"/>
          <w:color w:val="auto"/>
        </w:rPr>
        <w:t>. Principal and interest and any other amounts payable, from time to time, on the Notes shall be payable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in accordance with Section 24 of the Notes.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IV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34" w:name="page235"/>
    <w:bookmarkEnd w:id="234"/>
    <w:p>
      <w:pPr>
        <w:ind w:left="660"/>
        <w:spacing w:after="0"/>
        <w:tabs>
          <w:tab w:leader="none" w:pos="19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FORM OF SECURITIES</w:t>
      </w:r>
      <w:r>
        <w:rPr>
          <w:rFonts w:ascii="Arial" w:cs="Arial" w:eastAsia="Arial" w:hAnsi="Arial"/>
          <w:sz w:val="16"/>
          <w:szCs w:val="16"/>
          <w:color w:val="auto"/>
        </w:rPr>
        <w:t>. The Notes shall be issued in the form attached to the Securities Purchase Agreement and hereto</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Exhibit A</w:t>
      </w:r>
      <w:r>
        <w:rPr>
          <w:rFonts w:ascii="Arial" w:cs="Arial" w:eastAsia="Arial" w:hAnsi="Arial"/>
          <w:sz w:val="18"/>
          <w:szCs w:val="18"/>
          <w:color w:val="auto"/>
        </w:rPr>
        <w:t>. The Company has elected to issue only definitive Securities and shall not issue any Global Securities hereunder. The terms and provisions set forth in the Notes shall be deemed to be a part of this First Supplemental Indenture as if set forth herein at length.</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The Notes are convertible into the Common Stock of the Company upon the terms and conditions set forth in the Notes.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SECURITIES REGISTRAR</w:t>
      </w:r>
      <w:r>
        <w:rPr>
          <w:rFonts w:ascii="Arial" w:cs="Arial" w:eastAsia="Arial" w:hAnsi="Arial"/>
          <w:sz w:val="16"/>
          <w:szCs w:val="16"/>
          <w:color w:val="auto"/>
        </w:rPr>
        <w:t>. The Trustee shall maintain the Register as provided in the Notes.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SINKING FUND OBLIGATIONS</w:t>
      </w:r>
      <w:r>
        <w:rPr>
          <w:rFonts w:ascii="Arial" w:cs="Arial" w:eastAsia="Arial" w:hAnsi="Arial"/>
          <w:sz w:val="18"/>
          <w:szCs w:val="18"/>
          <w:color w:val="auto"/>
        </w:rPr>
        <w:t>. The Company has no obligation to redeem or purchase any Notes pursuant to any sinking fund or analogous requirement.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EXCLUDED PROVISIONS</w:t>
      </w:r>
      <w:r>
        <w:rPr>
          <w:rFonts w:ascii="Arial" w:cs="Arial" w:eastAsia="Arial" w:hAnsi="Arial"/>
          <w:sz w:val="18"/>
          <w:szCs w:val="18"/>
          <w:color w:val="auto"/>
        </w:rPr>
        <w:t>. The Company has elected that none of the following provisions of the Indenture shall be applicable to the Notes and any analogous provisions (including definitions related thereto) of this First Supplemental Indenture and/or the Notes shall govern in lieu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definitions in Section 1.01: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“Commission”;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“Conversion Price”;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“Event of 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“Interest Payment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 Register”;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 Registrar”;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“Voting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2.03 (Denominations; Provisions for Interest);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III (Redemption of Securities and Sinking Fund Provisions);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IV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VI (Remedies of the Trustee and Securityholders on Event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9.01 (Supplemental Indentures Without Consent of Securityholders);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9.02 (Supplemental Indentures With Consent of Securityholders);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ANNEX IV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235" w:name="page236"/>
    <w:bookmarkEnd w:id="235"/>
    <w:p>
      <w:pPr>
        <w:ind w:left="1300"/>
        <w:spacing w:after="0"/>
        <w:rPr>
          <w:sz w:val="20"/>
          <w:szCs w:val="20"/>
          <w:color w:val="auto"/>
        </w:rPr>
      </w:pPr>
      <w:r>
        <w:rPr>
          <w:rFonts w:ascii="Arial" w:cs="Arial" w:eastAsia="Arial" w:hAnsi="Arial"/>
          <w:sz w:val="18"/>
          <w:szCs w:val="18"/>
          <w:color w:val="auto"/>
        </w:rPr>
        <w:t>Article X (Successor Entity);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XI (Satisfaction and Discharge);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COVENANTS</w:t>
      </w:r>
      <w:r>
        <w:rPr>
          <w:rFonts w:ascii="Arial" w:cs="Arial" w:eastAsia="Arial" w:hAnsi="Arial"/>
          <w:sz w:val="18"/>
          <w:szCs w:val="18"/>
          <w:color w:val="auto"/>
        </w:rPr>
        <w:t>. In addition to the covenants set forth in the Indenture, the Company shall comply with the additional covenants set forth in the Notes and in the Securities Purchase Agreement.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IMMEDIATELY AVAILABLE FUNDS</w:t>
      </w:r>
      <w:r>
        <w:rPr>
          <w:rFonts w:ascii="Arial" w:cs="Arial" w:eastAsia="Arial" w:hAnsi="Arial"/>
          <w:sz w:val="18"/>
          <w:szCs w:val="18"/>
          <w:color w:val="auto"/>
        </w:rPr>
        <w:t>. All cash payments of principal and interest shall be made in U.S. dollars and immediately available funds.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TRUSTEE MATTERS</w:t>
      </w:r>
      <w:r>
        <w:rPr>
          <w:rFonts w:ascii="Arial" w:cs="Arial" w:eastAsia="Arial" w:hAnsi="Arial"/>
          <w:sz w:val="18"/>
          <w:szCs w:val="18"/>
          <w:color w:val="auto"/>
        </w:rPr>
        <w:t>. For purposes of the Notes, the Security Register shall be kept at the Corporate Trust Office located in Highlands Ranch, Colorado and any notices and demands to or upon the Company in respect of the Notes and the Indenture may be given or served at the Corporate Trust Office located in Highlands Ranch, Colorado.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EXPENSES</w:t>
      </w:r>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In connection with the offering, sale and issuance of the Notes, the Company, in its capacity as borrower with respect to the Notes, shall pay all costs and expenses relating to the offering, sale and issuance of the Notes, and the compensation and expenses of the Trustee under the Indenture in accordance with the provisions of Section 7.06 of the Indenture.</w:t>
      </w:r>
    </w:p>
    <w:p>
      <w:pPr>
        <w:spacing w:after="0" w:line="16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PAYMENT UPON RESIGNATION OR REMOVAL</w:t>
      </w:r>
      <w:r>
        <w:rPr>
          <w:rFonts w:ascii="Arial" w:cs="Arial" w:eastAsia="Arial" w:hAnsi="Arial"/>
          <w:sz w:val="18"/>
          <w:szCs w:val="18"/>
          <w:color w:val="auto"/>
        </w:rPr>
        <w:t>. Upon termination of this First Supplemental Indenture or the Indenture or the removal or resignation of the Trustee, unless otherwise stated, the Company shall pay to the Trustee all amounts accrued to the date of such termination, removal or resignation.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TRUSTEE NOT RESPONSIBLE FOR RECITALS</w:t>
      </w:r>
      <w:r>
        <w:rPr>
          <w:rFonts w:ascii="Arial" w:cs="Arial" w:eastAsia="Arial" w:hAnsi="Arial"/>
          <w:sz w:val="18"/>
          <w:szCs w:val="18"/>
          <w:color w:val="auto"/>
        </w:rPr>
        <w:t>. The recitals herein contained are made by the Company and not by the Trustee, and the Trustee assumes no responsibility for the correctness thereof. The Trustee makes no representation as to the validity or sufficiency of this First Supplemental Indenture.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Indenture, as supplemented and amended by this First Supplemental Indenture, is in all respects hereby adopted, ratified and confirmed.</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CONFLICT WITH INDENTURE; TRUST INDENTURE ACT</w:t>
      </w:r>
      <w:r>
        <w:rPr>
          <w:rFonts w:ascii="Arial" w:cs="Arial" w:eastAsia="Arial" w:hAnsi="Arial"/>
          <w:sz w:val="17"/>
          <w:szCs w:val="17"/>
          <w:color w:val="auto"/>
        </w:rPr>
        <w:t xml:space="preserve">. Notwithstanding anything to the contrary in the Indenture, if any conflict arises between the terms and conditions of this First Supplemental Indenture (including, without limitation, the terms and conditions of the Notes attached to the Securities Purchase Agreement and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Indenture, the terms and conditions of this First Supplemental Indenture (including the Notes)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provision of this First Supplemental Indenture or the Notes limits, qualifies or conflicts with a provision of the Trust Indenture Act that is required under such Act to be a part of and govern this First Supplemental Indenture, the latter provisions shall control. If any provision of this First Supplemental Indenture modifies or excludes any provision of the Trust Indenture Act that may be so modified or excluded, the latter provisions shall be deemed to apply to the Indenture as so modified or excluded, as the case may be.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ANNEX IV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36" w:name="page237"/>
    <w:bookmarkEnd w:id="236"/>
    <w:p>
      <w:pPr>
        <w:ind w:right="40" w:firstLine="648"/>
        <w:spacing w:after="0" w:line="308"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AMENDMENTS; WAIVER</w:t>
      </w:r>
      <w:r>
        <w:rPr>
          <w:rFonts w:ascii="Arial" w:cs="Arial" w:eastAsia="Arial" w:hAnsi="Arial"/>
          <w:sz w:val="17"/>
          <w:szCs w:val="17"/>
          <w:color w:val="auto"/>
        </w:rPr>
        <w:t>. This First Supplemental Indenture may be amended by the written consent of the Company and each Holder of Notes. No provision hereof may be waived other than by an instrument in writing signed by the party against whom enforcement is sought.</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SUCCESSORS</w:t>
      </w:r>
      <w:r>
        <w:rPr>
          <w:rFonts w:ascii="Arial" w:cs="Arial" w:eastAsia="Arial" w:hAnsi="Arial"/>
          <w:sz w:val="18"/>
          <w:szCs w:val="18"/>
          <w:color w:val="auto"/>
        </w:rPr>
        <w:t>. This First Supplemental Indenture shall be binding upon and inure to the benefit of the parties and their respective successors and assigns, including any purchasers of the Notes.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First Supplemental Indenture shall be invalid or unenforceable in any jurisdiction, such invalidity or unenforceability shall not affect the validity or enforceability of the remainder of this First Supplemental Indenture in that jurisdiction or the validity or enforceability of any provision of this First Supplemental Indenture in any other jurisdiction.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FIRST SUPPLEMENTAL INDENTURE AND EACH SECURITY SHALL BE DEEMED TO BE A CONTRACT MADE UNDER THE LAWS OF THE STATE OF NEW YORK AND SHALL BE GOVERNED BY AND CONSTRUED IN ACCORDANCE WITH THE LAWS OF THE STATE OF NEW YORK WITHOUT REGARD TO CONFLICTS OF LAWS PRINCIPLES THEREOF.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the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IV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7" w:name="page238"/>
    <w:bookmarkEnd w:id="237"/>
    <w:p>
      <w:pPr>
        <w:ind w:firstLine="648"/>
        <w:spacing w:after="0" w:line="342" w:lineRule="auto"/>
        <w:rPr>
          <w:sz w:val="20"/>
          <w:szCs w:val="20"/>
          <w:color w:val="auto"/>
        </w:rPr>
      </w:pPr>
      <w:r>
        <w:rPr>
          <w:rFonts w:ascii="Arial" w:cs="Arial" w:eastAsia="Arial" w:hAnsi="Arial"/>
          <w:sz w:val="16"/>
          <w:szCs w:val="16"/>
          <w:color w:val="auto"/>
        </w:rPr>
        <w:t>IN WITNESS WHEREOF, the parties hereto have caused this First Supplemental Indenture to be duly executed, and their respective corporate seals to be hereunto affixed and attested, on the date or dates indicated in the acknowledgments and as of the day and year first above written.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ANNEX IV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238" w:name="page239"/>
    <w:bookmarkEnd w:id="238"/>
    <w:p>
      <w:pPr>
        <w:ind w:left="4520"/>
        <w:spacing w:after="0"/>
        <w:rPr>
          <w:sz w:val="20"/>
          <w:szCs w:val="20"/>
          <w:color w:val="auto"/>
        </w:rPr>
      </w:pPr>
      <w:r>
        <w:rPr>
          <w:rFonts w:ascii="Arial" w:cs="Arial" w:eastAsia="Arial" w:hAnsi="Arial"/>
          <w:sz w:val="15"/>
          <w:szCs w:val="15"/>
          <w:color w:val="auto"/>
        </w:rPr>
        <w:t>●, as Trustee</w:t>
      </w:r>
    </w:p>
    <w:p>
      <w:pPr>
        <w:spacing w:after="0" w:line="26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IV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(FORM OF SECURITY)</w:t>
      </w: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ANNEX IV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ANNEX V</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MAY 2015 WARRANT</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2015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May 2015 Warrant No.: </w:t>
      </w:r>
      <w:r>
        <w:rPr>
          <w:rFonts w:ascii="Arial" w:cs="Arial" w:eastAsia="Arial" w:hAnsi="Arial"/>
          <w:sz w:val="18"/>
          <w:szCs w:val="18"/>
          <w:u w:val="single" w:color="auto"/>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Issuance: May 4,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six (6) month and one (1) day first anniversary of the Issuance Date (the “</w:t>
      </w:r>
      <w:r>
        <w:rPr>
          <w:rFonts w:ascii="Arial" w:cs="Arial" w:eastAsia="Arial" w:hAnsi="Arial"/>
          <w:sz w:val="16"/>
          <w:szCs w:val="16"/>
          <w:b w:val="1"/>
          <w:bCs w:val="1"/>
          <w:color w:val="auto"/>
        </w:rPr>
        <w:t>Initial Exercisability Date</w:t>
      </w:r>
      <w:r>
        <w:rPr>
          <w:rFonts w:ascii="Arial" w:cs="Arial" w:eastAsia="Arial" w:hAnsi="Arial"/>
          <w:sz w:val="16"/>
          <w:szCs w:val="16"/>
          <w:color w:val="auto"/>
        </w:rPr>
        <w:t>”), but not after 11:59 p.m., New York time, on the Expiration Date (as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defined below), ●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Except as otherwise defined herein, capitalized terms in this Warrant shall have the meanings set forth in Section 16. This Warrant is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(i) Section 1 of that certain Securities Purchase Agreement, dated as of May 4, 2015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among the Company and the investors (the “</w:t>
      </w:r>
      <w:r>
        <w:rPr>
          <w:rFonts w:ascii="Arial" w:cs="Arial" w:eastAsia="Arial" w:hAnsi="Arial"/>
          <w:sz w:val="16"/>
          <w:szCs w:val="16"/>
          <w:b w:val="1"/>
          <w:bCs w:val="1"/>
          <w:color w:val="auto"/>
        </w:rPr>
        <w:t>Buyers</w:t>
      </w:r>
      <w:r>
        <w:rPr>
          <w:rFonts w:ascii="Arial" w:cs="Arial" w:eastAsia="Arial" w:hAnsi="Arial"/>
          <w:sz w:val="16"/>
          <w:szCs w:val="16"/>
          <w:color w:val="auto"/>
        </w:rPr>
        <w:t>”) referred to therein, as amended from time to time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and (ii) the Company’s Registration Statement on Form S-3 (File number 333-182823)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ind w:left="120" w:hanging="112"/>
        <w:spacing w:after="0"/>
        <w:tabs>
          <w:tab w:leader="none" w:pos="120" w:val="left"/>
        </w:tabs>
        <w:numPr>
          <w:ilvl w:val="0"/>
          <w:numId w:val="289"/>
        </w:numPr>
        <w:rPr>
          <w:rFonts w:ascii="Arial" w:cs="Arial" w:eastAsia="Arial" w:hAnsi="Arial"/>
          <w:sz w:val="30"/>
          <w:szCs w:val="30"/>
          <w:color w:val="auto"/>
          <w:vertAlign w:val="superscript"/>
        </w:rPr>
      </w:pPr>
      <w:r>
        <w:rPr>
          <w:rFonts w:ascii="Arial" w:cs="Arial" w:eastAsia="Arial" w:hAnsi="Arial"/>
          <w:sz w:val="18"/>
          <w:szCs w:val="18"/>
          <w:color w:val="auto"/>
        </w:rPr>
        <w:t>43% warrant coverage.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241" w:name="page242"/>
    <w:bookmarkEnd w:id="241"/>
    <w:p>
      <w:pPr>
        <w:ind w:left="1340" w:hanging="684"/>
        <w:spacing w:after="0"/>
        <w:tabs>
          <w:tab w:leader="none" w:pos="13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sz w:val="20"/>
          <w:szCs w:val="20"/>
          <w:color w:val="auto"/>
        </w:rPr>
      </w:pPr>
    </w:p>
    <w:p>
      <w:pPr>
        <w:jc w:val="both"/>
        <w:ind w:firstLine="656"/>
        <w:spacing w:after="0" w:line="283" w:lineRule="auto"/>
        <w:tabs>
          <w:tab w:leader="none" w:pos="1366"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Initial Exercisability Date, in whole or in part, by delivery (whether via electronic mail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w:t>
      </w:r>
      <w:r>
        <w:rPr>
          <w:rFonts w:ascii="Arial" w:cs="Arial" w:eastAsia="Arial" w:hAnsi="Arial"/>
          <w:sz w:val="16"/>
          <w:szCs w:val="16"/>
          <w:b w:val="1"/>
          <w:bCs w:val="1"/>
          <w:color w:val="auto"/>
        </w:rPr>
        <w:t xml:space="preserve"> </w:t>
      </w:r>
      <w:r>
        <w:rPr>
          <w:rFonts w:ascii="Arial" w:cs="Arial" w:eastAsia="Arial" w:hAnsi="Arial"/>
          <w:sz w:val="16"/>
          <w:szCs w:val="16"/>
          <w:color w:val="auto"/>
        </w:rPr>
        <w:t>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w:t>
      </w:r>
    </w:p>
    <w:p>
      <w:pPr>
        <w:spacing w:after="0" w:line="6"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delivery of the Warrant Shares in accordance with the terms hereof. On or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an Exercise Notice, the Company shall transmit by electronic mail an acknowledgment of confirmation of receipt of such Exercise Notice, in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on which the Company has received such Exercise Notice and received the Aggregate Exercise Price if the Holder did not notify the Company in such Exercise Notice that such exercise was made pursuant to a Cashless Exercise, the Company shall (X) provided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w:t>
      </w:r>
    </w:p>
    <w:p>
      <w:pPr>
        <w:spacing w:after="0" w:line="5" w:lineRule="exact"/>
        <w:rPr>
          <w:sz w:val="20"/>
          <w:szCs w:val="20"/>
          <w:color w:val="auto"/>
        </w:rPr>
      </w:pPr>
    </w:p>
    <w:p>
      <w:pPr>
        <w:jc w:val="both"/>
        <w:ind w:firstLine="8"/>
        <w:spacing w:after="0" w:line="252" w:lineRule="auto"/>
        <w:tabs>
          <w:tab w:leader="none" w:pos="25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the foregoing, except in the case where an exercise of this Warrant is validly made pursuant to a Cashless Exercise (as defined in Section 1(d)), the Company’s failure to deliver Warrant Shares to the Holder on or prior to the second (2nd) Trading Day after the Company’s receipt of the Aggregate Exercise Price shall not be deemed to be a breach of this Warrant.</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$1.00, subject to adjustment as provided herein.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2" w:name="page243"/>
    <w:bookmarkEnd w:id="242"/>
    <w:p>
      <w:pPr>
        <w:jc w:val="both"/>
        <w:ind w:firstLine="656"/>
        <w:spacing w:after="0" w:line="285" w:lineRule="auto"/>
        <w:tabs>
          <w:tab w:leader="none" w:pos="1366"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 If the Company shall fail, for any reason or for no reason, to issue to the Holder within three (3) Trading Days after receipt of the applicable Exercise Notice and received the Aggregate Exercise Price if the Holder did not notify the Company in such Exercise Notice that such exercise was made pursuant to a Cashless Exercise,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then, in addition to all other remedies available to the Holder, the Company shall pay in cash to the Holder on each day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(as the case may be), and if on or</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after such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7"/>
          <w:szCs w:val="17"/>
          <w:b w:val="1"/>
          <w:bCs w:val="1"/>
          <w:color w:val="auto"/>
        </w:rPr>
        <w:t>Buy-In Price</w:t>
      </w:r>
      <w:r>
        <w:rPr>
          <w:rFonts w:ascii="Arial" w:cs="Arial" w:eastAsia="Arial" w:hAnsi="Arial"/>
          <w:sz w:val="17"/>
          <w:szCs w:val="17"/>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Exercise Notice and ending on the date of such issuance and payment under this clause (ii).</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jc w:val="both"/>
        <w:ind w:left="-20" w:firstLine="656"/>
        <w:spacing w:after="0" w:line="276" w:lineRule="auto"/>
        <w:tabs>
          <w:tab w:leader="none" w:pos="1423"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a registration statement is not effective (or the prospectus contained therein is not available for use) for the issuance by the Company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73" w:lineRule="exact"/>
        <w:rPr>
          <w:sz w:val="20"/>
          <w:szCs w:val="20"/>
          <w:color w:val="auto"/>
        </w:rPr>
      </w:pPr>
    </w:p>
    <w:p>
      <w:pPr>
        <w:ind w:left="3480"/>
        <w:spacing w:after="0"/>
        <w:tabs>
          <w:tab w:leader="none" w:pos="4660" w:val="left"/>
        </w:tabs>
        <w:rPr>
          <w:sz w:val="20"/>
          <w:szCs w:val="20"/>
          <w:color w:val="auto"/>
        </w:rPr>
      </w:pPr>
      <w:r>
        <w:rPr>
          <w:rFonts w:ascii="Arial" w:cs="Arial" w:eastAsia="Arial" w:hAnsi="Arial"/>
          <w:sz w:val="18"/>
          <w:szCs w:val="18"/>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640"/>
        <w:spacing w:after="0" w:line="288"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w:t>
      </w:r>
    </w:p>
    <w:p>
      <w:pPr>
        <w:jc w:val="both"/>
        <w:ind w:left="640" w:hanging="4"/>
        <w:spacing w:after="0" w:line="253" w:lineRule="auto"/>
        <w:tabs>
          <w:tab w:leader="none" w:pos="99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20" w:firstLine="656"/>
        <w:spacing w:after="0" w:line="264" w:lineRule="auto"/>
        <w:tabs>
          <w:tab w:leader="none" w:pos="1323"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4" w:name="page245"/>
    <w:bookmarkEnd w:id="244"/>
    <w:p>
      <w:pPr>
        <w:ind w:left="724" w:hanging="724"/>
        <w:spacing w:after="0"/>
        <w:tabs>
          <w:tab w:leader="none" w:pos="724"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Limitations on Exercises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299"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after giving effect to such exercise the Holder (together with any of its affiliates)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Warrant shall be exercisable (vis-à-vis other convertible, exercisable or exchangeable securities owned by the Holder or any of its affiliates) and of which such securities shall be convertible, exercisable or exchangeable (as the case may be,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 (ii) any such increase or decrease will apply only to the Holder sending such notice and not to any other holder of SPA Warrants.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4"/>
        <w:spacing w:after="0"/>
        <w:rPr>
          <w:sz w:val="20"/>
          <w:szCs w:val="20"/>
          <w:color w:val="auto"/>
        </w:rPr>
      </w:pPr>
      <w:r>
        <w:rPr>
          <w:rFonts w:ascii="Arial" w:cs="Arial" w:eastAsia="Arial" w:hAnsi="Arial"/>
          <w:sz w:val="18"/>
          <w:szCs w:val="18"/>
          <w:color w:val="auto"/>
        </w:rPr>
        <w:t>ANNEX V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45" w:name="page246"/>
    <w:bookmarkEnd w:id="245"/>
    <w:p>
      <w:pPr>
        <w:jc w:val="both"/>
        <w:ind w:left="-540" w:firstLine="645"/>
        <w:spacing w:after="0" w:line="284" w:lineRule="auto"/>
        <w:tabs>
          <w:tab w:leader="none" w:pos="801"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Principal Market Regulation</w:t>
      </w:r>
      <w:r>
        <w:rPr>
          <w:rFonts w:ascii="Arial" w:cs="Arial" w:eastAsia="Arial" w:hAnsi="Arial"/>
          <w:sz w:val="16"/>
          <w:szCs w:val="16"/>
          <w:color w:val="auto"/>
        </w:rPr>
        <w:t>. The Company shall not issue any shares of Common Stock upon the exercise of this Warrant if the issuance of such shares of Common Stock (taken together with the issuance of such shares upon the exercise of the SPA Warrants and the conversion of the Notes or otherwise pursuant to the terms of the Notes) would exceed the aggregate number of shares of Common Stock which the Company may issue upon exercise or conversion (as the case may be) of the Warrants and the Notes without breaching the Company’s obligations under the rules or regulations of the Principal Market (the number of shares which may be issued without violating such rules and regulations,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Cap</w:t>
      </w:r>
      <w:r>
        <w:rPr>
          <w:rFonts w:ascii="Arial" w:cs="Arial" w:eastAsia="Arial" w:hAnsi="Arial"/>
          <w:sz w:val="16"/>
          <w:szCs w:val="16"/>
          <w:color w:val="auto"/>
        </w:rPr>
        <w:t>”), except that such limitation shall not apply in the event that the Company (A) obtains the approval of its stockholders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rules of the Principal Market for issuances of shares of Common Stock in excess of such amount or (B) obtains a written opinion from outside counsel to the Company that such approval is not required, which opinion shall be reasonably satisfactory to the Holder or (C) obtain a waiver from the Principal Market of the applicable rules of such Principal Market for the issuance of shares of Common Stock in excess of such amount. Until such approval or such written opinion is obtained, no Buyer shall be issued in the aggregate, upon conversion or exercise (as the case may be) of any Notes or any of the Warrants,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Arial" w:cs="Arial" w:eastAsia="Arial" w:hAnsi="Arial"/>
          <w:sz w:val="16"/>
          <w:szCs w:val="16"/>
          <w:b w:val="1"/>
          <w:bCs w:val="1"/>
          <w:color w:val="auto"/>
        </w:rPr>
        <w:t>Exchange Cap</w:t>
      </w:r>
      <w:r>
        <w:rPr>
          <w:rFonts w:ascii="Arial" w:cs="Arial" w:eastAsia="Arial" w:hAnsi="Arial"/>
          <w:sz w:val="16"/>
          <w:szCs w:val="16"/>
          <w:color w:val="auto"/>
        </w:rPr>
        <w:t xml:space="preserve"> </w:t>
      </w:r>
      <w:r>
        <w:rPr>
          <w:rFonts w:ascii="Arial" w:cs="Arial" w:eastAsia="Arial" w:hAnsi="Arial"/>
          <w:sz w:val="16"/>
          <w:szCs w:val="16"/>
          <w:b w:val="1"/>
          <w:bCs w:val="1"/>
          <w:color w:val="auto"/>
        </w:rPr>
        <w:t>Allocation</w:t>
      </w:r>
      <w:r>
        <w:rPr>
          <w:rFonts w:ascii="Arial" w:cs="Arial" w:eastAsia="Arial" w:hAnsi="Arial"/>
          <w:sz w:val="16"/>
          <w:szCs w:val="16"/>
          <w:color w:val="auto"/>
        </w:rPr>
        <w:t>”). In the event that any Buyer shall sell or otherwise transfer any of such Buyer’s Warrants, the transferee shall be allocated a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such Buyer’s Exchange Cap Allocation with respect to such portion of such Warrants so transferred, and the restrictions of the prior sentence shall apply to such transferee with respect to the portion of the Exchange Cap Allocation so allocated to such transferee. Upon conversion and exercise in full of a holder’s Notes and Warrants, the difference (if any) between such holder’s Exchange Cap Allocation and the number of shares of Common Stock actually issued to such holder upon such holder's conversion in full of such Notes and such holder’s exercise in full of such Warrants shall be allocated to the respective Exchange Cap Allocations of the remaining holders of Notes and Warrants on a pro rata basis in proportion to the shares of Common Stock underlying the Notes and Warrants then held by each such holder. In the event that the Company is prohibited from issuing any shares of Common Stock pursuant to this Section 1(f)(ii) (the “</w:t>
      </w:r>
      <w:r>
        <w:rPr>
          <w:rFonts w:ascii="Arial" w:cs="Arial" w:eastAsia="Arial" w:hAnsi="Arial"/>
          <w:sz w:val="16"/>
          <w:szCs w:val="16"/>
          <w:b w:val="1"/>
          <w:bCs w:val="1"/>
          <w:color w:val="auto"/>
        </w:rPr>
        <w:t>Exchange Cap Shares</w:t>
      </w:r>
      <w:r>
        <w:rPr>
          <w:rFonts w:ascii="Arial" w:cs="Arial" w:eastAsia="Arial" w:hAnsi="Arial"/>
          <w:sz w:val="16"/>
          <w:szCs w:val="16"/>
          <w:color w:val="auto"/>
        </w:rPr>
        <w:t>”), in lieu of issuing and delivering such Exchange Cap Shares to the Holder, the Company shall pay cash to the Holder in exchange for the cancellation of such portion of this Warrant exercisable into such Exchange Cap Shares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immediately preceding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ANNEX V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46" w:name="page247"/>
    <w:bookmarkEnd w:id="246"/>
    <w:p>
      <w:pPr>
        <w:jc w:val="both"/>
        <w:ind w:left="-20" w:firstLine="656"/>
        <w:spacing w:after="0" w:line="284" w:lineRule="auto"/>
        <w:tabs>
          <w:tab w:leader="none" w:pos="1441"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From and after the Initial Exercisability Date, the Company shall at all times keep reserved for issuance under this Warrant a number of shares of Common Stock at least equal to 100% of the maximum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From and after the Initial Exercisability Date,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equal to 100% of the number of shares of Common Stock as shall from time to time be necessary to effect the exercise of all of the SPA Warrants then outstanding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 the cancellation of such portion of this Warrant exercisable into such Authorized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immediately preceding the date of such issuance and payment under this Section 1(g) and (ii) to the extent the Holder purchases (in an open market transaction or otherwise) shares of Common Stock to deliver in satisfaction of a sale by the Holder of Authorization Failure Shares, any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395" w:lineRule="exact"/>
        <w:rPr>
          <w:sz w:val="20"/>
          <w:szCs w:val="20"/>
          <w:color w:val="auto"/>
        </w:rPr>
      </w:pPr>
    </w:p>
    <w:p>
      <w:pPr>
        <w:ind w:left="-20" w:firstLine="656"/>
        <w:spacing w:after="0" w:line="277" w:lineRule="auto"/>
        <w:tabs>
          <w:tab w:leader="none" w:pos="1425"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7" w:name="page248"/>
    <w:bookmarkEnd w:id="247"/>
    <w:p>
      <w:pPr>
        <w:jc w:val="both"/>
        <w:ind w:left="-20" w:firstLine="656"/>
        <w:spacing w:after="0" w:line="287" w:lineRule="auto"/>
        <w:tabs>
          <w:tab w:leader="none" w:pos="1336"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2(b) or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8" w:name="page249"/>
    <w:bookmarkEnd w:id="248"/>
    <w:p>
      <w:pPr>
        <w:ind w:left="1300" w:hanging="66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20" w:firstLine="656"/>
        <w:spacing w:after="0" w:line="279" w:lineRule="auto"/>
        <w:tabs>
          <w:tab w:leader="none" w:pos="1539"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Number of Warrant Shares</w:t>
      </w:r>
      <w:r>
        <w:rPr>
          <w:rFonts w:ascii="Arial" w:cs="Arial" w:eastAsia="Arial" w:hAnsi="Arial"/>
          <w:sz w:val="17"/>
          <w:szCs w:val="17"/>
          <w:color w:val="auto"/>
        </w:rPr>
        <w:t>. Simultaneously with any adjustment to the Exercise Price pursuant to paragraphs (a), (d) and (f)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jc w:val="both"/>
        <w:ind w:left="-20" w:firstLine="656"/>
        <w:spacing w:after="0" w:line="269" w:lineRule="auto"/>
        <w:tabs>
          <w:tab w:leader="none" w:pos="1468"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Holder's Right of Alternative Exercise Price Following Issuance of Certain Options or Convertible Securities</w:t>
      </w:r>
      <w:r>
        <w:rPr>
          <w:rFonts w:ascii="Arial" w:cs="Arial" w:eastAsia="Arial" w:hAnsi="Arial"/>
          <w:sz w:val="17"/>
          <w:szCs w:val="17"/>
          <w:color w:val="auto"/>
        </w:rPr>
        <w:t>. In addition to and not in limitation of the other provisions of this Section 2, if the Company in any manner issues or sells any Options or Convertible Securities (other than the Notes) (any such securities, “</w:t>
      </w:r>
      <w:r>
        <w:rPr>
          <w:rFonts w:ascii="Arial" w:cs="Arial" w:eastAsia="Arial" w:hAnsi="Arial"/>
          <w:sz w:val="17"/>
          <w:szCs w:val="17"/>
          <w:b w:val="1"/>
          <w:bCs w:val="1"/>
          <w:color w:val="auto"/>
        </w:rPr>
        <w:t>Variable Price Securities</w:t>
      </w:r>
      <w:r>
        <w:rPr>
          <w:rFonts w:ascii="Arial" w:cs="Arial" w:eastAsia="Arial" w:hAnsi="Arial"/>
          <w:sz w:val="17"/>
          <w:szCs w:val="17"/>
          <w:color w:val="auto"/>
        </w:rPr>
        <w:t>”) after the Subscription Date that are convertible into or exchangeable or exercisable for shares of Common Stock at a price which varies or may vary with the market price of the Common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7"/>
          <w:szCs w:val="17"/>
          <w:b w:val="1"/>
          <w:bCs w:val="1"/>
          <w:color w:val="auto"/>
        </w:rPr>
        <w:t>Variable Price</w:t>
      </w:r>
      <w:r>
        <w:rPr>
          <w:rFonts w:ascii="Arial" w:cs="Arial" w:eastAsia="Arial" w:hAnsi="Arial"/>
          <w:sz w:val="17"/>
          <w:szCs w:val="17"/>
          <w:color w:val="auto"/>
        </w:rPr>
        <w:t>”), the Company shall provide written notice thereof via electronic mail and overnight courier to the Holder on the date of issuance of such Convertible Securities or Options. From and after the date the Company issues any such Convertible Securities or Options with a Variable Price, the Holder shall have the right, but not the obligation, in its sole discretion to substitute the Variable Price for the Exercise Price upon exercise of this Warrant by designating in the Exercise Notice delivered upon any exercise of this Warrant that solely for purposes of such exercise the Holder is relying on the Variable Price rather than the Exercise Price then in effect. The Holder's election to rely on a Variable Price for a particular exercise of this Warrant shall not obligate the Holder to rely on a Variable Price for any future exercises of this Warrant.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9" w:name="page250"/>
    <w:bookmarkEnd w:id="249"/>
    <w:p>
      <w:pPr>
        <w:jc w:val="both"/>
        <w:ind w:left="-20" w:firstLine="656"/>
        <w:spacing w:after="0" w:line="270" w:lineRule="auto"/>
        <w:tabs>
          <w:tab w:leader="none" w:pos="1512"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2(e)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5" w:lineRule="exact"/>
        <w:rPr>
          <w:rFonts w:ascii="Arial" w:cs="Arial" w:eastAsia="Arial" w:hAnsi="Arial"/>
          <w:sz w:val="17"/>
          <w:szCs w:val="17"/>
          <w:color w:val="auto"/>
        </w:rPr>
      </w:pPr>
    </w:p>
    <w:p>
      <w:pPr>
        <w:jc w:val="both"/>
        <w:ind w:left="-20" w:firstLine="656"/>
        <w:spacing w:after="0" w:line="221" w:lineRule="auto"/>
        <w:tabs>
          <w:tab w:leader="none" w:pos="1537"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2" w:lineRule="exact"/>
        <w:rPr>
          <w:sz w:val="20"/>
          <w:szCs w:val="20"/>
          <w:color w:val="auto"/>
        </w:rPr>
      </w:pPr>
    </w:p>
    <w:p>
      <w:pPr>
        <w:jc w:val="both"/>
        <w:ind w:left="-20" w:firstLine="656"/>
        <w:spacing w:after="0" w:line="269" w:lineRule="auto"/>
        <w:tabs>
          <w:tab w:leader="none" w:pos="1362" w:val="left"/>
        </w:tabs>
        <w:numPr>
          <w:ilvl w:val="0"/>
          <w:numId w:val="304"/>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1360" w:hanging="724"/>
        <w:spacing w:after="0"/>
        <w:tabs>
          <w:tab w:leader="none" w:pos="136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sz w:val="20"/>
          <w:szCs w:val="20"/>
          <w:color w:val="auto"/>
        </w:rPr>
      </w:pPr>
    </w:p>
    <w:p>
      <w:pPr>
        <w:jc w:val="both"/>
        <w:ind w:left="-20" w:firstLine="656"/>
        <w:spacing w:after="0" w:line="288" w:lineRule="auto"/>
        <w:tabs>
          <w:tab w:leader="none" w:pos="1323"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0" w:name="page251"/>
    <w:bookmarkEnd w:id="250"/>
    <w:p>
      <w:pPr>
        <w:jc w:val="both"/>
        <w:ind w:left="-20" w:firstLine="656"/>
        <w:spacing w:after="0" w:line="284" w:lineRule="auto"/>
        <w:tabs>
          <w:tab w:leader="none" w:pos="1576"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1" w:name="page252"/>
    <w:bookmarkEnd w:id="251"/>
    <w:p>
      <w:pPr>
        <w:jc w:val="both"/>
        <w:ind w:left="-20" w:firstLine="656"/>
        <w:spacing w:after="0" w:line="269" w:lineRule="auto"/>
        <w:tabs>
          <w:tab w:leader="none" w:pos="1336"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Black Scholes Value</w:t>
      </w:r>
      <w:r>
        <w:rPr>
          <w:rFonts w:ascii="Arial" w:cs="Arial" w:eastAsia="Arial" w:hAnsi="Arial"/>
          <w:sz w:val="17"/>
          <w:szCs w:val="17"/>
          <w:color w:val="auto"/>
        </w:rPr>
        <w:t>. Notwithstanding the foregoing and the provisions of Section 4(b) above, at the request of the Holder delivered at any time commencing on the earliest to occur of (x) the public disclosure of any Change of Control, (y) the consummation of any Change of Control and (z) the Holder first becoming aware of any Change of Control (including, without limitation, a Change of Control that is publicly disclosed, consummated or of which the Holder first becomes aware (as the case may be) prior to the Initial Exercise Date) through the date that is (i) the Trading Day immediately prior to the date of consummation of a Change of Control (X) that is publicly disclosed at least thirty (30) Trading Days prior to the date of the consummation of such Change of Control, (Y) that is approved by a majority of the directors of the Company in office on the Issuance Date or whose election after the Issuance Date was approved by a majority of such directors, and (Z) the transaction documents for which require as a condition of closing the redemption or repurchase of this Warrant no later than the date of the consummation of such Change of Control, and (ii) ninety (90) days after the public disclosure of the consummation of such other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82" w:lineRule="exact"/>
        <w:rPr>
          <w:rFonts w:ascii="Arial" w:cs="Arial" w:eastAsia="Arial" w:hAnsi="Arial"/>
          <w:sz w:val="17"/>
          <w:szCs w:val="17"/>
          <w:color w:val="auto"/>
        </w:rPr>
      </w:pPr>
    </w:p>
    <w:p>
      <w:pPr>
        <w:jc w:val="both"/>
        <w:ind w:left="-20" w:firstLine="656"/>
        <w:spacing w:after="0" w:line="302" w:lineRule="auto"/>
        <w:tabs>
          <w:tab w:leader="none" w:pos="1464"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54" w:lineRule="exact"/>
        <w:rPr>
          <w:sz w:val="20"/>
          <w:szCs w:val="20"/>
          <w:color w:val="auto"/>
        </w:rPr>
      </w:pPr>
    </w:p>
    <w:p>
      <w:pPr>
        <w:jc w:val="both"/>
        <w:ind w:left="-20" w:firstLine="656"/>
        <w:spacing w:after="0" w:line="288" w:lineRule="auto"/>
        <w:tabs>
          <w:tab w:leader="none" w:pos="1492"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2" w:name="page253"/>
    <w:bookmarkEnd w:id="252"/>
    <w:p>
      <w:pPr>
        <w:jc w:val="both"/>
        <w:ind w:left="-20" w:firstLine="656"/>
        <w:spacing w:after="0" w:line="270" w:lineRule="auto"/>
        <w:tabs>
          <w:tab w:leader="none" w:pos="1438"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1360" w:hanging="724"/>
        <w:spacing w:after="0"/>
        <w:tabs>
          <w:tab w:leader="none" w:pos="136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sz w:val="20"/>
          <w:szCs w:val="20"/>
          <w:color w:val="auto"/>
        </w:rPr>
      </w:pPr>
    </w:p>
    <w:p>
      <w:pPr>
        <w:jc w:val="both"/>
        <w:ind w:left="-20" w:firstLine="656"/>
        <w:spacing w:after="0" w:line="257" w:lineRule="auto"/>
        <w:tabs>
          <w:tab w:leader="none" w:pos="1363"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left="-20" w:firstLine="656"/>
        <w:spacing w:after="0" w:line="276" w:lineRule="auto"/>
        <w:tabs>
          <w:tab w:leader="none" w:pos="1455"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3" w:name="page254"/>
    <w:bookmarkEnd w:id="253"/>
    <w:p>
      <w:pPr>
        <w:jc w:val="both"/>
        <w:ind w:left="-20" w:firstLine="656"/>
        <w:spacing w:after="0" w:line="279" w:lineRule="auto"/>
        <w:tabs>
          <w:tab w:leader="none" w:pos="1390"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jc w:val="both"/>
        <w:ind w:left="-20" w:firstLine="656"/>
        <w:spacing w:after="0" w:line="273" w:lineRule="auto"/>
        <w:tabs>
          <w:tab w:leader="none" w:pos="1455"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sz w:val="20"/>
          <w:szCs w:val="20"/>
          <w:color w:val="auto"/>
        </w:rPr>
      </w:pPr>
    </w:p>
    <w:p>
      <w:pPr>
        <w:jc w:val="both"/>
        <w:ind w:left="-20" w:firstLine="656"/>
        <w:spacing w:after="0" w:line="268" w:lineRule="auto"/>
        <w:tabs>
          <w:tab w:leader="none" w:pos="1438"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It is expressly understood and agreed that the time of execution specified by the Holder in each Exercise Notice shall be definitive and may not be disputed or challenged by the Company.</w:t>
      </w:r>
    </w:p>
    <w:p>
      <w:pPr>
        <w:spacing w:after="0" w:line="187" w:lineRule="exact"/>
        <w:rPr>
          <w:rFonts w:ascii="Arial" w:cs="Arial" w:eastAsia="Arial" w:hAnsi="Arial"/>
          <w:sz w:val="17"/>
          <w:szCs w:val="17"/>
          <w:color w:val="auto"/>
        </w:rPr>
      </w:pPr>
    </w:p>
    <w:p>
      <w:pPr>
        <w:jc w:val="both"/>
        <w:ind w:left="-20" w:firstLine="656"/>
        <w:spacing w:after="0" w:line="312" w:lineRule="auto"/>
        <w:tabs>
          <w:tab w:leader="none" w:pos="1479"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4" w:name="page255"/>
    <w:bookmarkEnd w:id="254"/>
    <w:p>
      <w:pPr>
        <w:jc w:val="both"/>
        <w:ind w:firstLine="656"/>
        <w:spacing w:after="0" w:line="271" w:lineRule="auto"/>
        <w:tabs>
          <w:tab w:leader="none" w:pos="1323"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656"/>
        <w:spacing w:after="0" w:line="283" w:lineRule="auto"/>
        <w:tabs>
          <w:tab w:leader="none" w:pos="1371"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w:t>
      </w:r>
    </w:p>
    <w:p>
      <w:pPr>
        <w:spacing w:after="0" w:line="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TO,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656"/>
        <w:spacing w:after="0" w:line="257" w:lineRule="auto"/>
        <w:tabs>
          <w:tab w:leader="none" w:pos="147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55" w:name="page256"/>
    <w:bookmarkEnd w:id="255"/>
    <w:p>
      <w:pPr>
        <w:jc w:val="both"/>
        <w:ind w:left="-20" w:firstLine="656"/>
        <w:spacing w:after="0" w:line="286" w:lineRule="auto"/>
        <w:tabs>
          <w:tab w:leader="none" w:pos="1384"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Bid Price, the Closing Sale Price or fair market value or the arithmetic calculation of the number of Warrant Shares (as the case may be), the Company or the Holder (as the case may be) shall submit the disputed determinations or arithmetic calculations (as the case may be) via electronic mail (i) within two (2) Business Days after receipt of the applicable notice giving rise to such dispute to the Company or the Holder (as the case may be) or (ii) if no notice gave rise to such dispute, at any time after the Holder learned of the circumstances giving rise to such dispute. If the Holder and the Company are unable to agree upon such determination or calculation (as the case may be) of the Exercise Price, the Closing Bid Price, the Closing Sale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electronic mail (a) the disputed determination of the Exercise Price, the Closing Bid Price, the Closing Sale Price or fair market value (as the case may be) to an independent, reputable investment bank selected by the Holder or (b) the disputed arithmetic calculation of the number of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174" w:lineRule="exact"/>
        <w:rPr>
          <w:rFonts w:ascii="Arial" w:cs="Arial" w:eastAsia="Arial" w:hAnsi="Arial"/>
          <w:sz w:val="16"/>
          <w:szCs w:val="16"/>
          <w:color w:val="auto"/>
        </w:rPr>
      </w:pPr>
    </w:p>
    <w:p>
      <w:pPr>
        <w:jc w:val="both"/>
        <w:ind w:left="-20" w:firstLine="656"/>
        <w:spacing w:after="0" w:line="268" w:lineRule="auto"/>
        <w:tabs>
          <w:tab w:leader="none" w:pos="1398"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6" w:name="page257"/>
    <w:bookmarkEnd w:id="256"/>
    <w:p>
      <w:pPr>
        <w:ind w:left="1320" w:hanging="684"/>
        <w:spacing w:after="0"/>
        <w:tabs>
          <w:tab w:leader="none" w:pos="132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1360" w:hanging="724"/>
        <w:spacing w:after="0"/>
        <w:tabs>
          <w:tab w:leader="none" w:pos="136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sz w:val="20"/>
          <w:szCs w:val="20"/>
          <w:color w:val="auto"/>
        </w:rPr>
      </w:pPr>
    </w:p>
    <w:p>
      <w:pPr>
        <w:jc w:val="both"/>
        <w:ind w:left="-20" w:firstLine="656"/>
        <w:spacing w:after="0" w:line="270" w:lineRule="auto"/>
        <w:tabs>
          <w:tab w:leader="none" w:pos="134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jc w:val="both"/>
        <w:ind w:left="-20" w:firstLine="656"/>
        <w:spacing w:after="0" w:line="270" w:lineRule="auto"/>
        <w:tabs>
          <w:tab w:leader="none" w:pos="121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Change of Control or as of the date of the Holder’s request pursuant to Section 4(c) if such request is prior to the date of the consummation of the applicable Change of Control, (iv) a zero cost of borrow, and (v) an expected volatility equal to the greater of 75% and the 100 day volatility obtained from the HVT function on Bloomberg (determined utilizing a 365 day annualization factor) as of the Trading Day immediately following the earliest to occur of (x) the public disclosure of the applicable Change of Control, (y) the consummation of the applicable Change of Control and (z) the date on which the Holder first became aware of the applicable Change of Control.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7" w:name="page258"/>
    <w:bookmarkEnd w:id="257"/>
    <w:p>
      <w:pPr>
        <w:ind w:left="1280" w:hanging="644"/>
        <w:spacing w:after="0"/>
        <w:tabs>
          <w:tab w:leader="none" w:pos="12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20" w:right="660" w:firstLine="656"/>
        <w:spacing w:after="0" w:line="282" w:lineRule="auto"/>
        <w:tabs>
          <w:tab w:leader="none" w:pos="12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left="-20" w:firstLine="656"/>
        <w:spacing w:after="0" w:line="273" w:lineRule="auto"/>
        <w:tabs>
          <w:tab w:leader="none" w:pos="145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a majority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72" w:lineRule="exact"/>
        <w:rPr>
          <w:rFonts w:ascii="Arial" w:cs="Arial" w:eastAsia="Arial" w:hAnsi="Arial"/>
          <w:sz w:val="17"/>
          <w:szCs w:val="17"/>
          <w:color w:val="auto"/>
        </w:rPr>
      </w:pPr>
    </w:p>
    <w:p>
      <w:pPr>
        <w:jc w:val="both"/>
        <w:ind w:left="-20" w:firstLine="656"/>
        <w:spacing w:after="0" w:line="287" w:lineRule="auto"/>
        <w:tabs>
          <w:tab w:leader="none" w:pos="1343" w:val="left"/>
        </w:tabs>
        <w:numPr>
          <w:ilvl w:val="0"/>
          <w:numId w:val="317"/>
        </w:numPr>
        <w:rPr>
          <w:rFonts w:ascii="Arial" w:cs="Arial" w:eastAsia="Arial" w:hAnsi="Arial"/>
          <w:sz w:val="16"/>
          <w:szCs w:val="16"/>
          <w:color w:val="auto"/>
        </w:rPr>
      </w:pP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City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20" w:right="20" w:firstLine="656"/>
        <w:spacing w:after="0" w:line="282" w:lineRule="auto"/>
        <w:tabs>
          <w:tab w:leader="none" w:pos="132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58" w:name="page259"/>
    <w:bookmarkEnd w:id="258"/>
    <w:p>
      <w:pPr>
        <w:ind w:left="-20" w:firstLine="656"/>
        <w:spacing w:after="0" w:line="347" w:lineRule="auto"/>
        <w:tabs>
          <w:tab w:leader="none" w:pos="134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20" w:right="20" w:firstLine="656"/>
        <w:spacing w:after="0" w:line="282" w:lineRule="auto"/>
        <w:tabs>
          <w:tab w:leader="none" w:pos="132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NASDAQ Global Select Market, the NASDAQ Global Market, the NYSE MKT, the OTCQB or the Principal Market.</w:t>
      </w:r>
    </w:p>
    <w:p>
      <w:pPr>
        <w:spacing w:after="0" w:line="161" w:lineRule="exact"/>
        <w:rPr>
          <w:rFonts w:ascii="Arial" w:cs="Arial" w:eastAsia="Arial" w:hAnsi="Arial"/>
          <w:sz w:val="18"/>
          <w:szCs w:val="18"/>
          <w:color w:val="auto"/>
        </w:rPr>
      </w:pPr>
    </w:p>
    <w:p>
      <w:pPr>
        <w:ind w:left="-20" w:firstLine="656"/>
        <w:spacing w:after="0" w:line="282" w:lineRule="auto"/>
        <w:tabs>
          <w:tab w:leader="none" w:pos="131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anniversary of the Initial Exercisability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61" w:lineRule="exact"/>
        <w:rPr>
          <w:rFonts w:ascii="Arial" w:cs="Arial" w:eastAsia="Arial" w:hAnsi="Arial"/>
          <w:sz w:val="18"/>
          <w:szCs w:val="18"/>
          <w:color w:val="auto"/>
        </w:rPr>
      </w:pPr>
    </w:p>
    <w:p>
      <w:pPr>
        <w:jc w:val="both"/>
        <w:ind w:left="-20" w:firstLine="656"/>
        <w:spacing w:after="0" w:line="268" w:lineRule="auto"/>
        <w:tabs>
          <w:tab w:leader="none" w:pos="1288" w:val="left"/>
        </w:tabs>
        <w:numPr>
          <w:ilvl w:val="0"/>
          <w:numId w:val="3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Transaction</w:t>
      </w:r>
      <w:r>
        <w:rPr>
          <w:rFonts w:ascii="Arial" w:cs="Arial" w:eastAsia="Arial" w:hAnsi="Arial"/>
          <w:sz w:val="17"/>
          <w:szCs w:val="17"/>
          <w:color w:val="auto"/>
        </w:rPr>
        <w:t>” means that (i) (1) the Company shall, directly or indirectly, in one or more related transactions, consolidate or merge with or into (whether or not the Company is the surviving corporation) any other Person, or (2) the Company shall, directly or indirectly, in one or more related transactions, sell, lease, license, assign, transfer, convey or otherwise dispose of all or substantially all of its respective properties or assets to any other Person, or (3) the Company shall, directly or indirectly, in one or more related transactions,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shall, directly or indirectly, in one or more related transactions,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directly or indirectly, in one or more related transactions, reorganize, recapitalize or reclassify the Common Stock (which shall not include a reverse stock split),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3" w:lineRule="exact"/>
        <w:rPr>
          <w:rFonts w:ascii="Arial" w:cs="Arial" w:eastAsia="Arial" w:hAnsi="Arial"/>
          <w:sz w:val="17"/>
          <w:szCs w:val="17"/>
          <w:color w:val="auto"/>
        </w:rPr>
      </w:pPr>
    </w:p>
    <w:p>
      <w:pPr>
        <w:ind w:left="-20" w:right="20" w:firstLine="656"/>
        <w:spacing w:after="0" w:line="282" w:lineRule="auto"/>
        <w:tabs>
          <w:tab w:leader="none" w:pos="149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ascribed to such term in the Securities Purchase Agreement, and shall include all notes issued in exchange therefor or replacement thereof.</w:t>
      </w:r>
    </w:p>
    <w:p>
      <w:pPr>
        <w:spacing w:after="0" w:line="161" w:lineRule="exact"/>
        <w:rPr>
          <w:rFonts w:ascii="Arial" w:cs="Arial" w:eastAsia="Arial" w:hAnsi="Arial"/>
          <w:sz w:val="18"/>
          <w:szCs w:val="18"/>
          <w:color w:val="auto"/>
        </w:rPr>
      </w:pPr>
    </w:p>
    <w:p>
      <w:pPr>
        <w:ind w:left="1340" w:hanging="704"/>
        <w:spacing w:after="0"/>
        <w:tabs>
          <w:tab w:leader="none" w:pos="134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59" w:name="page260"/>
    <w:bookmarkEnd w:id="259"/>
    <w:p>
      <w:pPr>
        <w:jc w:val="both"/>
        <w:ind w:firstLine="656"/>
        <w:spacing w:after="0" w:line="266" w:lineRule="auto"/>
        <w:tabs>
          <w:tab w:leader="none" w:pos="151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20" w:firstLine="656"/>
        <w:spacing w:after="0" w:line="282" w:lineRule="auto"/>
        <w:tabs>
          <w:tab w:leader="none" w:pos="157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40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all of the foregoing.</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49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47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73" w:lineRule="exact"/>
        <w:rPr>
          <w:rFonts w:ascii="Arial" w:cs="Arial" w:eastAsia="Arial" w:hAnsi="Arial"/>
          <w:sz w:val="17"/>
          <w:szCs w:val="17"/>
          <w:color w:val="auto"/>
        </w:rPr>
      </w:pPr>
    </w:p>
    <w:p>
      <w:pPr>
        <w:jc w:val="both"/>
        <w:ind w:firstLine="656"/>
        <w:spacing w:after="0" w:line="314" w:lineRule="auto"/>
        <w:tabs>
          <w:tab w:leader="none" w:pos="1268"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2" w:lineRule="exact"/>
        <w:rPr>
          <w:rFonts w:ascii="Arial" w:cs="Arial" w:eastAsia="Arial" w:hAnsi="Arial"/>
          <w:sz w:val="16"/>
          <w:szCs w:val="16"/>
          <w:color w:val="auto"/>
        </w:rPr>
      </w:pPr>
    </w:p>
    <w:p>
      <w:pPr>
        <w:jc w:val="both"/>
        <w:ind w:firstLine="656"/>
        <w:spacing w:after="0" w:line="288" w:lineRule="auto"/>
        <w:tabs>
          <w:tab w:leader="none" w:pos="1335" w:val="left"/>
        </w:tabs>
        <w:numPr>
          <w:ilvl w:val="0"/>
          <w:numId w:val="3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0" w:name="page261"/>
    <w:bookmarkEnd w:id="260"/>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TO BE EXECUTED BY THE REGISTERED HOLDER TO EXERCISE THIS</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Vringo,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Warrant to Purchase Common Stock No. _______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w:t>
      </w:r>
    </w:p>
    <w:p>
      <w:pPr>
        <w:spacing w:after="0"/>
        <w:rPr>
          <w:sz w:val="20"/>
          <w:szCs w:val="20"/>
          <w:color w:val="auto"/>
        </w:rPr>
      </w:pPr>
      <w:r>
        <w:rPr>
          <w:rFonts w:ascii="Arial" w:cs="Arial" w:eastAsia="Arial" w:hAnsi="Arial"/>
          <w:sz w:val="18"/>
          <w:szCs w:val="18"/>
          <w:color w:val="auto"/>
        </w:rPr>
        <w:t>applicable, the Bid Price as of such time of execution of this Exercise Notice was $________.</w:t>
      </w:r>
    </w:p>
    <w:p>
      <w:pPr>
        <w:spacing w:after="0" w:line="211" w:lineRule="exact"/>
        <w:rPr>
          <w:sz w:val="20"/>
          <w:szCs w:val="20"/>
          <w:color w:val="auto"/>
        </w:rPr>
      </w:pPr>
    </w:p>
    <w:p>
      <w:pPr>
        <w:jc w:val="both"/>
        <w:ind w:firstLine="656"/>
        <w:spacing w:after="0" w:line="264" w:lineRule="auto"/>
        <w:tabs>
          <w:tab w:leader="none" w:pos="828"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firstLine="656"/>
        <w:spacing w:after="0" w:line="277" w:lineRule="auto"/>
        <w:tabs>
          <w:tab w:leader="none" w:pos="842"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Warrant Shares in accordance with the terms of the Warrant. Delivery shall be made to Holder, or for its benefit, to the following address:</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__,</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Transfer Agent Instructions dated May 4, 2015, from the Company and acknowledged and agreed to by American Stock Transfer &amp; Trust Company, LLC.</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V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
      <w:numFmt w:val="bullet"/>
      <w:start w:val="1"/>
    </w:lvl>
  </w:abstractNum>
  <w:abstractNum w:abstractNumId="2">
    <w:nsid w:val="16CF80F1"/>
    <w:multiLevelType w:val="hybridMultilevel"/>
    <w:lvl w:ilvl="0">
      <w:lvlJc w:val="left"/>
      <w:lvlText w:val="☒"/>
      <w:numFmt w:val="bullet"/>
      <w:start w:val="1"/>
    </w:lvl>
  </w:abstractNum>
  <w:abstractNum w:abstractNumId="3">
    <w:nsid w:val="1C695DE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4">
    <w:nsid w:val="3FCFAED9"/>
    <w:multiLevelType w:val="hybridMultilevel"/>
    <w:lvl w:ilvl="0">
      <w:lvlJc w:val="left"/>
      <w:lvlText w:val="(%1)"/>
      <w:numFmt w:val="lowerRoman"/>
      <w:start w:val="1"/>
    </w:lvl>
  </w:abstractNum>
  <w:abstractNum w:abstractNumId="5">
    <w:nsid w:val="F856867"/>
    <w:multiLevelType w:val="hybridMultilevel"/>
    <w:lvl w:ilvl="0">
      <w:lvlJc w:val="left"/>
      <w:lvlText w:val="%1."/>
      <w:numFmt w:val="decimal"/>
      <w:start w:val="1"/>
    </w:lvl>
  </w:abstractNum>
  <w:abstractNum w:abstractNumId="6">
    <w:nsid w:val="11B1CC33"/>
    <w:multiLevelType w:val="hybridMultilevel"/>
    <w:lvl w:ilvl="0">
      <w:lvlJc w:val="left"/>
      <w:lvlText w:val="·"/>
      <w:numFmt w:val="bullet"/>
      <w:start w:val="1"/>
    </w:lvl>
  </w:abstractNum>
  <w:abstractNum w:abstractNumId="7">
    <w:nsid w:val="2E22FBB7"/>
    <w:multiLevelType w:val="hybridMultilevel"/>
    <w:lvl w:ilvl="0">
      <w:lvlJc w:val="left"/>
      <w:lvlText w:val="·"/>
      <w:numFmt w:val="bullet"/>
      <w:start w:val="1"/>
    </w:lvl>
  </w:abstractNum>
  <w:abstractNum w:abstractNumId="8">
    <w:nsid w:val="29934699"/>
    <w:multiLevelType w:val="hybridMultilevel"/>
    <w:lvl w:ilvl="0">
      <w:lvlJc w:val="left"/>
      <w:lvlText w:val="·"/>
      <w:numFmt w:val="bullet"/>
      <w:start w:val="1"/>
    </w:lvl>
  </w:abstractNum>
  <w:abstractNum w:abstractNumId="9">
    <w:nsid w:val="77485850"/>
    <w:multiLevelType w:val="hybridMultilevel"/>
    <w:lvl w:ilvl="0">
      <w:lvlJc w:val="left"/>
      <w:lvlText w:val="·"/>
      <w:numFmt w:val="bullet"/>
      <w:start w:val="1"/>
    </w:lvl>
  </w:abstractNum>
  <w:abstractNum w:abstractNumId="10">
    <w:nsid w:val="744939A3"/>
    <w:multiLevelType w:val="hybridMultilevel"/>
    <w:lvl w:ilvl="0">
      <w:lvlJc w:val="left"/>
      <w:lvlText w:val="%1)"/>
      <w:numFmt w:val="decimal"/>
      <w:start w:val="5"/>
    </w:lvl>
  </w:abstractNum>
  <w:abstractNum w:abstractNumId="11">
    <w:nsid w:val="4FA0D2E3"/>
    <w:multiLevelType w:val="hybridMultilevel"/>
    <w:lvl w:ilvl="0">
      <w:lvlJc w:val="left"/>
      <w:lvlText w:val="·"/>
      <w:numFmt w:val="bullet"/>
      <w:start w:val="1"/>
    </w:lvl>
  </w:abstractNum>
  <w:abstractNum w:abstractNumId="12">
    <w:nsid w:val="6B1D2C14"/>
    <w:multiLevelType w:val="hybridMultilevel"/>
    <w:lvl w:ilvl="0">
      <w:lvlJc w:val="left"/>
      <w:lvlText w:val="·"/>
      <w:numFmt w:val="bullet"/>
      <w:start w:val="1"/>
    </w:lvl>
  </w:abstractNum>
  <w:abstractNum w:abstractNumId="13">
    <w:nsid w:val="68B867D3"/>
    <w:multiLevelType w:val="hybridMultilevel"/>
    <w:lvl w:ilvl="0">
      <w:lvlJc w:val="left"/>
      <w:lvlText w:val="*"/>
      <w:numFmt w:val="bullet"/>
      <w:start w:val="1"/>
    </w:lvl>
  </w:abstractNum>
  <w:abstractNum w:abstractNumId="14">
    <w:nsid w:val="3F7F5DD9"/>
    <w:multiLevelType w:val="hybridMultilevel"/>
    <w:lvl w:ilvl="0">
      <w:lvlJc w:val="left"/>
      <w:lvlText w:val="(%1)"/>
      <w:numFmt w:val="decimal"/>
      <w:start w:val="1"/>
    </w:lvl>
  </w:abstractNum>
  <w:abstractNum w:abstractNumId="15">
    <w:nsid w:val="2AE05A34"/>
    <w:multiLevelType w:val="hybridMultilevel"/>
    <w:lvl w:ilvl="0">
      <w:lvlJc w:val="left"/>
      <w:lvlText w:val="(%1)"/>
      <w:numFmt w:val="decimal"/>
      <w:start w:val="3"/>
    </w:lvl>
  </w:abstractNum>
  <w:abstractNum w:abstractNumId="16">
    <w:nsid w:val="32794FF7"/>
    <w:multiLevelType w:val="hybridMultilevel"/>
    <w:lvl w:ilvl="0">
      <w:lvlJc w:val="left"/>
      <w:lvlText w:val="%1"/>
      <w:numFmt w:val="decimal"/>
      <w:start w:val="37"/>
    </w:lvl>
  </w:abstractNum>
  <w:abstractNum w:abstractNumId="17">
    <w:nsid w:val="5454945E"/>
    <w:multiLevelType w:val="hybridMultilevel"/>
    <w:lvl w:ilvl="0">
      <w:lvlJc w:val="left"/>
      <w:lvlText w:val="%1"/>
      <w:numFmt w:val="decimal"/>
      <w:start w:val="62"/>
    </w:lvl>
  </w:abstractNum>
  <w:abstractNum w:abstractNumId="18">
    <w:nsid w:val="4DEFDFA0"/>
    <w:multiLevelType w:val="hybridMultilevel"/>
    <w:lvl w:ilvl="0">
      <w:lvlJc w:val="left"/>
      <w:lvlText w:val="%1"/>
      <w:numFmt w:val="decimal"/>
      <w:start w:val="59"/>
    </w:lvl>
  </w:abstractNum>
  <w:abstractNum w:abstractNumId="19">
    <w:nsid w:val="2123D5F2"/>
    <w:multiLevelType w:val="hybridMultilevel"/>
    <w:lvl w:ilvl="0">
      <w:lvlJc w:val="left"/>
      <w:lvlText w:val="%1"/>
      <w:numFmt w:val="decimal"/>
      <w:start w:val="36"/>
    </w:lvl>
  </w:abstractNum>
  <w:abstractNum w:abstractNumId="20">
    <w:nsid w:val="135B8110"/>
    <w:multiLevelType w:val="hybridMultilevel"/>
    <w:lvl w:ilvl="0">
      <w:lvlJc w:val="left"/>
      <w:lvlText w:val="%1"/>
      <w:numFmt w:val="decimal"/>
      <w:start w:val="67"/>
    </w:lvl>
  </w:abstractNum>
  <w:abstractNum w:abstractNumId="21">
    <w:nsid w:val="94927A8"/>
    <w:multiLevelType w:val="hybridMultilevel"/>
    <w:lvl w:ilvl="0">
      <w:lvlJc w:val="left"/>
      <w:lvlText w:val="*"/>
      <w:numFmt w:val="bullet"/>
      <w:start w:val="1"/>
    </w:lvl>
  </w:abstractNum>
  <w:abstractNum w:abstractNumId="22">
    <w:nsid w:val="DCDF8F6"/>
    <w:multiLevelType w:val="hybridMultilevel"/>
    <w:lvl w:ilvl="0">
      <w:lvlJc w:val="left"/>
      <w:lvlText w:val="(%1)"/>
      <w:numFmt w:val="decimal"/>
      <w:start w:val="1"/>
    </w:lvl>
  </w:abstractNum>
  <w:abstractNum w:abstractNumId="23">
    <w:nsid w:val="52D7B105"/>
    <w:multiLevelType w:val="hybridMultilevel"/>
    <w:lvl w:ilvl="0">
      <w:lvlJc w:val="left"/>
      <w:lvlText w:val="&amp;"/>
      <w:numFmt w:val="bullet"/>
      <w:start w:val="1"/>
    </w:lvl>
  </w:abstractNum>
  <w:abstractNum w:abstractNumId="24">
    <w:nsid w:val="2E8A6394"/>
    <w:multiLevelType w:val="hybridMultilevel"/>
    <w:lvl w:ilvl="0">
      <w:lvlJc w:val="left"/>
      <w:lvlText w:val="•"/>
      <w:numFmt w:val="bullet"/>
      <w:start w:val="1"/>
    </w:lvl>
  </w:abstractNum>
  <w:abstractNum w:abstractNumId="25">
    <w:nsid w:val="24E60401"/>
    <w:multiLevelType w:val="hybridMultilevel"/>
    <w:lvl w:ilvl="0">
      <w:lvlJc w:val="left"/>
      <w:lvlText w:val="·"/>
      <w:numFmt w:val="bullet"/>
      <w:start w:val="1"/>
    </w:lvl>
  </w:abstractNum>
  <w:abstractNum w:abstractNumId="26">
    <w:nsid w:val="2A6AD9BE"/>
    <w:multiLevelType w:val="hybridMultilevel"/>
    <w:lvl w:ilvl="0">
      <w:lvlJc w:val="left"/>
      <w:lvlText w:val="(%1)"/>
      <w:numFmt w:val="decimal"/>
      <w:start w:val="1"/>
    </w:lvl>
  </w:abstractNum>
  <w:abstractNum w:abstractNumId="27">
    <w:nsid w:val="BAAC1B4"/>
    <w:multiLevelType w:val="hybridMultilevel"/>
    <w:lvl w:ilvl="0">
      <w:lvlJc w:val="left"/>
      <w:lvlText w:val="(%1)"/>
      <w:numFmt w:val="decimal"/>
      <w:start w:val="1"/>
    </w:lvl>
  </w:abstractNum>
  <w:abstractNum w:abstractNumId="28">
    <w:nsid w:val="36B2ACBC"/>
    <w:multiLevelType w:val="hybridMultilevel"/>
    <w:lvl w:ilvl="0">
      <w:lvlJc w:val="left"/>
      <w:lvlText w:val="(%1)"/>
      <w:numFmt w:val="decimal"/>
      <w:start w:val="3"/>
    </w:lvl>
  </w:abstractNum>
  <w:abstractNum w:abstractNumId="29">
    <w:nsid w:val="779D8544"/>
    <w:multiLevelType w:val="hybridMultilevel"/>
    <w:lvl w:ilvl="0">
      <w:lvlJc w:val="left"/>
      <w:lvlText w:val="(%1)"/>
      <w:numFmt w:val="lowerLetter"/>
      <w:start w:val="4"/>
    </w:lvl>
  </w:abstractNum>
  <w:abstractNum w:abstractNumId="30">
    <w:nsid w:val="4AB26E78"/>
    <w:multiLevelType w:val="hybridMultilevel"/>
    <w:lvl w:ilvl="0">
      <w:lvlJc w:val="left"/>
      <w:lvlText w:val="(%1)"/>
      <w:numFmt w:val="decimal"/>
      <w:start w:val="1"/>
    </w:lvl>
  </w:abstractNum>
  <w:abstractNum w:abstractNumId="31">
    <w:nsid w:val="21FAA2FA"/>
    <w:multiLevelType w:val="hybridMultilevel"/>
    <w:lvl w:ilvl="0">
      <w:lvlJc w:val="left"/>
      <w:lvlText w:val="(%1)"/>
      <w:numFmt w:val="decimal"/>
      <w:start w:val="1"/>
    </w:lvl>
  </w:abstractNum>
  <w:abstractNum w:abstractNumId="32">
    <w:nsid w:val="5451CF49"/>
    <w:multiLevelType w:val="hybridMultilevel"/>
    <w:lvl w:ilvl="0">
      <w:lvlJc w:val="left"/>
      <w:lvlText w:val="(%1)"/>
      <w:numFmt w:val="decimal"/>
      <w:start w:val="1"/>
    </w:lvl>
  </w:abstractNum>
  <w:abstractNum w:abstractNumId="33">
    <w:nsid w:val="6181EF69"/>
    <w:multiLevelType w:val="hybridMultilevel"/>
    <w:lvl w:ilvl="0">
      <w:lvlJc w:val="left"/>
      <w:lvlText w:val="(%1)"/>
      <w:numFmt w:val="decimal"/>
      <w:start w:val="1"/>
    </w:lvl>
  </w:abstractNum>
  <w:abstractNum w:abstractNumId="34">
    <w:nsid w:val="3E6400E6"/>
    <w:multiLevelType w:val="hybridMultilevel"/>
    <w:lvl w:ilvl="0">
      <w:lvlJc w:val="left"/>
      <w:lvlText w:val="•"/>
      <w:numFmt w:val="bullet"/>
      <w:start w:val="1"/>
    </w:lvl>
  </w:abstractNum>
  <w:abstractNum w:abstractNumId="35">
    <w:nsid w:val="14217E23"/>
    <w:multiLevelType w:val="hybridMultilevel"/>
    <w:lvl w:ilvl="0">
      <w:lvlJc w:val="left"/>
      <w:lvlText w:val="•"/>
      <w:numFmt w:val="bullet"/>
      <w:start w:val="1"/>
    </w:lvl>
  </w:abstractNum>
  <w:abstractNum w:abstractNumId="36">
    <w:nsid w:val="710757D0"/>
    <w:multiLevelType w:val="hybridMultilevel"/>
    <w:lvl w:ilvl="0">
      <w:lvlJc w:val="left"/>
      <w:lvlText w:val="•"/>
      <w:numFmt w:val="bullet"/>
      <w:start w:val="1"/>
    </w:lvl>
  </w:abstractNum>
  <w:abstractNum w:abstractNumId="37">
    <w:nsid w:val="5015CD1A"/>
    <w:multiLevelType w:val="hybridMultilevel"/>
    <w:lvl w:ilvl="0">
      <w:lvlJc w:val="left"/>
      <w:lvlText w:val="•"/>
      <w:numFmt w:val="bullet"/>
      <w:start w:val="1"/>
    </w:lvl>
  </w:abstractNum>
  <w:abstractNum w:abstractNumId="38">
    <w:nsid w:val="424479DA"/>
    <w:multiLevelType w:val="hybridMultilevel"/>
    <w:lvl w:ilvl="0">
      <w:lvlJc w:val="left"/>
      <w:lvlText w:val="(%1)"/>
      <w:numFmt w:val="decimal"/>
      <w:start w:val="4"/>
    </w:lvl>
  </w:abstractNum>
  <w:abstractNum w:abstractNumId="39">
    <w:nsid w:val="1A9A9E69"/>
    <w:multiLevelType w:val="hybridMultilevel"/>
    <w:lvl w:ilvl="0">
      <w:lvlJc w:val="left"/>
      <w:lvlText w:val="(%1)"/>
      <w:numFmt w:val="lowerRoman"/>
      <w:start w:val="1"/>
    </w:lvl>
  </w:abstractNum>
  <w:abstractNum w:abstractNumId="40">
    <w:nsid w:val="475E256A"/>
    <w:multiLevelType w:val="hybridMultilevel"/>
    <w:lvl w:ilvl="0">
      <w:lvlJc w:val="left"/>
      <w:lvlText w:val="•"/>
      <w:numFmt w:val="bullet"/>
      <w:start w:val="1"/>
    </w:lvl>
  </w:abstractNum>
  <w:abstractNum w:abstractNumId="41">
    <w:nsid w:val="368DB37E"/>
    <w:multiLevelType w:val="hybridMultilevel"/>
    <w:lvl w:ilvl="0">
      <w:lvlJc w:val="left"/>
      <w:lvlText w:val="·"/>
      <w:numFmt w:val="bullet"/>
      <w:start w:val="1"/>
    </w:lvl>
  </w:abstractNum>
  <w:abstractNum w:abstractNumId="42">
    <w:nsid w:val="6A3B714C"/>
    <w:multiLevelType w:val="hybridMultilevel"/>
    <w:lvl w:ilvl="0">
      <w:lvlJc w:val="left"/>
      <w:lvlText w:val="·"/>
      <w:numFmt w:val="bullet"/>
      <w:start w:val="1"/>
    </w:lvl>
  </w:abstractNum>
  <w:abstractNum w:abstractNumId="43">
    <w:nsid w:val="327B517E"/>
    <w:multiLevelType w:val="hybridMultilevel"/>
    <w:lvl w:ilvl="0">
      <w:lvlJc w:val="left"/>
      <w:lvlText w:val="(%1)"/>
      <w:numFmt w:val="decimal"/>
      <w:start w:val="1"/>
    </w:lvl>
  </w:abstractNum>
  <w:abstractNum w:abstractNumId="44">
    <w:nsid w:val="1F461B51"/>
    <w:multiLevelType w:val="hybridMultilevel"/>
    <w:lvl w:ilvl="0">
      <w:lvlJc w:val="left"/>
      <w:lvlText w:val="(%1)"/>
      <w:numFmt w:val="lowerRoman"/>
      <w:start w:val="1"/>
    </w:lvl>
  </w:abstractNum>
  <w:abstractNum w:abstractNumId="45">
    <w:nsid w:val="29BACF25"/>
    <w:multiLevelType w:val="hybridMultilevel"/>
    <w:lvl w:ilvl="0">
      <w:lvlJc w:val="left"/>
      <w:lvlText w:val="•"/>
      <w:numFmt w:val="bullet"/>
      <w:start w:val="1"/>
    </w:lvl>
  </w:abstractNum>
  <w:abstractNum w:abstractNumId="46">
    <w:nsid w:val="5D5BABB3"/>
    <w:multiLevelType w:val="hybridMultilevel"/>
    <w:lvl w:ilvl="0">
      <w:lvlJc w:val="left"/>
      <w:lvlText w:val="•"/>
      <w:numFmt w:val="bullet"/>
      <w:start w:val="1"/>
    </w:lvl>
  </w:abstractNum>
  <w:abstractNum w:abstractNumId="47">
    <w:nsid w:val="51BF6B48"/>
    <w:multiLevelType w:val="hybridMultilevel"/>
    <w:lvl w:ilvl="0">
      <w:lvlJc w:val="left"/>
      <w:lvlText w:val="(%1)"/>
      <w:numFmt w:val="decimal"/>
      <w:start w:val="4"/>
    </w:lvl>
  </w:abstractNum>
  <w:abstractNum w:abstractNumId="48">
    <w:nsid w:val="7E0F6384"/>
    <w:multiLevelType w:val="hybridMultilevel"/>
    <w:lvl w:ilvl="0">
      <w:lvlJc w:val="left"/>
      <w:lvlText w:val="%1."/>
      <w:numFmt w:val="decimal"/>
      <w:start w:val="1"/>
    </w:lvl>
  </w:abstractNum>
  <w:abstractNum w:abstractNumId="49">
    <w:nsid w:val="2B4B8B53"/>
    <w:multiLevelType w:val="hybridMultilevel"/>
    <w:lvl w:ilvl="0">
      <w:lvlJc w:val="left"/>
      <w:lvlText w:val="(%1)"/>
      <w:numFmt w:val="lowerRoman"/>
      <w:start w:val="1"/>
    </w:lvl>
  </w:abstractNum>
  <w:abstractNum w:abstractNumId="50">
    <w:nsid w:val="72E3413A"/>
    <w:multiLevelType w:val="hybridMultilevel"/>
    <w:lvl w:ilvl="0">
      <w:lvlJc w:val="left"/>
      <w:lvlText w:val="(%1)"/>
      <w:numFmt w:val="lowerRoman"/>
      <w:start w:val="2"/>
    </w:lvl>
  </w:abstractNum>
  <w:abstractNum w:abstractNumId="51">
    <w:nsid w:val="116AE494"/>
    <w:multiLevelType w:val="hybridMultilevel"/>
    <w:lvl w:ilvl="0">
      <w:lvlJc w:val="left"/>
      <w:lvlText w:val="1"/>
      <w:numFmt w:val="bullet"/>
      <w:start w:val="1"/>
    </w:lvl>
  </w:abstractNum>
  <w:abstractNum w:abstractNumId="52">
    <w:nsid w:val="3494B2FB"/>
    <w:multiLevelType w:val="hybridMultilevel"/>
    <w:lvl w:ilvl="0">
      <w:lvlJc w:val="left"/>
      <w:lvlText w:val="(%1)"/>
      <w:numFmt w:val="decimal"/>
      <w:start w:val="1"/>
    </w:lvl>
  </w:abstractNum>
  <w:abstractNum w:abstractNumId="53">
    <w:nsid w:val="B13A31"/>
    <w:multiLevelType w:val="hybridMultilevel"/>
    <w:lvl w:ilvl="0">
      <w:lvlJc w:val="left"/>
      <w:lvlText w:val="%1."/>
      <w:numFmt w:val="decimal"/>
      <w:start w:val="2"/>
    </w:lvl>
  </w:abstractNum>
  <w:abstractNum w:abstractNumId="54">
    <w:nsid w:val="64429599"/>
    <w:multiLevelType w:val="hybridMultilevel"/>
    <w:lvl w:ilvl="0">
      <w:lvlJc w:val="left"/>
      <w:lvlText w:val="%1."/>
      <w:numFmt w:val="decimal"/>
      <w:start w:val="3"/>
    </w:lvl>
  </w:abstractNum>
  <w:abstractNum w:abstractNumId="55">
    <w:nsid w:val="631F1690"/>
    <w:multiLevelType w:val="hybridMultilevel"/>
    <w:lvl w:ilvl="0">
      <w:lvlJc w:val="left"/>
      <w:lvlText w:val="(%1)"/>
      <w:numFmt w:val="lowerLetter"/>
      <w:start w:val="1"/>
    </w:lvl>
  </w:abstractNum>
  <w:abstractNum w:abstractNumId="56">
    <w:nsid w:val="25973E32"/>
    <w:multiLevelType w:val="hybridMultilevel"/>
    <w:lvl w:ilvl="0">
      <w:lvlJc w:val="left"/>
      <w:lvlText w:val="(%1)"/>
      <w:numFmt w:val="lowerLetter"/>
      <w:start w:val="2"/>
    </w:lvl>
  </w:abstractNum>
  <w:abstractNum w:abstractNumId="57">
    <w:nsid w:val="EAD6F57"/>
    <w:multiLevelType w:val="hybridMultilevel"/>
    <w:lvl w:ilvl="0">
      <w:lvlJc w:val="left"/>
      <w:lvlText w:val="%1."/>
      <w:numFmt w:val="decimal"/>
      <w:start w:val="4"/>
    </w:lvl>
  </w:abstractNum>
  <w:abstractNum w:abstractNumId="58">
    <w:nsid w:val="6EC9D844"/>
    <w:multiLevelType w:val="hybridMultilevel"/>
    <w:lvl w:ilvl="0">
      <w:lvlJc w:val="left"/>
      <w:lvlText w:val="(%1)"/>
      <w:numFmt w:val="lowerLetter"/>
      <w:start w:val="1"/>
    </w:lvl>
  </w:abstractNum>
  <w:abstractNum w:abstractNumId="59">
    <w:nsid w:val="5C49EAEE"/>
    <w:multiLevelType w:val="hybridMultilevel"/>
    <w:lvl w:ilvl="0">
      <w:lvlJc w:val="left"/>
      <w:lvlText w:val="%1."/>
      <w:numFmt w:val="decimal"/>
      <w:start w:val="5"/>
    </w:lvl>
  </w:abstractNum>
  <w:abstractNum w:abstractNumId="60">
    <w:nsid w:val="64AF49B"/>
    <w:multiLevelType w:val="hybridMultilevel"/>
    <w:lvl w:ilvl="0">
      <w:lvlJc w:val="left"/>
      <w:lvlText w:val="%1."/>
      <w:numFmt w:val="decimal"/>
      <w:start w:val="6"/>
    </w:lvl>
  </w:abstractNum>
  <w:abstractNum w:abstractNumId="61">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
    <w:nsid w:val="7E448DE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3">
    <w:nsid w:val="5A9CC3E5"/>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64">
    <w:nsid w:val="1AFE3625"/>
    <w:multiLevelType w:val="hybridMultilevel"/>
    <w:lvl w:ilvl="0">
      <w:lvlJc w:val="left"/>
      <w:lvlText w:val="(%1)"/>
      <w:numFmt w:val="lowerLetter"/>
      <w:start w:val="1"/>
    </w:lvl>
  </w:abstractNum>
  <w:abstractNum w:abstractNumId="65">
    <w:nsid w:val="3CA88ECF"/>
    <w:multiLevelType w:val="hybridMultilevel"/>
    <w:lvl w:ilvl="0">
      <w:lvlJc w:val="left"/>
      <w:lvlText w:val="%1."/>
      <w:numFmt w:val="decimal"/>
      <w:start w:val="8"/>
    </w:lvl>
  </w:abstractNum>
  <w:abstractNum w:abstractNumId="66">
    <w:nsid w:val="6EBE4208"/>
    <w:multiLevelType w:val="hybridMultilevel"/>
    <w:lvl w:ilvl="0">
      <w:lvlJc w:val="left"/>
      <w:lvlText w:val="%1."/>
      <w:numFmt w:val="decimal"/>
      <w:start w:val="9"/>
    </w:lvl>
  </w:abstractNum>
  <w:abstractNum w:abstractNumId="67">
    <w:nsid w:val="C058DF5"/>
    <w:multiLevelType w:val="hybridMultilevel"/>
    <w:lvl w:ilvl="0">
      <w:lvlJc w:val="left"/>
      <w:lvlText w:val="%1."/>
      <w:numFmt w:val="decimal"/>
      <w:start w:val="10"/>
    </w:lvl>
  </w:abstractNum>
  <w:abstractNum w:abstractNumId="68">
    <w:nsid w:val="CBE5BE9"/>
    <w:multiLevelType w:val="hybridMultilevel"/>
    <w:lvl w:ilvl="0">
      <w:lvlJc w:val="left"/>
      <w:lvlText w:val="2"/>
      <w:numFmt w:val="bullet"/>
      <w:start w:val="1"/>
    </w:lvl>
  </w:abstractNum>
  <w:abstractNum w:abstractNumId="69">
    <w:nsid w:val="3102BBE2"/>
    <w:multiLevelType w:val="hybridMultilevel"/>
    <w:lvl w:ilvl="0">
      <w:lvlJc w:val="left"/>
      <w:lvlText w:val="%1."/>
      <w:numFmt w:val="decimal"/>
      <w:start w:val="11"/>
    </w:lvl>
  </w:abstractNum>
  <w:abstractNum w:abstractNumId="70">
    <w:nsid w:val="26A02C5E"/>
    <w:multiLevelType w:val="hybridMultilevel"/>
    <w:lvl w:ilvl="0">
      <w:lvlJc w:val="left"/>
      <w:lvlText w:val="%1."/>
      <w:numFmt w:val="decimal"/>
      <w:start w:val="12"/>
    </w:lvl>
  </w:abstractNum>
  <w:abstractNum w:abstractNumId="71">
    <w:nsid w:val="541C8153"/>
    <w:multiLevelType w:val="hybridMultilevel"/>
    <w:lvl w:ilvl="0">
      <w:lvlJc w:val="left"/>
      <w:lvlText w:val="%1."/>
      <w:numFmt w:val="decimal"/>
      <w:start w:val="13"/>
    </w:lvl>
  </w:abstractNum>
  <w:abstractNum w:abstractNumId="72">
    <w:nsid w:val="67906F60"/>
    <w:multiLevelType w:val="hybridMultilevel"/>
    <w:lvl w:ilvl="0">
      <w:lvlJc w:val="left"/>
      <w:lvlText w:val="(%1)"/>
      <w:numFmt w:val="lowerLetter"/>
      <w:start w:val="1"/>
    </w:lvl>
  </w:abstractNum>
  <w:abstractNum w:abstractNumId="73">
    <w:nsid w:val="10DB9DAA"/>
    <w:multiLevelType w:val="hybridMultilevel"/>
    <w:lvl w:ilvl="0">
      <w:lvlJc w:val="left"/>
      <w:lvlText w:val="(%1)"/>
      <w:numFmt w:val="lowerLetter"/>
      <w:start w:val="3"/>
    </w:lvl>
  </w:abstractNum>
  <w:abstractNum w:abstractNumId="74">
    <w:nsid w:val="697D2D2"/>
    <w:multiLevelType w:val="hybridMultilevel"/>
    <w:lvl w:ilvl="0">
      <w:lvlJc w:val="left"/>
      <w:lvlText w:val="%1."/>
      <w:numFmt w:val="decimal"/>
      <w:start w:val="14"/>
    </w:lvl>
  </w:abstractNum>
  <w:abstractNum w:abstractNumId="75">
    <w:nsid w:val="6D68AB2"/>
    <w:multiLevelType w:val="hybridMultilevel"/>
    <w:lvl w:ilvl="0">
      <w:lvlJc w:val="left"/>
      <w:lvlText w:val="(%1)"/>
      <w:numFmt w:val="lowerLetter"/>
      <w:start w:val="1"/>
    </w:lvl>
  </w:abstractNum>
  <w:abstractNum w:abstractNumId="76">
    <w:nsid w:val="3A966CD0"/>
    <w:multiLevelType w:val="hybridMultilevel"/>
    <w:lvl w:ilvl="0">
      <w:lvlJc w:val="left"/>
      <w:lvlText w:val="%1."/>
      <w:numFmt w:val="decimal"/>
      <w:start w:val="15"/>
    </w:lvl>
  </w:abstractNum>
  <w:abstractNum w:abstractNumId="77">
    <w:nsid w:val="63F37E85"/>
    <w:multiLevelType w:val="hybridMultilevel"/>
    <w:lvl w:ilvl="0">
      <w:lvlJc w:val="left"/>
      <w:lvlText w:val="(%1)"/>
      <w:numFmt w:val="lowerLetter"/>
      <w:start w:val="1"/>
    </w:lvl>
    <w:lvl w:ilvl="1">
      <w:lvlJc w:val="left"/>
      <w:lvlText w:val="(%2)"/>
      <w:numFmt w:val="lowerRoman"/>
      <w:start w:val="1"/>
    </w:lvl>
  </w:abstractNum>
  <w:abstractNum w:abstractNumId="78">
    <w:nsid w:val="5895F5FA"/>
    <w:multiLevelType w:val="hybridMultilevel"/>
    <w:lvl w:ilvl="0">
      <w:lvlJc w:val="left"/>
      <w:lvlText w:val="%1."/>
      <w:numFmt w:val="decimal"/>
      <w:start w:val="16"/>
    </w:lvl>
  </w:abstractNum>
  <w:abstractNum w:abstractNumId="79">
    <w:nsid w:val="38A5D054"/>
    <w:multiLevelType w:val="hybridMultilevel"/>
    <w:lvl w:ilvl="0">
      <w:lvlJc w:val="left"/>
      <w:lvlText w:val="(%1)"/>
      <w:numFmt w:val="lowerLetter"/>
      <w:start w:val="1"/>
    </w:lvl>
    <w:lvl w:ilvl="1">
      <w:lvlJc w:val="left"/>
      <w:lvlText w:val="(%2)"/>
      <w:numFmt w:val="lowerLetter"/>
      <w:start w:val="9"/>
    </w:lvl>
  </w:abstractNum>
  <w:abstractNum w:abstractNumId="80">
    <w:nsid w:val="F3F09D8"/>
    <w:multiLevelType w:val="hybridMultilevel"/>
    <w:lvl w:ilvl="0">
      <w:lvlJc w:val="left"/>
      <w:lvlText w:val="%1"/>
      <w:numFmt w:val="lowerLetter"/>
      <w:start w:val="1"/>
    </w:lvl>
    <w:lvl w:ilvl="1">
      <w:lvlJc w:val="left"/>
      <w:lvlText w:val="(%2)"/>
      <w:numFmt w:val="lowerLetter"/>
      <w:start w:val="35"/>
    </w:lvl>
  </w:abstractNum>
  <w:abstractNum w:abstractNumId="81">
    <w:nsid w:val="4B793735"/>
    <w:multiLevelType w:val="hybridMultilevel"/>
    <w:lvl w:ilvl="0">
      <w:lvlJc w:val="left"/>
      <w:lvlText w:val="(%1)"/>
      <w:numFmt w:val="lowerLetter"/>
      <w:start w:val="2"/>
    </w:lvl>
    <w:lvl w:ilvl="1">
      <w:lvlJc w:val="left"/>
      <w:lvlText w:val="%2"/>
      <w:numFmt w:val="lowerLetter"/>
      <w:start w:val="1"/>
    </w:lvl>
  </w:abstractNum>
  <w:abstractNum w:abstractNumId="82">
    <w:nsid w:val="4A10B4E8"/>
    <w:multiLevelType w:val="hybridMultilevel"/>
    <w:lvl w:ilvl="0">
      <w:lvlJc w:val="left"/>
      <w:lvlText w:val="%1."/>
      <w:numFmt w:val="decimal"/>
      <w:start w:val="17"/>
    </w:lvl>
  </w:abstractNum>
  <w:abstractNum w:abstractNumId="83">
    <w:nsid w:val="43D3BCD4"/>
    <w:multiLevelType w:val="hybridMultilevel"/>
    <w:lvl w:ilvl="0">
      <w:lvlJc w:val="left"/>
      <w:lvlText w:val="%1."/>
      <w:numFmt w:val="decimal"/>
      <w:start w:val="18"/>
    </w:lvl>
  </w:abstractNum>
  <w:abstractNum w:abstractNumId="84">
    <w:nsid w:val="4C2A7166"/>
    <w:multiLevelType w:val="hybridMultilevel"/>
    <w:lvl w:ilvl="0">
      <w:lvlJc w:val="left"/>
      <w:lvlText w:val="%1."/>
      <w:numFmt w:val="decimal"/>
      <w:start w:val="19"/>
    </w:lvl>
  </w:abstractNum>
  <w:abstractNum w:abstractNumId="85">
    <w:nsid w:val="2E534A82"/>
    <w:multiLevelType w:val="hybridMultilevel"/>
    <w:lvl w:ilvl="0">
      <w:lvlJc w:val="left"/>
      <w:lvlText w:val="(%1)"/>
      <w:numFmt w:val="lowerLetter"/>
      <w:start w:val="1"/>
    </w:lvl>
  </w:abstractNum>
  <w:abstractNum w:abstractNumId="86">
    <w:nsid w:val="26F2D364"/>
    <w:multiLevelType w:val="hybridMultilevel"/>
    <w:lvl w:ilvl="0">
      <w:lvlJc w:val="left"/>
      <w:lvlText w:val="%1."/>
      <w:numFmt w:val="decimal"/>
      <w:start w:val="20"/>
    </w:lvl>
  </w:abstractNum>
  <w:abstractNum w:abstractNumId="87">
    <w:nsid w:val="71C1AF98"/>
    <w:multiLevelType w:val="hybridMultilevel"/>
    <w:lvl w:ilvl="0">
      <w:lvlJc w:val="left"/>
      <w:lvlText w:val="%1."/>
      <w:numFmt w:val="decimal"/>
      <w:start w:val="21"/>
    </w:lvl>
  </w:abstractNum>
  <w:abstractNum w:abstractNumId="88">
    <w:nsid w:val="3D00B9D9"/>
    <w:multiLevelType w:val="hybridMultilevel"/>
    <w:lvl w:ilvl="0">
      <w:lvlJc w:val="left"/>
      <w:lvlText w:val="%1."/>
      <w:numFmt w:val="decimal"/>
      <w:start w:val="22"/>
    </w:lvl>
  </w:abstractNum>
  <w:abstractNum w:abstractNumId="89">
    <w:nsid w:val="15BCABA8"/>
    <w:multiLevelType w:val="hybridMultilevel"/>
    <w:lvl w:ilvl="0">
      <w:lvlJc w:val="left"/>
      <w:lvlText w:val="(%1)"/>
      <w:numFmt w:val="lowerLetter"/>
      <w:start w:val="1"/>
    </w:lvl>
  </w:abstractNum>
  <w:abstractNum w:abstractNumId="90">
    <w:nsid w:val="4E0B9A87"/>
    <w:multiLevelType w:val="hybridMultilevel"/>
    <w:lvl w:ilvl="0">
      <w:lvlJc w:val="left"/>
      <w:lvlText w:val="(%1)"/>
      <w:numFmt w:val="lowerLetter"/>
      <w:start w:val="2"/>
    </w:lvl>
  </w:abstractNum>
  <w:abstractNum w:abstractNumId="91">
    <w:nsid w:val="434BAE75"/>
    <w:multiLevelType w:val="hybridMultilevel"/>
    <w:lvl w:ilvl="0">
      <w:lvlJc w:val="left"/>
      <w:lvlText w:val="%1."/>
      <w:numFmt w:val="decimal"/>
      <w:start w:val="23"/>
    </w:lvl>
  </w:abstractNum>
  <w:abstractNum w:abstractNumId="92">
    <w:nsid w:val="4F38F265"/>
    <w:multiLevelType w:val="hybridMultilevel"/>
    <w:lvl w:ilvl="0">
      <w:lvlJc w:val="left"/>
      <w:lvlText w:val="%1."/>
      <w:numFmt w:val="decimal"/>
      <w:start w:val="24"/>
    </w:lvl>
  </w:abstractNum>
  <w:abstractNum w:abstractNumId="93">
    <w:nsid w:val="4C502870"/>
    <w:multiLevelType w:val="hybridMultilevel"/>
    <w:lvl w:ilvl="0">
      <w:lvlJc w:val="left"/>
      <w:lvlText w:val="(%1)"/>
      <w:numFmt w:val="lowerLetter"/>
      <w:start w:val="1"/>
    </w:lvl>
  </w:abstractNum>
  <w:abstractNum w:abstractNumId="94">
    <w:nsid w:val="1DE8725A"/>
    <w:multiLevelType w:val="hybridMultilevel"/>
    <w:lvl w:ilvl="0">
      <w:lvlJc w:val="left"/>
      <w:lvlText w:val="(%1)"/>
      <w:numFmt w:val="lowerLetter"/>
      <w:start w:val="3"/>
    </w:lvl>
  </w:abstractNum>
  <w:abstractNum w:abstractNumId="95">
    <w:nsid w:val="6A37288A"/>
    <w:multiLevelType w:val="hybridMultilevel"/>
    <w:lvl w:ilvl="0">
      <w:lvlJc w:val="left"/>
      <w:lvlText w:val="%1."/>
      <w:numFmt w:val="decimal"/>
      <w:start w:val="25"/>
    </w:lvl>
  </w:abstractNum>
  <w:abstractNum w:abstractNumId="96">
    <w:nsid w:val="8F8B73F"/>
    <w:multiLevelType w:val="hybridMultilevel"/>
    <w:lvl w:ilvl="0">
      <w:lvlJc w:val="left"/>
      <w:lvlText w:val="%1."/>
      <w:numFmt w:val="decimal"/>
      <w:start w:val="26"/>
    </w:lvl>
  </w:abstractNum>
  <w:abstractNum w:abstractNumId="97">
    <w:nsid w:val="CA6B462"/>
    <w:multiLevelType w:val="hybridMultilevel"/>
    <w:lvl w:ilvl="0">
      <w:lvlJc w:val="left"/>
      <w:lvlText w:val="%1."/>
      <w:numFmt w:val="decimal"/>
      <w:start w:val="27"/>
    </w:lvl>
  </w:abstractNum>
  <w:abstractNum w:abstractNumId="98">
    <w:nsid w:val="763CB680"/>
    <w:multiLevelType w:val="hybridMultilevel"/>
    <w:lvl w:ilvl="0">
      <w:lvlJc w:val="left"/>
      <w:lvlText w:val="%1."/>
      <w:numFmt w:val="decimal"/>
      <w:start w:val="28"/>
    </w:lvl>
  </w:abstractNum>
  <w:abstractNum w:abstractNumId="99">
    <w:nsid w:val="15B71329"/>
    <w:multiLevelType w:val="hybridMultilevel"/>
    <w:lvl w:ilvl="0">
      <w:lvlJc w:val="left"/>
      <w:lvlText w:val="%1."/>
      <w:numFmt w:val="decimal"/>
      <w:start w:val="29"/>
    </w:lvl>
  </w:abstractNum>
  <w:abstractNum w:abstractNumId="100">
    <w:nsid w:val="3DA97044"/>
    <w:multiLevelType w:val="hybridMultilevel"/>
    <w:lvl w:ilvl="0">
      <w:lvlJc w:val="left"/>
      <w:lvlText w:val="%1."/>
      <w:numFmt w:val="decimal"/>
      <w:start w:val="30"/>
    </w:lvl>
  </w:abstractNum>
  <w:abstractNum w:abstractNumId="101">
    <w:nsid w:val="1CDCE2DE"/>
    <w:multiLevelType w:val="hybridMultilevel"/>
    <w:lvl w:ilvl="0">
      <w:lvlJc w:val="left"/>
      <w:lvlText w:val="%1."/>
      <w:numFmt w:val="decimal"/>
      <w:start w:val="31"/>
    </w:lvl>
  </w:abstractNum>
  <w:abstractNum w:abstractNumId="102">
    <w:nsid w:val="69D3947C"/>
    <w:multiLevelType w:val="hybridMultilevel"/>
    <w:lvl w:ilvl="0">
      <w:lvlJc w:val="left"/>
      <w:lvlText w:val="%1."/>
      <w:numFmt w:val="decimal"/>
      <w:start w:val="32"/>
    </w:lvl>
  </w:abstractNum>
  <w:abstractNum w:abstractNumId="103">
    <w:nsid w:val="2539DFA5"/>
    <w:multiLevelType w:val="hybridMultilevel"/>
    <w:lvl w:ilvl="0">
      <w:lvlJc w:val="left"/>
      <w:lvlText w:val="%1."/>
      <w:numFmt w:val="decimal"/>
      <w:start w:val="33"/>
    </w:lvl>
  </w:abstractNum>
  <w:abstractNum w:abstractNumId="104">
    <w:nsid w:val="2DB88089"/>
    <w:multiLevelType w:val="hybridMultilevel"/>
    <w:lvl w:ilvl="0">
      <w:lvlJc w:val="left"/>
      <w:lvlText w:val="%1."/>
      <w:numFmt w:val="decimal"/>
      <w:start w:val="1"/>
    </w:lvl>
  </w:abstractNum>
  <w:abstractNum w:abstractNumId="105">
    <w:nsid w:val="706B674E"/>
    <w:multiLevelType w:val="hybridMultilevel"/>
    <w:lvl w:ilvl="0">
      <w:lvlJc w:val="left"/>
      <w:lvlText w:val="%1."/>
      <w:numFmt w:val="decimal"/>
      <w:start w:val="2"/>
    </w:lvl>
  </w:abstractNum>
  <w:abstractNum w:abstractNumId="106">
    <w:nsid w:val="2C106A57"/>
    <w:multiLevelType w:val="hybridMultilevel"/>
    <w:lvl w:ilvl="0">
      <w:lvlJc w:val="left"/>
      <w:lvlText w:val="%1."/>
      <w:numFmt w:val="decimal"/>
      <w:start w:val="3"/>
    </w:lvl>
  </w:abstractNum>
  <w:abstractNum w:abstractNumId="107">
    <w:nsid w:val="684EED59"/>
    <w:multiLevelType w:val="hybridMultilevel"/>
    <w:lvl w:ilvl="0">
      <w:lvlJc w:val="left"/>
      <w:lvlText w:val="(%1)"/>
      <w:numFmt w:val="lowerRoman"/>
      <w:start w:val="1"/>
    </w:lvl>
  </w:abstractNum>
  <w:abstractNum w:abstractNumId="108">
    <w:nsid w:val="545EE5D3"/>
    <w:multiLevelType w:val="hybridMultilevel"/>
    <w:lvl w:ilvl="0">
      <w:lvlJc w:val="left"/>
      <w:lvlText w:val="(%1)"/>
      <w:numFmt w:val="decimal"/>
      <w:start w:val="30"/>
    </w:lvl>
  </w:abstractNum>
  <w:abstractNum w:abstractNumId="109">
    <w:nsid w:val="4A66051"/>
    <w:multiLevelType w:val="hybridMultilevel"/>
    <w:lvl w:ilvl="0">
      <w:lvlJc w:val="left"/>
      <w:lvlText w:val="%1."/>
      <w:numFmt w:val="decimal"/>
      <w:start w:val="4"/>
    </w:lvl>
  </w:abstractNum>
  <w:abstractNum w:abstractNumId="110">
    <w:nsid w:val="20F4BDAD"/>
    <w:multiLevelType w:val="hybridMultilevel"/>
    <w:lvl w:ilvl="0">
      <w:lvlJc w:val="left"/>
      <w:lvlText w:val="%1."/>
      <w:numFmt w:val="decimal"/>
      <w:start w:val="6"/>
    </w:lvl>
  </w:abstractNum>
  <w:abstractNum w:abstractNumId="111">
    <w:nsid w:val="639DEFAC"/>
    <w:multiLevelType w:val="hybridMultilevel"/>
    <w:lvl w:ilvl="0">
      <w:lvlJc w:val="left"/>
      <w:lvlText w:val="%1."/>
      <w:numFmt w:val="decimal"/>
      <w:start w:val="7"/>
    </w:lvl>
  </w:abstractNum>
  <w:abstractNum w:abstractNumId="112">
    <w:nsid w:val="501F9786"/>
    <w:multiLevelType w:val="hybridMultilevel"/>
    <w:lvl w:ilvl="0">
      <w:lvlJc w:val="left"/>
      <w:lvlText w:val="%1."/>
      <w:numFmt w:val="decimal"/>
      <w:start w:val="8"/>
    </w:lvl>
  </w:abstractNum>
  <w:abstractNum w:abstractNumId="113">
    <w:nsid w:val="6B057295"/>
    <w:multiLevelType w:val="hybridMultilevel"/>
    <w:lvl w:ilvl="0">
      <w:lvlJc w:val="left"/>
      <w:lvlText w:val="%1."/>
      <w:numFmt w:val="decimal"/>
      <w:start w:val="9"/>
    </w:lvl>
  </w:abstractNum>
  <w:abstractNum w:abstractNumId="114">
    <w:nsid w:val="2771AC80"/>
    <w:multiLevelType w:val="hybridMultilevel"/>
    <w:lvl w:ilvl="0">
      <w:lvlJc w:val="left"/>
      <w:lvlText w:val="%1."/>
      <w:numFmt w:val="decimal"/>
      <w:start w:val="11"/>
    </w:lvl>
  </w:abstractNum>
  <w:abstractNum w:abstractNumId="115">
    <w:nsid w:val="1C4A08EC"/>
    <w:multiLevelType w:val="hybridMultilevel"/>
    <w:lvl w:ilvl="0">
      <w:lvlJc w:val="left"/>
      <w:lvlText w:val="%1"/>
      <w:numFmt w:val="lowerRoman"/>
      <w:start w:val="1"/>
    </w:lvl>
    <w:lvl w:ilvl="1">
      <w:lvlJc w:val="left"/>
      <w:lvlText w:val="%2."/>
      <w:numFmt w:val="upperLetter"/>
      <w:start w:val="1"/>
    </w:lvl>
  </w:abstractNum>
  <w:abstractNum w:abstractNumId="116">
    <w:nsid w:val="1958BD17"/>
    <w:multiLevelType w:val="hybridMultilevel"/>
    <w:lvl w:ilvl="0">
      <w:lvlJc w:val="left"/>
      <w:lvlText w:val="(%1)"/>
      <w:numFmt w:val="lowerRoman"/>
      <w:start w:val="1"/>
    </w:lvl>
    <w:lvl w:ilvl="1">
      <w:lvlJc w:val="left"/>
      <w:lvlText w:val="%2."/>
      <w:numFmt w:val="upperLetter"/>
      <w:start w:val="4"/>
    </w:lvl>
  </w:abstractNum>
  <w:abstractNum w:abstractNumId="117">
    <w:nsid w:val="4E647FE4"/>
    <w:multiLevelType w:val="hybridMultilevel"/>
    <w:lvl w:ilvl="0">
      <w:lvlJc w:val="left"/>
      <w:lvlText w:val="%1."/>
      <w:numFmt w:val="upperLetter"/>
      <w:start w:val="6"/>
    </w:lvl>
  </w:abstractNum>
  <w:abstractNum w:abstractNumId="118">
    <w:nsid w:val="E0BB885"/>
    <w:multiLevelType w:val="hybridMultilevel"/>
    <w:lvl w:ilvl="0">
      <w:lvlJc w:val="left"/>
      <w:lvlText w:val="%1."/>
      <w:numFmt w:val="decimal"/>
      <w:start w:val="1"/>
    </w:lvl>
    <w:lvl w:ilvl="1">
      <w:lvlJc w:val="left"/>
      <w:lvlText w:val="(%2)"/>
      <w:numFmt w:val="lowerLetter"/>
      <w:start w:val="1"/>
    </w:lvl>
  </w:abstractNum>
  <w:abstractNum w:abstractNumId="119">
    <w:nsid w:val="565976F1"/>
    <w:multiLevelType w:val="hybridMultilevel"/>
    <w:lvl w:ilvl="0">
      <w:lvlJc w:val="left"/>
      <w:lvlText w:val="%1"/>
      <w:numFmt w:val="lowerLetter"/>
      <w:start w:val="1"/>
    </w:lvl>
    <w:lvl w:ilvl="1">
      <w:lvlJc w:val="left"/>
      <w:lvlText w:val="(%2)"/>
      <w:numFmt w:val="lowerLetter"/>
      <w:start w:val="3"/>
    </w:lvl>
  </w:abstractNum>
  <w:abstractNum w:abstractNumId="120">
    <w:nsid w:val="64212B8C"/>
    <w:multiLevelType w:val="hybridMultilevel"/>
    <w:lvl w:ilvl="0">
      <w:lvlJc w:val="left"/>
      <w:lvlText w:val="(%1)"/>
      <w:numFmt w:val="lowerLetter"/>
      <w:start w:val="35"/>
    </w:lvl>
    <w:lvl w:ilvl="1">
      <w:lvlJc w:val="left"/>
      <w:lvlText w:val="%2"/>
      <w:numFmt w:val="lowerLetter"/>
      <w:start w:val="1"/>
    </w:lvl>
  </w:abstractNum>
  <w:abstractNum w:abstractNumId="121">
    <w:nsid w:val="5C17530C"/>
    <w:multiLevelType w:val="hybridMultilevel"/>
    <w:lvl w:ilvl="0">
      <w:lvlJc w:val="left"/>
      <w:lvlText w:val="%1."/>
      <w:numFmt w:val="decimal"/>
      <w:start w:val="2"/>
    </w:lvl>
  </w:abstractNum>
  <w:abstractNum w:abstractNumId="122">
    <w:nsid w:val="19A52566"/>
    <w:multiLevelType w:val="hybridMultilevel"/>
    <w:lvl w:ilvl="0">
      <w:lvlJc w:val="left"/>
      <w:lvlText w:val="(%1)"/>
      <w:numFmt w:val="lowerLetter"/>
      <w:start w:val="1"/>
    </w:lvl>
  </w:abstractNum>
  <w:abstractNum w:abstractNumId="123">
    <w:nsid w:val="335A1DF1"/>
    <w:multiLevelType w:val="hybridMultilevel"/>
    <w:lvl w:ilvl="0">
      <w:lvlJc w:val="left"/>
      <w:lvlText w:val="%1"/>
      <w:numFmt w:val="decimal"/>
      <w:start w:val="1"/>
    </w:lvl>
    <w:lvl w:ilvl="1">
      <w:lvlJc w:val="left"/>
      <w:lvlText w:val="(%2)"/>
      <w:numFmt w:val="lowerLetter"/>
      <w:start w:val="5"/>
    </w:lvl>
  </w:abstractNum>
  <w:abstractNum w:abstractNumId="124">
    <w:nsid w:val="28677B7C"/>
    <w:multiLevelType w:val="hybridMultilevel"/>
    <w:lvl w:ilvl="0">
      <w:lvlJc w:val="left"/>
      <w:lvlText w:val="%1."/>
      <w:numFmt w:val="decimal"/>
      <w:start w:val="3"/>
    </w:lvl>
    <w:lvl w:ilvl="1">
      <w:lvlJc w:val="left"/>
      <w:lvlText w:val="%2"/>
      <w:numFmt w:val="lowerLetter"/>
      <w:start w:val="1"/>
    </w:lvl>
  </w:abstractNum>
  <w:abstractNum w:abstractNumId="125">
    <w:nsid w:val="378D97C0"/>
    <w:multiLevelType w:val="hybridMultilevel"/>
    <w:lvl w:ilvl="0">
      <w:lvlJc w:val="left"/>
      <w:lvlText w:val="(%1)"/>
      <w:numFmt w:val="lowerLetter"/>
      <w:start w:val="1"/>
    </w:lvl>
  </w:abstractNum>
  <w:abstractNum w:abstractNumId="126">
    <w:nsid w:val="1D91467C"/>
    <w:multiLevelType w:val="hybridMultilevel"/>
    <w:lvl w:ilvl="0">
      <w:lvlJc w:val="left"/>
      <w:lvlText w:val="(%1)"/>
      <w:numFmt w:val="lowerLetter"/>
      <w:start w:val="2"/>
    </w:lvl>
  </w:abstractNum>
  <w:abstractNum w:abstractNumId="127">
    <w:nsid w:val="316032BB"/>
    <w:multiLevelType w:val="hybridMultilevel"/>
    <w:lvl w:ilvl="0">
      <w:lvlJc w:val="left"/>
      <w:lvlText w:val="%1"/>
      <w:numFmt w:val="lowerLetter"/>
      <w:start w:val="1"/>
    </w:lvl>
    <w:lvl w:ilvl="1">
      <w:lvlJc w:val="left"/>
      <w:lvlText w:val="(%2)"/>
      <w:numFmt w:val="lowerLetter"/>
      <w:start w:val="3"/>
    </w:lvl>
  </w:abstractNum>
  <w:abstractNum w:abstractNumId="128">
    <w:nsid w:val="44344C22"/>
    <w:multiLevelType w:val="hybridMultilevel"/>
    <w:lvl w:ilvl="0">
      <w:lvlJc w:val="left"/>
      <w:lvlText w:val="(%1)"/>
      <w:numFmt w:val="lowerLetter"/>
      <w:start w:val="9"/>
    </w:lvl>
    <w:lvl w:ilvl="1">
      <w:lvlJc w:val="left"/>
      <w:lvlText w:val="(%2)"/>
      <w:numFmt w:val="lowerLetter"/>
      <w:start w:val="4"/>
    </w:lvl>
  </w:abstractNum>
  <w:abstractNum w:abstractNumId="129">
    <w:nsid w:val="13CDFCFC"/>
    <w:multiLevelType w:val="hybridMultilevel"/>
    <w:lvl w:ilvl="0">
      <w:lvlJc w:val="left"/>
      <w:lvlText w:val="%1"/>
      <w:numFmt w:val="lowerLetter"/>
      <w:start w:val="1"/>
    </w:lvl>
    <w:lvl w:ilvl="1">
      <w:lvlJc w:val="left"/>
      <w:lvlText w:val="(%2)"/>
      <w:numFmt w:val="lowerLetter"/>
      <w:start w:val="5"/>
    </w:lvl>
  </w:abstractNum>
  <w:abstractNum w:abstractNumId="130">
    <w:nsid w:val="471745E4"/>
    <w:multiLevelType w:val="hybridMultilevel"/>
    <w:lvl w:ilvl="0">
      <w:lvlJc w:val="left"/>
      <w:lvlText w:val="(%1)"/>
      <w:numFmt w:val="lowerLetter"/>
      <w:start w:val="9"/>
    </w:lvl>
    <w:lvl w:ilvl="1">
      <w:lvlJc w:val="left"/>
      <w:lvlText w:val="(%2)"/>
      <w:numFmt w:val="lowerLetter"/>
      <w:start w:val="7"/>
    </w:lvl>
  </w:abstractNum>
  <w:abstractNum w:abstractNumId="131">
    <w:nsid w:val="1DDBC66"/>
    <w:multiLevelType w:val="hybridMultilevel"/>
    <w:lvl w:ilvl="0">
      <w:lvlJc w:val="left"/>
      <w:lvlText w:val="(%1)"/>
      <w:numFmt w:val="lowerLetter"/>
      <w:start w:val="8"/>
    </w:lvl>
  </w:abstractNum>
  <w:abstractNum w:abstractNumId="132">
    <w:nsid w:val="30AADFDA"/>
    <w:multiLevelType w:val="hybridMultilevel"/>
    <w:lvl w:ilvl="0">
      <w:lvlJc w:val="left"/>
      <w:lvlText w:val="(%1)"/>
      <w:numFmt w:val="lowerLetter"/>
      <w:start w:val="11"/>
    </w:lvl>
  </w:abstractNum>
  <w:abstractNum w:abstractNumId="133">
    <w:nsid w:val="30EADA61"/>
    <w:multiLevelType w:val="hybridMultilevel"/>
    <w:lvl w:ilvl="0">
      <w:lvlJc w:val="left"/>
      <w:lvlText w:val="%1"/>
      <w:numFmt w:val="lowerLetter"/>
      <w:start w:val="1"/>
    </w:lvl>
    <w:lvl w:ilvl="1">
      <w:lvlJc w:val="left"/>
      <w:lvlText w:val="(%2)"/>
      <w:numFmt w:val="lowerLetter"/>
      <w:start w:val="13"/>
    </w:lvl>
  </w:abstractNum>
  <w:abstractNum w:abstractNumId="134">
    <w:nsid w:val="27179C0B"/>
    <w:multiLevelType w:val="hybridMultilevel"/>
    <w:lvl w:ilvl="0">
      <w:lvlJc w:val="left"/>
      <w:lvlText w:val="(%1)"/>
      <w:numFmt w:val="lowerLetter"/>
      <w:start w:val="35"/>
    </w:lvl>
    <w:lvl w:ilvl="1">
      <w:lvlJc w:val="left"/>
      <w:lvlText w:val="%2"/>
      <w:numFmt w:val="lowerLetter"/>
      <w:start w:val="1"/>
    </w:lvl>
  </w:abstractNum>
  <w:abstractNum w:abstractNumId="135">
    <w:nsid w:val="5E636063"/>
    <w:multiLevelType w:val="hybridMultilevel"/>
    <w:lvl w:ilvl="0">
      <w:lvlJc w:val="left"/>
      <w:lvlText w:val="(%1)"/>
      <w:numFmt w:val="lowerLetter"/>
      <w:start w:val="15"/>
    </w:lvl>
    <w:lvl w:ilvl="1">
      <w:lvlJc w:val="left"/>
      <w:lvlText w:val="(%2)"/>
      <w:numFmt w:val="decimal"/>
      <w:start w:val="1"/>
    </w:lvl>
  </w:abstractNum>
  <w:abstractNum w:abstractNumId="136">
    <w:nsid w:val="215641AF"/>
    <w:multiLevelType w:val="hybridMultilevel"/>
    <w:lvl w:ilvl="0">
      <w:lvlJc w:val="left"/>
      <w:lvlText w:val="(%1)"/>
      <w:numFmt w:val="lowerLetter"/>
      <w:start w:val="1"/>
    </w:lvl>
  </w:abstractNum>
  <w:abstractNum w:abstractNumId="137">
    <w:nsid w:val="53280662"/>
    <w:multiLevelType w:val="hybridMultilevel"/>
    <w:lvl w:ilvl="0">
      <w:lvlJc w:val="left"/>
      <w:lvlText w:val="%1"/>
      <w:numFmt w:val="upperLetter"/>
      <w:start w:val="1"/>
    </w:lvl>
    <w:lvl w:ilvl="1">
      <w:lvlJc w:val="left"/>
      <w:lvlText w:val="(%2)"/>
      <w:numFmt w:val="lowerLetter"/>
      <w:start w:val="2"/>
    </w:lvl>
  </w:abstractNum>
  <w:abstractNum w:abstractNumId="138">
    <w:nsid w:val="46B24DBC"/>
    <w:multiLevelType w:val="hybridMultilevel"/>
    <w:lvl w:ilvl="0">
      <w:lvlJc w:val="left"/>
      <w:lvlText w:val="(%1)"/>
      <w:numFmt w:val="upperLetter"/>
      <w:start w:val="6"/>
    </w:lvl>
    <w:lvl w:ilvl="1">
      <w:lvlJc w:val="left"/>
      <w:lvlText w:val="(%2)"/>
      <w:numFmt w:val="lowerLetter"/>
      <w:start w:val="3"/>
    </w:lvl>
  </w:abstractNum>
  <w:abstractNum w:abstractNumId="139">
    <w:nsid w:val="75B52783"/>
    <w:multiLevelType w:val="hybridMultilevel"/>
    <w:lvl w:ilvl="0">
      <w:lvlJc w:val="left"/>
      <w:lvlText w:val="(%1)"/>
      <w:numFmt w:val="lowerLetter"/>
      <w:start w:val="4"/>
    </w:lvl>
  </w:abstractNum>
  <w:abstractNum w:abstractNumId="140">
    <w:nsid w:val="57CE66B4"/>
    <w:multiLevelType w:val="hybridMultilevel"/>
    <w:lvl w:ilvl="0">
      <w:lvlJc w:val="left"/>
      <w:lvlText w:val="%1"/>
      <w:numFmt w:val="lowerLetter"/>
      <w:start w:val="1"/>
    </w:lvl>
    <w:lvl w:ilvl="1">
      <w:lvlJc w:val="left"/>
      <w:lvlText w:val="(%2)"/>
      <w:numFmt w:val="lowerLetter"/>
      <w:start w:val="7"/>
    </w:lvl>
  </w:abstractNum>
  <w:abstractNum w:abstractNumId="141">
    <w:nsid w:val="67A70B69"/>
    <w:multiLevelType w:val="hybridMultilevel"/>
    <w:lvl w:ilvl="0">
      <w:lvlJc w:val="left"/>
      <w:lvlText w:val="(%1)"/>
      <w:numFmt w:val="lowerLetter"/>
      <w:start w:val="61"/>
    </w:lvl>
    <w:lvl w:ilvl="1">
      <w:lvlJc w:val="left"/>
      <w:lvlText w:val="%2"/>
      <w:numFmt w:val="lowerLetter"/>
      <w:start w:val="1"/>
    </w:lvl>
  </w:abstractNum>
  <w:abstractNum w:abstractNumId="142">
    <w:nsid w:val="5953172F"/>
    <w:multiLevelType w:val="hybridMultilevel"/>
    <w:lvl w:ilvl="0">
      <w:lvlJc w:val="left"/>
      <w:lvlText w:val="(%1)"/>
      <w:numFmt w:val="lowerLetter"/>
      <w:start w:val="11"/>
    </w:lvl>
  </w:abstractNum>
  <w:abstractNum w:abstractNumId="143">
    <w:nsid w:val="27EDFE3A"/>
    <w:multiLevelType w:val="hybridMultilevel"/>
    <w:lvl w:ilvl="0">
      <w:lvlJc w:val="left"/>
      <w:lvlText w:val="(%1)"/>
      <w:numFmt w:val="lowerLetter"/>
      <w:start w:val="14"/>
    </w:lvl>
  </w:abstractNum>
  <w:abstractNum w:abstractNumId="144">
    <w:nsid w:val="52AC7DFF"/>
    <w:multiLevelType w:val="hybridMultilevel"/>
    <w:lvl w:ilvl="0">
      <w:lvlJc w:val="left"/>
      <w:lvlText w:val="%1"/>
      <w:numFmt w:val="lowerLetter"/>
      <w:start w:val="1"/>
    </w:lvl>
    <w:lvl w:ilvl="1">
      <w:lvlJc w:val="left"/>
      <w:lvlText w:val="(%2)"/>
      <w:numFmt w:val="lowerLetter"/>
      <w:start w:val="20"/>
    </w:lvl>
  </w:abstractNum>
  <w:abstractNum w:abstractNumId="145">
    <w:nsid w:val="C4C3AF"/>
    <w:multiLevelType w:val="hybridMultilevel"/>
    <w:lvl w:ilvl="0">
      <w:lvlJc w:val="left"/>
      <w:lvlText w:val="(%1)"/>
      <w:numFmt w:val="lowerLetter"/>
      <w:start w:val="1"/>
    </w:lvl>
    <w:lvl w:ilvl="1">
      <w:lvlJc w:val="left"/>
      <w:lvlText w:val="(%2)"/>
      <w:numFmt w:val="lowerLetter"/>
      <w:start w:val="26"/>
    </w:lvl>
  </w:abstractNum>
  <w:abstractNum w:abstractNumId="146">
    <w:nsid w:val="44380727"/>
    <w:multiLevelType w:val="hybridMultilevel"/>
    <w:lvl w:ilvl="0">
      <w:lvlJc w:val="left"/>
      <w:lvlText w:val="%1"/>
      <w:numFmt w:val="decimal"/>
      <w:start w:val="1"/>
    </w:lvl>
    <w:lvl w:ilvl="1">
      <w:lvlJc w:val="left"/>
      <w:lvlText w:val="(%2)"/>
      <w:numFmt w:val="lowerLetter"/>
      <w:start w:val="27"/>
    </w:lvl>
  </w:abstractNum>
  <w:abstractNum w:abstractNumId="147">
    <w:nsid w:val="6C053B16"/>
    <w:multiLevelType w:val="hybridMultilevel"/>
    <w:lvl w:ilvl="0">
      <w:lvlJc w:val="left"/>
      <w:lvlText w:val="%1."/>
      <w:numFmt w:val="decimal"/>
      <w:start w:val="4"/>
    </w:lvl>
    <w:lvl w:ilvl="1">
      <w:lvlJc w:val="left"/>
      <w:lvlText w:val="(%2)"/>
      <w:numFmt w:val="lowerLetter"/>
      <w:start w:val="1"/>
    </w:lvl>
  </w:abstractNum>
  <w:abstractNum w:abstractNumId="148">
    <w:nsid w:val="4F294393"/>
    <w:multiLevelType w:val="hybridMultilevel"/>
    <w:lvl w:ilvl="0">
      <w:lvlJc w:val="left"/>
      <w:lvlText w:val="%1"/>
      <w:numFmt w:val="lowerLetter"/>
      <w:start w:val="1"/>
    </w:lvl>
    <w:lvl w:ilvl="1">
      <w:lvlJc w:val="left"/>
      <w:lvlText w:val="(%2)"/>
      <w:numFmt w:val="lowerLetter"/>
      <w:start w:val="9"/>
    </w:lvl>
  </w:abstractNum>
  <w:abstractNum w:abstractNumId="149">
    <w:nsid w:val="5243BFAC"/>
    <w:multiLevelType w:val="hybridMultilevel"/>
    <w:lvl w:ilvl="0">
      <w:lvlJc w:val="left"/>
      <w:lvlText w:val="(%1)"/>
      <w:numFmt w:val="lowerLetter"/>
      <w:start w:val="2"/>
    </w:lvl>
    <w:lvl w:ilvl="1">
      <w:lvlJc w:val="left"/>
      <w:lvlText w:val="(%2)"/>
      <w:numFmt w:val="lowerLetter"/>
      <w:start w:val="35"/>
    </w:lvl>
  </w:abstractNum>
  <w:abstractNum w:abstractNumId="150">
    <w:nsid w:val="425EB207"/>
    <w:multiLevelType w:val="hybridMultilevel"/>
    <w:lvl w:ilvl="0">
      <w:lvlJc w:val="left"/>
      <w:lvlText w:val="%1"/>
      <w:numFmt w:val="lowerLetter"/>
      <w:start w:val="1"/>
    </w:lvl>
    <w:lvl w:ilvl="1">
      <w:lvlJc w:val="left"/>
      <w:lvlText w:val="(%2)"/>
      <w:numFmt w:val="lowerLetter"/>
      <w:start w:val="3"/>
    </w:lvl>
  </w:abstractNum>
  <w:abstractNum w:abstractNumId="151">
    <w:nsid w:val="334A6F1F"/>
    <w:multiLevelType w:val="hybridMultilevel"/>
    <w:lvl w:ilvl="0">
      <w:lvlJc w:val="left"/>
      <w:lvlText w:val="(%1)"/>
      <w:numFmt w:val="lowerLetter"/>
      <w:start w:val="9"/>
    </w:lvl>
    <w:lvl w:ilvl="1">
      <w:lvlJc w:val="left"/>
      <w:lvlText w:val="%2"/>
      <w:numFmt w:val="lowerLetter"/>
      <w:start w:val="1"/>
    </w:lvl>
  </w:abstractNum>
  <w:abstractNum w:abstractNumId="152">
    <w:nsid w:val="2E5B12B8"/>
    <w:multiLevelType w:val="hybridMultilevel"/>
    <w:lvl w:ilvl="0">
      <w:lvlJc w:val="left"/>
      <w:lvlText w:val="%1"/>
      <w:numFmt w:val="lowerLetter"/>
      <w:start w:val="1"/>
    </w:lvl>
    <w:lvl w:ilvl="1">
      <w:lvlJc w:val="left"/>
      <w:lvlText w:val="(%2)"/>
      <w:numFmt w:val="lowerLetter"/>
      <w:start w:val="5"/>
    </w:lvl>
  </w:abstractNum>
  <w:abstractNum w:abstractNumId="153">
    <w:nsid w:val="5C03D76D"/>
    <w:multiLevelType w:val="hybridMultilevel"/>
    <w:lvl w:ilvl="0">
      <w:lvlJc w:val="left"/>
      <w:lvlText w:val="(%1)"/>
      <w:numFmt w:val="lowerLetter"/>
      <w:start w:val="9"/>
    </w:lvl>
    <w:lvl w:ilvl="1">
      <w:lvlJc w:val="left"/>
      <w:lvlText w:val="(%2)"/>
      <w:numFmt w:val="lowerLetter"/>
      <w:start w:val="8"/>
    </w:lvl>
  </w:abstractNum>
  <w:abstractNum w:abstractNumId="154">
    <w:nsid w:val="66A48D11"/>
    <w:multiLevelType w:val="hybridMultilevel"/>
    <w:lvl w:ilvl="0">
      <w:lvlJc w:val="left"/>
      <w:lvlText w:val="(%1)"/>
      <w:numFmt w:val="lowerLetter"/>
      <w:start w:val="9"/>
    </w:lvl>
  </w:abstractNum>
  <w:abstractNum w:abstractNumId="155">
    <w:nsid w:val="56C28E34"/>
    <w:multiLevelType w:val="hybridMultilevel"/>
    <w:lvl w:ilvl="0">
      <w:lvlJc w:val="left"/>
      <w:lvlText w:val="(%1)"/>
      <w:numFmt w:val="lowerLetter"/>
      <w:start w:val="12"/>
    </w:lvl>
  </w:abstractNum>
  <w:abstractNum w:abstractNumId="156">
    <w:nsid w:val="13916F2D"/>
    <w:multiLevelType w:val="hybridMultilevel"/>
    <w:lvl w:ilvl="0">
      <w:lvlJc w:val="left"/>
      <w:lvlText w:val="(%1)"/>
      <w:numFmt w:val="lowerLetter"/>
      <w:start w:val="13"/>
    </w:lvl>
  </w:abstractNum>
  <w:abstractNum w:abstractNumId="157">
    <w:nsid w:val="435D38D"/>
    <w:multiLevelType w:val="hybridMultilevel"/>
    <w:lvl w:ilvl="0">
      <w:lvlJc w:val="left"/>
      <w:lvlText w:val="(%1)"/>
      <w:numFmt w:val="lowerLetter"/>
      <w:start w:val="15"/>
    </w:lvl>
  </w:abstractNum>
  <w:abstractNum w:abstractNumId="158">
    <w:nsid w:val="822C0EF"/>
    <w:multiLevelType w:val="hybridMultilevel"/>
    <w:lvl w:ilvl="0">
      <w:lvlJc w:val="left"/>
      <w:lvlText w:val="(%1)"/>
      <w:numFmt w:val="lowerLetter"/>
      <w:start w:val="18"/>
    </w:lvl>
    <w:lvl w:ilvl="1">
      <w:lvlJc w:val="left"/>
      <w:lvlText w:val="(%2)"/>
      <w:numFmt w:val="lowerLetter"/>
      <w:start w:val="9"/>
    </w:lvl>
  </w:abstractNum>
  <w:abstractNum w:abstractNumId="159">
    <w:nsid w:val="57C5BB4F"/>
    <w:multiLevelType w:val="hybridMultilevel"/>
    <w:lvl w:ilvl="0">
      <w:lvlJc w:val="left"/>
      <w:lvlText w:val="(%1)"/>
      <w:numFmt w:val="lowerRoman"/>
      <w:start w:val="2"/>
    </w:lvl>
  </w:abstractNum>
  <w:abstractNum w:abstractNumId="160">
    <w:nsid w:val="1803D089"/>
    <w:multiLevelType w:val="hybridMultilevel"/>
    <w:lvl w:ilvl="0">
      <w:lvlJc w:val="left"/>
      <w:lvlText w:val="(%1)"/>
      <w:numFmt w:val="lowerRoman"/>
      <w:start w:val="3"/>
    </w:lvl>
  </w:abstractNum>
  <w:abstractNum w:abstractNumId="161">
    <w:nsid w:val="4F3A06D4"/>
    <w:multiLevelType w:val="hybridMultilevel"/>
    <w:lvl w:ilvl="0">
      <w:lvlJc w:val="left"/>
      <w:lvlText w:val="%1"/>
      <w:numFmt w:val="decimal"/>
      <w:start w:val="1"/>
    </w:lvl>
    <w:lvl w:ilvl="1">
      <w:lvlJc w:val="left"/>
      <w:lvlText w:val="(%2)"/>
      <w:numFmt w:val="lowerRoman"/>
      <w:start w:val="5"/>
    </w:lvl>
  </w:abstractNum>
  <w:abstractNum w:abstractNumId="162">
    <w:nsid w:val="59A377B6"/>
    <w:multiLevelType w:val="hybridMultilevel"/>
    <w:lvl w:ilvl="0">
      <w:lvlJc w:val="left"/>
      <w:lvlText w:val="%1)"/>
      <w:numFmt w:val="decimal"/>
      <w:start w:val="144"/>
    </w:lvl>
    <w:lvl w:ilvl="1">
      <w:lvlJc w:val="left"/>
      <w:lvlText w:val="(%2)"/>
      <w:numFmt w:val="lowerRoman"/>
      <w:start w:val="8"/>
    </w:lvl>
  </w:abstractNum>
  <w:abstractNum w:abstractNumId="163">
    <w:nsid w:val="48AEB063"/>
    <w:multiLevelType w:val="hybridMultilevel"/>
    <w:lvl w:ilvl="0">
      <w:lvlJc w:val="left"/>
      <w:lvlText w:val="(%1)"/>
      <w:numFmt w:val="lowerRoman"/>
      <w:start w:val="9"/>
    </w:lvl>
  </w:abstractNum>
  <w:abstractNum w:abstractNumId="164">
    <w:nsid w:val="24E135"/>
    <w:multiLevelType w:val="hybridMultilevel"/>
    <w:lvl w:ilvl="0">
      <w:lvlJc w:val="left"/>
      <w:lvlText w:val="(%1)"/>
      <w:numFmt w:val="lowerLetter"/>
      <w:start w:val="20"/>
    </w:lvl>
  </w:abstractNum>
  <w:abstractNum w:abstractNumId="165">
    <w:nsid w:val="BB13C1"/>
    <w:multiLevelType w:val="hybridMultilevel"/>
    <w:lvl w:ilvl="0">
      <w:lvlJc w:val="left"/>
      <w:lvlText w:val="%1."/>
      <w:numFmt w:val="decimal"/>
      <w:start w:val="5"/>
    </w:lvl>
    <w:lvl w:ilvl="1">
      <w:lvlJc w:val="left"/>
      <w:lvlText w:val="(%2)"/>
      <w:numFmt w:val="lowerLetter"/>
      <w:start w:val="1"/>
    </w:lvl>
  </w:abstractNum>
  <w:abstractNum w:abstractNumId="166">
    <w:nsid w:val="271210C7"/>
    <w:multiLevelType w:val="hybridMultilevel"/>
    <w:lvl w:ilvl="0">
      <w:lvlJc w:val="left"/>
      <w:lvlText w:val="(%1)"/>
      <w:numFmt w:val="lowerRoman"/>
      <w:start w:val="1"/>
    </w:lvl>
  </w:abstractNum>
  <w:abstractNum w:abstractNumId="167">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8">
    <w:nsid w:val="53E31A2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9">
    <w:nsid w:val="6DC45E83"/>
    <w:multiLevelType w:val="hybridMultilevel"/>
    <w:lvl w:ilvl="0">
      <w:lvlJc w:val="left"/>
      <w:lvlText w:val="(%1)"/>
      <w:numFmt w:val="lowerRoman"/>
      <w:start w:val="5"/>
    </w:lvl>
  </w:abstractNum>
  <w:abstractNum w:abstractNumId="170">
    <w:nsid w:val="17304A67"/>
    <w:multiLevelType w:val="hybridMultilevel"/>
    <w:lvl w:ilvl="0">
      <w:lvlJc w:val="left"/>
      <w:lvlText w:val="(%1)"/>
      <w:numFmt w:val="lowerRoman"/>
      <w:start w:val="12"/>
    </w:lvl>
  </w:abstractNum>
  <w:abstractNum w:abstractNumId="171">
    <w:nsid w:val="2BB180D8"/>
    <w:multiLevelType w:val="hybridMultilevel"/>
    <w:lvl w:ilvl="0">
      <w:lvlJc w:val="left"/>
      <w:lvlText w:val="%1"/>
      <w:numFmt w:val="decimal"/>
      <w:start w:val="1"/>
    </w:lvl>
    <w:lvl w:ilvl="1">
      <w:lvlJc w:val="left"/>
      <w:lvlText w:val="(%2)"/>
      <w:numFmt w:val="lowerRoman"/>
      <w:start w:val="20"/>
    </w:lvl>
  </w:abstractNum>
  <w:abstractNum w:abstractNumId="172">
    <w:nsid w:val="556B69ED"/>
    <w:multiLevelType w:val="hybridMultilevel"/>
    <w:lvl w:ilvl="0">
      <w:lvlJc w:val="left"/>
      <w:lvlText w:val="%1."/>
      <w:numFmt w:val="decimal"/>
      <w:start w:val="8"/>
    </w:lvl>
    <w:lvl w:ilvl="1">
      <w:lvlJc w:val="left"/>
      <w:lvlText w:val="%2"/>
      <w:numFmt w:val="lowerRoman"/>
      <w:start w:val="1"/>
    </w:lvl>
  </w:abstractNum>
  <w:abstractNum w:abstractNumId="173">
    <w:nsid w:val="70836196"/>
    <w:multiLevelType w:val="hybridMultilevel"/>
    <w:lvl w:ilvl="0">
      <w:lvlJc w:val="left"/>
      <w:lvlText w:val="%1."/>
      <w:numFmt w:val="decimal"/>
      <w:start w:val="9"/>
    </w:lvl>
    <w:lvl w:ilvl="1">
      <w:lvlJc w:val="left"/>
      <w:lvlText w:val="(%2)"/>
      <w:numFmt w:val="lowerLetter"/>
      <w:start w:val="1"/>
    </w:lvl>
  </w:abstractNum>
  <w:abstractNum w:abstractNumId="174">
    <w:nsid w:val="539F7F12"/>
    <w:multiLevelType w:val="hybridMultilevel"/>
    <w:lvl w:ilvl="0">
      <w:lvlJc w:val="left"/>
      <w:lvlText w:val="(%1)"/>
      <w:numFmt w:val="lowerLetter"/>
      <w:start w:val="2"/>
    </w:lvl>
  </w:abstractNum>
  <w:abstractNum w:abstractNumId="175">
    <w:nsid w:val="2817E7EC"/>
    <w:multiLevelType w:val="hybridMultilevel"/>
    <w:lvl w:ilvl="0">
      <w:lvlJc w:val="left"/>
      <w:lvlText w:val="(%1)"/>
      <w:numFmt w:val="lowerLetter"/>
      <w:start w:val="5"/>
    </w:lvl>
  </w:abstractNum>
  <w:abstractNum w:abstractNumId="176">
    <w:nsid w:val="71482545"/>
    <w:multiLevelType w:val="hybridMultilevel"/>
    <w:lvl w:ilvl="0">
      <w:lvlJc w:val="left"/>
      <w:lvlText w:val="(%1)"/>
      <w:numFmt w:val="lowerLetter"/>
      <w:start w:val="6"/>
    </w:lvl>
  </w:abstractNum>
  <w:abstractNum w:abstractNumId="177">
    <w:nsid w:val="17D78639"/>
    <w:multiLevelType w:val="hybridMultilevel"/>
    <w:lvl w:ilvl="0">
      <w:lvlJc w:val="left"/>
      <w:lvlText w:val="(%1)"/>
      <w:numFmt w:val="lowerLetter"/>
      <w:start w:val="7"/>
    </w:lvl>
  </w:abstractNum>
  <w:abstractNum w:abstractNumId="178">
    <w:nsid w:val="141D2302"/>
    <w:multiLevelType w:val="hybridMultilevel"/>
    <w:lvl w:ilvl="0">
      <w:lvlJc w:val="left"/>
      <w:lvlText w:val="(%1)"/>
      <w:numFmt w:val="lowerLetter"/>
      <w:start w:val="11"/>
    </w:lvl>
    <w:lvl w:ilvl="1">
      <w:lvlJc w:val="left"/>
      <w:lvlText w:val="(%2)"/>
      <w:numFmt w:val="lowerLetter"/>
      <w:start w:val="9"/>
    </w:lvl>
  </w:abstractNum>
  <w:abstractNum w:abstractNumId="179">
    <w:nsid w:val="407168D8"/>
    <w:multiLevelType w:val="hybridMultilevel"/>
    <w:lvl w:ilvl="0">
      <w:lvlJc w:val="left"/>
      <w:lvlText w:val="%1"/>
      <w:numFmt w:val="lowerLetter"/>
      <w:start w:val="1"/>
    </w:lvl>
    <w:lvl w:ilvl="1">
      <w:lvlJc w:val="left"/>
      <w:lvlText w:val="(%2)"/>
      <w:numFmt w:val="lowerRoman"/>
      <w:start w:val="2"/>
    </w:lvl>
  </w:abstractNum>
  <w:abstractNum w:abstractNumId="180">
    <w:nsid w:val="6A1B45E5"/>
    <w:multiLevelType w:val="hybridMultilevel"/>
    <w:lvl w:ilvl="0">
      <w:lvlJc w:val="left"/>
      <w:lvlText w:val="(%1)"/>
      <w:numFmt w:val="lowerLetter"/>
      <w:start w:val="12"/>
    </w:lvl>
    <w:lvl w:ilvl="1">
      <w:lvlJc w:val="left"/>
      <w:lvlText w:val="%2"/>
      <w:numFmt w:val="lowerRoman"/>
      <w:start w:val="1"/>
    </w:lvl>
  </w:abstractNum>
  <w:abstractNum w:abstractNumId="181">
    <w:nsid w:val="567BD50A"/>
    <w:multiLevelType w:val="hybridMultilevel"/>
    <w:lvl w:ilvl="0">
      <w:lvlJc w:val="left"/>
      <w:lvlText w:val="(%1)"/>
      <w:numFmt w:val="lowerLetter"/>
      <w:start w:val="13"/>
    </w:lvl>
  </w:abstractNum>
  <w:abstractNum w:abstractNumId="182">
    <w:nsid w:val="73BBD7F8"/>
    <w:multiLevelType w:val="hybridMultilevel"/>
    <w:lvl w:ilvl="0">
      <w:lvlJc w:val="left"/>
      <w:lvlText w:val="(%1)"/>
      <w:numFmt w:val="lowerLetter"/>
      <w:start w:val="16"/>
    </w:lvl>
    <w:lvl w:ilvl="1">
      <w:lvlJc w:val="left"/>
      <w:lvlText w:val="(%2)"/>
      <w:numFmt w:val="lowerLetter"/>
      <w:start w:val="9"/>
    </w:lvl>
  </w:abstractNum>
  <w:abstractNum w:abstractNumId="183">
    <w:nsid w:val="1876589D"/>
    <w:multiLevelType w:val="hybridMultilevel"/>
    <w:lvl w:ilvl="0">
      <w:lvlJc w:val="left"/>
      <w:lvlText w:val="(%1)"/>
      <w:numFmt w:val="lowerRoman"/>
      <w:start w:val="2"/>
    </w:lvl>
  </w:abstractNum>
  <w:abstractNum w:abstractNumId="184">
    <w:nsid w:val="327FAC77"/>
    <w:multiLevelType w:val="hybridMultilevel"/>
    <w:lvl w:ilvl="0">
      <w:lvlJc w:val="left"/>
      <w:lvlText w:val="%1."/>
      <w:numFmt w:val="decimal"/>
      <w:start w:val="1"/>
    </w:lvl>
  </w:abstractNum>
  <w:abstractNum w:abstractNumId="185">
    <w:nsid w:val="5A606509"/>
    <w:multiLevelType w:val="hybridMultilevel"/>
    <w:lvl w:ilvl="0">
      <w:lvlJc w:val="left"/>
      <w:lvlText w:val="%1."/>
      <w:numFmt w:val="decimal"/>
      <w:start w:val="2"/>
    </w:lvl>
    <w:lvl w:ilvl="1">
      <w:lvlJc w:val="left"/>
      <w:lvlText w:val="(%2)"/>
      <w:numFmt w:val="lowerLetter"/>
      <w:start w:val="1"/>
    </w:lvl>
  </w:abstractNum>
  <w:abstractNum w:abstractNumId="186">
    <w:nsid w:val="6F38E6D1"/>
    <w:multiLevelType w:val="hybridMultilevel"/>
    <w:lvl w:ilvl="0">
      <w:lvlJc w:val="left"/>
      <w:lvlText w:val="%1"/>
      <w:numFmt w:val="decimal"/>
      <w:start w:val="1"/>
    </w:lvl>
    <w:lvl w:ilvl="1">
      <w:lvlJc w:val="left"/>
      <w:lvlText w:val="(%2)"/>
      <w:numFmt w:val="lowerLetter"/>
      <w:start w:val="2"/>
    </w:lvl>
  </w:abstractNum>
  <w:abstractNum w:abstractNumId="187">
    <w:nsid w:val="46111BA5"/>
    <w:multiLevelType w:val="hybridMultilevel"/>
    <w:lvl w:ilvl="0">
      <w:lvlJc w:val="left"/>
      <w:lvlText w:val="%1."/>
      <w:numFmt w:val="decimal"/>
      <w:start w:val="3"/>
    </w:lvl>
    <w:lvl w:ilvl="1">
      <w:lvlJc w:val="left"/>
      <w:lvlText w:val="%2"/>
      <w:numFmt w:val="lowerLetter"/>
      <w:start w:val="1"/>
    </w:lvl>
  </w:abstractNum>
  <w:abstractNum w:abstractNumId="188">
    <w:nsid w:val="5E96389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9">
    <w:nsid w:val="775BA7C1"/>
    <w:multiLevelType w:val="hybridMultilevel"/>
    <w:lvl w:ilvl="0">
      <w:lvlJc w:val="left"/>
      <w:lvlText w:val="(%1)"/>
      <w:numFmt w:val="lowerRoman"/>
      <w:start w:val="2"/>
    </w:lvl>
  </w:abstractNum>
  <w:abstractNum w:abstractNumId="190">
    <w:nsid w:val="1DD6D6F4"/>
    <w:multiLevelType w:val="hybridMultilevel"/>
    <w:lvl w:ilvl="0">
      <w:lvlJc w:val="left"/>
      <w:lvlText w:val="(%1)"/>
      <w:numFmt w:val="lowerRoman"/>
      <w:start w:val="3"/>
    </w:lvl>
  </w:abstractNum>
  <w:abstractNum w:abstractNumId="191">
    <w:nsid w:val="769A091F"/>
    <w:multiLevelType w:val="hybridMultilevel"/>
    <w:lvl w:ilvl="0">
      <w:lvlJc w:val="left"/>
      <w:lvlText w:val="%1"/>
      <w:numFmt w:val="lowerLetter"/>
      <w:start w:val="1"/>
    </w:lvl>
    <w:lvl w:ilvl="1">
      <w:lvlJc w:val="left"/>
      <w:lvlText w:val="(%2)"/>
      <w:numFmt w:val="lowerRoman"/>
      <w:start w:val="4"/>
    </w:lvl>
  </w:abstractNum>
  <w:abstractNum w:abstractNumId="192">
    <w:nsid w:val="4695AE95"/>
    <w:multiLevelType w:val="hybridMultilevel"/>
    <w:lvl w:ilvl="0">
      <w:lvlJc w:val="left"/>
      <w:lvlText w:val="(%1)"/>
      <w:numFmt w:val="lowerLetter"/>
      <w:start w:val="4"/>
    </w:lvl>
    <w:lvl w:ilvl="1">
      <w:lvlJc w:val="left"/>
      <w:lvlText w:val="(%2)"/>
      <w:numFmt w:val="lowerRoman"/>
      <w:start w:val="1"/>
    </w:lvl>
  </w:abstractNum>
  <w:abstractNum w:abstractNumId="193">
    <w:nsid w:val="777A4EAA"/>
    <w:multiLevelType w:val="hybridMultilevel"/>
    <w:lvl w:ilvl="0">
      <w:lvlJc w:val="left"/>
      <w:lvlText w:val="%1"/>
      <w:numFmt w:val="lowerRoman"/>
      <w:start w:val="1"/>
    </w:lvl>
    <w:lvl w:ilvl="1">
      <w:lvlJc w:val="left"/>
      <w:lvlText w:val="(%2)"/>
      <w:numFmt w:val="lowerRoman"/>
      <w:start w:val="2"/>
    </w:lvl>
  </w:abstractNum>
  <w:abstractNum w:abstractNumId="194">
    <w:nsid w:val="3F48B982"/>
    <w:multiLevelType w:val="hybridMultilevel"/>
    <w:lvl w:ilvl="0">
      <w:lvlJc w:val="left"/>
      <w:lvlText w:val="(%1)"/>
      <w:numFmt w:val="lowerRoman"/>
      <w:start w:val="2"/>
    </w:lvl>
    <w:lvl w:ilvl="1">
      <w:lvlJc w:val="left"/>
      <w:lvlText w:val="%2"/>
      <w:numFmt w:val="lowerRoman"/>
      <w:start w:val="1"/>
    </w:lvl>
  </w:abstractNum>
  <w:abstractNum w:abstractNumId="195">
    <w:nsid w:val="46BA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6">
    <w:nsid w:val="7835626C"/>
    <w:multiLevelType w:val="hybridMultilevel"/>
    <w:lvl w:ilvl="0">
      <w:lvlJc w:val="left"/>
      <w:lvlText w:val="(%1)"/>
      <w:numFmt w:val="lowerRoman"/>
      <w:start w:val="3"/>
    </w:lvl>
  </w:abstractNum>
  <w:abstractNum w:abstractNumId="197">
    <w:nsid w:val="665ACA49"/>
    <w:multiLevelType w:val="hybridMultilevel"/>
    <w:lvl w:ilvl="0">
      <w:lvlJc w:val="left"/>
      <w:lvlText w:val="(%1)"/>
      <w:numFmt w:val="lowerRoman"/>
      <w:start w:val="9"/>
    </w:lvl>
  </w:abstractNum>
  <w:abstractNum w:abstractNumId="198">
    <w:nsid w:val="6835B2AE"/>
    <w:multiLevelType w:val="hybridMultilevel"/>
    <w:lvl w:ilvl="0">
      <w:lvlJc w:val="left"/>
      <w:lvlText w:val="(%1)"/>
      <w:numFmt w:val="lowerRoman"/>
      <w:start w:val="11"/>
    </w:lvl>
  </w:abstractNum>
  <w:abstractNum w:abstractNumId="199">
    <w:nsid w:val="4C187C90"/>
    <w:multiLevelType w:val="hybridMultilevel"/>
    <w:lvl w:ilvl="0">
      <w:lvlJc w:val="left"/>
      <w:lvlText w:val="(%1)"/>
      <w:numFmt w:val="lowerRoman"/>
      <w:start w:val="17"/>
    </w:lvl>
  </w:abstractNum>
  <w:abstractNum w:abstractNumId="200">
    <w:nsid w:val="541F28CD"/>
    <w:multiLevelType w:val="hybridMultilevel"/>
    <w:lvl w:ilvl="0">
      <w:lvlJc w:val="left"/>
      <w:lvlText w:val="(%1)"/>
      <w:numFmt w:val="lowerLetter"/>
      <w:start w:val="2"/>
    </w:lvl>
  </w:abstractNum>
  <w:abstractNum w:abstractNumId="201">
    <w:nsid w:val="7F65FD16"/>
    <w:multiLevelType w:val="hybridMultilevel"/>
    <w:lvl w:ilvl="0">
      <w:lvlJc w:val="left"/>
      <w:lvlText w:val="%1."/>
      <w:numFmt w:val="decimal"/>
      <w:start w:val="5"/>
    </w:lvl>
    <w:lvl w:ilvl="1">
      <w:lvlJc w:val="left"/>
      <w:lvlText w:val="(%2)"/>
      <w:numFmt w:val="lowerLetter"/>
      <w:start w:val="1"/>
    </w:lvl>
  </w:abstractNum>
  <w:abstractNum w:abstractNumId="202">
    <w:nsid w:val="77C9FD68"/>
    <w:multiLevelType w:val="hybridMultilevel"/>
    <w:lvl w:ilvl="0">
      <w:lvlJc w:val="left"/>
      <w:lvlText w:val="%1"/>
      <w:numFmt w:val="lowerLetter"/>
      <w:start w:val="1"/>
    </w:lvl>
    <w:lvl w:ilvl="1">
      <w:lvlJc w:val="left"/>
      <w:lvlText w:val="(%2)"/>
      <w:numFmt w:val="lowerLetter"/>
      <w:start w:val="2"/>
    </w:lvl>
  </w:abstractNum>
  <w:abstractNum w:abstractNumId="203">
    <w:nsid w:val="298A92BA"/>
    <w:multiLevelType w:val="hybridMultilevel"/>
    <w:lvl w:ilvl="0">
      <w:lvlJc w:val="left"/>
      <w:lvlText w:val="(%1)"/>
      <w:numFmt w:val="lowerLetter"/>
      <w:start w:val="23"/>
    </w:lvl>
    <w:lvl w:ilvl="1">
      <w:lvlJc w:val="left"/>
      <w:lvlText w:val="%2"/>
      <w:numFmt w:val="lowerLetter"/>
      <w:start w:val="1"/>
    </w:lvl>
  </w:abstractNum>
  <w:abstractNum w:abstractNumId="204">
    <w:nsid w:val="6FE95EAC"/>
    <w:multiLevelType w:val="hybridMultilevel"/>
    <w:lvl w:ilvl="0">
      <w:lvlJc w:val="left"/>
      <w:lvlText w:val="%1."/>
      <w:numFmt w:val="decimal"/>
      <w:start w:val="6"/>
    </w:lvl>
    <w:lvl w:ilvl="1">
      <w:lvlJc w:val="left"/>
      <w:lvlText w:val="(%2)"/>
      <w:numFmt w:val="lowerLetter"/>
      <w:start w:val="1"/>
    </w:lvl>
  </w:abstractNum>
  <w:abstractNum w:abstractNumId="205">
    <w:nsid w:val="4B697C7A"/>
    <w:multiLevelType w:val="hybridMultilevel"/>
    <w:lvl w:ilvl="0">
      <w:lvlJc w:val="left"/>
      <w:lvlText w:val="(%1)"/>
      <w:numFmt w:val="lowerLetter"/>
      <w:start w:val="2"/>
    </w:lvl>
  </w:abstractNum>
  <w:abstractNum w:abstractNumId="206">
    <w:nsid w:val="51A27AA6"/>
    <w:multiLevelType w:val="hybridMultilevel"/>
    <w:lvl w:ilvl="0">
      <w:lvlJc w:val="left"/>
      <w:lvlText w:val="%1."/>
      <w:numFmt w:val="decimal"/>
      <w:start w:val="8"/>
    </w:lvl>
    <w:lvl w:ilvl="1">
      <w:lvlJc w:val="left"/>
      <w:lvlText w:val="(%2)"/>
      <w:numFmt w:val="lowerLetter"/>
      <w:start w:val="1"/>
    </w:lvl>
  </w:abstractNum>
  <w:abstractNum w:abstractNumId="207">
    <w:nsid w:val="613183F2"/>
    <w:multiLevelType w:val="hybridMultilevel"/>
    <w:lvl w:ilvl="0">
      <w:lvlJc w:val="left"/>
      <w:lvlText w:val="(%1)"/>
      <w:numFmt w:val="lowerLetter"/>
      <w:start w:val="3"/>
    </w:lvl>
  </w:abstractNum>
  <w:abstractNum w:abstractNumId="208">
    <w:nsid w:val="634102B4"/>
    <w:multiLevelType w:val="hybridMultilevel"/>
    <w:lvl w:ilvl="0">
      <w:lvlJc w:val="left"/>
      <w:lvlText w:val="(%1)"/>
      <w:numFmt w:val="lowerLetter"/>
      <w:start w:val="4"/>
    </w:lvl>
  </w:abstractNum>
  <w:abstractNum w:abstractNumId="209">
    <w:nsid w:val="65BF9DA8"/>
    <w:multiLevelType w:val="hybridMultilevel"/>
    <w:lvl w:ilvl="0">
      <w:lvlJc w:val="left"/>
      <w:lvlText w:val="%1."/>
      <w:numFmt w:val="decimal"/>
      <w:start w:val="9"/>
    </w:lvl>
    <w:lvl w:ilvl="1">
      <w:lvlJc w:val="left"/>
      <w:lvlText w:val="(%2)"/>
      <w:numFmt w:val="lowerLetter"/>
      <w:start w:val="1"/>
    </w:lvl>
  </w:abstractNum>
  <w:abstractNum w:abstractNumId="210">
    <w:nsid w:val="21A2ECCA"/>
    <w:multiLevelType w:val="hybridMultilevel"/>
    <w:lvl w:ilvl="0">
      <w:lvlJc w:val="left"/>
      <w:lvlText w:val="(%1)"/>
      <w:numFmt w:val="lowerLetter"/>
      <w:start w:val="2"/>
    </w:lvl>
  </w:abstractNum>
  <w:abstractNum w:abstractNumId="211">
    <w:nsid w:val="4D5C4899"/>
    <w:multiLevelType w:val="hybridMultilevel"/>
    <w:lvl w:ilvl="0">
      <w:lvlJc w:val="left"/>
      <w:lvlText w:val="%1."/>
      <w:numFmt w:val="decimal"/>
      <w:start w:val="11"/>
    </w:lvl>
  </w:abstractNum>
  <w:abstractNum w:abstractNumId="212">
    <w:nsid w:val="3C3B72B2"/>
    <w:multiLevelType w:val="hybridMultilevel"/>
    <w:lvl w:ilvl="0">
      <w:lvlJc w:val="left"/>
      <w:lvlText w:val="%1."/>
      <w:numFmt w:val="decimal"/>
      <w:start w:val="12"/>
    </w:lvl>
  </w:abstractNum>
  <w:abstractNum w:abstractNumId="213">
    <w:nsid w:val="155EC4C2"/>
    <w:multiLevelType w:val="hybridMultilevel"/>
    <w:lvl w:ilvl="0">
      <w:lvlJc w:val="left"/>
      <w:lvlText w:val="%1."/>
      <w:numFmt w:val="decimal"/>
      <w:start w:val="13"/>
    </w:lvl>
    <w:lvl w:ilvl="1">
      <w:lvlJc w:val="left"/>
      <w:lvlText w:val="(%2)"/>
      <w:numFmt w:val="lowerLetter"/>
      <w:start w:val="1"/>
    </w:lvl>
  </w:abstractNum>
  <w:abstractNum w:abstractNumId="214">
    <w:nsid w:val="65D2A137"/>
    <w:multiLevelType w:val="hybridMultilevel"/>
    <w:lvl w:ilvl="0">
      <w:lvlJc w:val="left"/>
      <w:lvlText w:val="%1"/>
      <w:numFmt w:val="lowerLetter"/>
      <w:start w:val="1"/>
    </w:lvl>
    <w:lvl w:ilvl="1">
      <w:lvlJc w:val="left"/>
      <w:lvlText w:val="(%2)"/>
      <w:numFmt w:val="lowerLetter"/>
      <w:start w:val="8"/>
    </w:lvl>
  </w:abstractNum>
  <w:abstractNum w:abstractNumId="215">
    <w:nsid w:val="6EBB1F2A"/>
    <w:multiLevelType w:val="hybridMultilevel"/>
    <w:lvl w:ilvl="0">
      <w:lvlJc w:val="left"/>
      <w:lvlText w:val="(%1)"/>
      <w:numFmt w:val="lowerLetter"/>
      <w:start w:val="35"/>
    </w:lvl>
    <w:lvl w:ilvl="1">
      <w:lvlJc w:val="left"/>
      <w:lvlText w:val="(%2)"/>
      <w:numFmt w:val="lowerLetter"/>
      <w:start w:val="9"/>
    </w:lvl>
  </w:abstractNum>
  <w:abstractNum w:abstractNumId="216">
    <w:nsid w:val="6FBF29CB"/>
    <w:multiLevelType w:val="hybridMultilevel"/>
    <w:lvl w:ilvl="0">
      <w:lvlJc w:val="left"/>
      <w:lvlText w:val="(%1)"/>
      <w:numFmt w:val="lowerLetter"/>
      <w:start w:val="13"/>
    </w:lvl>
  </w:abstractNum>
  <w:abstractNum w:abstractNumId="217">
    <w:nsid w:val="550B8808"/>
    <w:multiLevelType w:val="hybridMultilevel"/>
    <w:lvl w:ilvl="0">
      <w:lvlJc w:val="left"/>
      <w:lvlText w:val="(%1)"/>
      <w:numFmt w:val="lowerLetter"/>
      <w:start w:val="19"/>
    </w:lvl>
    <w:lvl w:ilvl="1">
      <w:lvlJc w:val="left"/>
      <w:lvlText w:val="(%2)"/>
      <w:numFmt w:val="lowerLetter"/>
      <w:start w:val="9"/>
    </w:lvl>
  </w:abstractNum>
  <w:abstractNum w:abstractNumId="218">
    <w:nsid w:val="34CC3A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9">
    <w:nsid w:val="4E55626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20">
    <w:nsid w:val="4C672FC9"/>
    <w:multiLevelType w:val="hybridMultilevel"/>
    <w:lvl w:ilvl="0">
      <w:lvlJc w:val="left"/>
      <w:lvlText w:val="%1"/>
      <w:numFmt w:val="decimal"/>
      <w:start w:val="1"/>
    </w:lvl>
    <w:lvl w:ilvl="1">
      <w:lvlJc w:val="left"/>
      <w:lvlText w:val="(%2)"/>
      <w:numFmt w:val="lowerLetter"/>
      <w:start w:val="2"/>
    </w:lvl>
  </w:abstractNum>
  <w:abstractNum w:abstractNumId="221">
    <w:nsid w:val="52A311C3"/>
    <w:multiLevelType w:val="hybridMultilevel"/>
    <w:lvl w:ilvl="0">
      <w:lvlJc w:val="left"/>
      <w:lvlText w:val="%1."/>
      <w:numFmt w:val="decimal"/>
      <w:start w:val="19"/>
    </w:lvl>
    <w:lvl w:ilvl="1">
      <w:lvlJc w:val="left"/>
      <w:lvlText w:val="%2"/>
      <w:numFmt w:val="lowerLetter"/>
      <w:start w:val="1"/>
    </w:lvl>
  </w:abstractNum>
  <w:abstractNum w:abstractNumId="222">
    <w:nsid w:val="44EF6B80"/>
    <w:multiLevelType w:val="hybridMultilevel"/>
    <w:lvl w:ilvl="0">
      <w:lvlJc w:val="left"/>
      <w:lvlText w:val="%1."/>
      <w:numFmt w:val="decimal"/>
      <w:start w:val="20"/>
    </w:lvl>
  </w:abstractNum>
  <w:abstractNum w:abstractNumId="223">
    <w:nsid w:val="12FCDE5E"/>
    <w:multiLevelType w:val="hybridMultilevel"/>
    <w:lvl w:ilvl="0">
      <w:lvlJc w:val="left"/>
      <w:lvlText w:val="%1."/>
      <w:numFmt w:val="decimal"/>
      <w:start w:val="24"/>
    </w:lvl>
    <w:lvl w:ilvl="1">
      <w:lvlJc w:val="left"/>
      <w:lvlText w:val="(%2)"/>
      <w:numFmt w:val="lowerLetter"/>
      <w:start w:val="1"/>
    </w:lvl>
  </w:abstractNum>
  <w:abstractNum w:abstractNumId="224">
    <w:nsid w:val="4A1D606E"/>
    <w:multiLevelType w:val="hybridMultilevel"/>
    <w:lvl w:ilvl="0">
      <w:lvlJc w:val="left"/>
      <w:lvlText w:val="%1."/>
      <w:numFmt w:val="decimal"/>
      <w:start w:val="25"/>
    </w:lvl>
    <w:lvl w:ilvl="1">
      <w:lvlJc w:val="left"/>
      <w:lvlText w:val="(%2)"/>
      <w:numFmt w:val="lowerLetter"/>
      <w:start w:val="1"/>
    </w:lvl>
  </w:abstractNum>
  <w:abstractNum w:abstractNumId="225">
    <w:nsid w:val="4382503"/>
    <w:multiLevelType w:val="hybridMultilevel"/>
    <w:lvl w:ilvl="0">
      <w:lvlJc w:val="left"/>
      <w:lvlText w:val="(%1)"/>
      <w:numFmt w:val="lowerLetter"/>
      <w:start w:val="3"/>
    </w:lvl>
  </w:abstractNum>
  <w:abstractNum w:abstractNumId="226">
    <w:nsid w:val="59B76E28"/>
    <w:multiLevelType w:val="hybridMultilevel"/>
    <w:lvl w:ilvl="0">
      <w:lvlJc w:val="left"/>
      <w:lvlText w:val="%1"/>
      <w:numFmt w:val="decimal"/>
      <w:start w:val="1"/>
    </w:lvl>
    <w:lvl w:ilvl="1">
      <w:lvlJc w:val="left"/>
      <w:lvlText w:val="(%2)"/>
      <w:numFmt w:val="lowerLetter"/>
      <w:start w:val="7"/>
    </w:lvl>
  </w:abstractNum>
  <w:abstractNum w:abstractNumId="227">
    <w:nsid w:val="4252C2DA"/>
    <w:multiLevelType w:val="hybridMultilevel"/>
    <w:lvl w:ilvl="0">
      <w:lvlJc w:val="left"/>
      <w:lvlText w:val="(%1)"/>
      <w:numFmt w:val="decimal"/>
      <w:start w:val="1"/>
    </w:lvl>
    <w:lvl w:ilvl="1">
      <w:lvlJc w:val="left"/>
      <w:lvlText w:val="(%2)"/>
      <w:numFmt w:val="lowerLetter"/>
      <w:start w:val="10"/>
    </w:lvl>
  </w:abstractNum>
  <w:abstractNum w:abstractNumId="228">
    <w:nsid w:val="6A92EF4C"/>
    <w:multiLevelType w:val="hybridMultilevel"/>
    <w:lvl w:ilvl="0">
      <w:lvlJc w:val="left"/>
      <w:lvlText w:val="%1"/>
      <w:numFmt w:val="lowerRoman"/>
      <w:start w:val="1"/>
    </w:lvl>
    <w:lvl w:ilvl="1">
      <w:lvlJc w:val="left"/>
      <w:lvlText w:val="(%2)"/>
      <w:numFmt w:val="lowerLetter"/>
      <w:start w:val="13"/>
    </w:lvl>
  </w:abstractNum>
  <w:abstractNum w:abstractNumId="229">
    <w:nsid w:val="41ED20D7"/>
    <w:multiLevelType w:val="hybridMultilevel"/>
    <w:lvl w:ilvl="0">
      <w:lvlJc w:val="left"/>
      <w:lvlText w:val="(%1)"/>
      <w:numFmt w:val="lowerRoman"/>
      <w:start w:val="4"/>
    </w:lvl>
    <w:lvl w:ilvl="1">
      <w:lvlJc w:val="left"/>
      <w:lvlText w:val="(%2)"/>
      <w:numFmt w:val="lowerLetter"/>
      <w:start w:val="14"/>
    </w:lvl>
  </w:abstractNum>
  <w:abstractNum w:abstractNumId="230">
    <w:nsid w:val="E6B3F6A"/>
    <w:multiLevelType w:val="hybridMultilevel"/>
    <w:lvl w:ilvl="0">
      <w:lvlJc w:val="left"/>
      <w:lvlText w:val="%1"/>
      <w:numFmt w:val="decimal"/>
      <w:start w:val="1"/>
    </w:lvl>
    <w:lvl w:ilvl="1">
      <w:lvlJc w:val="left"/>
      <w:lvlText w:val="(%2)"/>
      <w:numFmt w:val="lowerLetter"/>
      <w:start w:val="17"/>
    </w:lvl>
  </w:abstractNum>
  <w:abstractNum w:abstractNumId="231">
    <w:nsid w:val="3EB21819"/>
    <w:multiLevelType w:val="hybridMultilevel"/>
    <w:lvl w:ilvl="0">
      <w:lvlJc w:val="left"/>
      <w:lvlText w:val="(%1)"/>
      <w:numFmt w:val="decimal"/>
      <w:start w:val="5"/>
    </w:lvl>
    <w:lvl w:ilvl="1">
      <w:lvlJc w:val="left"/>
      <w:lvlText w:val="%2"/>
      <w:numFmt w:val="lowerLetter"/>
      <w:start w:val="1"/>
    </w:lvl>
  </w:abstractNum>
  <w:abstractNum w:abstractNumId="232">
    <w:nsid w:val="41531DED"/>
    <w:multiLevelType w:val="hybridMultilevel"/>
    <w:lvl w:ilvl="0">
      <w:lvlJc w:val="left"/>
      <w:lvlText w:val="(%1)"/>
      <w:numFmt w:val="lowerLetter"/>
      <w:start w:val="23"/>
    </w:lvl>
  </w:abstractNum>
  <w:abstractNum w:abstractNumId="233">
    <w:nsid w:val="6353CD2"/>
    <w:multiLevelType w:val="hybridMultilevel"/>
    <w:lvl w:ilvl="0">
      <w:lvlJc w:val="left"/>
      <w:lvlText w:val="%1"/>
      <w:numFmt w:val="lowerLetter"/>
      <w:start w:val="1"/>
    </w:lvl>
    <w:lvl w:ilvl="1">
      <w:lvlJc w:val="left"/>
      <w:lvlText w:val="(%2)"/>
      <w:numFmt w:val="lowerLetter"/>
      <w:start w:val="27"/>
    </w:lvl>
  </w:abstractNum>
  <w:abstractNum w:abstractNumId="234">
    <w:nsid w:val="683CAAD3"/>
    <w:multiLevelType w:val="hybridMultilevel"/>
    <w:lvl w:ilvl="0">
      <w:lvlJc w:val="left"/>
      <w:lvlText w:val="(%1)"/>
      <w:numFmt w:val="lowerLetter"/>
      <w:start w:val="9"/>
    </w:lvl>
    <w:lvl w:ilvl="1">
      <w:lvlJc w:val="left"/>
      <w:lvlText w:val="%2"/>
      <w:numFmt w:val="lowerLetter"/>
      <w:start w:val="1"/>
    </w:lvl>
  </w:abstractNum>
  <w:abstractNum w:abstractNumId="235">
    <w:nsid w:val="313C7C99"/>
    <w:multiLevelType w:val="hybridMultilevel"/>
    <w:lvl w:ilvl="0">
      <w:lvlJc w:val="left"/>
      <w:lvlText w:val="%1"/>
      <w:numFmt w:val="lowerLetter"/>
      <w:start w:val="1"/>
    </w:lvl>
    <w:lvl w:ilvl="1">
      <w:lvlJc w:val="left"/>
      <w:lvlText w:val="(%2)"/>
      <w:numFmt w:val="lowerLetter"/>
      <w:start w:val="29"/>
    </w:lvl>
  </w:abstractNum>
  <w:abstractNum w:abstractNumId="236">
    <w:nsid w:val="519EB94C"/>
    <w:multiLevelType w:val="hybridMultilevel"/>
    <w:lvl w:ilvl="0">
      <w:lvlJc w:val="left"/>
      <w:lvlText w:val="(%1)"/>
      <w:numFmt w:val="lowerLetter"/>
      <w:start w:val="61"/>
    </w:lvl>
    <w:lvl w:ilvl="1">
      <w:lvlJc w:val="left"/>
      <w:lvlText w:val="(%2)"/>
      <w:numFmt w:val="lowerLetter"/>
      <w:start w:val="33"/>
    </w:lvl>
  </w:abstractNum>
  <w:abstractNum w:abstractNumId="237">
    <w:nsid w:val="39DF2579"/>
    <w:multiLevelType w:val="hybridMultilevel"/>
    <w:lvl w:ilvl="0">
      <w:lvlJc w:val="left"/>
      <w:lvlText w:val="(%1)"/>
      <w:numFmt w:val="lowerLetter"/>
      <w:start w:val="35"/>
    </w:lvl>
  </w:abstractNum>
  <w:abstractNum w:abstractNumId="238">
    <w:nsid w:val="126E008B"/>
    <w:multiLevelType w:val="hybridMultilevel"/>
    <w:lvl w:ilvl="0">
      <w:lvlJc w:val="left"/>
      <w:lvlText w:val="(%1)"/>
      <w:numFmt w:val="lowerLetter"/>
      <w:start w:val="47"/>
    </w:lvl>
  </w:abstractNum>
  <w:abstractNum w:abstractNumId="239">
    <w:nsid w:val="34DFBC00"/>
    <w:multiLevelType w:val="hybridMultilevel"/>
    <w:lvl w:ilvl="0">
      <w:lvlJc w:val="left"/>
      <w:lvlText w:val="(%1)"/>
      <w:numFmt w:val="lowerLetter"/>
      <w:start w:val="53"/>
    </w:lvl>
  </w:abstractNum>
  <w:abstractNum w:abstractNumId="240">
    <w:nsid w:val="1F9EC322"/>
    <w:multiLevelType w:val="hybridMultilevel"/>
    <w:lvl w:ilvl="0">
      <w:lvlJc w:val="left"/>
      <w:lvlText w:val="%1"/>
      <w:numFmt w:val="decimal"/>
      <w:start w:val="1"/>
    </w:lvl>
    <w:lvl w:ilvl="1">
      <w:lvlJc w:val="left"/>
      <w:lvlText w:val="(%2)"/>
      <w:numFmt w:val="lowerLetter"/>
      <w:start w:val="54"/>
    </w:lvl>
  </w:abstractNum>
  <w:abstractNum w:abstractNumId="241">
    <w:nsid w:val="3410ED56"/>
    <w:multiLevelType w:val="hybridMultilevel"/>
    <w:lvl w:ilvl="0">
      <w:lvlJc w:val="left"/>
      <w:lvlText w:val="%1."/>
      <w:numFmt w:val="decimal"/>
      <w:start w:val="29"/>
    </w:lvl>
    <w:lvl w:ilvl="1">
      <w:lvlJc w:val="left"/>
      <w:lvlText w:val="%2"/>
      <w:numFmt w:val="lowerLetter"/>
      <w:start w:val="1"/>
    </w:lvl>
  </w:abstractNum>
  <w:abstractNum w:abstractNumId="242">
    <w:nsid w:val="23C049A"/>
    <w:multiLevelType w:val="hybridMultilevel"/>
    <w:lvl w:ilvl="0">
      <w:lvlJc w:val="left"/>
      <w:lvlText w:val="(%1)"/>
      <w:numFmt w:val="decimal"/>
      <w:start w:val="1"/>
    </w:lvl>
  </w:abstractNum>
  <w:abstractNum w:abstractNumId="243">
    <w:nsid w:val="5BDA35D4"/>
    <w:multiLevelType w:val="hybridMultilevel"/>
    <w:lvl w:ilvl="0">
      <w:lvlJc w:val="left"/>
      <w:lvlText w:val="(%1)"/>
      <w:numFmt w:val="decimal"/>
      <w:start w:val="2"/>
    </w:lvl>
  </w:abstractNum>
  <w:abstractNum w:abstractNumId="244">
    <w:nsid w:val="496FB218"/>
    <w:multiLevelType w:val="hybridMultilevel"/>
    <w:lvl w:ilvl="0">
      <w:lvlJc w:val="left"/>
      <w:lvlText w:val="(%1)"/>
      <w:numFmt w:val="lowerLetter"/>
      <w:start w:val="1"/>
    </w:lvl>
    <w:lvl w:ilvl="1">
      <w:lvlJc w:val="left"/>
      <w:lvlText w:val="(%2)"/>
      <w:numFmt w:val="decimal"/>
      <w:start w:val="1"/>
    </w:lvl>
  </w:abstractNum>
  <w:abstractNum w:abstractNumId="245">
    <w:nsid w:val="680EA5D1"/>
    <w:multiLevelType w:val="hybridMultilevel"/>
    <w:lvl w:ilvl="0">
      <w:lvlJc w:val="left"/>
      <w:lvlText w:val="(%1)"/>
      <w:numFmt w:val="decimal"/>
      <w:start w:val="10"/>
    </w:lvl>
  </w:abstractNum>
  <w:abstractNum w:abstractNumId="246">
    <w:nsid w:val="4A9554FE"/>
    <w:multiLevelType w:val="hybridMultilevel"/>
    <w:lvl w:ilvl="0">
      <w:lvlJc w:val="left"/>
      <w:lvlText w:val="(%1)"/>
      <w:numFmt w:val="decimal"/>
      <w:start w:val="1"/>
    </w:lvl>
  </w:abstractNum>
  <w:abstractNum w:abstractNumId="247">
    <w:nsid w:val="392EDBE4"/>
    <w:multiLevelType w:val="hybridMultilevel"/>
    <w:lvl w:ilvl="0">
      <w:lvlJc w:val="left"/>
      <w:lvlText w:val="(%1)"/>
      <w:numFmt w:val="lowerLetter"/>
      <w:start w:val="1"/>
    </w:lvl>
  </w:abstractNum>
  <w:abstractNum w:abstractNumId="248">
    <w:nsid w:val="3D1A2DD9"/>
    <w:multiLevelType w:val="hybridMultilevel"/>
    <w:lvl w:ilvl="0">
      <w:lvlJc w:val="left"/>
      <w:lvlText w:val="(%1)"/>
      <w:numFmt w:val="lowerLetter"/>
      <w:start w:val="2"/>
    </w:lvl>
  </w:abstractNum>
  <w:abstractNum w:abstractNumId="249">
    <w:nsid w:val="7F618FCD"/>
    <w:multiLevelType w:val="hybridMultilevel"/>
    <w:lvl w:ilvl="0">
      <w:lvlJc w:val="left"/>
      <w:lvlText w:val="(%1)"/>
      <w:numFmt w:val="lowerLetter"/>
      <w:start w:val="1"/>
    </w:lvl>
  </w:abstractNum>
  <w:abstractNum w:abstractNumId="250">
    <w:nsid w:val="7843E45"/>
    <w:multiLevelType w:val="hybridMultilevel"/>
    <w:lvl w:ilvl="0">
      <w:lvlJc w:val="left"/>
      <w:lvlText w:val="(%1)"/>
      <w:numFmt w:val="lowerLetter"/>
      <w:start w:val="1"/>
    </w:lvl>
  </w:abstractNum>
  <w:abstractNum w:abstractNumId="251">
    <w:nsid w:val="9815DA3"/>
    <w:multiLevelType w:val="hybridMultilevel"/>
    <w:lvl w:ilvl="0">
      <w:lvlJc w:val="left"/>
      <w:lvlText w:val="(%1)"/>
      <w:numFmt w:val="lowerLetter"/>
      <w:start w:val="2"/>
    </w:lvl>
  </w:abstractNum>
  <w:abstractNum w:abstractNumId="252">
    <w:nsid w:val="5204A191"/>
    <w:multiLevelType w:val="hybridMultilevel"/>
    <w:lvl w:ilvl="0">
      <w:lvlJc w:val="left"/>
      <w:lvlText w:val="(%1)"/>
      <w:numFmt w:val="lowerLetter"/>
      <w:start w:val="1"/>
    </w:lvl>
  </w:abstractNum>
  <w:abstractNum w:abstractNumId="253">
    <w:nsid w:val="4C73A9C6"/>
    <w:multiLevelType w:val="hybridMultilevel"/>
    <w:lvl w:ilvl="0">
      <w:lvlJc w:val="left"/>
      <w:lvlText w:val="(%1)"/>
      <w:numFmt w:val="lowerRoman"/>
      <w:start w:val="1"/>
    </w:lvl>
  </w:abstractNum>
  <w:abstractNum w:abstractNumId="254">
    <w:nsid w:val="1C7E3C01"/>
    <w:multiLevelType w:val="hybridMultilevel"/>
    <w:lvl w:ilvl="0">
      <w:lvlJc w:val="left"/>
      <w:lvlText w:val="(%1)"/>
      <w:numFmt w:val="lowerLetter"/>
      <w:start w:val="1"/>
    </w:lvl>
    <w:lvl w:ilvl="1">
      <w:lvlJc w:val="left"/>
      <w:lvlText w:val="(%2)"/>
      <w:numFmt w:val="decimal"/>
      <w:start w:val="1"/>
    </w:lvl>
  </w:abstractNum>
  <w:abstractNum w:abstractNumId="255">
    <w:nsid w:val="1C2201FF"/>
    <w:multiLevelType w:val="hybridMultilevel"/>
    <w:lvl w:ilvl="0">
      <w:lvlJc w:val="left"/>
      <w:lvlText w:val="(%1)"/>
      <w:numFmt w:val="lowerLetter"/>
      <w:start w:val="2"/>
    </w:lvl>
  </w:abstractNum>
  <w:abstractNum w:abstractNumId="256">
    <w:nsid w:val="50ABCEC9"/>
    <w:multiLevelType w:val="hybridMultilevel"/>
    <w:lvl w:ilvl="0">
      <w:lvlJc w:val="left"/>
      <w:lvlText w:val="(%1)"/>
      <w:numFmt w:val="lowerLetter"/>
      <w:start w:val="1"/>
    </w:lvl>
  </w:abstractNum>
  <w:abstractNum w:abstractNumId="257">
    <w:nsid w:val="7635AA2A"/>
    <w:multiLevelType w:val="hybridMultilevel"/>
    <w:lvl w:ilvl="0">
      <w:lvlJc w:val="left"/>
      <w:lvlText w:val="(%1)"/>
      <w:numFmt w:val="lowerLetter"/>
      <w:start w:val="2"/>
    </w:lvl>
  </w:abstractNum>
  <w:abstractNum w:abstractNumId="258">
    <w:nsid w:val="5E74C4D9"/>
    <w:multiLevelType w:val="hybridMultilevel"/>
    <w:lvl w:ilvl="0">
      <w:lvlJc w:val="left"/>
      <w:lvlText w:val="(%1)"/>
      <w:numFmt w:val="lowerLetter"/>
      <w:start w:val="1"/>
    </w:lvl>
  </w:abstractNum>
  <w:abstractNum w:abstractNumId="259">
    <w:nsid w:val="3B3EBE15"/>
    <w:multiLevelType w:val="hybridMultilevel"/>
    <w:lvl w:ilvl="0">
      <w:lvlJc w:val="left"/>
      <w:lvlText w:val="(%1)"/>
      <w:numFmt w:val="lowerLetter"/>
      <w:start w:val="1"/>
    </w:lvl>
  </w:abstractNum>
  <w:abstractNum w:abstractNumId="260">
    <w:nsid w:val="3822CB01"/>
    <w:multiLevelType w:val="hybridMultilevel"/>
    <w:lvl w:ilvl="0">
      <w:lvlJc w:val="left"/>
      <w:lvlText w:val="(%1)"/>
      <w:numFmt w:val="lowerLetter"/>
      <w:start w:val="1"/>
    </w:lvl>
    <w:lvl w:ilvl="1">
      <w:lvlJc w:val="left"/>
      <w:lvlText w:val="(%2)"/>
      <w:numFmt w:val="decimal"/>
      <w:start w:val="1"/>
    </w:lvl>
  </w:abstractNum>
  <w:abstractNum w:abstractNumId="261">
    <w:nsid w:val="6CE00443"/>
    <w:multiLevelType w:val="hybridMultilevel"/>
    <w:lvl w:ilvl="0">
      <w:lvlJc w:val="left"/>
      <w:lvlText w:val="(%1)"/>
      <w:numFmt w:val="lowerLetter"/>
      <w:start w:val="3"/>
    </w:lvl>
  </w:abstractNum>
  <w:abstractNum w:abstractNumId="262">
    <w:nsid w:val="79F0D62F"/>
    <w:multiLevelType w:val="hybridMultilevel"/>
    <w:lvl w:ilvl="0">
      <w:lvlJc w:val="left"/>
      <w:lvlText w:val="(%1)"/>
      <w:numFmt w:val="lowerLetter"/>
      <w:start w:val="1"/>
    </w:lvl>
  </w:abstractNum>
  <w:abstractNum w:abstractNumId="263">
    <w:nsid w:val="7975E8EE"/>
    <w:multiLevelType w:val="hybridMultilevel"/>
    <w:lvl w:ilvl="0">
      <w:lvlJc w:val="left"/>
      <w:lvlText w:val="(%1)"/>
      <w:numFmt w:val="lowerLetter"/>
      <w:start w:val="4"/>
    </w:lvl>
  </w:abstractNum>
  <w:abstractNum w:abstractNumId="264">
    <w:nsid w:val="73154115"/>
    <w:multiLevelType w:val="hybridMultilevel"/>
    <w:lvl w:ilvl="0">
      <w:lvlJc w:val="left"/>
      <w:lvlText w:val="(%1)"/>
      <w:numFmt w:val="lowerLetter"/>
      <w:start w:val="1"/>
    </w:lvl>
  </w:abstractNum>
  <w:abstractNum w:abstractNumId="265">
    <w:nsid w:val="622D810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6">
    <w:nsid w:val="2AB26587"/>
    <w:multiLevelType w:val="hybridMultilevel"/>
    <w:lvl w:ilvl="0">
      <w:lvlJc w:val="left"/>
      <w:lvlText w:val="%1"/>
      <w:numFmt w:val="decimal"/>
      <w:start w:val="1"/>
    </w:lvl>
    <w:lvl w:ilvl="1">
      <w:lvlJc w:val="left"/>
      <w:lvlText w:val="(%2)"/>
      <w:numFmt w:val="lowerRoman"/>
      <w:start w:val="2"/>
    </w:lvl>
  </w:abstractNum>
  <w:abstractNum w:abstractNumId="267">
    <w:nsid w:val="44B3FA61"/>
    <w:multiLevelType w:val="hybridMultilevel"/>
    <w:lvl w:ilvl="0">
      <w:lvlJc w:val="left"/>
      <w:lvlText w:val="(%1)"/>
      <w:numFmt w:val="decimal"/>
      <w:start w:val="2"/>
    </w:lvl>
    <w:lvl w:ilvl="1">
      <w:lvlJc w:val="left"/>
      <w:lvlText w:val="%2"/>
      <w:numFmt w:val="lowerRoman"/>
      <w:start w:val="1"/>
    </w:lvl>
  </w:abstractNum>
  <w:abstractNum w:abstractNumId="268">
    <w:nsid w:val="1C0CA67C"/>
    <w:multiLevelType w:val="hybridMultilevel"/>
    <w:lvl w:ilvl="0">
      <w:lvlJc w:val="left"/>
      <w:lvlText w:val="(%1)"/>
      <w:numFmt w:val="lowerLetter"/>
      <w:start w:val="1"/>
    </w:lvl>
  </w:abstractNum>
  <w:abstractNum w:abstractNumId="269">
    <w:nsid w:val="3D206613"/>
    <w:multiLevelType w:val="hybridMultilevel"/>
    <w:lvl w:ilvl="0">
      <w:lvlJc w:val="left"/>
      <w:lvlText w:val="(%1)"/>
      <w:numFmt w:val="lowerLetter"/>
      <w:start w:val="5"/>
    </w:lvl>
  </w:abstractNum>
  <w:abstractNum w:abstractNumId="270">
    <w:nsid w:val="7993B662"/>
    <w:multiLevelType w:val="hybridMultilevel"/>
    <w:lvl w:ilvl="0">
      <w:lvlJc w:val="left"/>
      <w:lvlText w:val="(%1)"/>
      <w:numFmt w:val="lowerLetter"/>
      <w:start w:val="1"/>
    </w:lvl>
  </w:abstractNum>
  <w:abstractNum w:abstractNumId="271">
    <w:nsid w:val="3BAB699E"/>
    <w:multiLevelType w:val="hybridMultilevel"/>
    <w:lvl w:ilvl="0">
      <w:lvlJc w:val="left"/>
      <w:lvlText w:val="(%1)"/>
      <w:numFmt w:val="lowerLetter"/>
      <w:start w:val="1"/>
    </w:lvl>
  </w:abstractNum>
  <w:abstractNum w:abstractNumId="272">
    <w:nsid w:val="71315369"/>
    <w:multiLevelType w:val="hybridMultilevel"/>
    <w:lvl w:ilvl="0">
      <w:lvlJc w:val="left"/>
      <w:lvlText w:val="(%1)"/>
      <w:numFmt w:val="lowerLetter"/>
      <w:start w:val="2"/>
    </w:lvl>
  </w:abstractNum>
  <w:abstractNum w:abstractNumId="273">
    <w:nsid w:val="7BCFBAFC"/>
    <w:multiLevelType w:val="hybridMultilevel"/>
    <w:lvl w:ilvl="0">
      <w:lvlJc w:val="left"/>
      <w:lvlText w:val="(%1)"/>
      <w:numFmt w:val="lowerLetter"/>
      <w:start w:val="1"/>
    </w:lvl>
  </w:abstractNum>
  <w:abstractNum w:abstractNumId="274">
    <w:nsid w:val="17859F72"/>
    <w:multiLevelType w:val="hybridMultilevel"/>
    <w:lvl w:ilvl="0">
      <w:lvlJc w:val="left"/>
      <w:lvlText w:val="(%1)"/>
      <w:numFmt w:val="lowerLetter"/>
      <w:start w:val="2"/>
    </w:lvl>
    <w:lvl w:ilvl="1">
      <w:lvlJc w:val="left"/>
      <w:lvlText w:val="(%2)"/>
      <w:numFmt w:val="decimal"/>
      <w:start w:val="1"/>
    </w:lvl>
  </w:abstractNum>
  <w:abstractNum w:abstractNumId="275">
    <w:nsid w:val="3AA10581"/>
    <w:multiLevelType w:val="hybridMultilevel"/>
    <w:lvl w:ilvl="0">
      <w:lvlJc w:val="left"/>
      <w:lvlText w:val="(%1)"/>
      <w:numFmt w:val="lowerLetter"/>
      <w:start w:val="1"/>
    </w:lvl>
  </w:abstractNum>
  <w:abstractNum w:abstractNumId="276">
    <w:nsid w:val="63DE60CD"/>
    <w:multiLevelType w:val="hybridMultilevel"/>
    <w:lvl w:ilvl="0">
      <w:lvlJc w:val="left"/>
      <w:lvlText w:val="(%1)"/>
      <w:numFmt w:val="lowerLetter"/>
      <w:start w:val="2"/>
    </w:lvl>
  </w:abstractNum>
  <w:abstractNum w:abstractNumId="277">
    <w:nsid w:val="621AF471"/>
    <w:multiLevelType w:val="hybridMultilevel"/>
    <w:lvl w:ilvl="0">
      <w:lvlJc w:val="left"/>
      <w:lvlText w:val="(%1)"/>
      <w:numFmt w:val="lowerLetter"/>
      <w:start w:val="1"/>
    </w:lvl>
  </w:abstractNum>
  <w:abstractNum w:abstractNumId="278">
    <w:nsid w:val="73CFE165"/>
    <w:multiLevelType w:val="hybridMultilevel"/>
    <w:lvl w:ilvl="0">
      <w:lvlJc w:val="left"/>
      <w:lvlText w:val="(%1)"/>
      <w:numFmt w:val="lowerLetter"/>
      <w:start w:val="1"/>
    </w:lvl>
  </w:abstractNum>
  <w:abstractNum w:abstractNumId="279">
    <w:nsid w:val="20F88EA6"/>
    <w:multiLevelType w:val="hybridMultilevel"/>
    <w:lvl w:ilvl="0">
      <w:lvlJc w:val="left"/>
      <w:lvlText w:val="(%1)"/>
      <w:numFmt w:val="lowerLetter"/>
      <w:start w:val="2"/>
    </w:lvl>
  </w:abstractNum>
  <w:abstractNum w:abstractNumId="280">
    <w:nsid w:val="617C843E"/>
    <w:multiLevelType w:val="hybridMultilevel"/>
    <w:lvl w:ilvl="0">
      <w:lvlJc w:val="left"/>
      <w:lvlText w:val="(%1)"/>
      <w:numFmt w:val="lowerLetter"/>
      <w:start w:val="1"/>
    </w:lvl>
  </w:abstractNum>
  <w:abstractNum w:abstractNumId="281">
    <w:nsid w:val="7B541FAB"/>
    <w:multiLevelType w:val="hybridMultilevel"/>
    <w:lvl w:ilvl="0">
      <w:lvlJc w:val="left"/>
      <w:lvlText w:val="(%1)"/>
      <w:numFmt w:val="lowerLetter"/>
      <w:start w:val="2"/>
    </w:lvl>
  </w:abstractNum>
  <w:abstractNum w:abstractNumId="282">
    <w:nsid w:val="2A79EC49"/>
    <w:multiLevelType w:val="hybridMultilevel"/>
    <w:lvl w:ilvl="0">
      <w:lvlJc w:val="left"/>
      <w:lvlText w:val="(%1)"/>
      <w:numFmt w:val="lowerLetter"/>
      <w:start w:val="1"/>
    </w:lvl>
  </w:abstractNum>
  <w:abstractNum w:abstractNumId="283">
    <w:nsid w:val="338125CF"/>
    <w:multiLevelType w:val="hybridMultilevel"/>
    <w:lvl w:ilvl="0">
      <w:lvlJc w:val="left"/>
      <w:lvlText w:val="(%1)"/>
      <w:numFmt w:val="lowerLetter"/>
      <w:start w:val="2"/>
    </w:lvl>
  </w:abstractNum>
  <w:abstractNum w:abstractNumId="284">
    <w:nsid w:val="47C7C971"/>
    <w:multiLevelType w:val="hybridMultilevel"/>
    <w:lvl w:ilvl="0">
      <w:lvlJc w:val="left"/>
      <w:lvlText w:val="(%1)"/>
      <w:numFmt w:val="lowerLetter"/>
      <w:start w:val="1"/>
    </w:lvl>
  </w:abstractNum>
  <w:abstractNum w:abstractNumId="285">
    <w:nsid w:val="46F8284B"/>
    <w:multiLevelType w:val="hybridMultilevel"/>
    <w:lvl w:ilvl="0">
      <w:lvlJc w:val="left"/>
      <w:lvlText w:val="(%1)"/>
      <w:numFmt w:val="lowerLetter"/>
      <w:start w:val="1"/>
    </w:lvl>
  </w:abstractNum>
  <w:abstractNum w:abstractNumId="286">
    <w:nsid w:val="4FA327CE"/>
    <w:multiLevelType w:val="hybridMultilevel"/>
    <w:lvl w:ilvl="0">
      <w:lvlJc w:val="left"/>
      <w:lvlText w:val="%1."/>
      <w:numFmt w:val="upperLetter"/>
      <w:start w:val="2"/>
    </w:lvl>
  </w:abstractNum>
  <w:abstractNum w:abstractNumId="287">
    <w:nsid w:val="1873983A"/>
    <w:multiLevelType w:val="hybridMultilevel"/>
    <w:lvl w:ilvl="0">
      <w:lvlJc w:val="left"/>
      <w:lvlText w:val="(%1)"/>
      <w:numFmt w:val="lowerLetter"/>
      <w:start w:val="1"/>
    </w:lvl>
  </w:abstractNum>
  <w:abstractNum w:abstractNumId="288">
    <w:nsid w:val="3D2DD275"/>
    <w:multiLevelType w:val="hybridMultilevel"/>
    <w:lvl w:ilvl="0">
      <w:lvlJc w:val="left"/>
      <w:lvlText w:val="1"/>
      <w:numFmt w:val="bullet"/>
      <w:start w:val="1"/>
    </w:lvl>
  </w:abstractNum>
  <w:abstractNum w:abstractNumId="289">
    <w:nsid w:val="2E17ECA7"/>
    <w:multiLevelType w:val="hybridMultilevel"/>
    <w:lvl w:ilvl="0">
      <w:lvlJc w:val="left"/>
      <w:lvlText w:val="%1."/>
      <w:numFmt w:val="decimal"/>
      <w:start w:val="1"/>
    </w:lvl>
  </w:abstractNum>
  <w:abstractNum w:abstractNumId="290">
    <w:nsid w:val="53B2564F"/>
    <w:multiLevelType w:val="hybridMultilevel"/>
    <w:lvl w:ilvl="0">
      <w:lvlJc w:val="left"/>
      <w:lvlText w:val="(%1)"/>
      <w:numFmt w:val="lowerLetter"/>
      <w:start w:val="1"/>
    </w:lvl>
  </w:abstractNum>
  <w:abstractNum w:abstractNumId="291">
    <w:nsid w:val="75509D76"/>
    <w:multiLevelType w:val="hybridMultilevel"/>
    <w:lvl w:ilvl="0">
      <w:lvlJc w:val="left"/>
      <w:lvlText w:val="(%1)"/>
      <w:numFmt w:val="decimal"/>
      <w:start w:val="3"/>
    </w:lvl>
    <w:lvl w:ilvl="1">
      <w:lvlJc w:val="left"/>
      <w:lvlText w:val="(%2)"/>
      <w:numFmt w:val="lowerLetter"/>
      <w:start w:val="2"/>
    </w:lvl>
  </w:abstractNum>
  <w:abstractNum w:abstractNumId="292">
    <w:nsid w:val="1AF7F0EA"/>
    <w:multiLevelType w:val="hybridMultilevel"/>
    <w:lvl w:ilvl="0">
      <w:lvlJc w:val="left"/>
      <w:lvlText w:val="(%1)"/>
      <w:numFmt w:val="lowerLetter"/>
      <w:start w:val="3"/>
    </w:lvl>
  </w:abstractNum>
  <w:abstractNum w:abstractNumId="293">
    <w:nsid w:val="4DA32C7E"/>
    <w:multiLevelType w:val="hybridMultilevel"/>
    <w:lvl w:ilvl="0">
      <w:lvlJc w:val="left"/>
      <w:lvlText w:val="(%1)"/>
      <w:numFmt w:val="lowerLetter"/>
      <w:start w:val="4"/>
    </w:lvl>
  </w:abstractNum>
  <w:abstractNum w:abstractNumId="294">
    <w:nsid w:val="6EC68664"/>
    <w:multiLevelType w:val="hybridMultilevel"/>
    <w:lvl w:ilvl="0">
      <w:lvlJc w:val="left"/>
      <w:lvlText w:val="(%1)"/>
      <w:numFmt w:val="decimal"/>
      <w:start w:val="64"/>
    </w:lvl>
  </w:abstractNum>
  <w:abstractNum w:abstractNumId="295">
    <w:nsid w:val="E0D31FF"/>
    <w:multiLevelType w:val="hybridMultilevel"/>
    <w:lvl w:ilvl="0">
      <w:lvlJc w:val="left"/>
      <w:lvlText w:val="(%1)"/>
      <w:numFmt w:val="lowerLetter"/>
      <w:start w:val="5"/>
    </w:lvl>
  </w:abstractNum>
  <w:abstractNum w:abstractNumId="296">
    <w:nsid w:val="2FD0AD81"/>
    <w:multiLevelType w:val="hybridMultilevel"/>
    <w:lvl w:ilvl="0">
      <w:lvlJc w:val="left"/>
      <w:lvlText w:val="(%1)"/>
      <w:numFmt w:val="lowerLetter"/>
      <w:start w:val="6"/>
    </w:lvl>
    <w:lvl w:ilvl="1">
      <w:lvlJc w:val="left"/>
      <w:lvlText w:val="(%2)"/>
      <w:numFmt w:val="lowerLetter"/>
      <w:start w:val="9"/>
    </w:lvl>
  </w:abstractNum>
  <w:abstractNum w:abstractNumId="297">
    <w:nsid w:val="1978EBEB"/>
    <w:multiLevelType w:val="hybridMultilevel"/>
    <w:lvl w:ilvl="0">
      <w:lvlJc w:val="left"/>
      <w:lvlText w:val="(%1)"/>
      <w:numFmt w:val="lowerRoman"/>
      <w:start w:val="2"/>
    </w:lvl>
  </w:abstractNum>
  <w:abstractNum w:abstractNumId="298">
    <w:nsid w:val="52C12C61"/>
    <w:multiLevelType w:val="hybridMultilevel"/>
    <w:lvl w:ilvl="0">
      <w:lvlJc w:val="left"/>
      <w:lvlText w:val="(%1)"/>
      <w:numFmt w:val="lowerLetter"/>
      <w:start w:val="7"/>
    </w:lvl>
  </w:abstractNum>
  <w:abstractNum w:abstractNumId="299">
    <w:nsid w:val="4BDD53FD"/>
    <w:multiLevelType w:val="hybridMultilevel"/>
    <w:lvl w:ilvl="0">
      <w:lvlJc w:val="left"/>
      <w:lvlText w:val="%1."/>
      <w:numFmt w:val="decimal"/>
      <w:start w:val="2"/>
    </w:lvl>
  </w:abstractNum>
  <w:abstractNum w:abstractNumId="300">
    <w:nsid w:val="569951FE"/>
    <w:multiLevelType w:val="hybridMultilevel"/>
    <w:lvl w:ilvl="0">
      <w:lvlJc w:val="left"/>
      <w:lvlText w:val="(%1)"/>
      <w:numFmt w:val="lowerLetter"/>
      <w:start w:val="1"/>
    </w:lvl>
  </w:abstractNum>
  <w:abstractNum w:abstractNumId="301">
    <w:nsid w:val="4C54E2C3"/>
    <w:multiLevelType w:val="hybridMultilevel"/>
    <w:lvl w:ilvl="0">
      <w:lvlJc w:val="left"/>
      <w:lvlText w:val="(%1)"/>
      <w:numFmt w:val="lowerLetter"/>
      <w:start w:val="2"/>
    </w:lvl>
  </w:abstractNum>
  <w:abstractNum w:abstractNumId="302">
    <w:nsid w:val="788BD9B"/>
    <w:multiLevelType w:val="hybridMultilevel"/>
    <w:lvl w:ilvl="0">
      <w:lvlJc w:val="left"/>
      <w:lvlText w:val="(%1)"/>
      <w:numFmt w:val="lowerLetter"/>
      <w:start w:val="5"/>
    </w:lvl>
  </w:abstractNum>
  <w:abstractNum w:abstractNumId="303">
    <w:nsid w:val="47CAA567"/>
    <w:multiLevelType w:val="hybridMultilevel"/>
    <w:lvl w:ilvl="0">
      <w:lvlJc w:val="left"/>
      <w:lvlText w:val="%1."/>
      <w:numFmt w:val="decimal"/>
      <w:start w:val="3"/>
    </w:lvl>
  </w:abstractNum>
  <w:abstractNum w:abstractNumId="304">
    <w:nsid w:val="48249DBF"/>
    <w:multiLevelType w:val="hybridMultilevel"/>
    <w:lvl w:ilvl="0">
      <w:lvlJc w:val="left"/>
      <w:lvlText w:val="(%1)"/>
      <w:numFmt w:val="lowerLetter"/>
      <w:start w:val="1"/>
    </w:lvl>
  </w:abstractNum>
  <w:abstractNum w:abstractNumId="305">
    <w:nsid w:val="1F0E5D0D"/>
    <w:multiLevelType w:val="hybridMultilevel"/>
    <w:lvl w:ilvl="0">
      <w:lvlJc w:val="left"/>
      <w:lvlText w:val="(%1)"/>
      <w:numFmt w:val="lowerLetter"/>
      <w:start w:val="2"/>
    </w:lvl>
  </w:abstractNum>
  <w:abstractNum w:abstractNumId="306">
    <w:nsid w:val="26BAAE9"/>
    <w:multiLevelType w:val="hybridMultilevel"/>
    <w:lvl w:ilvl="0">
      <w:lvlJc w:val="left"/>
      <w:lvlText w:val="(%1)"/>
      <w:numFmt w:val="lowerLetter"/>
      <w:start w:val="3"/>
    </w:lvl>
  </w:abstractNum>
  <w:abstractNum w:abstractNumId="307">
    <w:nsid w:val="2C02FE8C"/>
    <w:multiLevelType w:val="hybridMultilevel"/>
    <w:lvl w:ilvl="0">
      <w:lvlJc w:val="left"/>
      <w:lvlText w:val="%1."/>
      <w:numFmt w:val="decimal"/>
      <w:start w:val="5"/>
    </w:lvl>
  </w:abstractNum>
  <w:abstractNum w:abstractNumId="308">
    <w:nsid w:val="129517E"/>
    <w:multiLevelType w:val="hybridMultilevel"/>
    <w:lvl w:ilvl="0">
      <w:lvlJc w:val="left"/>
      <w:lvlText w:val="%1."/>
      <w:numFmt w:val="decimal"/>
      <w:start w:val="6"/>
    </w:lvl>
  </w:abstractNum>
  <w:abstractNum w:abstractNumId="309">
    <w:nsid w:val="763B8C4E"/>
    <w:multiLevelType w:val="hybridMultilevel"/>
    <w:lvl w:ilvl="0">
      <w:lvlJc w:val="left"/>
      <w:lvlText w:val="(%1)"/>
      <w:numFmt w:val="lowerLetter"/>
      <w:start w:val="1"/>
    </w:lvl>
  </w:abstractNum>
  <w:abstractNum w:abstractNumId="310">
    <w:nsid w:val="4CFB8D32"/>
    <w:multiLevelType w:val="hybridMultilevel"/>
    <w:lvl w:ilvl="0">
      <w:lvlJc w:val="left"/>
      <w:lvlText w:val="(%1)"/>
      <w:numFmt w:val="lowerLetter"/>
      <w:start w:val="3"/>
    </w:lvl>
  </w:abstractNum>
  <w:abstractNum w:abstractNumId="311">
    <w:nsid w:val="62A5D5BD"/>
    <w:multiLevelType w:val="hybridMultilevel"/>
    <w:lvl w:ilvl="0">
      <w:lvlJc w:val="left"/>
      <w:lvlText w:val="%1."/>
      <w:numFmt w:val="decimal"/>
      <w:start w:val="8"/>
    </w:lvl>
  </w:abstractNum>
  <w:abstractNum w:abstractNumId="312">
    <w:nsid w:val="718FABF9"/>
    <w:multiLevelType w:val="hybridMultilevel"/>
    <w:lvl w:ilvl="0">
      <w:lvlJc w:val="left"/>
      <w:lvlText w:val="%1."/>
      <w:numFmt w:val="decimal"/>
      <w:start w:val="10"/>
    </w:lvl>
  </w:abstractNum>
  <w:abstractNum w:abstractNumId="313">
    <w:nsid w:val="7775797C"/>
    <w:multiLevelType w:val="hybridMultilevel"/>
    <w:lvl w:ilvl="0">
      <w:lvlJc w:val="left"/>
      <w:lvlText w:val="%1."/>
      <w:numFmt w:val="decimal"/>
      <w:start w:val="13"/>
    </w:lvl>
  </w:abstractNum>
  <w:abstractNum w:abstractNumId="314">
    <w:nsid w:val="1626FB8C"/>
    <w:multiLevelType w:val="hybridMultilevel"/>
    <w:lvl w:ilvl="0">
      <w:lvlJc w:val="left"/>
      <w:lvlText w:val="%1."/>
      <w:numFmt w:val="decimal"/>
      <w:start w:val="15"/>
    </w:lvl>
  </w:abstractNum>
  <w:abstractNum w:abstractNumId="315">
    <w:nsid w:val="3957756A"/>
    <w:multiLevelType w:val="hybridMultilevel"/>
    <w:lvl w:ilvl="0">
      <w:lvlJc w:val="left"/>
      <w:lvlText w:val="(%1)"/>
      <w:numFmt w:val="lowerLetter"/>
      <w:start w:val="1"/>
    </w:lvl>
  </w:abstractNum>
  <w:abstractNum w:abstractNumId="316">
    <w:nsid w:val="3E6DA1C7"/>
    <w:multiLevelType w:val="hybridMultilevel"/>
    <w:lvl w:ilvl="0">
      <w:lvlJc w:val="left"/>
      <w:lvlText w:val="(%1)"/>
      <w:numFmt w:val="lowerLetter"/>
      <w:start w:val="3"/>
    </w:lvl>
  </w:abstractNum>
  <w:abstractNum w:abstractNumId="317">
    <w:nsid w:val="65CA235B"/>
    <w:multiLevelType w:val="hybridMultilevel"/>
    <w:lvl w:ilvl="0">
      <w:lvlJc w:val="left"/>
      <w:lvlText w:val="(%1)"/>
      <w:numFmt w:val="lowerLetter"/>
      <w:start w:val="8"/>
    </w:lvl>
  </w:abstractNum>
  <w:abstractNum w:abstractNumId="318">
    <w:nsid w:val="51CB0DA4"/>
    <w:multiLevelType w:val="hybridMultilevel"/>
    <w:lvl w:ilvl="0">
      <w:lvlJc w:val="left"/>
      <w:lvlText w:val="(%1)"/>
      <w:numFmt w:val="lowerLetter"/>
      <w:start w:val="14"/>
    </w:lvl>
  </w:abstractNum>
  <w:abstractNum w:abstractNumId="319">
    <w:nsid w:val="7B9B743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2019-12-08T20:33:32Z</dcterms:created>
  <dcterms:modified xsi:type="dcterms:W3CDTF">2019-12-08T20:33:32Z</dcterms:modified>
</cp:coreProperties>
</file>