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460" w:hanging="330"/>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140" w:right="1800" w:hanging="4010"/>
        <w:spacing w:after="0" w:line="501" w:lineRule="auto"/>
        <w:tabs>
          <w:tab w:leader="none" w:pos="46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20-4988129</w:t>
            </w:r>
          </w:p>
        </w:tc>
        <w:tc>
          <w:tcPr>
            <w:tcW w:w="2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w:t>
            </w:r>
          </w:p>
        </w:tc>
        <w:tc>
          <w:tcPr>
            <w:tcW w:w="5600" w:type="dxa"/>
            <w:vAlign w:val="bottom"/>
            <w:gridSpan w:val="3"/>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New York, NY</w:t>
            </w:r>
          </w:p>
        </w:tc>
        <w:tc>
          <w:tcPr>
            <w:tcW w:w="3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10017</w:t>
            </w:r>
          </w:p>
        </w:tc>
        <w:tc>
          <w:tcPr>
            <w:tcW w:w="2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gridSpan w:val="2"/>
          </w:tcPr>
          <w:p>
            <w:pPr>
              <w:jc w:val="center"/>
              <w:ind w:left="1910"/>
              <w:spacing w:after="0"/>
              <w:rPr>
                <w:sz w:val="20"/>
                <w:szCs w:val="20"/>
                <w:color w:val="auto"/>
              </w:rPr>
            </w:pPr>
            <w:r>
              <w:rPr>
                <w:rFonts w:ascii="Arial" w:cs="Arial" w:eastAsia="Arial" w:hAnsi="Arial"/>
                <w:sz w:val="18"/>
                <w:szCs w:val="18"/>
                <w:color w:val="auto"/>
                <w:w w:val="91"/>
              </w:rPr>
              <w:t>(Zip Code)</w:t>
            </w:r>
          </w:p>
        </w:tc>
        <w:tc>
          <w:tcPr>
            <w:tcW w:w="2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5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00" w:type="dxa"/>
            <w:vAlign w:val="bottom"/>
          </w:tcPr>
          <w:p>
            <w:pPr>
              <w:spacing w:after="0"/>
              <w:rPr>
                <w:sz w:val="19"/>
                <w:szCs w:val="19"/>
                <w:color w:val="auto"/>
              </w:rPr>
            </w:pPr>
          </w:p>
        </w:tc>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18"/>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1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w:t>
      </w:r>
      <w:r>
        <w:rPr>
          <w:rFonts w:ascii="Arial" w:cs="Arial" w:eastAsia="Arial" w:hAnsi="Arial"/>
          <w:sz w:val="18"/>
          <w:szCs w:val="18"/>
          <w:i w:val="1"/>
          <w:iCs w:val="1"/>
          <w:color w:val="auto"/>
        </w:rPr>
        <w:t>large accelerated filer,</w:t>
      </w:r>
      <w:r>
        <w:rPr>
          <w:rFonts w:ascii="Arial" w:cs="Arial" w:eastAsia="Arial" w:hAnsi="Arial"/>
          <w:sz w:val="18"/>
          <w:szCs w:val="18"/>
          <w:color w:val="auto"/>
        </w:rPr>
        <w:t>” “</w:t>
      </w:r>
      <w:r>
        <w:rPr>
          <w:rFonts w:ascii="Arial" w:cs="Arial" w:eastAsia="Arial" w:hAnsi="Arial"/>
          <w:sz w:val="18"/>
          <w:szCs w:val="18"/>
          <w:i w:val="1"/>
          <w:iCs w:val="1"/>
          <w:color w:val="auto"/>
        </w:rPr>
        <w:t>accelerated filer,</w:t>
      </w:r>
      <w:r>
        <w:rPr>
          <w:rFonts w:ascii="Arial" w:cs="Arial" w:eastAsia="Arial" w:hAnsi="Arial"/>
          <w:sz w:val="18"/>
          <w:szCs w:val="18"/>
          <w:color w:val="auto"/>
        </w:rPr>
        <w:t>” “</w:t>
      </w:r>
      <w:r>
        <w:rPr>
          <w:rFonts w:ascii="Arial" w:cs="Arial" w:eastAsia="Arial" w:hAnsi="Arial"/>
          <w:sz w:val="18"/>
          <w:szCs w:val="18"/>
          <w:i w:val="1"/>
          <w:iCs w:val="1"/>
          <w:color w:val="auto"/>
        </w:rPr>
        <w:t>smaller reporting company,</w:t>
      </w:r>
      <w:r>
        <w:rPr>
          <w:rFonts w:ascii="Arial" w:cs="Arial" w:eastAsia="Arial" w:hAnsi="Arial"/>
          <w:sz w:val="18"/>
          <w:szCs w:val="18"/>
          <w:color w:val="auto"/>
        </w:rPr>
        <w:t>” and “</w:t>
      </w:r>
      <w:r>
        <w:rPr>
          <w:rFonts w:ascii="Arial" w:cs="Arial" w:eastAsia="Arial" w:hAnsi="Arial"/>
          <w:sz w:val="18"/>
          <w:szCs w:val="18"/>
          <w:i w:val="1"/>
          <w:iCs w:val="1"/>
          <w:color w:val="auto"/>
        </w:rPr>
        <w:t>emerging growth</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20" w:type="dxa"/>
            <w:vAlign w:val="bottom"/>
          </w:tcPr>
          <w:p>
            <w:pPr>
              <w:ind w:left="22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29, 2018 was $5,400,389.</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March 15, 2019, 1,932,326 shares of the registrant's common stock 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75" w:right="239" w:bottom="12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documents (or parts thereof) are incorporated by reference into the following parts of this Annual Report on Form 10-K: Certain information required in Part III of this Annual Report on Form 10-K is incorporated from the Registrant’s Proxy Statement for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22, 2019, we filed a certificate of amendment to our amended and restated certificate of incorporation with the Secretary of State of the State of Delaware to effect a 1-for-20 reverse stock split of our shares of common stock, par value $0.01 per share (the “Common Stock”). Such amendment and ratio were previously approved by our stockholders and board of directors, respectively.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reverse stock split, every twenty (20) shares of our pre-reverse split Common Stock were combined and reclassified into one (1) share of Common Stock. Proportionate voting rights and other rights of Common Stock 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Such cash payment in lieu of a fractional share of Common Stock was calculated by multiplying such fractional interest in one share of Common Stock by the closing trading price of our Common Stock on February 22, 2019, and rounded to the nearest cent. No fractional shares were issued in connection with the reverse stock split.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began trading on the Nasdaq Capital Market on a post-reverse split basis at the open of business on February 25, 2019.</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All information in this Annual Report on Form 10-K give effect to the reverse stock split and all share amounts have been adjusted to reflect the reverse stock split.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8"/>
          </w:tcPr>
          <w:p>
            <w:pPr>
              <w:ind w:left="5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9"/>
            <w:shd w:val="clear" w:color="auto" w:fill="CCEEFF"/>
          </w:tcPr>
          <w:p>
            <w:pPr>
              <w:spacing w:after="0" w:line="136" w:lineRule="exact"/>
              <w:rPr>
                <w:rFonts w:ascii="Arial" w:cs="Arial" w:eastAsia="Arial" w:hAnsi="Arial"/>
                <w:sz w:val="15"/>
                <w:szCs w:val="15"/>
                <w:color w:val="0000EE"/>
              </w:rPr>
            </w:pPr>
            <w:hyperlink w:anchor="page8">
              <w:r>
                <w:rPr>
                  <w:rFonts w:ascii="Arial" w:cs="Arial" w:eastAsia="Arial" w:hAnsi="Arial"/>
                  <w:sz w:val="15"/>
                  <w:szCs w:val="15"/>
                  <w:color w:val="0000EE"/>
                </w:rPr>
                <w:t>Part I</w:t>
              </w:r>
            </w:hyperlink>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center"/>
              <w:ind w:left="390"/>
              <w:spacing w:after="0" w:line="142" w:lineRule="exact"/>
              <w:rPr>
                <w:rFonts w:ascii="Arial" w:cs="Arial" w:eastAsia="Arial" w:hAnsi="Arial"/>
                <w:sz w:val="16"/>
                <w:szCs w:val="16"/>
                <w:color w:val="0000EE"/>
              </w:rPr>
            </w:pPr>
            <w:hyperlink w:anchor="page8">
              <w:r>
                <w:rPr>
                  <w:rFonts w:ascii="Arial" w:cs="Arial" w:eastAsia="Arial" w:hAnsi="Arial"/>
                  <w:sz w:val="16"/>
                  <w:szCs w:val="16"/>
                  <w:color w:val="0000EE"/>
                </w:rPr>
                <w:t>5</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1140" w:type="dxa"/>
            <w:vAlign w:val="bottom"/>
            <w:gridSpan w:val="9"/>
          </w:tcPr>
          <w:p>
            <w:pPr>
              <w:spacing w:after="0" w:line="170"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Item 1:</w:t>
              </w:r>
            </w:hyperlink>
          </w:p>
        </w:tc>
        <w:tc>
          <w:tcPr>
            <w:tcW w:w="9120" w:type="dxa"/>
            <w:vAlign w:val="bottom"/>
            <w:gridSpan w:val="21"/>
          </w:tcPr>
          <w:p>
            <w:pPr>
              <w:spacing w:after="0" w:line="170" w:lineRule="exact"/>
              <w:rPr>
                <w:rFonts w:ascii="Arial" w:cs="Arial" w:eastAsia="Arial" w:hAnsi="Arial"/>
                <w:sz w:val="18"/>
                <w:szCs w:val="18"/>
                <w:color w:val="0000EE"/>
              </w:rPr>
            </w:pPr>
            <w:hyperlink w:anchor="page8">
              <w:r>
                <w:rPr>
                  <w:rFonts w:ascii="Arial" w:cs="Arial" w:eastAsia="Arial" w:hAnsi="Arial"/>
                  <w:sz w:val="18"/>
                  <w:szCs w:val="18"/>
                  <w:color w:val="0000EE"/>
                </w:rPr>
                <w:t>Business</w:t>
              </w:r>
            </w:hyperlink>
          </w:p>
        </w:tc>
        <w:tc>
          <w:tcPr>
            <w:tcW w:w="660" w:type="dxa"/>
            <w:vAlign w:val="bottom"/>
            <w:gridSpan w:val="2"/>
          </w:tcPr>
          <w:p>
            <w:pPr>
              <w:jc w:val="center"/>
              <w:ind w:left="390"/>
              <w:spacing w:after="0" w:line="170"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5</w:t>
              </w:r>
            </w:hyperlink>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8"/>
            <w:shd w:val="clear" w:color="auto" w:fill="CCEEFF"/>
          </w:tcPr>
          <w:p>
            <w:pPr>
              <w:spacing w:after="0" w:line="176" w:lineRule="exact"/>
              <w:rPr>
                <w:rFonts w:ascii="Arial" w:cs="Arial" w:eastAsia="Arial" w:hAnsi="Arial"/>
                <w:sz w:val="18"/>
                <w:szCs w:val="18"/>
                <w:b w:val="1"/>
                <w:bCs w:val="1"/>
                <w:color w:val="0000EE"/>
                <w:w w:val="92"/>
              </w:rPr>
            </w:pPr>
            <w:hyperlink w:anchor="page14">
              <w:r>
                <w:rPr>
                  <w:rFonts w:ascii="Arial" w:cs="Arial" w:eastAsia="Arial" w:hAnsi="Arial"/>
                  <w:sz w:val="18"/>
                  <w:szCs w:val="18"/>
                  <w:b w:val="1"/>
                  <w:bCs w:val="1"/>
                  <w:color w:val="0000EE"/>
                  <w:w w:val="92"/>
                </w:rPr>
                <w:t>Item 1A:</w:t>
              </w:r>
            </w:hyperlink>
          </w:p>
        </w:tc>
        <w:tc>
          <w:tcPr>
            <w:tcW w:w="460" w:type="dxa"/>
            <w:vAlign w:val="bottom"/>
            <w:shd w:val="clear" w:color="auto" w:fill="CCEEFF"/>
          </w:tcPr>
          <w:p>
            <w:pPr>
              <w:spacing w:after="0"/>
              <w:rPr>
                <w:sz w:val="15"/>
                <w:szCs w:val="15"/>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8"/>
          </w:tcPr>
          <w:p>
            <w:pPr>
              <w:spacing w:after="0" w:line="176" w:lineRule="exact"/>
              <w:rPr>
                <w:rFonts w:ascii="Arial" w:cs="Arial" w:eastAsia="Arial" w:hAnsi="Arial"/>
                <w:sz w:val="18"/>
                <w:szCs w:val="18"/>
                <w:b w:val="1"/>
                <w:bCs w:val="1"/>
                <w:color w:val="0000EE"/>
                <w:w w:val="92"/>
              </w:rPr>
            </w:pPr>
            <w:hyperlink w:anchor="page34">
              <w:r>
                <w:rPr>
                  <w:rFonts w:ascii="Arial" w:cs="Arial" w:eastAsia="Arial" w:hAnsi="Arial"/>
                  <w:sz w:val="18"/>
                  <w:szCs w:val="18"/>
                  <w:b w:val="1"/>
                  <w:bCs w:val="1"/>
                  <w:color w:val="0000EE"/>
                  <w:w w:val="92"/>
                </w:rPr>
                <w:t>Item 1B:</w:t>
              </w:r>
            </w:hyperlink>
          </w:p>
        </w:tc>
        <w:tc>
          <w:tcPr>
            <w:tcW w:w="460" w:type="dxa"/>
            <w:vAlign w:val="bottom"/>
          </w:tcPr>
          <w:p>
            <w:pPr>
              <w:spacing w:after="0"/>
              <w:rPr>
                <w:sz w:val="15"/>
                <w:szCs w:val="15"/>
                <w:color w:val="auto"/>
              </w:rPr>
            </w:pPr>
          </w:p>
        </w:tc>
        <w:tc>
          <w:tcPr>
            <w:tcW w:w="9120" w:type="dxa"/>
            <w:vAlign w:val="bottom"/>
            <w:gridSpan w:val="2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660" w:type="dxa"/>
            <w:vAlign w:val="bottom"/>
            <w:gridSpan w:val="2"/>
          </w:tcPr>
          <w:p>
            <w:pPr>
              <w:jc w:val="center"/>
              <w:ind w:left="39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2:</w:t>
              </w:r>
            </w:hyperlink>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tcPr>
          <w:p>
            <w:pPr>
              <w:spacing w:after="0" w:line="17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3:</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60" w:type="dxa"/>
            <w:vAlign w:val="bottom"/>
            <w:gridSpan w:val="2"/>
          </w:tcPr>
          <w:p>
            <w:pPr>
              <w:jc w:val="center"/>
              <w:ind w:left="39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4:</w:t>
              </w:r>
            </w:hyperlink>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32</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60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40" w:type="dxa"/>
            <w:vAlign w:val="bottom"/>
            <w:tcBorders>
              <w:top w:val="single" w:sz="8" w:color="0000EE"/>
            </w:tcBorders>
          </w:tcPr>
          <w:p>
            <w:pPr>
              <w:jc w:val="center"/>
              <w:spacing w:after="0" w:line="176" w:lineRule="exact"/>
              <w:rPr>
                <w:rFonts w:ascii="Arial" w:cs="Arial" w:eastAsia="Arial" w:hAnsi="Arial"/>
                <w:sz w:val="17"/>
                <w:szCs w:val="17"/>
                <w:color w:val="0000EE"/>
                <w:w w:val="73"/>
              </w:rPr>
            </w:pPr>
            <w:hyperlink w:anchor="page37">
              <w:r>
                <w:rPr>
                  <w:rFonts w:ascii="Arial" w:cs="Arial" w:eastAsia="Arial" w:hAnsi="Arial"/>
                  <w:sz w:val="17"/>
                  <w:szCs w:val="17"/>
                  <w:color w:val="0000EE"/>
                  <w:w w:val="73"/>
                </w:rPr>
                <w:t>33</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5:</w:t>
              </w:r>
            </w:hyperlink>
          </w:p>
        </w:tc>
        <w:tc>
          <w:tcPr>
            <w:tcW w:w="9120" w:type="dxa"/>
            <w:vAlign w:val="bottom"/>
            <w:gridSpan w:val="21"/>
            <w:shd w:val="clear" w:color="auto" w:fill="CCEEFF"/>
          </w:tcPr>
          <w:p>
            <w:pPr>
              <w:spacing w:after="0" w:line="17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Market for the Registrant's Common Equity, Related Stockholder Matters and Issuer Purchases of Equity Securities</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33</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6:</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Selected Financial Data</w:t>
              </w:r>
            </w:hyperlink>
          </w:p>
        </w:tc>
        <w:tc>
          <w:tcPr>
            <w:tcW w:w="660" w:type="dxa"/>
            <w:vAlign w:val="bottom"/>
            <w:gridSpan w:val="2"/>
          </w:tcPr>
          <w:p>
            <w:pPr>
              <w:jc w:val="center"/>
              <w:ind w:left="390"/>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33</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7:</w:t>
              </w:r>
            </w:hyperlink>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tcPr>
          <w:p>
            <w:pPr>
              <w:spacing w:after="0" w:line="17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7A:</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660" w:type="dxa"/>
            <w:vAlign w:val="bottom"/>
            <w:gridSpan w:val="2"/>
          </w:tcPr>
          <w:p>
            <w:pPr>
              <w:jc w:val="center"/>
              <w:ind w:left="390"/>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53</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8:</w:t>
              </w:r>
            </w:hyperlink>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53</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tcPr>
          <w:p>
            <w:pPr>
              <w:spacing w:after="0" w:line="17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Item 9:</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Changes in and Disagreements with Accountants on Accounting and Financial Disclosure</w:t>
              </w:r>
            </w:hyperlink>
          </w:p>
        </w:tc>
        <w:tc>
          <w:tcPr>
            <w:tcW w:w="660" w:type="dxa"/>
            <w:vAlign w:val="bottom"/>
            <w:gridSpan w:val="2"/>
          </w:tcPr>
          <w:p>
            <w:pPr>
              <w:jc w:val="center"/>
              <w:ind w:left="390"/>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53</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8"/>
            <w:shd w:val="clear" w:color="auto" w:fill="CCEEFF"/>
          </w:tcPr>
          <w:p>
            <w:pPr>
              <w:spacing w:after="0" w:line="176" w:lineRule="exact"/>
              <w:rPr>
                <w:rFonts w:ascii="Arial" w:cs="Arial" w:eastAsia="Arial" w:hAnsi="Arial"/>
                <w:sz w:val="18"/>
                <w:szCs w:val="18"/>
                <w:b w:val="1"/>
                <w:bCs w:val="1"/>
                <w:color w:val="0000EE"/>
                <w:w w:val="92"/>
              </w:rPr>
            </w:pPr>
            <w:hyperlink w:anchor="page60">
              <w:r>
                <w:rPr>
                  <w:rFonts w:ascii="Arial" w:cs="Arial" w:eastAsia="Arial" w:hAnsi="Arial"/>
                  <w:sz w:val="18"/>
                  <w:szCs w:val="18"/>
                  <w:b w:val="1"/>
                  <w:bCs w:val="1"/>
                  <w:color w:val="0000EE"/>
                  <w:w w:val="92"/>
                </w:rPr>
                <w:t>Item 9A:</w:t>
              </w:r>
            </w:hyperlink>
          </w:p>
        </w:tc>
        <w:tc>
          <w:tcPr>
            <w:tcW w:w="460" w:type="dxa"/>
            <w:vAlign w:val="bottom"/>
            <w:shd w:val="clear" w:color="auto" w:fill="CCEEFF"/>
          </w:tcPr>
          <w:p>
            <w:pPr>
              <w:spacing w:after="0"/>
              <w:rPr>
                <w:sz w:val="17"/>
                <w:szCs w:val="17"/>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0000EE"/>
            </w:tcBorders>
            <w:gridSpan w:val="8"/>
          </w:tcPr>
          <w:p>
            <w:pPr>
              <w:spacing w:after="0" w:line="176" w:lineRule="exact"/>
              <w:rPr>
                <w:rFonts w:ascii="Arial" w:cs="Arial" w:eastAsia="Arial" w:hAnsi="Arial"/>
                <w:sz w:val="18"/>
                <w:szCs w:val="18"/>
                <w:b w:val="1"/>
                <w:bCs w:val="1"/>
                <w:color w:val="0000EE"/>
                <w:w w:val="92"/>
              </w:rPr>
            </w:pPr>
            <w:hyperlink w:anchor="page60">
              <w:r>
                <w:rPr>
                  <w:rFonts w:ascii="Arial" w:cs="Arial" w:eastAsia="Arial" w:hAnsi="Arial"/>
                  <w:sz w:val="18"/>
                  <w:szCs w:val="18"/>
                  <w:b w:val="1"/>
                  <w:bCs w:val="1"/>
                  <w:color w:val="0000EE"/>
                  <w:w w:val="92"/>
                </w:rPr>
                <w:t>Item 9B:</w:t>
              </w:r>
            </w:hyperlink>
          </w:p>
        </w:tc>
        <w:tc>
          <w:tcPr>
            <w:tcW w:w="46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360" w:type="dxa"/>
            <w:vAlign w:val="bottom"/>
            <w:tcBorders>
              <w:top w:val="single" w:sz="8" w:color="CCEEFF"/>
            </w:tcBorders>
            <w:gridSpan w:val="13"/>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40" w:type="dxa"/>
            <w:vAlign w:val="bottom"/>
            <w:tcBorders>
              <w:top w:val="single" w:sz="8" w:color="0000EE"/>
            </w:tcBorders>
          </w:tcPr>
          <w:p>
            <w:pPr>
              <w:jc w:val="center"/>
              <w:spacing w:after="0" w:line="176" w:lineRule="exact"/>
              <w:rPr>
                <w:rFonts w:ascii="Arial" w:cs="Arial" w:eastAsia="Arial" w:hAnsi="Arial"/>
                <w:sz w:val="17"/>
                <w:szCs w:val="17"/>
                <w:color w:val="0000EE"/>
                <w:w w:val="73"/>
              </w:rPr>
            </w:pPr>
            <w:hyperlink w:anchor="page60">
              <w:r>
                <w:rPr>
                  <w:rFonts w:ascii="Arial" w:cs="Arial" w:eastAsia="Arial" w:hAnsi="Arial"/>
                  <w:sz w:val="17"/>
                  <w:szCs w:val="17"/>
                  <w:color w:val="0000EE"/>
                  <w:w w:val="73"/>
                </w:rPr>
                <w:t>54</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Part III</w:t>
              </w:r>
            </w:hyperlink>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55</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tcPr>
          <w:p>
            <w:pPr>
              <w:spacing w:after="0" w:line="17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Item 10:</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660" w:type="dxa"/>
            <w:vAlign w:val="bottom"/>
            <w:gridSpan w:val="2"/>
          </w:tcPr>
          <w:p>
            <w:pPr>
              <w:jc w:val="center"/>
              <w:ind w:left="390"/>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55</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Item 11:</w:t>
              </w:r>
            </w:hyperlink>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55</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9"/>
          </w:tcPr>
          <w:p>
            <w:pPr>
              <w:spacing w:after="0" w:line="17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Item 12:</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gridSpan w:val="2"/>
          </w:tcPr>
          <w:p>
            <w:pPr>
              <w:jc w:val="center"/>
              <w:ind w:left="390"/>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56</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tcBorders>
              <w:right w:val="single" w:sz="8" w:color="CCEEFF"/>
            </w:tcBorders>
            <w:gridSpan w:val="6"/>
            <w:shd w:val="clear" w:color="auto" w:fill="CCEEFF"/>
          </w:tcPr>
          <w:p>
            <w:pPr>
              <w:spacing w:after="0" w:line="176" w:lineRule="exact"/>
              <w:rPr>
                <w:rFonts w:ascii="Arial" w:cs="Arial" w:eastAsia="Arial" w:hAnsi="Arial"/>
                <w:sz w:val="18"/>
                <w:szCs w:val="18"/>
                <w:b w:val="1"/>
                <w:bCs w:val="1"/>
                <w:color w:val="0000EE"/>
                <w:w w:val="88"/>
              </w:rPr>
            </w:pPr>
            <w:hyperlink w:anchor="page62">
              <w:r>
                <w:rPr>
                  <w:rFonts w:ascii="Arial" w:cs="Arial" w:eastAsia="Arial" w:hAnsi="Arial"/>
                  <w:sz w:val="18"/>
                  <w:szCs w:val="18"/>
                  <w:b w:val="1"/>
                  <w:bCs w:val="1"/>
                  <w:color w:val="0000EE"/>
                  <w:w w:val="88"/>
                </w:rPr>
                <w:t>Item 13:</w:t>
              </w:r>
            </w:hyperlink>
          </w:p>
        </w:tc>
        <w:tc>
          <w:tcPr>
            <w:tcW w:w="500" w:type="dxa"/>
            <w:vAlign w:val="bottom"/>
            <w:gridSpan w:val="3"/>
            <w:shd w:val="clear" w:color="auto" w:fill="CCEEFF"/>
          </w:tcPr>
          <w:p>
            <w:pPr>
              <w:spacing w:after="0"/>
              <w:rPr>
                <w:sz w:val="17"/>
                <w:szCs w:val="17"/>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660" w:type="dxa"/>
            <w:vAlign w:val="bottom"/>
            <w:tcBorders>
              <w:right w:val="single" w:sz="8" w:color="CCEEFF"/>
            </w:tcBorders>
            <w:gridSpan w:val="2"/>
            <w:shd w:val="clear" w:color="auto" w:fill="CCEEFF"/>
          </w:tcPr>
          <w:p>
            <w:pPr>
              <w:jc w:val="center"/>
              <w:ind w:left="390"/>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6"/>
          </w:tcPr>
          <w:p>
            <w:pPr>
              <w:spacing w:after="0" w:line="176" w:lineRule="exact"/>
              <w:rPr>
                <w:rFonts w:ascii="Arial" w:cs="Arial" w:eastAsia="Arial" w:hAnsi="Arial"/>
                <w:sz w:val="18"/>
                <w:szCs w:val="18"/>
                <w:b w:val="1"/>
                <w:bCs w:val="1"/>
                <w:color w:val="0000EE"/>
                <w:w w:val="88"/>
              </w:rPr>
            </w:pPr>
            <w:hyperlink w:anchor="page62">
              <w:r>
                <w:rPr>
                  <w:rFonts w:ascii="Arial" w:cs="Arial" w:eastAsia="Arial" w:hAnsi="Arial"/>
                  <w:sz w:val="18"/>
                  <w:szCs w:val="18"/>
                  <w:b w:val="1"/>
                  <w:bCs w:val="1"/>
                  <w:color w:val="0000EE"/>
                  <w:w w:val="88"/>
                </w:rPr>
                <w:t>Item 14:</w:t>
              </w:r>
            </w:hyperlink>
          </w:p>
        </w:tc>
        <w:tc>
          <w:tcPr>
            <w:tcW w:w="500" w:type="dxa"/>
            <w:vAlign w:val="bottom"/>
            <w:tcBorders>
              <w:top w:val="single" w:sz="8" w:color="CCEEFF"/>
            </w:tcBorders>
            <w:gridSpan w:val="3"/>
          </w:tcPr>
          <w:p>
            <w:pPr>
              <w:spacing w:after="0"/>
              <w:rPr>
                <w:sz w:val="15"/>
                <w:szCs w:val="15"/>
                <w:color w:val="auto"/>
              </w:rPr>
            </w:pPr>
          </w:p>
        </w:tc>
        <w:tc>
          <w:tcPr>
            <w:tcW w:w="540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3720" w:type="dxa"/>
            <w:vAlign w:val="bottom"/>
            <w:tcBorders>
              <w:top w:val="single" w:sz="8" w:color="CCEEFF"/>
            </w:tcBorders>
            <w:gridSpan w:val="5"/>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140" w:type="dxa"/>
            <w:vAlign w:val="bottom"/>
            <w:tcBorders>
              <w:top w:val="single" w:sz="8" w:color="0000EE"/>
            </w:tcBorders>
          </w:tcPr>
          <w:p>
            <w:pPr>
              <w:jc w:val="center"/>
              <w:spacing w:after="0" w:line="176" w:lineRule="exact"/>
              <w:rPr>
                <w:rFonts w:ascii="Arial" w:cs="Arial" w:eastAsia="Arial" w:hAnsi="Arial"/>
                <w:sz w:val="17"/>
                <w:szCs w:val="17"/>
                <w:color w:val="0000EE"/>
                <w:w w:val="73"/>
              </w:rPr>
            </w:pPr>
            <w:hyperlink w:anchor="page62">
              <w:r>
                <w:rPr>
                  <w:rFonts w:ascii="Arial" w:cs="Arial" w:eastAsia="Arial" w:hAnsi="Arial"/>
                  <w:sz w:val="17"/>
                  <w:szCs w:val="17"/>
                  <w:color w:val="0000EE"/>
                  <w:w w:val="73"/>
                </w:rPr>
                <w:t>56</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Part IV</w:t>
              </w:r>
            </w:hyperlink>
          </w:p>
        </w:tc>
        <w:tc>
          <w:tcPr>
            <w:tcW w:w="6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0000EE"/>
              <w:right w:val="single" w:sz="8" w:color="CCEEFF"/>
            </w:tcBorders>
            <w:shd w:val="clear" w:color="auto" w:fill="CCEEFF"/>
          </w:tcPr>
          <w:p>
            <w:pPr>
              <w:jc w:val="center"/>
              <w:spacing w:after="0" w:line="176" w:lineRule="exact"/>
              <w:rPr>
                <w:rFonts w:ascii="Arial" w:cs="Arial" w:eastAsia="Arial" w:hAnsi="Arial"/>
                <w:sz w:val="17"/>
                <w:szCs w:val="17"/>
                <w:color w:val="0000EE"/>
                <w:w w:val="73"/>
              </w:rPr>
            </w:pPr>
            <w:hyperlink w:anchor="page62">
              <w:r>
                <w:rPr>
                  <w:rFonts w:ascii="Arial" w:cs="Arial" w:eastAsia="Arial" w:hAnsi="Arial"/>
                  <w:sz w:val="17"/>
                  <w:szCs w:val="17"/>
                  <w:color w:val="0000EE"/>
                  <w:w w:val="73"/>
                </w:rPr>
                <w:t>56</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40" w:type="dxa"/>
            <w:vAlign w:val="bottom"/>
            <w:tcBorders>
              <w:bottom w:val="single" w:sz="8" w:color="0000EE"/>
            </w:tcBorders>
            <w:gridSpan w:val="6"/>
          </w:tcPr>
          <w:p>
            <w:pPr>
              <w:spacing w:after="0" w:line="176" w:lineRule="exact"/>
              <w:rPr>
                <w:rFonts w:ascii="Arial" w:cs="Arial" w:eastAsia="Arial" w:hAnsi="Arial"/>
                <w:sz w:val="18"/>
                <w:szCs w:val="18"/>
                <w:b w:val="1"/>
                <w:bCs w:val="1"/>
                <w:color w:val="0000EE"/>
                <w:w w:val="88"/>
              </w:rPr>
            </w:pPr>
            <w:hyperlink w:anchor="page62">
              <w:r>
                <w:rPr>
                  <w:rFonts w:ascii="Arial" w:cs="Arial" w:eastAsia="Arial" w:hAnsi="Arial"/>
                  <w:sz w:val="18"/>
                  <w:szCs w:val="18"/>
                  <w:b w:val="1"/>
                  <w:bCs w:val="1"/>
                  <w:color w:val="0000EE"/>
                  <w:w w:val="88"/>
                </w:rPr>
                <w:t>Item 15:</w:t>
              </w:r>
            </w:hyperlink>
          </w:p>
        </w:tc>
        <w:tc>
          <w:tcPr>
            <w:tcW w:w="500" w:type="dxa"/>
            <w:vAlign w:val="bottom"/>
            <w:gridSpan w:val="3"/>
          </w:tcPr>
          <w:p>
            <w:pPr>
              <w:spacing w:after="0"/>
              <w:rPr>
                <w:sz w:val="15"/>
                <w:szCs w:val="15"/>
                <w:color w:val="auto"/>
              </w:rPr>
            </w:pPr>
          </w:p>
        </w:tc>
        <w:tc>
          <w:tcPr>
            <w:tcW w:w="3160" w:type="dxa"/>
            <w:vAlign w:val="bottom"/>
            <w:tcBorders>
              <w:bottom w:val="single" w:sz="8" w:color="0000EE"/>
            </w:tcBorders>
            <w:gridSpan w:val="12"/>
          </w:tcPr>
          <w:p>
            <w:pP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Exhibits and Financial Statement Schedules</w:t>
              </w:r>
            </w:hyperlink>
          </w:p>
        </w:tc>
        <w:tc>
          <w:tcPr>
            <w:tcW w:w="5960" w:type="dxa"/>
            <w:vAlign w:val="bottom"/>
            <w:gridSpan w:val="9"/>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0000EE"/>
            </w:tcBorders>
          </w:tcPr>
          <w:p>
            <w:pPr>
              <w:jc w:val="center"/>
              <w:spacing w:after="0" w:line="176" w:lineRule="exact"/>
              <w:rPr>
                <w:rFonts w:ascii="Arial" w:cs="Arial" w:eastAsia="Arial" w:hAnsi="Arial"/>
                <w:sz w:val="17"/>
                <w:szCs w:val="17"/>
                <w:color w:val="0000EE"/>
                <w:w w:val="73"/>
              </w:rPr>
            </w:pPr>
            <w:hyperlink w:anchor="page62">
              <w:r>
                <w:rPr>
                  <w:rFonts w:ascii="Arial" w:cs="Arial" w:eastAsia="Arial" w:hAnsi="Arial"/>
                  <w:sz w:val="17"/>
                  <w:szCs w:val="17"/>
                  <w:color w:val="0000EE"/>
                  <w:w w:val="73"/>
                </w:rPr>
                <w:t>56</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 w:type="dxa"/>
            <w:vAlign w:val="bottom"/>
            <w:gridSpan w:val="7"/>
          </w:tcPr>
          <w:p>
            <w:pPr>
              <w:spacing w:after="0" w:line="196" w:lineRule="exact"/>
              <w:rPr>
                <w:rFonts w:ascii="Arial" w:cs="Arial" w:eastAsia="Arial" w:hAnsi="Arial"/>
                <w:sz w:val="18"/>
                <w:szCs w:val="18"/>
                <w:b w:val="1"/>
                <w:bCs w:val="1"/>
                <w:color w:val="0000EE"/>
                <w:w w:val="91"/>
              </w:rPr>
            </w:pPr>
            <w:hyperlink w:anchor="page68">
              <w:r>
                <w:rPr>
                  <w:rFonts w:ascii="Arial" w:cs="Arial" w:eastAsia="Arial" w:hAnsi="Arial"/>
                  <w:sz w:val="18"/>
                  <w:szCs w:val="18"/>
                  <w:b w:val="1"/>
                  <w:bCs w:val="1"/>
                  <w:color w:val="0000EE"/>
                  <w:w w:val="91"/>
                </w:rPr>
                <w:t>Item 16:</w:t>
              </w:r>
            </w:hyperlink>
          </w:p>
        </w:tc>
        <w:tc>
          <w:tcPr>
            <w:tcW w:w="500" w:type="dxa"/>
            <w:vAlign w:val="bottom"/>
            <w:gridSpan w:val="3"/>
          </w:tcPr>
          <w:p>
            <w:pPr>
              <w:spacing w:after="0"/>
              <w:rPr>
                <w:sz w:val="17"/>
                <w:szCs w:val="17"/>
                <w:color w:val="auto"/>
              </w:rPr>
            </w:pPr>
          </w:p>
        </w:tc>
        <w:tc>
          <w:tcPr>
            <w:tcW w:w="912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Form 10-K Summary</w:t>
              </w:r>
            </w:hyperlink>
          </w:p>
        </w:tc>
        <w:tc>
          <w:tcPr>
            <w:tcW w:w="660" w:type="dxa"/>
            <w:vAlign w:val="bottom"/>
            <w:gridSpan w:val="2"/>
          </w:tcPr>
          <w:p>
            <w:pPr>
              <w:jc w:val="center"/>
              <w:ind w:left="390"/>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61</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or an adverse change with regard to, one or more of our significant suppliers, distributors, vendors or other business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both"/>
        <w:spacing w:after="0" w:line="267" w:lineRule="auto"/>
        <w:rPr>
          <w:sz w:val="20"/>
          <w:szCs w:val="20"/>
          <w:color w:val="auto"/>
        </w:rPr>
      </w:pPr>
      <w:r>
        <w:rPr>
          <w:rFonts w:ascii="Arial" w:cs="Arial" w:eastAsia="Arial" w:hAnsi="Arial"/>
          <w:sz w:val="17"/>
          <w:szCs w:val="17"/>
          <w:i w:val="1"/>
          <w:iCs w:val="1"/>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references in this Annual Report on Form 10-K to “we,” “us” and “our” refer to </w:t>
      </w:r>
      <w:r>
        <w:rPr>
          <w:rFonts w:ascii="Arial" w:cs="Arial" w:eastAsia="Arial" w:hAnsi="Arial"/>
          <w:sz w:val="18"/>
          <w:szCs w:val="18"/>
          <w:i w:val="1"/>
          <w:iCs w:val="1"/>
          <w:color w:val="auto"/>
        </w:rPr>
        <w:t>XpresSpa Group, Inc. (prior to January 5, 2018, known as “FORM</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Corp.”)</w:t>
      </w:r>
      <w:r>
        <w:rPr>
          <w:rFonts w:ascii="Arial" w:cs="Arial" w:eastAsia="Arial" w:hAnsi="Arial"/>
          <w:sz w:val="18"/>
          <w:szCs w:val="18"/>
          <w:color w:val="auto"/>
        </w:rPr>
        <w:t>, a Delaware corporation, and its consolidated subsidiaries unless the context requires otherwise.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certain patent portfolios, which we look to monetize through sales and licensing agreements. During the year ended December 31, 2018, we determined that our intellectual property operating segment will no longer be an area of focus for us and, as such, will no longer be reflected as a separate operating segment, as it is not expected to generate any material revenues or operating costs.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XpresSpa is a leading airport retailer of spa services and related products. It is a well-recognized and popular airport spa brand with an approximately 50% market share in the United States and nearly three times the number of domestic locations as its closest competitor. It provides approximately one million services per year. As of December 31, 2018, XpresSpa operated 56 total locations in 23 airports, including one off-airport spa at Westfield World Trade Center in New York City, in three countries including the United States, Netherlands and United Arab Emirates. XpresSpa also sells wellness and travel products through its internet site, www.xpresspa.com. Key services and products offered include:</w:t>
      </w:r>
    </w:p>
    <w:p>
      <w:pPr>
        <w:spacing w:after="0" w:line="17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travel products, such as neck pillows, blankets and massage tools;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offerings, such as cryotherapy services, NormaTec compression services, and Dermalogica personal care services and retail products.</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Consequently, travelers at large airport hubs have idle time in the terminal after passing through security.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was developed to address the stress and idle time spent at the airport, allowing travelers to spend this time productively, by relaxing and focusing on personal care and wellness. We believe that XpresSpa is well positioned to benefit from consumers’ growing interest in health and wellness and increasing demand for spa services and related wellness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Going Concern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2018, we had approximately $3,403,000 of cash and cash equivalents, $2,247,000 of inventory and prepaid expenses and $109,000 of assets held for disposal, which amount to total current assets of $5,759,000. Our total current liabilities balance, which includes accounts payable, accrued expenses, debt, and the current portion of Convertible Notes (as defined below), was $16,658,000 as of December 31, 2018. The working capital deficiency of $10,899,000 as of December 31, 2018 includes $1,986,000 of convertible notes classified as short-term for which principal repayments may be made in shares of Common Stock at our election. In addition, included in total current liabilities is approximately $1,742,000 which relates to obligations that will not settle in cash, and an additional $465,000 of liabilities that are not expected to settle in the next twelve months.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we have aggressively reduced operating and overhead expenses, and while we continue to focus on our overall profitability, we have continued to generate negative cash flows from operations and we expect to incur net losses in the foreseeable future. As discussed above and elsewhere in this Annual Report on Form 10-K, the report of our independent registered public accounting firm on our financial statements for the years ended December 31, 2018 and 2017 includes an explanatory paragraph indicating that there is substantial doubt about our ability to continue as a going concern. The receipt of this explanatory paragraph with respect to our financial statements for the years ended December 31, 2018 and 2017 will result in a breach of a covenant under the Senior Secured Note (as defined below) which, if unremedied for a period of 30 days after the date hereof, will constitute an event of default under the Senior Secured Note. Upon the occurrence of an event of default under the Senior Secured Note, Rockmore may, among other things, declare the Senior Secured Note and all accrued and unpaid interest thereon and all other amounts owing under the Senior Secured Note to be due and payable. If the maturity date of the Senior Secured Note is accelerated as a result of the event of default referenced above, an event of default under the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taken actions to improve our overall cash position and access to liquidity by exploring valuable strategic partnerships, right-sizing our corporate structure, and stream-lining our operations. We expect that the actions taken in 2018 and early 2019 will enhance our liquidity and financial environment. In addition, we expect to generate additional liquidity through the monetization of certain investments and other assets. We expect that these actions will be executed in alignment with the anticipated timing of our liquidity needs. There can be no assurance, however, that any such opportunities will materialize.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operating results indicate that there is substantial doubt related to the Company's ability to continue as a going concern. We believe it is probable that the actions discussed above will transpire and will successfully mitigate the substantial doubt raised by our historical operating results and will satisfy our liquidity needs 12 months from the issuance of the financial statements. However, we cannot reasonably predict with any certainty that the results of our planned actions will generate the expected liquidity required to satisfy our liquidity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continue to experience operating losses, and we are not able to generate additional liquidity through the actions described above or through some combination of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will receive termination benefits including $375,000 payable in equal installments over a twelve-month term commencing on February 13, 2019 and COBRA continuation coverage paid in full by the Company for up to a maximum of twelve months.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February 11, 2019, Douglas Satzman was appointed by our board of directors as the Chief Executive Officer of the Company and as a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22, 2019, we filed a certificate of amendment to our amended and restated certificate of incorporation with the Secretary of State of the State of Delaware to effect a 1-for-20 reverse stock split of our shares of Common Stock. Such amendment and ratio were previously approved by our stockholders and board of directors, respectively.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reverse stock split, every twenty (20) shares of our pre-reverse split Common Stock were combined and reclassified into one (1) share of Common Stock. Proportionate voting rights and other rights of Common Stock 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Such cash payment in lieu of a fractional share of Common Stock was calculated by multiplying such fractional interest in one share of Common Stock by the closing trading price of our Common Stock on February 22, 2019, and rounded to the nearest cent. No fractional shares were issued in connection with the reverse stock split.</w:t>
      </w:r>
    </w:p>
    <w:p>
      <w:pPr>
        <w:sectPr>
          <w:pgSz w:w="11900" w:h="16838" w:orient="portrait"/>
          <w:cols w:equalWidth="0" w:num="1">
            <w:col w:w="11420"/>
          </w:cols>
          <w:pgMar w:left="240" w:top="908" w:right="23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Our Common Stock began trading on the Nasdaq Capital Market on a post-reverse split basis at the open of business on February 25, 2019.</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2"/>
          <w:szCs w:val="22"/>
          <w:b w:val="1"/>
          <w:bCs w:val="1"/>
          <w:u w:val="single" w:color="auto"/>
          <w:color w:val="auto"/>
        </w:rPr>
        <w:t>Dispositions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 October 20, 2017, we sold FLI Charge to a group of private investors and FLI Charge management, who now own and operate FLI Charge. In February 2019, the Company entered into an agreement to release FLI Charge’s obligation to pay any royalties on FLI Charge’s perpetual gross revenues with regard to conductive wireless charging, power, or accessories, and to cancel its warrants exercisable in FLI Charge in exchange for cash proceeds of $1,100,000 which were received in full on February 15, 2019.</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 March 22, 2018, we sold Group Mobile to a third party. We have not provided any continued management or financing support to FLI Charge or Group Mobile.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Rebranding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5, 2018, we changed our name to XpresSpa Group, Inc. from FORM Holdings Corp, which aligned our corporate strategy to build a pure-play health and wellness services company. Our Common Stock, par value $0.01 per share, which had previously been listed under the trading symbol “FH” on the Nasdaq Capital Market, has been listed under the trading symbol “XSPA” since January 8,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Patents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we sold certain patents to Crypto Currency Patent Holdings Company LLC, a unit of Marathon Patent Group, Inc. (“Marathon”), for approximately $1,250,000, comprised of $250,000 in cash and 250,000 shares of Marathon Common Stock valued at approximately $1,000,000 (the “Marathon Common Stock”) at the time of the transaction. The Marathon Common Stock was subject to a lockup period (the “Lockup Period”) which commenced on the Transaction Date and ended on July 11, 2018, subject to a leak-out provision.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12, 2018, we entered into a Product Sale and Marketing Agreement (the “Collaboration Agreement”) with Calm.com, Inc. (“Calm”) primarily related to the display, marketing, promotion, offer for sale and sale of Calm’s products in each of our branded stores throughout the United States.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Collaboration Agreement will remain in effect until July 31, 2019, unless terminated earlier in accordance with its terms, and automatically renew for successive terms of six months unless either party provides written notice of termination no later than thirty days prior to any such automatic renewal.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XpresSpa operated 56 locations, which includes 51 domestic locations and 5 international locations as of December 31, 2018. Our domestic units operate within many of the largest and most heavily trafficked airports in the United States. The balance of the North American market is highly fragmented and is represented largely by small, privately-owned entities that operate one or two locations in a single airport. Only two other market participants operate 10 or more airport locations in the United States. The largest domestic competitor operates 16 locations in nine airports in North America. Outside of North America, this same competitor operates 20 locations in eight international airports.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Market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Airport retailers differ significantly from traditional retailers. Unlike traditional retailers, airport retailers benefit from a steady and largely predictable flow of traffic from a constantly changing customer base. Airport retailers also benefit from “dwell time,” the period after travelers have passed through airport security and before they board an aircraft. 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XpresSpa was developed to address the stress and idle time spent at the airport, allowing travelers to spend this time productively, by relaxing and focusing on personal care and wellness. We believe that XpresSpa is well positioned to benefit from consumers’ growing interest in health and wellness and increasing demand for spa services and related wellness products. According to the Global Wellness Institute, global wellness was a $4.2 trillion industry in 2018, which was an increase of 13.5% from $3.7 trillion in 2015. In addition, according to the Global Wellness Institute, the global spa industry represented $119 billion in 2018 and the fitness, mind and body industry represented $595 billion in 2018.</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Equally as important to the industry growth is XpresSpa’s flexible retail format. XpresSpa opens multiple locations annually, which have ranged in size from 200 square feet to 2,600 square feet, with a typical size of approximately 1,200 square feet. XpresSpa is able to adapt its operating model to almost any size location available in space constrained airports. This increased flexibility compared to other retail concepts allows XpresSpa to operate multiple stores within an airport, from which it enjoys synergies due to shared labor between stores.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XpresSpa believes that its operating metrics represent an attractive return on invested capital and, as a result, is pursuing new locations at airports and terminals around the country. Historically, XpresSpa has won approximately seventy percent of all requests for proposal (“RFP”) in which it has participated.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6"/>
          <w:szCs w:val="16"/>
          <w:color w:val="auto"/>
        </w:rPr>
        <w:t>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Fair Labor Standards Act, the Immigration Reform and Control Act of 1986, the Occupational Safety and Health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As of March 15, 2019, we had 517 full-time and 186 part-time employees. XpresSpa had 32 full-time employees in San Francisco International Airport, who are represented by a labor union and are covered by a collective bargaining agreement. XpresSpa had 20 full-time employees in Los Angeles International Airport, who are represented by a labor union and are covered by a collective bargaining agreement. We consider our relationships with our employees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Information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were incorporated in Delaware as a corporation on January 9, 2006 and completed an initial public offering in June 2010. On January 5, 2018, we changed our name to XpresSpa Group, Inc. from FORM Holdings Corp. as part of a rebranding that aligned our corporate strategy to build a pure-play health and wellness services company. Our Common Stock, par value $0.01 per share, which was previously listed under the trading symbol “FH” on the Nasdaq</w:t>
      </w:r>
    </w:p>
    <w:p>
      <w:pPr>
        <w:jc w:val="both"/>
        <w:spacing w:after="0" w:line="250" w:lineRule="auto"/>
        <w:rPr>
          <w:sz w:val="20"/>
          <w:szCs w:val="20"/>
          <w:color w:val="auto"/>
        </w:rPr>
      </w:pPr>
      <w:r>
        <w:rPr>
          <w:rFonts w:ascii="Arial" w:cs="Arial" w:eastAsia="Arial" w:hAnsi="Arial"/>
          <w:sz w:val="17"/>
          <w:szCs w:val="17"/>
          <w:color w:val="auto"/>
        </w:rPr>
        <w:t>Capital Market, has been listed under the trading symbol “XSPA” since January 8, 2018. Our principal executive offices are located at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Our telephone number is (212) 309-7549 and our website address is </w:t>
      </w:r>
      <w:r>
        <w:rPr>
          <w:rFonts w:ascii="Arial" w:cs="Arial" w:eastAsia="Arial" w:hAnsi="Arial"/>
          <w:sz w:val="17"/>
          <w:szCs w:val="17"/>
          <w:i w:val="1"/>
          <w:iCs w:val="1"/>
          <w:u w:val="single" w:color="auto"/>
          <w:color w:val="auto"/>
        </w:rPr>
        <w:t>www.xpresspagroup.com</w:t>
      </w:r>
      <w:r>
        <w:rPr>
          <w:rFonts w:ascii="Arial" w:cs="Arial" w:eastAsia="Arial" w:hAnsi="Arial"/>
          <w:sz w:val="17"/>
          <w:szCs w:val="17"/>
          <w:color w:val="auto"/>
        </w:rPr>
        <w:t xml:space="preserve">. We also operate the website </w:t>
      </w:r>
      <w:r>
        <w:rPr>
          <w:rFonts w:ascii="Arial" w:cs="Arial" w:eastAsia="Arial" w:hAnsi="Arial"/>
          <w:sz w:val="17"/>
          <w:szCs w:val="17"/>
          <w:i w:val="1"/>
          <w:iCs w:val="1"/>
          <w:u w:val="single" w:color="auto"/>
          <w:color w:val="auto"/>
        </w:rPr>
        <w:t>www.xpresspa.com</w:t>
      </w:r>
      <w:r>
        <w:rPr>
          <w:rFonts w:ascii="Arial" w:cs="Arial" w:eastAsia="Arial" w:hAnsi="Arial"/>
          <w:sz w:val="17"/>
          <w:szCs w:val="17"/>
          <w:color w:val="auto"/>
        </w:rPr>
        <w:t>. References in this Annual Report on Form 10-K to our website address does not constitute incorporation by reference of the information 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corporate code of conduct and our insider trading compliance manual;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charters for our audit committee, compensation committee, and nominating and 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Our business, financial condition, results of operations and the trading price of our Common Stock could be materially adversely affected by any of the following risks as well as the other risks highlighted elsewhere in this Annual Report on Form 10-K. Additional risks and uncertainties not presently known to us or that we currently deem immaterial also may materially affect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registered public accounting firm has expressed substantial doubt as to our ability to continue as a going concern.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audited financial statements included in this annual report have been prepared assuming that we will continue as a going concern and do not include any adjustments that might result if we cease to continue as a going concern. The report of our independent registered public accounting firm on our financial statements for the years ended December 31, 2018 and 2017, included an explanatory paragraph indicating that there is substantial doubt about our ability to continue as a going concern. Our auditors’ doubts are based on our recurring losses from operations and working capital deficiency. The inclusion of a going concern explanatory paragraph in future reports of our independent auditors may make it more difficult for us to secure additional financing or enter into strategic relationships on terms acceptable to us, if at all, and may materially and adversely affect the terms of any financing that we might obtain.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 including the impact of the receipt of an explanatory paragraph with respect to our financial statements for the years ended December 31, 2018 and 2017 indicating that there is substantial doubt about our ability to continue as a going concern.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is obligated under a credit agreement and secured promissory note payable to Rockmore Investment Master Fund Ltd. (“Rockmore”), a related party, which has an outstanding balance of approximately $6,500,000, with a maturity date of December 31, 2019 (the “Senior Secured Note”). The Senior Secured Note accrues interest of 11.24% per annum. XpresSpa is obligated to make periodic payments on such debt obligations to Rockmore. While we do not anticipate failing to make any such debt payments, the failure to do so may result in the default of loan obligations, leading to financial and operational hardship. XpresSpa has granted Rockmore a security interest in all of its tangible and intangible personal property to secure its obligations under the Senior Secured Note. The Senior Secured Note is an outstanding obligation of XpresSpa but is guaranteed by us.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above and elsewhere in this Annual Report on Form 10-K, the report of our independent registered public accounting firm on our financial statements for the years ended December 31, 2018 and 2017 includes an explanatory paragraph indicating that there is substantial doubt about our ability to continue as a going concern. The receipt of this explanatory paragraph with respect to our financial statements for the years ended December 31, 2018 and 2017 will result in a breach of a covenant under the Senior Secured Note which, if unremedied for a period of 30 days after the date hereof, will constitute an event of default under the Senior Secured Note.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Upon the occurrence of an event of default under the Senior Secured Note, Rockmore may, among other things, declare the Senior Secured Note and all accrued and unpaid interest thereon and all other amounts owing under the Senior Secured Note to be due and payable.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are obligated under our 5% Secured Convertible Notes due November 17, 2019 (the “Convertible Notes”), which collectively had an outstanding unamortized book balance of approximately $1,986,000 as of December 31, 2018, and a total fair value upon issuance of $4,350,000. The Convertible Notes accrue interest of 5% per annum subject to increase in the event of default to the lesser of 18% per annum or the maximum rate permitted under applicable law. The Convertible Notes, including interest accrued thereon, are convertible at any time until a Convertible Note is no longer outstanding, in whole or in part, at the option of the holders into shares of our Common Stock at a conversion price of $12.40 per share. We are obligated to make periodic payments on such debt obligations to each noteholder; and we can elect to make such payments either in cash or in stock. In addition, we have granted a security interest to the noteholders in all of our tangible and intangible personal property to secure our obligations under the Convertible Notes.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Convertible Notes mature on November 17, 2019. If we fail to meet certain conditions under the terms of the Convertible Notes, we will be obligated to repay in cash any principal amount, interest and any other sum arising under the Convertible Notes that remains outstanding on the maturity date. If the maturity date of the Senior Secured Note is accelerated as a result of the event of default referenced above, an event of default under the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Our failure to cure the event of default under the Senior Secured Note could cause material harm to our business, financial condition and results of operations.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2018, we had federal net operating loss carryforwards (“NOLs”) of $150,926,000 which expire 20 years from the respective tax years to which they relate, and $23,139,000 for U.S. federal purposes with an indefinite life due to new regulations in the “Tax Cuts and Jobs Act,” or TCJA of 2017.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President Trump signed into law the TCJA, which significantly reformed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1"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terrorist activities (including cyber-attacks), pandemics and outbreaks of contagious diseases, such as the Zika or Ebola crises,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expansion into new airports or off-airport locations may present increased risks due to its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XpresSpa’s growth strategy is highly dependent on its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XpresSpa’s growth strategy primarily contemplates expansion through procuring new XpresSpa locations and opening new XpresSpa stores and kiosks. Implementing this strategy depends on XpresSpa’s ability to successfully identify new store locations. XpresSpa will also need to assess and mitigate the risk of any new store locations, to open the stores on favorable terms and to successfully integrate their operations with ours. XpresSpa may not be able to successfully identify opportunities that meet these criteria, or, if it does, XpresSpa may not be able to successfully negotiate and open new stores on a timely basis. If XpresSpa is unable to identify and open new locations in accordance with its operating plan, XpresSpa’s revenue growth rate and financial performance may fall short of our expectations.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15, 2019, XpresSpa had 517 full-time and 186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5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would increase XpresSpa’s cost of labor and have an adverse impact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to open new locations. In the event that capital is unavailable,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additional funding for its new location growth until such time as it can produce enough cash to profitably fund its own location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w:t>
      </w:r>
    </w:p>
    <w:p>
      <w:pPr>
        <w:spacing w:after="0" w:line="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an acquirer or the transaction is later approved by our Board of Directors and by our stockholders by at least a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vote of our stockholders other than the “interested stockholder,” each as specifically provided in Section 203.</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15, 2019, we have 1,932,326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officers and directors beneficially own or control approximately 27%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a substantial number of warrants or options by our security holders may have an adverse effect on the market price of our Common Stock.</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Should our warrants outstanding as of March 15, 2019 be exercised, there would be an additional 703,669 shares of Common Stock eligible for trading in the public market. The incentive equity instruments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of the shares of Common Stock underlying the warrants and options could have an adverse effect on the market price for our securities and/or on our ability to obtain future financing.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current plans to pay dividends on our Common Stock, and our investors may not receive funds without selling their stock.</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provide preliminary financial results or forward 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Capital Market could result in a delisting of our Common Stock.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March 16, 2018, we received a notification letter from The Nasdaq Stock Market informing us that for the last 30 consecutive business days, the bid price of our securities had closed below $1.00 per share, which is the minimum required closing bid price for continued listing on The Nasdaq Capital Market pursuant to Listing Rule 5550(a)(2). In order to regain compliance, on February 22, 2019, we filed a certificate of amendment to our amended and restated certificate of incorporation with the Secretary of State of the State of Delaware to effect a one-for-twenty reverse stock split of our outstanding shares of Common Stock. On March 11, 2019, we received a notification letter from The Nasdaq Stock Market informing us that we had regained compliance with Listing Rule 5550(a)(2).</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b w:val="1"/>
          <w:bCs w:val="1"/>
          <w:i w:val="1"/>
          <w:iCs w:val="1"/>
          <w:color w:val="auto"/>
        </w:rPr>
        <w:t>If we exercise the option to repay the Series D preferred stock (the “Series D Preferred Stock”) in Common Stock rather than cash, such repayment may result in the issuance of a large number of shares of Common Stock which may have a negative effect on the trading price of our Common Stock as well as a dilutive effect.</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shares of Series D Preferred Stock, on the seven-year anniversary of the initial issuance date of the shares of Series D Preferred Stock, December 23, 2023, we may repay each share of Series D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D Preferred Stock upon maturity which may have a negative effect on the trading price of our Common Stock.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2023, upon the maturity of the Series D Preferred Stock, when determining whether to repay the Series D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exercise the option to repay the Series E preferred stock (the “Series E Preferred Stock”) in Common Stock rather than cash, such repayment may result in the issuance of a large number of shares of Common Stock which may have a negative effect on the trading price of our Common Stock as well as a dilutive effect.</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shares of Series E Preferred Stock, on the seven-year anniversary of the initial issuance date of the shares of Series E Preferred Stock, November 14, 2025 in the case the 3,225,806 shares of Series E Preferred Stock issued on November 14, 2018, December 28, 2025 in the case of the 322,581 shares of Series E Preferred Stock issued on December 28, 2018, we may repay each share of Series E Preferred Stock, at our option, in cash, by delivery of shares of Common Stock or through any combination thereof. If we elect to make a payment, or any portion thereof, in shares of Common Stock, the Base Shares will be based on the Base Price plus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E Preferred Stock upon maturity which may have a negative effect on the trading price of our Common Stock.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2025 or December 28, 2025, as applicable, upon the maturity of the Series E Preferred Stock, when determining whether to repay the Series E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2018, XpresSpa had 56 company-operated stores in 23 airports, and one off-airport location in New York City, in the United States, Netherlands and United Arab Emirates. All of the stores as of that date were leased, typically with one or two renewal options after the initial term. Economic terms vary by type and location of store and, on average, the lease terms are 5-8 years with several stores operating on a month-to-month basis.</w:t>
      </w:r>
    </w:p>
    <w:p>
      <w:pPr>
        <w:spacing w:after="0" w:line="150"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Our New York office, which serves as our corporate office, is located at 780 Third Avenue,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The annual rental fee for this space is approximately $409,000 and the lease expires in October 2019. We believe that our facility is adequate to accommodate our business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our wholly owned-subsidiary, XpresSpa, terminated its former ACDBE partner, Cordial Endeavor Concessions of Atlanta, LLC (“Cordial”), in its Atlanta Terminal A (and future Terminals D, E and F) store locations.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are expected to take place in early 2019. Oral argument on the appeal went forward on March 20, 2019, and the court likely will rule in the coming months.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operation expenses. XpresSpa filed an opposition and, in a decision entered December 26, 2018, the Court denied Cordial’s TRO Motion entirely. Defendants filed a Motion to Dismiss the Complaint in its entirety on November 20, 2018, which is pending decision by the Court.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86" w:lineRule="auto"/>
        <w:tabs>
          <w:tab w:leader="none" w:pos="194"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v. FORM Holdings Corp. et al.</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6, 2017, Moreton Binn and Marisol F, LLC, former stockholders of XpresSpa, filed a lawsuit against the Company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Consistent with the Court’s Order, on November 16, 2018, the plaintiffs filed a second amended complaint, modifying their allegations, and asserting claims pursuant to the Exchange Act, the Securities Act of 1933, and bringing a breach of contract claim. On December 17, 2018, the defendants filed a motion for summary judgment seeking dismissal of all claims. On February 1, 2019, the plaintiffs filed an opposition to defendants’ motion and filed a counter motion for partial summary judgment concerning one of the alleged misstatements. The defendants’ motion for summary judgment was fully briefed as of March 1, 2019. The plaintiffs’ partial motion for summary judgment was fully briefed as of March 15,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Krainz v. FORM Holdings Corp. et 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March 20, 2019, a second suit was commenced in the United States District Court for the Southern District of New York against FORM Holdings Corp., seven of its directors and former directors, as well as a managing director of Mistral Equity Partners. The individual plaintiff, Roman Kainz, who was a shareholder of XpresSpa Holdings, LLC at the time of its merger with FORM Holdings Corp, alleges that Defendants violated Sections 10(b) and 20(a) of the Securities Exchange Act of 1934 by making false statements concerning, </w:t>
      </w:r>
      <w:r>
        <w:rPr>
          <w:rFonts w:ascii="Arial" w:cs="Arial" w:eastAsia="Arial" w:hAnsi="Arial"/>
          <w:sz w:val="17"/>
          <w:szCs w:val="17"/>
          <w:i w:val="1"/>
          <w:iCs w:val="1"/>
          <w:color w:val="auto"/>
        </w:rPr>
        <w:t>inter alia</w:t>
      </w:r>
      <w:r>
        <w:rPr>
          <w:rFonts w:ascii="Arial" w:cs="Arial" w:eastAsia="Arial" w:hAnsi="Arial"/>
          <w:sz w:val="17"/>
          <w:szCs w:val="17"/>
          <w:color w:val="auto"/>
        </w:rPr>
        <w:t>, the merger and the independence of FORM Holdings Corp.’s board of directors, violated Section 12(2) of the Securities Act of 1933, breached the Merger Agreement by making false and misleading statements concerning the merger, and fraudulently induced Plaintiff into signing the joinder agreement related to the Merger. This suit seeks rescission of the transaction, damages, equitable and injunctive relief, fees and costs, and various other relief.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23, 2018, Route1 and Group Mobile filed a Statement of Claim against the Company in the Ontario (Canada) Superior Court of Justice seeking monetary damages based on indemnity claims made by Route1 and Group Mobile pursuant to the Group Mobile Purchase Agreement, including an offset against funds payable to the Company by Route1 and Group Mobile pursuant to the Group Mobile Purchase Agreement. On August 13, 2018, the Company filed its Defense and Counterclaim, seeking the payment of such funds payable to the Company by Route1 and Group Mobile pursuant to the Group Mobile Purchase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Rodger Jenkins v. XpresSpa Group,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Rodger Jenkins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an action is brought against us or one of our subsidiaries, we will investigate the allegation and vigorously defend ourselves.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par value $0.01 per share, which was previously listed on the Nasdaq Capital Market under the trading symbol “FH,” has been listed under the trading symbol “XSPA” since January 8,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2019, the Company filed a certificate of amendment to its amended and restated certificate of incorporation with the Secretary of State of the State of Delaware to effect a 1-for-20 reverse stock split of shares of the Company’s Common Stock, par value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15, 2019, we had 49 stockholders of record of the 1,932,326 outstanding shares of our Common Stock. This does not reflect persons or entities that hold their stock in nominee or "street" name through various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November 30, 2018, we issued 23,333 shares of our Common Stock to our outside law firm for partial payment of outstanding invoices for legal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securities were issued in reliance on the exemption from registration afforded by Section 4(a)(2) of the Securities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own certain patent portfolios, which we look to monetize through sales and licensing agreements. During the year ended December 31, 2018, we determined that our former intellectual property operating segment would no longer be an area of focus and, as such, will no longer operate as a separate operating segment, as it is not expected to generate any material revenues or operating costs.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Going Concern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2018, we had approximately $3,403,000 of cash and cash equivalents, $2,247,000 of inventory and prepaid expenses and $109,000 of assets held for disposal, which amount to total current assets of $5,759,000. Our total current liabilities balance, which includes accounts payable, accrued expenses, debt, and the current portion of Convertible Notes, was $16,658,000 as of December 31, 2018. The working capital deficiency of $10,899,000 as of December 31, 2018 includes $1,986,000 of convertible notes classified as short-term for which principal repayments may be made in shares of Common Stock at our election. In addition, included in total current liabilities is approximately $1,742,000 which relates to obligations that will not settle in cash, and an additional $465,000 of liabilities that are not expected to settle in the next twelve months.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spacing w:after="0" w:line="287" w:lineRule="auto"/>
        <w:rPr>
          <w:sz w:val="20"/>
          <w:szCs w:val="20"/>
          <w:color w:val="auto"/>
        </w:rPr>
      </w:pPr>
      <w:r>
        <w:rPr>
          <w:rFonts w:ascii="Arial" w:cs="Arial" w:eastAsia="Arial" w:hAnsi="Arial"/>
          <w:sz w:val="16"/>
          <w:szCs w:val="16"/>
          <w:color w:val="auto"/>
        </w:rPr>
        <w:t>While we have aggressively reduced operating and overhead expenses, and while we continue to focus on our overall profitability, we have continued to generate negative cash flows from operations and we expect to incur net losses in the foreseeable future. As discussed above and elsewhere in this Annual Report on Form 10-K, the report of our independent registered public accounting firm on our financial statements for the years ended December 31, 2018 and 2017 includes an explanatory paragraph indicating that there is substantial doubt about our ability to continue as a going concern. The receipt of this explanatory paragraph with respect to our financial statements for the years ended December 31, 2018 and 2017 will result in a breach of a covenant under the Senior Secured Note which, if unremedied for a period of 30 days after the date hereof, will constitute an event of default under the Senior Secured Note. Upon the occurrence of an event of default under the Senior Secured Note, Rockmore may, among other things, declare the Senior Secured Note and all accrued and unpaid interest thereon and all other amounts owing under the Senior Secured Note to be due and payable. If the maturity date of the Senior Secured Note is accelerated as a result of the event of default referenced above, an event of default under the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taken actions to improve our overall cash position and access to liquidity by exploring valuable strategic partnerships, right-sizing our corporate structure, and stream-lining our operations. We expect that the actions taken in 2018 and early 2019 will enhance our liquidity and financial environment. In addition, we expect to generate additional liquidity through the monetization of certain investments and other assets. We expect that these actions will be executed in alignment with the anticipated timing of our liquidity needs. There can be no assurance, however, that any such opportunities will materialize.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operating results indicate that there is substantial doubt related to the Company's ability to continue as a going concern. We believe it is probable that the actions discussed above will transpire and will successfully mitigate the substantial doubt raised by our historical operating results and will satisfy our liquidity needs 12 months from the issuance of the financial statements. However, we cannot reasonably predict with any certainty that the results of our planned actions will generate the expected liquidity required to satisfy our liquidity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continue to experience operating losses, and we are not able to generate additional liquidity through the actions described above or through some combination of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will receive termination benefits including $375,000 payable in equal installments over a twelve-month term commencing on February 13, 2019 and COBRA continuation coverage paid in full by the Company for up to a maximum of twelve months.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February 11, 2019, Douglas Satzman was appointed by our board of directors as the Chief Executive Officer of the Company and as a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22, 2019, we filed a certificate of amendment to our amended and restated certificate of incorporation with the Secretary of State of the State of Delaware to effect a 1-for-20 reverse stock split of our shares of Common Stock. Such amendment and ratio were previously approved by our stockholders and board of directors, respectively.</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reverse stock split, every twenty (20) shares of our pre-reverse split Common Stock were combined and reclassified into one (1) share of Common Stock. Proportionate voting rights and other rights of Common Stock 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Such cash payment in lieu of a fractional share of Common Stock was calculated by multiplying such fractional interest in one share of Common Stock by the closing trading price of our Common Stock on February 22, 2019, and rounded to the nearest cent. No fractional shares were issued in connection with the reverse stock split.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began trading on the Nasdaq Capital Market on a post-reverse split basis at the open of business on February 25, 2019.</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Dispositions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October 20, 2017, we sold FLI Charge to a group of private investors and FLI Charge management, who now own and operate FLI Charge. In February 2019, the Company entered into an agreement to release FLI Charge’s obligation to pay any royalties on FLI Charge’s perpetual gross revenues with regard to conductive wireless charging, power, or accessories, and to cancel its warrants exercisable in FLI Charge in exchange for cash proceeds of $1,100,000 which were received in full on February 15, 2019.</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22, 2018, we sold Group Mobile to a third party. We have not provided any continued management or financing support to FLI Charge or Group Mobile.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Rebranding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5, 2018, we changed our name to XpresSpa Group, Inc. from FORM Holdings Corp, which aligned our corporate strategy to build a pure-play health and wellness services company. Our Common Stock, par value $0.01 per share, which had previously been listed under the trading symbol “FH” on the Nasdaq Capital Market, has been listed under the trading symbol “XSPA” since January 8,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Patents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we sold certain patents to Crypto Currency Patent Holdings Company LLC, a unit of Marathon Patent Group, Inc. (“Marathon”), for approximately $1,250,000, comprised of $250,000 in cash and 250,000 shares of Marathon Common Stock valued at approximately $1,000,000 (the “Marathon Common Stock”) at the time of the transaction. The Marathon Common Stock was subject to a lockup period (the “Lockup Period”) which commenced on the Transaction Date and ended on July 11, 2018, subject to a leak-out provision.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November 12, 2018, we entered into a Product Sale and Marketing Agreement (the “Collaboration Agreement”) with Calm.com, Inc. (“Calm”) primarily related to the display, marketing, promotion, offer for sale and sale of Calm’s products in each of our branded stores throughout the United States.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Collaboration Agreement will remain in effect until July 31, 2019, unless terminated earlier in accordance with its terms, and automatically renew for successive terms of six months unless either party provides written notice of termination no later than thirty days prior to any such automatic renewal.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Convertible Notes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we entered into a securities purchase agreement (the “Securities Purchase Agreement”) with certain institutional investors (the “Investors”), pursuant to which we agreed to sell up to (i) an aggregate principal amount of $4,438,000 in 5% Secured Convertible Notes due on November 16, 2019, which included $88,000 issued to Palladium Capital Advisors as Placement Agent (the “Convertible Notes”), convertible into shares of our Common Stock, par value $0.01 per share (the “Common Stock”) at a conversion price of $12.40 per share, (ii) Class A Warrants (the “Class A Warrants”) to purchase 357,862 shares of Common Stock at an exercise price of $12.40 per share and (iii) Class B Warrants (the “Class B Warrants,” and together with the Class A Warrants, the “Warrants”) to purchase 178,931 shares of Common Stock at an exercise price of $12.40 per share. The Convertible Notes bear interest at a rate of 5% per annum. The Convertible Notes are senior secured obligations of ours and are secured by certain of our personal property. Unless earlier converted or redeemed, the Convertible Notes will mature on November 16, 2019. The transaction closed on May 17, 2018, at which time we received $4,350,000 in gross proceeds from the Investors.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is to be repaid monthly in the amount of approximately $296,000, beginning on September 17, 2018, and we may make such payments and related interest payments in cash or, subject to certain conditions, in registered shares of our Common Stock (or a combination thereof), at our election. If we choose to repay the Convertible Notes in shares of our Common Stock, the shares will be issued at a 10% discount to the volume weighted average price of our Common Stock for the five (5) trading days commencing eight (8) days prior to the relevant repayment date and</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We may also repay the Convertible Notes in advance of the maturity schedule subject to an early repayment penalty of 15%.</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14, 2018, we entered into an Amendment Agreement (“Amendment Agreement”) whereby the initial monthly principal repayment and accrued interest due on the Convertible Notes of $351,000 was settled in 103,350 shares of Common Stock on August 15, 2018. All other material terms of the Securities Purchase Agreement remained unchanged. During the year ended December 31, 2018, several of the Investors converted their monthly principal payments and accrued interest due on the Convertible Notes into shares of Common Stock pursuant to the Amendment Agreement, resulting in the issuance of an additional 377,109 shares of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11, 2018, we entered into a Second Amendment Agreement (“Second Amendment Agreement”) whereby each Holder waived the Company’s obligation to make any Monthly Payments for the months of January, February and March 2019. Pursuant to the Second Amendment Agreement, each Holder was permitted to convert its pro-rata share of the Convertible Notes, at a conversion price of $4.00 per share of Common Stock, such that the maximum number of shares to be issued pursuant to this amendment shall not exceed 250,000 shares of Common Stock. All other material terms of the Securities Purchase Agreement remained unchanged. During the three-month period ended December 31, 2018, one of the Investors converted a portion of their allotted shares, in settlement of $23,000, into shares of Common Stock pursuant to the Second Amendment Agreement, resulting in the issuance of an additional 5,627 shares of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Preferred Stock Financing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entry into the Collaboration Agreement, we entered into a stock purchase agreement (the “Purchase Agreement”) with Calm, pursuant to which we issued to Calm an aggregate of 32,258 shares of our newly designated Series E Convertible Preferred Stock, par value $0.01 per share (the “Series E Preferred Stock”), which are initially convertible into 161,290 shares of Common Stock, par value $0.01 per share, at a conversion price of $12.40 per share, subject to certain adjustments. The purchase price per share of the Series E Preferred Stock was $62.00 per share for gross proceeds to us of $2,000,000. In addition, on December 28, 2018, in satisfaction of the conditions under the Purchase Agreement, we sold, and Calm purchased, 16,129 additional shares of Series E Preferred Stock (the “Additional Series E Shares”), which are initially convertible into 80,645 shares of Common Stock at a conversion price of $12.40 per share, subject to certain adjustments, for gross proceeds to us of $1,000,000. The sale of Additional Series E Shares were on the same terms and conditions as those contained in the Purchase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Outlook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A reconciliation between Comp Store Sales and total revenue as reported on the financial statements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191"/>
        </w:trPr>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Non-Comp</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Non-Comp</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12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Comp Store</w:t>
            </w: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Store</w:t>
            </w:r>
          </w:p>
        </w:tc>
        <w:tc>
          <w:tcPr>
            <w:tcW w:w="26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 Store</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Store</w:t>
            </w: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$42,653,000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6,641,000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49,294,000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44,075,000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4,298,000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48,373,000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 Store Sales decreased 3.2% during the year ended December 31, 2018 as compared to the same period in 2017. As of December 31, 2018, XpresSpa had 56 open locations; during the year, XpresSpa opened six new locations, and closed six underperforming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plan to grow XpresSpa by:</w:t>
      </w:r>
    </w:p>
    <w:p>
      <w:pPr>
        <w:spacing w:after="0" w:line="225"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focus on spa-level productivity and leveraging retail partnerships to increase units per transaction, which will contribute to the growth of the Comp Store Sales;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the opening of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our franchising program, which was approved in January 2018, and for which we signed our first franchisee in November 2018 with our first franchise location scheduled to open in the spring of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4180" w:type="dxa"/>
            <w:vAlign w:val="bottom"/>
            <w:gridSpan w:val="5"/>
          </w:tcPr>
          <w:p>
            <w:pPr>
              <w:spacing w:after="0"/>
              <w:rPr>
                <w:sz w:val="20"/>
                <w:szCs w:val="20"/>
                <w:color w:val="auto"/>
              </w:rPr>
            </w:pPr>
            <w:r>
              <w:rPr>
                <w:rFonts w:ascii="Arial" w:cs="Arial" w:eastAsia="Arial" w:hAnsi="Arial"/>
                <w:sz w:val="18"/>
                <w:szCs w:val="18"/>
                <w:b w:val="1"/>
                <w:bCs w:val="1"/>
                <w:color w:val="auto"/>
                <w:w w:val="93"/>
              </w:rPr>
              <w:t>Quarterly and Full-Year 2018 Adjusted EBITDA Loss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8"/>
                <w:szCs w:val="18"/>
                <w:b w:val="1"/>
                <w:bCs w:val="1"/>
                <w:color w:val="auto"/>
              </w:rPr>
              <w:t>Quarter-Ended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March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September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December 31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Products and services revenue</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13,038,000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11,534,000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49,294,000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Labor</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(6,210,000)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(6,490,000)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(5,997,000)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(5,672,000)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(24,369,000)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(2,060,000)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(1,996,000)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(1,902,000)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Product and other operating costs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(1,443,000)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(1,709,000)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(1,966,000)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(1,756,000)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(6,874,000)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(9,330,000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(39,361,000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Store margin</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2,679,000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2,204,000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auto"/>
              </w:rPr>
              <w:t>Store margin as a % of total revenue</w:t>
            </w: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impairment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(3,559,000)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(606,000)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(611,000)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(684,000)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(564,000)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depreciation and amortization</w:t>
            </w: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(21,283,000)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(1,879,000)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(4,123,000)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(29,128,000)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 general and administrative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(4,596,000)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(3,904,000)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(3,943,000)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(3,797,000)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(16,240,000)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operating revenue and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revenue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(26,000)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operating revenue, net</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from continuing operations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(23,056,000)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(3,068,000)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(5,716,000)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1,653,000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1,843,000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1,879,000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4,123,000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9,498,000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19,630,000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One-time costs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605,000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452,000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961,000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loss</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(1,461,000)</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(481,000)</w:t>
            </w: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One-time costs, which we do not expect to recur in future periods, relate to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professional fees of $1,309,000 related to certain consultants assisting with non-recurring projects;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one-time project costs related to the buildout and implementation of a business analytics tool of $359,000;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severance costs of $350,000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our Adjusted EBITDA loss decreased by $842,000 to $2,663,000 from $3,505,000 for the year ended December 31, 2017. The decrease was primarily attributable to management’s efforts to right-size the corporate structure, streamline operations, and aggressively reduce operating and overhead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GAAP and non-GAAP measurements to assess the trends in our business. With respect to XpresSpa, we review its Adjusted EBITDA, a non-GAAP measure, which we define as earnings before interest, tax, depreciation and amortization expense, excluding merger and acquisition, integration and one-time costs and stock-based compensation.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is a supplemental measure of financial performance that is not required by, or presented in accordance with, GAAP. Reconciliations of operating loss from continuing operations for the Company for the year ended December 31, 2018 to Adjusted EBITDA loss are presented in the tables above.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2" w:name="page43"/>
    <w:bookmarkEnd w:id="42"/>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 revenue from the sale of XpresSpa products and services at the point of sale, net of discounts and applicable sales taxes. Revenues from the XpresSpa wholesale and e-commerce businesses are recorded at the time goods are shipped. Accordingly, we recognize revenue for our single performance obligation related to both in-store and online sales at the point at which the service has been performed or the control of the merchandise has passed to the customer. We exclude all sales taxes assessed to our customers. Sales taxes assessed on revenues are included in accounts payable, accrued expenses and other current liabilities in the consolidated balance sheets until remitted to the state agencies.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have a franchise agreement with an unaffiliated franchisee to operate an XpresSpa location. We have identified the franchise right as a distinct performance obligation that transfers over time, and therefore any portion of the non-recurring initial franchise fee that is allocated to the franchise right should be recognized over the course of the contract rather than all upfront as would be the case with distinct performance obligations. Under our franchising model, all initial franchising fees relate to the franchise right and therefore are recognized over the course of the contract which commences upon signing of the agreement. Upon receipt of the non-recurring, non-refundable initial franchise fee, management records a deferred revenue asset and recognizes revenue on a straight-line basis over the contract term. As of December 31, 2018, there were no franchise royalty revenues as operations have not yet commenced. Once operations commence, franchise royalty revenue will be recorded in the period earned.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revenue relates to one-time intellectual property licenses as well as the sale of certain of our intellectual property. Revenue from patent licensing is recognized when we transfer promised intellectual property rights to purchasers in an amount that reflects the consideration to which we expect to be entitled in exchange for those intellectual property rights. 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receipt of the upfront fee, and transfer of the promised intellectual property rights.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Cost of sales consists of store-level costs. 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associated with revenue from intellectual property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amortization and impairment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is stated at cost, net of accumulated depreciation. Depreciation is calculated on a straight-line basis over the estimated useful lives of the assets. The useful lives of our property and equipment is based on estimates of the period over which we expect the assets to be of economic benefit to us. Leasehold improvements are amortized over the shorter of the useful life of the asset or the term of the lease.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our intangible assets are recognized on a straight-line basis over the remaining useful life of the intangible assets. Impairment charges related to our intangible assets are recorded when an impairment indicator exists and the carrying amount of the related asset exceeds its fair value.</w:t>
      </w:r>
    </w:p>
    <w:p>
      <w:pPr>
        <w:sectPr>
          <w:pgSz w:w="11900" w:h="16953" w:orient="portrait"/>
          <w:cols w:equalWidth="0" w:num="1">
            <w:col w:w="11420"/>
          </w:cols>
          <w:pgMar w:left="240" w:top="909" w:right="23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General and administrative expenses include management and administrative personnel, public and investor relations, overhead/office costs, insurance and various other professional fees, as well as sales and marketing costs and stock-based compensation for management and administrative personnel.</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Non-operating income (expense)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income (expense) includes transaction gains (losses) from foreign exchange rate differences, bank charges, deposits, interest related to outstanding debt, as well as fair value adjustments related to our derivative warrant liabilities. The value of these derivative warrant liabilities is highly influenced by assumptions used in its valuation, as well as by our stock price as of the period end (revaluation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United States government enacted comprehensive tax reform, commonly referred to as the Tax Cuts and Jobs Act of 2017 (“Tax Act”). The Tax Act made changes to the corporate tax rate, business-related deductions and taxation of foreign earnings, among other changes, that was effective for tax years beginning after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deferred tax assets generated from our activities in the United States were offset by a valuation allowance because realization depends on generating future taxable income, which, in our estimation, is not more likely than not to be generated before such net operating loss carryforwards expire.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regularly evaluated by the enterprise’s Chief Operating Decision Maker (“CODM”) in deciding how to allocate resources and in assessing performance. As a result of the Company’s transition to a pure-play health and wellness services company, it currently has one operating segment that is also its sole reporting unit, XpresSpa.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certain patent portfolios, which it looks to monetize through sales and licensing agreements. During the year ended December 31, 2018,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2018 compared to the year ended December 31, 2017</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6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Borders>
              <w:bottom w:val="single" w:sz="8" w:color="CCEEFF"/>
            </w:tcBorders>
          </w:tcPr>
          <w:p>
            <w:pPr>
              <w:spacing w:after="0"/>
              <w:rPr>
                <w:sz w:val="19"/>
                <w:szCs w:val="19"/>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Products and services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49,294,000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48,373,000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921,000</w:t>
            </w:r>
          </w:p>
        </w:tc>
        <w:tc>
          <w:tcPr>
            <w:tcW w:w="120" w:type="dxa"/>
            <w:vAlign w:val="bottom"/>
            <w:shd w:val="clear" w:color="auto" w:fill="CCEEFF"/>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800,000</w:t>
            </w: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350,000</w:t>
            </w:r>
          </w:p>
        </w:tc>
      </w:tr>
      <w:tr>
        <w:trPr>
          <w:trHeight w:val="223"/>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50,094,000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48,823,000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2018, we recorded total revenue of $50,094,000, which represents an increase of $921,000, or 1.9%, as compared to $48,823,000 recorded in the year ended December 31, 2017. The increase in revenue was mainly due to the timing of the opening of new XpresSpa locations during the fourth quarter of fiscal 2017 and the first three quarters of fiscal 2018. During 2018, we generated 83% of our revenues from services and 17% of our revenues from retail sales. We plan to grow XpresSpa’s revenue through a combination of increases in sales at our existing XpresSpa locations and the addition of new locations.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Additionally, during the year ended December 31, 2018, we sold certain of our patents for consideration which included $250,000 and 250,000 shares of Common Stock in Marathon Patent Group, Inc. that were fair valued at $450,000. Also, in each twelve-month period ended December 31, 2018 and 2017, we entered into an executed confidential patent license agreement with a third-party for which we received a one-time lump sum payment of $100,000.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6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820"/>
              <w:spacing w:after="0"/>
              <w:rPr>
                <w:sz w:val="20"/>
                <w:szCs w:val="20"/>
                <w:color w:val="auto"/>
              </w:rPr>
            </w:pPr>
            <w:r>
              <w:rPr>
                <w:rFonts w:ascii="Arial" w:cs="Arial" w:eastAsia="Arial" w:hAnsi="Arial"/>
                <w:sz w:val="18"/>
                <w:szCs w:val="18"/>
                <w:b w:val="1"/>
                <w:bCs w:val="1"/>
                <w:color w:val="auto"/>
                <w:w w:val="93"/>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Borders>
              <w:bottom w:val="single" w:sz="8" w:color="CCEEFF"/>
            </w:tcBorders>
          </w:tcPr>
          <w:p>
            <w:pPr>
              <w:spacing w:after="0"/>
              <w:rPr>
                <w:sz w:val="19"/>
                <w:szCs w:val="19"/>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39,451,000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38,986,000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2018, we recorded total cost of sales of $39,451,000. The increase in cost of sales of $465,000, or 1.2%, was consistent with the increase in revenues, as we have experienced an increase in cost of sales associated with labor and occupancy due to the opening of new stores during the fourth quarter of 2017 and the first three quarters of fiscal 2018. Although we had 56 locations as of both December 31, 2018 and 2017, we had 57 locations as of September 30, 3018 compared to 51 locations as of September 30, 2017. The largest component in the cost of sales are labor costs at the store-level, as our associates receive commission-based compensation as well as additional incentives based on individual and store performance. Cost of sales also includes rent and related occupancy costs, which are also a percentage of sales, as well as product costs directly associated with the procurement of retail inventory and other operating costs.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overall increase in cost of sales due to the opening of new stores was partially offset by initiatives taken to streamline processes and reduce store-level costs which included reduced warehousing and shipping charges as we completed the transition of inventory sourcing to our strategic partner in the first half of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is expected to grow over time as our revenues increase. We expect that total cost of sales as a percentage of revenues will decline gradually over time as a result of the store-level performance improvements which we continue to prioritize.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6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Borders>
              <w:bottom w:val="single" w:sz="8" w:color="CCEEFF"/>
            </w:tcBorders>
          </w:tcPr>
          <w:p>
            <w:pPr>
              <w:spacing w:after="0"/>
              <w:rPr>
                <w:sz w:val="19"/>
                <w:szCs w:val="19"/>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9,498,000</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1,522,000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2018, depreciation and amortization expense totaled $9,498,000, which represents an increase of $1,522,000, or 19.1%, compared to the depreciation and amortization expense recorded during the year ended December 31, 2017. The increase was primarily due to the depreciation expense related to the increase in the number of stores open during the year ended December 31, 2018 compared to the year ended December 31, 2017. Additionally, included in the depreciation expense for the year ended December 31, 2018 is a $2,100,000 expense for impairment of fixed assets in locations where we have obligations under long-term leases.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Goodwill impairment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6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Borders>
              <w:bottom w:val="single" w:sz="8" w:color="CCEEFF"/>
            </w:tcBorders>
          </w:tcPr>
          <w:p>
            <w:pPr>
              <w:spacing w:after="0"/>
              <w:rPr>
                <w:sz w:val="19"/>
                <w:szCs w:val="19"/>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19,630,000</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19,630,000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2018, we recorded $19,630,000 of goodwill impairment expense. There was no goodwill impairment recorded during the year ended December 31, 2017.</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5, 2018, we changed our name to XpresSpa Group as part of a rebranding effort to align our corporate strategy to build a pure-play health and wellness services company, which we commenced following our acquisition of XpresSpa on December 23, 2016. Following the subsequent sale of Group Mobile on March 22, 2018, which was the only remaining component of our technology operating segment, our management made the decision that our intellectual property operating segment would no longer be an area of focus and would no longer operate as a separate operating segment as it is not expected to generate any material revenues. This completed our transition into a pure-play health and wellness company with only one operating segment, consisting of our XpresSpa business.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fiscal year 2018, our stock price declined from an opening price of $27.20 on January 2, 2018 to $14.40 on March 29, 2018. Subsequently, on April 19, 2018, we entered into a separation agreement with our Chief Executive Officer regarding his resignation as Chief Executive Officer and as our Director.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events were identified by our management as triggering events requiring that goodwill be tested for impairment as of March 31, 2018. In addition to our rebranding efforts to a pure-play health and wellness services company, our stock price continued to decline even after the announcement of the new Chief Executive Officer. As the stock price had not rebounded, we determined that the impairment related to the three-month period ended March 31,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testing on the estimated fair value of goodwill and, as a result, we recorded an impairment charge of $19,630,000 to reduce the carrying value of goodwill to its fair value, which was determined to be zero.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 to goodwill was a result of the structural changes to the Company, including completion of the transition from a holding company to a pure-play health and wellness company and the change in Executive Management.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6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820"/>
              <w:spacing w:after="0"/>
              <w:rPr>
                <w:sz w:val="20"/>
                <w:szCs w:val="20"/>
                <w:color w:val="auto"/>
              </w:rPr>
            </w:pPr>
            <w:r>
              <w:rPr>
                <w:rFonts w:ascii="Arial" w:cs="Arial" w:eastAsia="Arial" w:hAnsi="Arial"/>
                <w:sz w:val="18"/>
                <w:szCs w:val="18"/>
                <w:b w:val="1"/>
                <w:bCs w:val="1"/>
                <w:color w:val="auto"/>
                <w:w w:val="93"/>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Borders>
              <w:bottom w:val="single" w:sz="8" w:color="CCEEFF"/>
            </w:tcBorders>
          </w:tcPr>
          <w:p>
            <w:pPr>
              <w:spacing w:after="0"/>
              <w:rPr>
                <w:sz w:val="19"/>
                <w:szCs w:val="19"/>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6"/>
              </w:rPr>
              <w:t>16,240,000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16,577,000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904" w:right="239" w:bottom="225" w:gutter="0" w:footer="0" w:header="0"/>
        </w:sectPr>
      </w:pPr>
    </w:p>
    <w:bookmarkStart w:id="46" w:name="page47"/>
    <w:bookmarkEnd w:id="46"/>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8"/>
          <w:szCs w:val="18"/>
          <w:color w:val="auto"/>
        </w:rPr>
        <w:t>During the year ended December 31, 2018, general and administrative expenses decreased by $337,000, or 2.0%, to $16,240,000, compared to $16,577,000 that was recorded during the year ended December 31, 2017. This decrease is a result of streamlined processes at the corporate level to reduce administrative costs, as well as a reduction in stock-based compensation expense of $1,261,000 from $2,177,000 for the year ended December 31, 2017 to $916,000 for the year ended December 31, 2018. The overall decrease in general and administrative expenses was partially offset by severance costs of $350,000, one-time professional fees of $1,309,000, and one-time project costs of $359,000 related to the buildout and implementation of a business analytics tool, which we do not expect to recur in future periods.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6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ind w:left="820"/>
              <w:spacing w:after="0"/>
              <w:rPr>
                <w:sz w:val="20"/>
                <w:szCs w:val="20"/>
                <w:color w:val="auto"/>
              </w:rPr>
            </w:pPr>
            <w:r>
              <w:rPr>
                <w:rFonts w:ascii="Arial" w:cs="Arial" w:eastAsia="Arial" w:hAnsi="Arial"/>
                <w:sz w:val="18"/>
                <w:szCs w:val="18"/>
                <w:b w:val="1"/>
                <w:bCs w:val="1"/>
                <w:color w:val="auto"/>
                <w:w w:val="93"/>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6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120" w:type="dxa"/>
            <w:vAlign w:val="bottom"/>
            <w:tcBorders>
              <w:bottom w:val="single" w:sz="8" w:color="CCEEFF"/>
            </w:tcBorders>
          </w:tcPr>
          <w:p>
            <w:pPr>
              <w:spacing w:after="0"/>
              <w:rPr>
                <w:sz w:val="19"/>
                <w:szCs w:val="19"/>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(1,184,000</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(1,285,000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non-operating expenses include interest expense, gain or loss on the revaluation of derivative warrant liabilities and other non-operating income and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2018, we recorded net non-operating expense in the amount of $1,184,000 compared to net non-operating expense in the amount of $1,285,000 recorded during the year ended December 31,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we recorded interest expense of $731,000 related to our outstanding indebtedness with Rockmore, amortization of debt discount, debt issuance costs, and interest on our Convertible Notes of $1,240,000, and other non-operating expenses of $734,000, which includes $148,000 of loss on impairment related to the cost method investment in Marathon. These non-operating expenses were offset by a gain of $1,521,000 on the revaluation of the derivative warrant liabilities that is reported as non-operating income.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non-operating expense of $1,285,000 during 2017 was mainly comprised of $731,000 of interest expense related to a credit agreement and secured promissory note (the “Debt”) with Rockmore Investment Master Fund Ltd. (“Rockmore”), $470,000 of finance expenses, and $309,000 of other non-operating expenses. The net non-operating expenses were reduced by a gain of $225,000 on the revaluation of our derivative warrant liabilities and other non-operating income items.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that our non-operating income (expense) will remain highly volatile, and we may choose to fund our operations through additional financing.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would increase the value of the warrants and thus result in a loss on our statements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2017, we completed the sale of FLI Charge and in March 2018, we completed the sale of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discontinued operations had a loss $1,115,000 for the year ended December 31, 2018, a decrease of $11,162,000 from the loss of $12,277,000 for discontinued operations for the year ended December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Taxes on Income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22, 2017, the United States government enacted the Tax Act, which made changes to the corporate tax rate, business-related deductions and taxation of foreign earnings, among other changes, that were generally effective for tax years beginning after December 31, 2017.</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2018, our estimated aggregate total NOLs were $150,926,000 for U.S. federal purposes, expiring 20 years from the respective tax years to which they relate, and $23,139,000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our ability to utilize all such NOL and credit carryforwards may be limited. The NOLs available post-merger that we completed in 2012 that are not subject to limitation amount to $134,464,000. The remaining NOLs of $39,601,000 are subject to the limitation of Section 382. The annual limitation is approximately $2,000,000.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any material unrecognized tax benefits as of December 31, 2018. We do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liquidity and capital requirements are for current and new XpresSpa locations. As of December 31, 2018, we had cash and cash equivalents of $3,403,000. We hold significant portions of our cash balance in overseas accounts, totaling $1,144,000, which is not insured by the Federal Deposit Insurance Corporation (“FDIC”). If we were to distribute the amounts held overseas, we would need to follow an approval and distribution process as it is defined in our operating and partnership agreements, which may delay and/or reduce the availability of our cash to us. Our total cash decreased by $2,965,000 from $6,368,000 as of December 31, 2017 to $3,403,000 as of December 31, 2018.</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2018, we incurred $3,116,000 of capital expenditures, paid $320,000 in debt issuance costs associated with the Convertible Notes, paid $731,000 of interest on the Debt, distributed $1,636,000 to noncontrolling interests, and used $6,876,000 on our operations. This was offset by the receipt of $250,000 from the sale of patents in January 2018 and the receipt of $800,000 from a note receivable that was paid in full in February 2018, as well as the receipt of $4,350,000 in gross proceeds from the issuance of Convertible Notes in May 2018, and $3,000,000 in gross proceeds from the Series E Preferred Stock financing. We expect to utilize our cash and cash equivalents, along with cash flows from operations, to provide capital to support the growth of our business, primarily through opening new XpresSpa locations, maintaining our existing XpresSpa locations and supporting corporate functions.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we had approximately $3,403,000 of cash and cash equivalents, $2,247,000 of inventory and prepaid expenses and $109,000 of assets held for disposal, which amount to total current assets of $5,759,000. Our total current liabilities balance, which includes accounts payable, accrued expenses, debt, and the current portion of Convertible Notes, was $16,658,000 as of December 31, 2018. The working capital deficiency of $10,899,000 as of December 31, 2018 includes $1,986,000 of convertible notes classified as short-term liabilities for which principal repayments may be made in shares of Common Stock at our election, $1,742,000 which relates to obligations that will not settle in cash, and $465,000 of liabilities that are not expected to settle in the next twelve months.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both"/>
        <w:spacing w:after="0" w:line="287" w:lineRule="auto"/>
        <w:rPr>
          <w:sz w:val="20"/>
          <w:szCs w:val="20"/>
          <w:color w:val="auto"/>
        </w:rPr>
      </w:pPr>
      <w:r>
        <w:rPr>
          <w:rFonts w:ascii="Arial" w:cs="Arial" w:eastAsia="Arial" w:hAnsi="Arial"/>
          <w:sz w:val="16"/>
          <w:szCs w:val="16"/>
          <w:color w:val="auto"/>
        </w:rPr>
        <w:t>While we have aggressively reduced operating and overhead expenses, and while we continue to focus on our overall profitability, we have continued to generate negative cash flows from operations and we expect to incur net losses in the foreseeable future. As discussed above and elsewhere in this Annual Report on Form 10-K, the report of our independent registered public accounting firm on our financial statements for the years ended December 31, 2018 and 2017 includes an explanatory paragraph indicating that there is substantial doubt about our ability to continue as a going concern. The receipt of this explanatory paragraph with respect to our financial statements for the years ended December 31, 2018 and 2017 will result in a breach of a covenant under the Senior Secured Note which, if unremedied for a period of 30 days after the date hereof, will constitute an event of default under the Senior Secured Note. Upon the occurrence of an event of default under the Senior Secured Note, Rockmore may, among other things, declare the Senior Secured Note and all accrued and unpaid interest thereon and all other amounts owing under the Senior Secured Note to be due and payable. If the maturity date of the Senior Secured Note is accelerated as a result of the event of default referenced above, an event of default under the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taken actions to improve our overall cash position and access to liquidity by exploring valuable strategic partnerships, right-sizing our corporate structure, and stream-lining our operations. We expect that the actions taken in 2018 and early 2019 will enhance our liquidity and financial environment. In addition, we expect to generate additional liquidity through the monetization of certain investments and other assets. We expect that these actions will be executed in alignment with the anticipated timing of our liquidity needs. There can be no assurance, however, that any such opportunities will materialize.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operating results indicate that there is substantial doubt related to the Company's ability to continue as a going concern. We believe it is probable that the actions discussed above will transpire and will successfully mitigate the substantial doubt raised by our historical operating results and will satisfy our liquidity needs 12 months from the issuance of the financial statements. However, we cannot reasonably predict with any certainty that the results of our planned actions will generate the expected liquidity required to satisfy our liquidity needs.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continue to experience operating losses, and we are not able to generate additional liquidity through the actions described above or through some combination of other actions, while not expected, we may not be able to access additional funds and we might need to secure additional sources of funds, which may or may not be available to us. Additionally, a failure to generate additional liquidity could negatively impact our access to inventory or services that are important to the operation of our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(12,172,000)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5,606,000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(1,866,000)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(5,396,000)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3,530,000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5,644,000</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6,087,000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2018, net cash used in operating activities totaled $6,566,000, of which $8,067,000 was net cash used in continuing operations and $1,501,000 was net cash provided by our discontinued operations. During the year ended December 31, 2017, net cash used in operating activities totaled $12,172,000, of which $8,761,000 was net cash used in operating activities and $3,411,000 was net cash used in discontinued operations. The decrease of cash used in operating activities of $5,606,000 was due largely to our cost cutting measures and reduced cash used in our daily operations as we have continued to focus on right-sizing the corporate structure and reducing overhead and operating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2018, net cash used in investing activities totaled $1,866,000, all of which was net cash used in continuing operations, mainly attributable to the net cash used to acquire property and equipment and software. This was primarily driven by capital expenditures for new store openings and renovations to existing stores. The net cash used was partially reduced by $800,000 received in January 2018 related to the sale of FLI Charge, $250,000 received from the sale of one of our patents, and $200,000 received from the sale of 205,646 shares of Marathon Common Stock.</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2017, net cash used in investing activities totaled $5,396,000, of which $4,286,000 was net cash used in continuing operations and $1,110,000 was net cash used in our discontinued operations, mainly attributable to the net cash used to acquire property and equipment and software. This was driven by capital expenditures for store openings and renovations as well as systems enhancements at both the stores and corporate office. The net cash used was partially reduced by $250,000 received upon the sale of FLI Charge and $150,000 received from the sale of one of our patents.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open new stores and develop supporting infrastructure and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2018, net cash provided by financing activities totaled $5,644,000, all of which was comprised of net cash provided by continuing operations. Included in the net cash provided by financing activities are the proceeds from the issuance of convertible notes and warrants of $4,350,000, which were partially offset by debt issuance costs of $320,000, and proceeds from the sale of our Series E Preferred Stock of $3,000,000. Also included in the net cash provided by financing activities are contributions of $250,000 from certain of XpresSpa’s ACDBE partners, offset by distribution payments to XpresSpa’s ACDBE partners of $1,636,000.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2017, net cash provided by financing activities totaled $6,087,000, which was comprised of $6,448,000 of net cash provided by continuing operations and $361,000 of net cash used in our discontinued operations. Included in the net cash provided by continuing operations are net proceeds of $6,584,000 received from the Offering in July and $316,000 from contributions made by certain of XpresSpa’s ACDBE partners, offset by distribution payments to XpresSpa’s ACDBE partners of $452,000.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“out-of-the-money.” Therefore, the potential of additional incoming funds from exercises by our warrant holders is currently very limited. To the extent that any of our issued and outstanding warrants were “in-the-money,” it could be used as a source of additional funding if the warrant holders choose to exercise their warrants for cash.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also choose to raise additional funds in connection with any acquisitions that we may pursue. There can be no assurance, however, that any such opportunity will materialize. Moreover, any such financing would most likely be dilutive to our current stockholders.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our significant accounting policies are more fully described in the notes to our audited consolidated financial statements for the year ended December 31, 2018, which appear elsewhere in this Annual Report on Form 10-K, we believe the following accounting policies to be the most critical in understanding the judgments and estimates we used in preparing our consolidated financial statements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recognize revenue from the sale of XpresSpa products and services at the point of sale, net of discounts and applicable sales taxes. Revenues from the XpresSpa wholesale and e-commerce businesses are recorded at the time goods are shipped. Accordingly, we recognize revenue for our single performance obligation related to both in-store and online sales at the point at which the service has been performed or the control of the merchandise has passed to the customer. We exclude all sales taxes assessed to our customers. Sales taxes assessed on revenues are included in accounts payable, accrued expenses and other current liabilities in the consolidated balance sheets until remitted to the state agencies.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also have a franchise agreement with an unaffiliated franchisee to operate an XpresSpa location. We have identified the franchise right as a distinct performance obligation that transfers over time, and therefore any portion of the non-recurring initial franchise fee that is allocated to the franchise right should be recognized over the course of the contract rather than all upfront as would be the case with distinct performance obligations. Under our franchising model, all initial franchising fees relate to the franchise right and therefore are recognized over the course of the contract which commences upon signing of the agreement. Upon receipt of the non-recurring, non-refundable initial franchise fee, management records a deferred revenue asset and recognizes revenue on a straight-line basis over the contract term. As of December 31, 2018, there were no franchise royalty revenues as operations have not yet commenced. Once operations commence, franchise royalty revenue will be recorded in the period earned.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revenue relates to one-time intellectual property licenses as well as the sale of certain of our intellectual property. Revenue from patent licensing is recognized when we transfer promised intellectual property rights to customers in an amount that reflects the consideration to which we expect to be entitled in exchange for those intellectual property rights. 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receipt of the upfront fee, and transfer of the promised intellectual property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Goodwill is reviewed for impairment at least annually, and when triggering events occur, in accordance with the provisions of Financial Accounting Standards Board (“FASB”) Accounting Standards Codification (“ASC”) </w:t>
      </w:r>
      <w:r>
        <w:rPr>
          <w:rFonts w:ascii="Arial" w:cs="Arial" w:eastAsia="Arial" w:hAnsi="Arial"/>
          <w:sz w:val="17"/>
          <w:szCs w:val="17"/>
          <w:i w:val="1"/>
          <w:iCs w:val="1"/>
          <w:color w:val="auto"/>
        </w:rPr>
        <w:t>Topic 350, Intangibles – Goodwill and Other</w:t>
      </w:r>
      <w:r>
        <w:rPr>
          <w:rFonts w:ascii="Arial" w:cs="Arial" w:eastAsia="Arial" w:hAnsi="Arial"/>
          <w:sz w:val="17"/>
          <w:szCs w:val="17"/>
          <w:color w:val="auto"/>
        </w:rPr>
        <w:t xml:space="preserve">. We evaluate goodwill impairment at the reporting unit level and perform our annual goodwill impairment test on December 31. We have adopted </w:t>
      </w:r>
      <w:r>
        <w:rPr>
          <w:rFonts w:ascii="Arial" w:cs="Arial" w:eastAsia="Arial" w:hAnsi="Arial"/>
          <w:sz w:val="17"/>
          <w:szCs w:val="17"/>
          <w:i w:val="1"/>
          <w:iCs w:val="1"/>
          <w:color w:val="auto"/>
        </w:rPr>
        <w:t>ASU No. 2017-14, 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(Topic 350): Simplifying the Test for Goodwill Impairment </w:t>
      </w:r>
      <w:r>
        <w:rPr>
          <w:rFonts w:ascii="Arial" w:cs="Arial" w:eastAsia="Arial" w:hAnsi="Arial"/>
          <w:sz w:val="17"/>
          <w:szCs w:val="17"/>
          <w:color w:val="auto"/>
        </w:rPr>
        <w:t>effective January 1, 2018. We have the option to perform a qualitative assessment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if an impairment is more likely than not to have occurred. If we can support the conclusion that it is not more likely than not that the fair value of a reporting unit is less than its carrying amount, then we would not need to perform the quantitative impairment test for the reporting unit. If we cannot support such a conclusion or do not elect to perform the qualitative assessment, then the qualitative goodwill impairment test is used to identify potential impairment by comparing the fair value of the reporting unit with its carrying amount, including goodwill.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spacing w:after="0" w:line="312" w:lineRule="auto"/>
        <w:rPr>
          <w:sz w:val="20"/>
          <w:szCs w:val="20"/>
          <w:color w:val="auto"/>
        </w:rPr>
      </w:pPr>
      <w:r>
        <w:rPr>
          <w:rFonts w:ascii="Arial" w:cs="Arial" w:eastAsia="Arial" w:hAnsi="Arial"/>
          <w:sz w:val="16"/>
          <w:szCs w:val="16"/>
          <w:color w:val="auto"/>
        </w:rPr>
        <w:t>If the fair value of the reporting unit exceeds its carrying value, then the goodwill is not impaired. If the fair value of the reporting unit is less than its carrying value, an impairment charge will be recorded based on the excess of a reporting unit’s carrying amount over its fair value. A significant amount of judgment is required in performing goodwill impairment tests including estimating the fair value of a reporting unit and the implied fair value of goodwill.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December 31, 2018, our goodwill was fully impaired. See </w:t>
      </w:r>
      <w:r>
        <w:rPr>
          <w:rFonts w:ascii="Arial" w:cs="Arial" w:eastAsia="Arial" w:hAnsi="Arial"/>
          <w:sz w:val="18"/>
          <w:szCs w:val="18"/>
          <w:i w:val="1"/>
          <w:iCs w:val="1"/>
          <w:color w:val="auto"/>
        </w:rPr>
        <w:t>“Note 6. Intangible Assets and Goodwill”</w:t>
      </w:r>
      <w:r>
        <w:rPr>
          <w:rFonts w:ascii="Arial" w:cs="Arial" w:eastAsia="Arial" w:hAnsi="Arial"/>
          <w:sz w:val="18"/>
          <w:szCs w:val="18"/>
          <w:color w:val="auto"/>
        </w:rPr>
        <w:t xml:space="preserve"> for further details on the assessment and conclusion on the goodwill impairment recorded during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include trade names, customer relationships, and technology, which were acquired as part of the acquisition of XpresSpa in December 2016 and are recorded based on the estimated fair value in purchase price allocation. Intangible assets also include purchased patents. The intangible assets are amortized over their estimated useful lives, which are periodically evaluated for reasonableness.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intangible assets are reviewed for impairment whenever events or changes in circumstances indicate that the carrying amount of an asset may not be recoverable. In assessing the recoverability of our intangible assets, we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we may be required to record impairment charges related to its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derivative warrant liabilities are measured at fair value. Such liabilities are classified within Level 3 of the fair value hierarchy because they are valued using the Black-Scholes-Merton (“Black-Scholes”) and the Monte-Carlo models (as these warrants include down-round protection clauses), which utilize significant inputs that are unobservable in the market. The inputs to estimate the fair value of our derivative warrant liabilities are the current market price of our Common Stock, the exercise price of the warrant, the warrants’ remaining expected term, the volatility of our Common Stock price, our assumptions regarding the probability and timing of a down-round protection triggering event and the risk-free interest rate. The tables below illustrate the unobservable inputs estimated by management on the respective balance sheet dates: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May 2015 Warrants</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December 31, 2018:</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71.16%</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 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May 2018 Warrants</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December 31, 2018:</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39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4"/>
                <w:szCs w:val="24"/>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25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 Warrants</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Black-Scholes-Merton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70.61%</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25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 Warrants</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Black-Scholes-Merton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84.02%</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May 17, 2018:</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25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 Warrants</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Black-Scholes-Merton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71.13%</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25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 Warrants</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Black-Scholes-Merton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72.88%</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spacing w:after="0" w:line="288" w:lineRule="auto"/>
        <w:rPr>
          <w:sz w:val="20"/>
          <w:szCs w:val="20"/>
          <w:color w:val="auto"/>
        </w:rPr>
      </w:pPr>
      <w:r>
        <w:rPr>
          <w:rFonts w:ascii="Arial" w:cs="Arial" w:eastAsia="Arial" w:hAnsi="Arial"/>
          <w:sz w:val="16"/>
          <w:szCs w:val="16"/>
          <w:color w:val="auto"/>
        </w:rPr>
        <w:t>The fair value measurements of the derivative warrant liabilities are evaluated by management to ensure that changes are consistent with expectations of management based upon the sensitivity and nature of the related inputs. Significant changes in any of those inputs in isolation can result in a significant change in the fair value measurement. Generally, an increase in the market price of our Common Stock, an increase in the volatility of our Common Stock, an increase in the remaining term of the warrants, or an increase of a probability of a down-round triggering event would each result in a directionally similar change in the estimated fair value of our derivative warrant liabilities. Such changes would increase the associated liability while decreases in these assumptions would decrease the associated liability. An increase in the risk-free interest rate or a decrease in the positive differential between the warrants’ exercise price and the market price of our Common Stock would result in a decrease in the estimated fair value measurement of the warrants and thus a decrease in the associated liability. We have not, and do not plan to, declare dividends on our Common Stock and, as such, there is no change in the estimated fair value of the derivative warrant liabilities due to the dividend assumption. Had we made different assumptions about the inputs noted above, the recorded gain or loss, our net loss and net loss per share amounts could have been significantly different.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Stock-based compensation is recognized as an expense in the accompanying consolidated statements of operations and comprehensive loss and such cost is measured at the grant-date fair value of the equity-settled award. The fair value of stock options is estimated as of the date of grant using the Black-Scholes model. The expense is recognized on a straight-line basis over the requisite service period. We use the simplified method to estimate the expected term of options due to insufficient history and high turnover in the past. The contractual life of options granted under our 2006 and 2012 option plans are 6 and 10 years, respectively. Since our Company lacks sufficient history, expected volatility is estimated based on the average historical volatility of similar entities with publicly traded shares. The risk-free rate for the expected term of the option is based on the United States Treasury yield curve as of the date of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need for a valuation allowance, we look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we will be required to adjust the valuation allowance.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judgment is required in evaluating our federal, state and foreign tax positions and in the determination of our tax provision. Despite management's belief that our liability for unrecognized tax benefits is adequate, it is often difficult to predict the final outcome or the timing of the resolution of any particular tax matters. We may adjust these accruals as relevant circumstances evolve, such as guidance from the relevant tax authority, our tax advisors, or resolution of issues in the courts. Our tax expense includes the impact of accrual provisions and changes to accruals that it considers appropriate. These adjustments are recognized as a component of income tax expense entirely in the period in which new information is available. We record interest related to unrecognized tax benefits in interest expense and penalties in the accompanying consolidated statements of operations and comprehensive loss as general and administrative expenses.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percent of being realized. Changes in recognition or measurement are reflected in the period in which the change in judgment occurs.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December 22, 2017, the United States government enacted the Tax Act, which made changes to the corporate tax rate, business-related deductions and taxation of foreign earnings, among other changes, that was generally effective for tax years beginning after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regularly evaluated by the enterprise’s CODM in deciding how to allocate resources and in assessing performance. As a result of the Company’s transition to a pure-play health and wellness services company, it currently has one operating segment that is also its sole reporting unit, XpresSpa.</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certain patent portfolios, which it looks to monetize through sales and licensing agreements. During the year ended December 31, 2018,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core principle of this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Adoption of this ASU did not have a material impact on the Company’s consolidated financial statements.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No. 2014-15, Presentation of Financial Statements — Going Concern, Disclosures of Uncertainties about an Entity’s Ability to Continue as a Going Concern</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standard requires management to evaluate whether there are conditions or events, considered in the aggregate, that raise substantial doubt about the entity’s ability to continue as a going concern within one year after the date that the financial statements are issued. Substantial doubt about an entity’s ability to continue as a going concern exists when it is probable that the entity will be unable to meet its obligations as they become due within one year after the date that the financial statements are issued. Management’s evaluation should be based on relevant conditions and events that are known and reasonably knowable at the date that the financial statements are issued. The amendments in this Update are effective for the annual period beginning after December 15, 2016. See Item 7 “Management’s Discussion and Analysis of Financial Condition and Results of Operations — Liquidity and Capital Resources” for management’s assessment and conclusion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This standard amends various aspects of the recognition, measurement, presentation, and disclosure for financial instruments. With respect to the Company’s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Adoption of this ASU did not have a material impact on the Company’s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provides new guidance related to accounting for leases and supersedes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2016, FASB issued ASU 2016-02, Leases, and several amendments (collectively, “ASU 2016-02”), which requires the Company to recognize assets and liabilities arising from most operating leases on the consolidated statements of financial condition. In 2018, the FASB issued ASU 2018-11, Targeted Improvements (“ASU 2018-11”), which provides a transition option to not apply the new lease standard to the comparative periods presented in the consolidated statements of financial condition. Under this transition option, the Company shall apply the new leases standard at the adoption date and recognizes any cumulative-effect adjustment to the opening balance of retained earnings in the period of adoption.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ASU 2016-02 effective for the fiscal year beginning after December 15, 2018 on a modified retrospective basis. The Company applied the transition option permitted by ASU 2018-11 and elected the package of practical expedients to alleviate certain operational and reporting complexities related to the adoption. The Company expects to recognize right-of-use assets and lease liabilities in the range of $10 million to $12 million for its current operating leases upon adoption of ASU 2016-02 and does not expect the adoption to have a material impact on its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The Company is currently in the process of evaluating the potential impact of the adoption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 (Topic 230): Classification of Certain Cash Receipts, Cash Payments, and Restricted Stock</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standard provides new guidance to help clarify whether certain items should be categorized as operating, investing, or financing in the statement of cash flows. This ASU No. 2016-15 provides guidance on eight specific cash flow issues. The new standard is effective for the fiscal year beginning after December 15, 2017, with early adoption permitted. Adoption of this ASU did not have a material impact on the Company’s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2016-18, Statement of Cash Flows (Topic 230): Restricted Cash</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amendment clarifies the classification and presentation of restricted cash in the consolidated statement of cash flows under Topic 230. In addition to providing explanation on the change during the period in the total of cash, cash equivalents, and amounts generally described as restricted cash or restricted cash equivalents. The new standard is effective for the fiscal year beginning after December 15, 2017, with early adoption permitted. We adopted ASU 2016-18 effective January 1, 2018. As a result of the adoption of ASU 2016-18, in the consolidated statement of cash flows for the year ended December 31, 2018, we reclassified $487 of restricted cash.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ASU No. 2017-09, Stock Compensation (Topic 718): Scope of Modification Accounting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This standard provides guidance about which changes to the terms or conditions of a stock-based payment award require an entity to apply modification accounting in Topic 718. The current disclosure requirements in Topic 718 apply regardless of whether an entity is required to apply modification accounting under the amendments in this update. ASU 2017-09 is effective for annual periods, and interim periods within those annual periods, beginning after December 15, 2017; early adoption is permitted. Adoption of this ASU did not have a material impact on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2017-11, Earnings Per Share (Topic 260); Distinguishing Liabilities from Equity (Topic 480); Derivatives and Hedging (Topic 815)</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standard provides new guidance to address the complexity of accounting for certain financial instruments with down round features. The amendments of this ASU change the classification analysis of certain equity-linked financial instruments (or embedded features) with down round features. A down round feature no longer precludes equity classification when assessing whether the instrument is indexed to an entity’s own stock. A freestanding equity-linked financial instrument (or embedded conversion feature) no longer would be accounted for as a derivative liability at fair value as a result of the existence of a down round feature. The new standard is effective for the fiscal year beginning after December 15, 2018 with early adoption permitted. The Company early adopted this standard effective January 1, 2018. Adoption of this ASU did not have a material impact on the Company’s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2017-12, Derivatives and Hedging (Topic 815): Targeted Improvements to Accounting for Hedging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standard was created to provide more specific guidance and to simplify the application of hedge accounting in current U.S. GAAP to facilitate financial reporting that more closely reflects an entity’s risk management activities. The new standard is effective for the fiscal year beginning after December 15, 2018. The Company is currently in the process of evaluating the potential impact of the adoption on its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standard provides guidance on the reclassification of certain tax effects from AOCI to retained earnings in the period in which the effects of the change in the U.S. federal corporate income tax rate in the Tax Cuts and Jobs Act is recorded. The new standard is effective for the fiscal year beginning after December 15, 2018. The Company is currently in the process of evaluating the potential impact of the adoption on its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ASU No. 2018-13, Fair Value Measurement (Topic 820): Disclosure Framework—Changes to the Disclosure Requirements for Fair Value Measurement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new standard is effective for the fiscal year beginning after December 15, 2019. The Company is currently in the process of evaluating the impact of the adoption of this standard on its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financial statements required by this Item are set forth in Item 15 beginning on page F-1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60"/>
          </w:cols>
          <w:pgMar w:left="240" w:top="905" w:right="129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Principal Financial and Accounting Officer, as appropriate, to allow timely decisions regarding required disclosure.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we carried out an evaluation, under the supervision and with the participation of our management, including our Chief Executive Officer and Principal Financial and Accounting Officer, of the effectiveness of the design and operation of our disclosure controls and procedures. Based on the foregoing, our Chief Executive Officer and Principal Financial and Accounting Officer concluded that our disclosure controls and procedures were effective as of the end of the period covered by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year ended December 31, 2018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Management on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promulgated under the Exchange Act as a process designed by, or under the supervision of, our principal executive officer and principal financial and accounting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our inherent limitations, our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 Framework).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 management believes that, as of December 31, 2018, our internal control over financial reporting is effective based on those criteria.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28, 2019, Janine Canale, our Controller, Principal Financial and Accounting Officer resigned, effective April 12, 2019, to commence another career opportunity.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2019 Annual Meeting of Stockholders to be filed with the SEC under the captions “Management and Corporate Governance Matters,” “Section 16(a) Beneficial Ownership Reporting Compliance,” and “Code of Conduct and Ethics” is incorporated by reference in this Item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2019 Annual Meeting of Stockholders to be filed with the SEC under the captions “Executive Officer and Director Compensation” and “Management and Corporate Governance” and is incorporated by reference in this Item 11.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1" w:name="page62"/>
    <w:bookmarkEnd w:id="61"/>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2019 Annual Meeting of Stockholders to be filed with the SEC under the captions “Security Ownership of Certain Beneficial Owners and Management” and “Equity Compensation Plan Information” and is incorporated by reference in this Item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2019 Annual Meeting of Stockholders to be filed with the SEC under the captions “Certain Relationships and Related Person Transactions” and “Management and Corporate Governance” and is incorporated by reference in this Item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2019 Annual Meeting of Stockholders to be filed with the SEC under the caption “Independent Registered Public Accounting Firm” and is incorporated by reference in this Item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For the financial statements included in this Annual Report on Form 10-K, see “Index to the Financial Statements” on page F-1.</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All schedules are omitted because they are not applicable or because the required information is included in the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or incorporated by reference into, this Annual Report on Form 10-K.</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6"/>
          <w:szCs w:val="16"/>
          <w:b w:val="1"/>
          <w:bCs w:val="1"/>
          <w:color w:val="auto"/>
        </w:rPr>
        <w:t>Exhibits Index</w:t>
      </w:r>
    </w:p>
    <w:p>
      <w:pPr>
        <w:sectPr>
          <w:pgSz w:w="11900" w:h="16838" w:orient="portrait"/>
          <w:cols w:equalWidth="0" w:num="1">
            <w:col w:w="11420"/>
          </w:cols>
          <w:pgMar w:left="240" w:top="904"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61" w:lineRule="exact"/>
        <w:rPr>
          <w:sz w:val="20"/>
          <w:szCs w:val="20"/>
          <w:color w:val="auto"/>
        </w:rPr>
      </w:pPr>
    </w:p>
    <w:p>
      <w:pPr>
        <w:sectPr>
          <w:pgSz w:w="11900" w:h="16838" w:orient="portrait"/>
          <w:cols w:equalWidth="0" w:num="2">
            <w:col w:w="5180" w:space="720"/>
            <w:col w:w="5520"/>
          </w:cols>
          <w:pgMar w:left="240" w:top="904" w:right="239" w:bottom="1440" w:gutter="0" w:footer="0" w:header="0"/>
          <w:type w:val="continuous"/>
        </w:sectPr>
      </w:pPr>
    </w:p>
    <w:p>
      <w:pPr>
        <w:jc w:val="both"/>
        <w:ind w:left="1260"/>
        <w:spacing w:after="0" w:line="286" w:lineRule="auto"/>
        <w:rPr>
          <w:rFonts w:ascii="Arial" w:cs="Arial" w:eastAsia="Arial" w:hAnsi="Arial"/>
          <w:sz w:val="17"/>
          <w:szCs w:val="17"/>
          <w:u w:val="single" w:color="auto"/>
          <w:color w:val="0000EE"/>
        </w:rPr>
      </w:pPr>
      <w:hyperlink r:id="rId70">
        <w:r>
          <w:rPr>
            <w:rFonts w:ascii="Arial" w:cs="Arial" w:eastAsia="Arial" w:hAnsi="Arial"/>
            <w:sz w:val="17"/>
            <w:szCs w:val="17"/>
            <w:u w:val="single" w:color="auto"/>
            <w:color w:val="0000EE"/>
          </w:rPr>
          <w:t>Agreement and Plan of Merger by and among FORM Holdings Corp., FHXMS, LLC, XpresSpa Holdings, LLC, the unitholders of</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XpresSpa who are parties thereto and Mistral XH Representative, LLC, as representative of the unitholders, dated as of August 8, 2016</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(incorporated by reference to Exhibit 2.1 to our Current Report on Form 8-K filed with the SEC on August 8, 2016).</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rFonts w:ascii="Arial" w:cs="Arial" w:eastAsia="Arial" w:hAnsi="Arial"/>
          <w:sz w:val="17"/>
          <w:szCs w:val="17"/>
          <w:u w:val="single" w:color="auto"/>
          <w:color w:val="0000EE"/>
        </w:rPr>
      </w:pPr>
    </w:p>
    <w:tbl>
      <w:tblPr>
        <w:tblLayout w:type="fixed"/>
        <w:tblInd w:w="0" w:type="dxa"/>
        <w:tblCellMar>
          <w:top w:w="0" w:type="dxa"/>
          <w:left w:w="0" w:type="dxa"/>
          <w:bottom w:w="0" w:type="dxa"/>
          <w:right w:w="0" w:type="dxa"/>
        </w:tblCellMar>
      </w:tblPr>
      <w:tr>
        <w:trPr>
          <w:trHeight w:val="207"/>
        </w:trPr>
        <w:tc>
          <w:tcPr>
            <w:tcW w:w="320" w:type="dxa"/>
            <w:vAlign w:val="bottom"/>
            <w:gridSpan w:val="2"/>
          </w:tcPr>
          <w:p>
            <w:pPr>
              <w:spacing w:after="0"/>
              <w:rPr>
                <w:rFonts w:ascii="Arial" w:cs="Arial" w:eastAsia="Arial" w:hAnsi="Arial"/>
                <w:sz w:val="18"/>
                <w:szCs w:val="18"/>
                <w:color w:val="0000EE"/>
              </w:rPr>
            </w:pPr>
            <w:hyperlink r:id="rId72">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940" w:type="dxa"/>
            <w:vAlign w:val="bottom"/>
          </w:tcPr>
          <w:p>
            <w:pPr>
              <w:spacing w:after="0"/>
              <w:rPr>
                <w:sz w:val="17"/>
                <w:szCs w:val="17"/>
                <w:color w:val="auto"/>
              </w:rPr>
            </w:pPr>
          </w:p>
        </w:tc>
        <w:tc>
          <w:tcPr>
            <w:tcW w:w="10160" w:type="dxa"/>
            <w:vAlign w:val="bottom"/>
            <w:gridSpan w:val="10"/>
          </w:tcPr>
          <w:p>
            <w:pPr>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Amendment No. 1 to Agreement and Plan of Merger by and among FORM Holdings Corp., FHXMS, LLC, XpresSpa Holdings, LLC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Mistral XH Representative, LLC, as representative of the unitholders, dated September 8, 2016 (incorporated by reference to Exhibit 2.1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160" w:type="dxa"/>
            <w:vAlign w:val="bottom"/>
            <w:gridSpan w:val="10"/>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our Current Report on Form 8-K filed with the SEC on September 9, 2016).</w:t>
              </w:r>
            </w:hyperlink>
          </w:p>
        </w:tc>
      </w:tr>
      <w:tr>
        <w:trPr>
          <w:trHeight w:val="20"/>
        </w:trPr>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73">
              <w:r>
                <w:rPr>
                  <w:rFonts w:ascii="Arial" w:cs="Arial" w:eastAsia="Arial" w:hAnsi="Arial"/>
                  <w:sz w:val="18"/>
                  <w:szCs w:val="18"/>
                  <w:color w:val="0000EE"/>
                </w:rPr>
                <w:t>2.</w:t>
              </w:r>
              <w:r>
                <w:rPr>
                  <w:rFonts w:ascii="Arial" w:cs="Arial" w:eastAsia="Arial" w:hAnsi="Arial"/>
                  <w:sz w:val="18"/>
                  <w:szCs w:val="18"/>
                  <w:u w:val="single" w:color="auto"/>
                  <w:color w:val="0000EE"/>
                </w:rPr>
                <w:t>3</w:t>
              </w:r>
            </w:hyperlink>
          </w:p>
        </w:tc>
        <w:tc>
          <w:tcPr>
            <w:tcW w:w="94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4"/>
              </w:rPr>
            </w:pPr>
            <w:hyperlink r:id="rId73">
              <w:r>
                <w:rPr>
                  <w:rFonts w:ascii="Arial" w:cs="Arial" w:eastAsia="Arial" w:hAnsi="Arial"/>
                  <w:sz w:val="18"/>
                  <w:szCs w:val="18"/>
                  <w:color w:val="0000EE"/>
                  <w:w w:val="94"/>
                </w:rPr>
                <w:t>Amendment No. 2 to Agreement and Plan of Merger by and among FORM Holdings Corp., FHXMS, LLC, XpresSpa Holdings, LLC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16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Mistral XH Representative, LLC, as representative of the unitholders, dated October 25, 2016 (incorporated by reference to Exhibit 2.1 to</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1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our Current Report on Form 8-K filed with the SEC on October 25, 2016).</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3.</w:t>
              </w:r>
              <w:r>
                <w:rPr>
                  <w:rFonts w:ascii="Arial" w:cs="Arial" w:eastAsia="Arial" w:hAnsi="Arial"/>
                  <w:sz w:val="18"/>
                  <w:szCs w:val="18"/>
                  <w:u w:val="single" w:color="auto"/>
                  <w:color w:val="0000EE"/>
                  <w:w w:val="93"/>
                </w:rPr>
                <w:t>1*</w:t>
              </w:r>
            </w:hyperlink>
          </w:p>
        </w:tc>
        <w:tc>
          <w:tcPr>
            <w:tcW w:w="94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Amended and Restated Certificate of Incorporation, as amended as of December 31, 2018.</w:t>
              </w:r>
            </w:hyperlink>
          </w:p>
        </w:tc>
      </w:tr>
      <w:tr>
        <w:trPr>
          <w:trHeight w:val="412"/>
        </w:trPr>
        <w:tc>
          <w:tcPr>
            <w:tcW w:w="320" w:type="dxa"/>
            <w:vAlign w:val="bottom"/>
            <w:tcBorders>
              <w:top w:val="single" w:sz="8" w:color="0000EE"/>
            </w:tcBorders>
            <w:gridSpan w:val="2"/>
          </w:tcPr>
          <w:p>
            <w:pPr>
              <w:spacing w:after="0"/>
              <w:rPr>
                <w:rFonts w:ascii="Arial" w:cs="Arial" w:eastAsia="Arial" w:hAnsi="Arial"/>
                <w:sz w:val="18"/>
                <w:szCs w:val="18"/>
                <w:color w:val="0000EE"/>
                <w:w w:val="93"/>
              </w:rPr>
            </w:pPr>
            <w:hyperlink w:anchor="page210">
              <w:r>
                <w:rPr>
                  <w:rFonts w:ascii="Arial" w:cs="Arial" w:eastAsia="Arial" w:hAnsi="Arial"/>
                  <w:sz w:val="18"/>
                  <w:szCs w:val="18"/>
                  <w:color w:val="0000EE"/>
                  <w:w w:val="93"/>
                </w:rPr>
                <w:t>3.</w:t>
              </w:r>
              <w:r>
                <w:rPr>
                  <w:rFonts w:ascii="Arial" w:cs="Arial" w:eastAsia="Arial" w:hAnsi="Arial"/>
                  <w:sz w:val="18"/>
                  <w:szCs w:val="18"/>
                  <w:u w:val="single" w:color="auto"/>
                  <w:color w:val="0000EE"/>
                  <w:w w:val="93"/>
                </w:rPr>
                <w:t>2*</w:t>
              </w:r>
            </w:hyperlink>
          </w:p>
        </w:tc>
        <w:tc>
          <w:tcPr>
            <w:tcW w:w="940" w:type="dxa"/>
            <w:vAlign w:val="bottom"/>
          </w:tcPr>
          <w:p>
            <w:pPr>
              <w:spacing w:after="0"/>
              <w:rPr>
                <w:sz w:val="24"/>
                <w:szCs w:val="24"/>
                <w:color w:val="auto"/>
              </w:rPr>
            </w:pPr>
          </w:p>
        </w:tc>
        <w:tc>
          <w:tcPr>
            <w:tcW w:w="6520" w:type="dxa"/>
            <w:vAlign w:val="bottom"/>
            <w:tcBorders>
              <w:top w:val="single" w:sz="8" w:color="0000EE"/>
            </w:tcBorders>
            <w:gridSpan w:val="5"/>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Amended and Restated Bylaws.</w:t>
              </w:r>
            </w:hyperlink>
          </w:p>
        </w:tc>
        <w:tc>
          <w:tcPr>
            <w:tcW w:w="3640" w:type="dxa"/>
            <w:vAlign w:val="bottom"/>
            <w:gridSpan w:val="5"/>
          </w:tcPr>
          <w:p>
            <w:pPr>
              <w:spacing w:after="0"/>
              <w:rPr>
                <w:sz w:val="24"/>
                <w:szCs w:val="24"/>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74">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94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Certificate of Designation of Series C Junior Participating Preferred Stock (incorporated by reference from Exhibit 3.1 to our Current Report</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1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on Form 8-K filed with the SEC on March 21, 2016).</w:t>
              </w:r>
            </w:hyperlink>
          </w:p>
        </w:tc>
      </w:tr>
      <w:tr>
        <w:trPr>
          <w:trHeight w:val="20"/>
        </w:trPr>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75">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94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5"/>
              </w:rPr>
            </w:pPr>
            <w:hyperlink r:id="rId75">
              <w:r>
                <w:rPr>
                  <w:rFonts w:ascii="Arial" w:cs="Arial" w:eastAsia="Arial" w:hAnsi="Arial"/>
                  <w:sz w:val="18"/>
                  <w:szCs w:val="18"/>
                  <w:color w:val="0000EE"/>
                  <w:w w:val="95"/>
                </w:rPr>
                <w:t>Certificate of Designation of Preferences, Rights and Limitations of Series D Convertible Preferred Stock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Exhibit 3.1 to our Current Report on Form 8-K filed with the SEC on December 23, 2016).</w:t>
              </w:r>
            </w:hyperlink>
          </w:p>
        </w:tc>
        <w:tc>
          <w:tcPr>
            <w:tcW w:w="3600" w:type="dxa"/>
            <w:vAlign w:val="bottom"/>
            <w:tcBorders>
              <w:top w:val="single" w:sz="8" w:color="0000EE"/>
            </w:tcBorders>
            <w:gridSpan w:val="4"/>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7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5"/>
              </w:rPr>
            </w:pPr>
            <w:hyperlink r:id="rId76">
              <w:r>
                <w:rPr>
                  <w:rFonts w:ascii="Arial" w:cs="Arial" w:eastAsia="Arial" w:hAnsi="Arial"/>
                  <w:sz w:val="18"/>
                  <w:szCs w:val="18"/>
                  <w:color w:val="0000EE"/>
                  <w:w w:val="95"/>
                </w:rPr>
                <w:t>Certificate of Designation of Preferences, Rights and Limitations of Series E Convertible Preferred Stock (incorporated by reference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1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Exhibit 3.1 to our Quarterly Report on Form 10-Q filed with the SEC on November 14, 2018).</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0" w:type="dxa"/>
            <w:vAlign w:val="bottom"/>
            <w:gridSpan w:val="7"/>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7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940" w:type="dxa"/>
            <w:vAlign w:val="bottom"/>
          </w:tcPr>
          <w:p>
            <w:pPr>
              <w:spacing w:after="0"/>
              <w:rPr>
                <w:sz w:val="24"/>
                <w:szCs w:val="24"/>
                <w:color w:val="auto"/>
              </w:rPr>
            </w:pPr>
          </w:p>
        </w:tc>
        <w:tc>
          <w:tcPr>
            <w:tcW w:w="10160" w:type="dxa"/>
            <w:vAlign w:val="bottom"/>
            <w:gridSpan w:val="10"/>
          </w:tcPr>
          <w:p>
            <w:pPr>
              <w:spacing w:after="0"/>
              <w:rPr>
                <w:rFonts w:ascii="Arial" w:cs="Arial" w:eastAsia="Arial" w:hAnsi="Arial"/>
                <w:sz w:val="18"/>
                <w:szCs w:val="18"/>
                <w:color w:val="0000EE"/>
                <w:w w:val="95"/>
              </w:rPr>
            </w:pPr>
            <w:hyperlink r:id="rId77">
              <w:r>
                <w:rPr>
                  <w:rFonts w:ascii="Arial" w:cs="Arial" w:eastAsia="Arial" w:hAnsi="Arial"/>
                  <w:sz w:val="18"/>
                  <w:szCs w:val="18"/>
                  <w:color w:val="0000EE"/>
                  <w:w w:val="95"/>
                </w:rPr>
                <w:t>Specimen Common Stock certificate (incorporated by reference from our Registration Statement on Form S-1 filed on May 18, 2010).</w:t>
              </w:r>
            </w:hyperlink>
          </w:p>
        </w:tc>
      </w:tr>
      <w:tr>
        <w:trPr>
          <w:trHeight w:val="696"/>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360" w:type="dxa"/>
            <w:vAlign w:val="bottom"/>
            <w:tcBorders>
              <w:top w:val="single" w:sz="8" w:color="0000EE"/>
              <w:bottom w:val="single" w:sz="8" w:color="auto"/>
            </w:tcBorders>
            <w:gridSpan w:val="3"/>
          </w:tcPr>
          <w:p>
            <w:pPr>
              <w:ind w:left="4340"/>
              <w:spacing w:after="0"/>
              <w:rPr>
                <w:sz w:val="20"/>
                <w:szCs w:val="20"/>
                <w:color w:val="auto"/>
              </w:rPr>
            </w:pPr>
            <w:r>
              <w:rPr>
                <w:rFonts w:ascii="Arial" w:cs="Arial" w:eastAsia="Arial" w:hAnsi="Arial"/>
                <w:sz w:val="22"/>
                <w:szCs w:val="22"/>
                <w:color w:val="auto"/>
              </w:rPr>
              <w:t>57</w:t>
            </w:r>
          </w:p>
        </w:tc>
        <w:tc>
          <w:tcPr>
            <w:tcW w:w="1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88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7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960" w:type="dxa"/>
            <w:vAlign w:val="bottom"/>
            <w:tcBorders>
              <w:bottom w:val="single" w:sz="8" w:color="0000EE"/>
            </w:tcBorders>
            <w:gridSpan w:val="9"/>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Form of Warrant (incorporated by reference from Exhibit 4.1 to our Current Report on Form 8-K filed with the SEC on October 16, 2015)</w:t>
              </w:r>
            </w:hyperlink>
          </w:p>
        </w:tc>
        <w:tc>
          <w:tcPr>
            <w:tcW w:w="200" w:type="dxa"/>
            <w:vAlign w:val="bottom"/>
            <w:gridSpan w:val="4"/>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7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gridSpan w:val="13"/>
          </w:tcPr>
          <w:p>
            <w:pPr>
              <w:spacing w:after="0"/>
              <w:rPr>
                <w:rFonts w:ascii="Arial" w:cs="Arial" w:eastAsia="Arial" w:hAnsi="Arial"/>
                <w:sz w:val="18"/>
                <w:szCs w:val="18"/>
                <w:color w:val="0000EE"/>
                <w:w w:val="96"/>
              </w:rPr>
            </w:pPr>
            <w:hyperlink r:id="rId79">
              <w:r>
                <w:rPr>
                  <w:rFonts w:ascii="Arial" w:cs="Arial" w:eastAsia="Arial" w:hAnsi="Arial"/>
                  <w:sz w:val="18"/>
                  <w:szCs w:val="18"/>
                  <w:color w:val="0000EE"/>
                  <w:w w:val="96"/>
                </w:rPr>
                <w:t>Form of Warrant (incorporated by reference from Exhibit 10.3 to our Current Report on Form 8-K filed with the SEC on May 4, 2015)</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8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4"/>
              </w:rPr>
            </w:pPr>
            <w:hyperlink r:id="rId80">
              <w:r>
                <w:rPr>
                  <w:rFonts w:ascii="Arial" w:cs="Arial" w:eastAsia="Arial" w:hAnsi="Arial"/>
                  <w:sz w:val="18"/>
                  <w:szCs w:val="18"/>
                  <w:color w:val="0000EE"/>
                  <w:w w:val="94"/>
                </w:rPr>
                <w:t>Section 382 Rights Agreement, dated as of March 18, 2016, between Vringo, Inc. and American Stock Transfer &amp; Trust Company, LLC,</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r:id="rId80">
              <w:r>
                <w:rPr>
                  <w:rFonts w:ascii="Arial" w:cs="Arial" w:eastAsia="Arial" w:hAnsi="Arial"/>
                  <w:sz w:val="18"/>
                  <w:szCs w:val="18"/>
                  <w:color w:val="0000EE"/>
                  <w:w w:val="96"/>
                </w:rPr>
                <w:t>which includes the Form of Certificate of Designation of Series C Junior Participating Preferred Stock as Exhibit A, the Form of Right</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Certificate as Exhibit B and the Summary of Rights to Purchase Preferred Stock as Exhibit C (incorporated by reference from Exhibit 4.1 to</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our Current Report on Form 8-K filed with the SEC on March 21, 2016)</w:t>
              </w:r>
            </w:hyperlink>
          </w:p>
        </w:tc>
        <w:tc>
          <w:tcPr>
            <w:tcW w:w="4940" w:type="dxa"/>
            <w:vAlign w:val="bottom"/>
            <w:gridSpan w:val="10"/>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8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7"/>
              </w:rPr>
            </w:pPr>
            <w:hyperlink r:id="rId81">
              <w:r>
                <w:rPr>
                  <w:rFonts w:ascii="Arial" w:cs="Arial" w:eastAsia="Arial" w:hAnsi="Arial"/>
                  <w:sz w:val="18"/>
                  <w:szCs w:val="18"/>
                  <w:color w:val="0000EE"/>
                  <w:w w:val="97"/>
                </w:rPr>
                <w:t>Amendment to Section 382 Rights Agreement, dated March 18, 2019, between the Company and American Stock Transfer &amp; Trust</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9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Company, LLC (incorporated by reference from Exhibit 10.1 to our Current Report on Form 8-K filed with the SEC on March 22, 2019).</w:t>
              </w:r>
            </w:hyperlink>
          </w:p>
        </w:tc>
        <w:tc>
          <w:tcPr>
            <w:tcW w:w="260" w:type="dxa"/>
            <w:vAlign w:val="bottom"/>
            <w:gridSpan w:val="5"/>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8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6</w:t>
              </w:r>
            </w:hyperlink>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8"/>
              </w:rPr>
            </w:pPr>
            <w:hyperlink r:id="rId82">
              <w:r>
                <w:rPr>
                  <w:rFonts w:ascii="Arial" w:cs="Arial" w:eastAsia="Arial" w:hAnsi="Arial"/>
                  <w:sz w:val="18"/>
                  <w:szCs w:val="18"/>
                  <w:color w:val="0000EE"/>
                  <w:w w:val="98"/>
                </w:rPr>
                <w:t>Form of Warrant to Purchase Shares of Common Stock of FORM Holdings Corp. (incorporated by reference from Annex F to our</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60" w:type="dxa"/>
            <w:vAlign w:val="bottom"/>
            <w:gridSpan w:val="13"/>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Registration Statement on Form S-4 filed with the SEC on October 26, 2016)</w:t>
              </w:r>
            </w:hyperlink>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8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20" w:type="dxa"/>
            <w:vAlign w:val="bottom"/>
            <w:tcBorders>
              <w:bottom w:val="single" w:sz="8" w:color="0000EE"/>
            </w:tcBorders>
            <w:gridSpan w:val="11"/>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Form of Secured Convertible Note (incorporated by reference from Exhibit 4.1 to our Quarterly Report on Form 10-Q filed with the SEC on</w:t>
              </w:r>
            </w:hyperlink>
          </w:p>
        </w:tc>
        <w:tc>
          <w:tcPr>
            <w:tcW w:w="4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May 15, 2018).</w:t>
              </w:r>
            </w:hyperlink>
          </w:p>
        </w:tc>
        <w:tc>
          <w:tcPr>
            <w:tcW w:w="9040" w:type="dxa"/>
            <w:vAlign w:val="bottom"/>
            <w:gridSpan w:val="11"/>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8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8</w:t>
              </w:r>
            </w:hyperlink>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Form of Class A Warrant (incorporated by reference from Exhibit 4.2 to our Quarterly Report on Form 10-Q filed with the SEC on May 15,</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84">
              <w:r>
                <w:rPr>
                  <w:rFonts w:ascii="Arial" w:cs="Arial" w:eastAsia="Arial" w:hAnsi="Arial"/>
                  <w:sz w:val="18"/>
                  <w:szCs w:val="18"/>
                  <w:color w:val="0000EE"/>
                  <w:w w:val="86"/>
                </w:rPr>
                <w:t>2018).</w:t>
              </w:r>
            </w:hyperlink>
          </w:p>
        </w:tc>
        <w:tc>
          <w:tcPr>
            <w:tcW w:w="6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8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9</w:t>
              </w:r>
            </w:hyperlink>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60" w:type="dxa"/>
            <w:vAlign w:val="bottom"/>
            <w:tcBorders>
              <w:bottom w:val="single" w:sz="8" w:color="0000EE"/>
            </w:tcBorders>
            <w:gridSpan w:val="13"/>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Form of Class B Warrant (incorporated by reference from Exhibit 4.3 to our Quarterly Report on Form 10-Q filed with the SEC on May 15,</w:t>
              </w:r>
            </w:hyperlink>
          </w:p>
        </w:tc>
      </w:tr>
      <w:tr>
        <w:trPr>
          <w:trHeight w:val="196"/>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85">
              <w:r>
                <w:rPr>
                  <w:rFonts w:ascii="Arial" w:cs="Arial" w:eastAsia="Arial" w:hAnsi="Arial"/>
                  <w:sz w:val="18"/>
                  <w:szCs w:val="18"/>
                  <w:color w:val="0000EE"/>
                  <w:w w:val="86"/>
                </w:rPr>
                <w:t>2018).</w:t>
              </w:r>
            </w:hyperlink>
          </w:p>
        </w:tc>
        <w:tc>
          <w:tcPr>
            <w:tcW w:w="66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r:id="rId86">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160" w:type="dxa"/>
            <w:vAlign w:val="bottom"/>
            <w:gridSpan w:val="13"/>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Vringo, Inc. 2012 Employee, Director and Consultant Equity Incentive Plan, as amended (incorporated by reference from Appendix C of our</w:t>
              </w:r>
            </w:hyperlink>
          </w:p>
        </w:tc>
      </w:tr>
      <w:tr>
        <w:trPr>
          <w:trHeight w:val="196"/>
        </w:trPr>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Proxy Statement on Schedule 14A (DEF 14A) filed with the SEC on September 25, 2015)</w:t>
              </w:r>
            </w:hyperlink>
          </w:p>
        </w:tc>
        <w:tc>
          <w:tcPr>
            <w:tcW w:w="3660" w:type="dxa"/>
            <w:vAlign w:val="bottom"/>
            <w:tcBorders>
              <w:top w:val="single" w:sz="8" w:color="0000EE"/>
            </w:tcBorders>
            <w:gridSpan w:val="8"/>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8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p>
        </w:tc>
        <w:tc>
          <w:tcPr>
            <w:tcW w:w="840" w:type="dxa"/>
            <w:vAlign w:val="bottom"/>
          </w:tcPr>
          <w:p>
            <w:pPr>
              <w:spacing w:after="0"/>
              <w:rPr>
                <w:sz w:val="24"/>
                <w:szCs w:val="24"/>
                <w:color w:val="auto"/>
              </w:rPr>
            </w:pPr>
          </w:p>
        </w:tc>
        <w:tc>
          <w:tcPr>
            <w:tcW w:w="10140" w:type="dxa"/>
            <w:vAlign w:val="bottom"/>
            <w:tcBorders>
              <w:bottom w:val="single" w:sz="8" w:color="0000EE"/>
            </w:tcBorders>
            <w:gridSpan w:val="12"/>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Form of Management Option Agreement (incorporated by reference from our Registration Statement on Form S-1 filed on March 29, 2010).</w:t>
              </w:r>
            </w:hyperlink>
          </w:p>
        </w:tc>
        <w:tc>
          <w:tcPr>
            <w:tcW w:w="20" w:type="dxa"/>
            <w:vAlign w:val="bottom"/>
          </w:tcPr>
          <w:p>
            <w:pPr>
              <w:spacing w:after="0"/>
              <w:rPr>
                <w:sz w:val="24"/>
                <w:szCs w:val="24"/>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8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w:t>
              </w:r>
            </w:hyperlink>
          </w:p>
        </w:tc>
        <w:tc>
          <w:tcPr>
            <w:tcW w:w="840" w:type="dxa"/>
            <w:vAlign w:val="bottom"/>
          </w:tcPr>
          <w:p>
            <w:pPr>
              <w:spacing w:after="0"/>
              <w:rPr>
                <w:sz w:val="24"/>
                <w:szCs w:val="24"/>
                <w:color w:val="auto"/>
              </w:rPr>
            </w:pPr>
          </w:p>
        </w:tc>
        <w:tc>
          <w:tcPr>
            <w:tcW w:w="9400" w:type="dxa"/>
            <w:vAlign w:val="bottom"/>
            <w:tcBorders>
              <w:bottom w:val="single" w:sz="8" w:color="0000EE"/>
            </w:tcBorders>
            <w:gridSpan w:val="6"/>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Form of Stock Option Agreement (incorporated by reference from our Registration Statement on Form S-8 filed on July 26, 2012)</w:t>
              </w:r>
            </w:hyperlink>
          </w:p>
        </w:tc>
        <w:tc>
          <w:tcPr>
            <w:tcW w:w="760" w:type="dxa"/>
            <w:vAlign w:val="bottom"/>
            <w:gridSpan w:val="7"/>
          </w:tcPr>
          <w:p>
            <w:pPr>
              <w:spacing w:after="0"/>
              <w:rPr>
                <w:sz w:val="24"/>
                <w:szCs w:val="24"/>
                <w:color w:val="auto"/>
              </w:rPr>
            </w:pPr>
          </w:p>
        </w:tc>
      </w:tr>
      <w:tr>
        <w:trPr>
          <w:trHeight w:val="412"/>
        </w:trPr>
        <w:tc>
          <w:tcPr>
            <w:tcW w:w="1260" w:type="dxa"/>
            <w:vAlign w:val="bottom"/>
            <w:gridSpan w:val="3"/>
          </w:tcPr>
          <w:p>
            <w:pPr>
              <w:spacing w:after="0"/>
              <w:rPr>
                <w:rFonts w:ascii="Arial" w:cs="Arial" w:eastAsia="Arial" w:hAnsi="Arial"/>
                <w:sz w:val="18"/>
                <w:szCs w:val="18"/>
                <w:color w:val="0000EE"/>
              </w:rPr>
            </w:pPr>
            <w:hyperlink r:id="rId89">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160" w:type="dxa"/>
            <w:vAlign w:val="bottom"/>
            <w:gridSpan w:val="13"/>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Form of Restricted Stock Unit Agreement (incorporated by reference from our Registration Statement on Form S-8 filed on July 26, 2012)</w:t>
              </w:r>
            </w:hyperlink>
          </w:p>
        </w:tc>
      </w:tr>
      <w:tr>
        <w:trPr>
          <w:trHeight w:val="696"/>
        </w:trPr>
        <w:tc>
          <w:tcPr>
            <w:tcW w:w="2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220" w:type="dxa"/>
            <w:vAlign w:val="bottom"/>
            <w:tcBorders>
              <w:top w:val="single" w:sz="8" w:color="0000EE"/>
              <w:bottom w:val="single" w:sz="8" w:color="auto"/>
            </w:tcBorders>
            <w:gridSpan w:val="3"/>
          </w:tcPr>
          <w:p>
            <w:pPr>
              <w:ind w:left="4340"/>
              <w:spacing w:after="0"/>
              <w:rPr>
                <w:sz w:val="20"/>
                <w:szCs w:val="20"/>
                <w:color w:val="auto"/>
              </w:rPr>
            </w:pPr>
            <w:r>
              <w:rPr>
                <w:rFonts w:ascii="Arial" w:cs="Arial" w:eastAsia="Arial" w:hAnsi="Arial"/>
                <w:sz w:val="22"/>
                <w:szCs w:val="22"/>
                <w:color w:val="auto"/>
              </w:rPr>
              <w:t>58</w:t>
            </w:r>
          </w:p>
        </w:tc>
        <w:tc>
          <w:tcPr>
            <w:tcW w:w="340" w:type="dxa"/>
            <w:vAlign w:val="bottom"/>
            <w:tcBorders>
              <w:top w:val="single" w:sz="8" w:color="0000EE"/>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29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gridSpan w:val="2"/>
          </w:tcPr>
          <w:p>
            <w:pPr>
              <w:spacing w:after="0"/>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gridSpan w:val="12"/>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Form of Indemnification Agreement, dated January 31, 2013, by and between Vringo, Inc. and each of its Directors and Executive Officer</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w w:val="96"/>
              </w:rPr>
            </w:pPr>
            <w:hyperlink r:id="rId90">
              <w:r>
                <w:rPr>
                  <w:rFonts w:ascii="Arial" w:cs="Arial" w:eastAsia="Arial" w:hAnsi="Arial"/>
                  <w:sz w:val="18"/>
                  <w:szCs w:val="18"/>
                  <w:color w:val="0000EE"/>
                  <w:w w:val="96"/>
                </w:rPr>
                <w:t>(incorporated by reference from our Annual Report on Form 10-K for the period ended December 31, 2012 filed on March 21, 2013)</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91">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Subscription Agreement, dated as of August 8, 2016, by and between FORM Holdings Corp. and Mistral Spa Holdings, LLC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by reference from Exhibit 10.1 to our Current Report on Form 8-K filed with the SEC on August 8, 2016)</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400" w:type="dxa"/>
            <w:vAlign w:val="bottom"/>
            <w:gridSpan w:val="2"/>
          </w:tcPr>
          <w:p>
            <w:pPr>
              <w:spacing w:after="0"/>
              <w:rPr>
                <w:rFonts w:ascii="Arial" w:cs="Arial" w:eastAsia="Arial" w:hAnsi="Arial"/>
                <w:sz w:val="18"/>
                <w:szCs w:val="18"/>
                <w:color w:val="0000EE"/>
              </w:rPr>
            </w:pPr>
            <w:hyperlink r:id="rId92">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4"/>
              </w:rPr>
            </w:pPr>
            <w:hyperlink r:id="rId92">
              <w:r>
                <w:rPr>
                  <w:rFonts w:ascii="Arial" w:cs="Arial" w:eastAsia="Arial" w:hAnsi="Arial"/>
                  <w:sz w:val="18"/>
                  <w:szCs w:val="18"/>
                  <w:color w:val="0000EE"/>
                  <w:w w:val="94"/>
                </w:rPr>
                <w:t>Subscription Agreement and Joinder, dated as of August 8, 2016, by and between XpresSpa Holdings, LLC and FORM Holdings Corp</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(incorporated by reference from Exhibit 10.2 to our Current Report on Form 8-K filed with the SEC on August 8, 2016)</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160" w:type="dxa"/>
            <w:vAlign w:val="bottom"/>
            <w:gridSpan w:val="12"/>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FORM Holdings Corp. 2012 Employee, Director and Consultant Equity Incentive Plan, as amended (incorporated by reference from Exhibit</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our Current Report on Form 8-K filed with the SEC on November 28, 2016)</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r:id="rId94">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160" w:type="dxa"/>
            <w:vAlign w:val="bottom"/>
            <w:gridSpan w:val="12"/>
          </w:tcPr>
          <w:p>
            <w:pPr>
              <w:spacing w:after="0"/>
              <w:rPr>
                <w:rFonts w:ascii="Arial" w:cs="Arial" w:eastAsia="Arial" w:hAnsi="Arial"/>
                <w:sz w:val="18"/>
                <w:szCs w:val="18"/>
                <w:color w:val="0000EE"/>
                <w:w w:val="98"/>
              </w:rPr>
            </w:pPr>
            <w:hyperlink r:id="rId94">
              <w:r>
                <w:rPr>
                  <w:rFonts w:ascii="Arial" w:cs="Arial" w:eastAsia="Arial" w:hAnsi="Arial"/>
                  <w:sz w:val="18"/>
                  <w:szCs w:val="18"/>
                  <w:color w:val="0000EE"/>
                  <w:w w:val="98"/>
                </w:rPr>
                <w:t>Independent Director’s Agreement, by and between FORM Holdings Corp. and Andrew R. Heyer, dated as of December 23, 2016</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(incorporated by reference from Exhibit 10.1 to our Current Report on Form 8-K filed with the SEC on December 23, 2016)</w:t>
              </w:r>
            </w:hyperlink>
          </w:p>
        </w:tc>
        <w:tc>
          <w:tcPr>
            <w:tcW w:w="1200" w:type="dxa"/>
            <w:vAlign w:val="bottom"/>
            <w:tcBorders>
              <w:top w:val="single" w:sz="8" w:color="0000EE"/>
            </w:tcBorders>
            <w:gridSpan w:val="2"/>
          </w:tcPr>
          <w:p>
            <w:pPr>
              <w:spacing w:after="0"/>
              <w:rPr>
                <w:sz w:val="17"/>
                <w:szCs w:val="17"/>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r:id="rId95">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160" w:type="dxa"/>
            <w:vAlign w:val="bottom"/>
            <w:gridSpan w:val="12"/>
          </w:tcPr>
          <w:p>
            <w:pPr>
              <w:spacing w:after="0"/>
              <w:rPr>
                <w:rFonts w:ascii="Arial" w:cs="Arial" w:eastAsia="Arial" w:hAnsi="Arial"/>
                <w:sz w:val="18"/>
                <w:szCs w:val="18"/>
                <w:color w:val="0000EE"/>
                <w:w w:val="95"/>
              </w:rPr>
            </w:pPr>
            <w:hyperlink r:id="rId95">
              <w:r>
                <w:rPr>
                  <w:rFonts w:ascii="Arial" w:cs="Arial" w:eastAsia="Arial" w:hAnsi="Arial"/>
                  <w:sz w:val="18"/>
                  <w:szCs w:val="18"/>
                  <w:color w:val="0000EE"/>
                  <w:w w:val="95"/>
                </w:rPr>
                <w:t>Confidential Settlement and Patent Assignment Agreement by and between FORM Holdings Corp. and Nokia Corporation dated as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95">
              <w:r>
                <w:rPr>
                  <w:rFonts w:ascii="Arial" w:cs="Arial" w:eastAsia="Arial" w:hAnsi="Arial"/>
                  <w:sz w:val="18"/>
                  <w:szCs w:val="18"/>
                  <w:color w:val="0000EE"/>
                  <w:w w:val="95"/>
                </w:rPr>
                <w:t>December 5, 2016 (incorporated by reference from our Annual Report on Form 10-K for the period ended December 31, 2016 filed on</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March 30, 2017)</w:t>
              </w:r>
            </w:hyperlink>
          </w:p>
        </w:tc>
      </w:tr>
      <w:tr>
        <w:trPr>
          <w:trHeight w:val="20"/>
        </w:trPr>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412"/>
        </w:trPr>
        <w:tc>
          <w:tcPr>
            <w:tcW w:w="420" w:type="dxa"/>
            <w:vAlign w:val="bottom"/>
            <w:gridSpan w:val="3"/>
          </w:tcPr>
          <w:p>
            <w:pPr>
              <w:spacing w:after="0"/>
              <w:rPr>
                <w:rFonts w:ascii="Arial" w:cs="Arial" w:eastAsia="Arial" w:hAnsi="Arial"/>
                <w:sz w:val="18"/>
                <w:szCs w:val="18"/>
                <w:color w:val="0000EE"/>
                <w:w w:val="88"/>
              </w:rPr>
            </w:pPr>
            <w:hyperlink r:id="rId9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Form of Stock Purchase Agreement, dated as of February 2, 2016, by and between FORM Holdings Corp., Excalibur Integrated Systems,</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Inc., each of the holders of the capital stock of Excalibur, and the sellers’ representative (incorporated by reference from Exhibit 10.1 to our</w:t>
              </w:r>
            </w:hyperlink>
          </w:p>
        </w:tc>
      </w:tr>
      <w:tr>
        <w:trPr>
          <w:trHeight w:val="196"/>
        </w:trPr>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Current Report on Form 8-K filed with the SEC on February 3, 2017)</w:t>
              </w:r>
            </w:hyperlink>
          </w:p>
        </w:tc>
        <w:tc>
          <w:tcPr>
            <w:tcW w:w="5140" w:type="dxa"/>
            <w:vAlign w:val="bottom"/>
            <w:gridSpan w:val="10"/>
          </w:tcPr>
          <w:p>
            <w:pPr>
              <w:spacing w:after="0"/>
              <w:rPr>
                <w:sz w:val="17"/>
                <w:szCs w:val="17"/>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r:id="rId97">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160" w:type="dxa"/>
            <w:vAlign w:val="bottom"/>
            <w:gridSpan w:val="12"/>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Executive Employment Agreement, dated January 20, 2017, by and between FORM Holdings Corp. and Edward Jankowski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by reference from Exhibit 10.2 to our Quarterly Report on Form 10-Q filed with the SEC on May 15, 2017)</w:t>
              </w:r>
            </w:hyperlink>
          </w:p>
        </w:tc>
        <w:tc>
          <w:tcPr>
            <w:tcW w:w="2400" w:type="dxa"/>
            <w:vAlign w:val="bottom"/>
            <w:tcBorders>
              <w:top w:val="single" w:sz="8" w:color="0000EE"/>
            </w:tcBorders>
            <w:gridSpan w:val="6"/>
          </w:tcPr>
          <w:p>
            <w:pPr>
              <w:spacing w:after="0"/>
              <w:rPr>
                <w:sz w:val="17"/>
                <w:szCs w:val="17"/>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160" w:type="dxa"/>
            <w:vAlign w:val="bottom"/>
            <w:gridSpan w:val="12"/>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Executive Employment Agreement, dated January 18, 2017, by and between FORM Holdings Corp. and Andrew Perlman (incorporated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reference from Exhibit 10.3 to our Quarterly Report on Form 10-Q filed with the SEC on May 15, 2017)</w:t>
              </w:r>
            </w:hyperlink>
          </w:p>
        </w:tc>
        <w:tc>
          <w:tcPr>
            <w:tcW w:w="2620" w:type="dxa"/>
            <w:vAlign w:val="bottom"/>
            <w:tcBorders>
              <w:top w:val="single" w:sz="8" w:color="0000EE"/>
            </w:tcBorders>
            <w:gridSpan w:val="8"/>
          </w:tcPr>
          <w:p>
            <w:pPr>
              <w:spacing w:after="0"/>
              <w:rPr>
                <w:sz w:val="17"/>
                <w:szCs w:val="17"/>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160" w:type="dxa"/>
            <w:vAlign w:val="bottom"/>
            <w:gridSpan w:val="12"/>
          </w:tcPr>
          <w:p>
            <w:pPr>
              <w:spacing w:after="0"/>
              <w:rPr>
                <w:rFonts w:ascii="Arial" w:cs="Arial" w:eastAsia="Arial" w:hAnsi="Arial"/>
                <w:sz w:val="18"/>
                <w:szCs w:val="18"/>
                <w:color w:val="0000EE"/>
                <w:w w:val="99"/>
              </w:rPr>
            </w:pPr>
            <w:hyperlink r:id="rId99">
              <w:r>
                <w:rPr>
                  <w:rFonts w:ascii="Arial" w:cs="Arial" w:eastAsia="Arial" w:hAnsi="Arial"/>
                  <w:sz w:val="18"/>
                  <w:szCs w:val="18"/>
                  <w:color w:val="0000EE"/>
                  <w:w w:val="99"/>
                </w:rPr>
                <w:t>Executive Employment Agreement, dated January 17, 2017, by and between FORM Holdings Corp. and Anastasia Nyrkovskaya</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(incorporated by reference from Exhibit 10.4 to our Quarterly Report on Form 10-Q filed with the SEC on May 15, 2017)</w:t>
              </w:r>
            </w:hyperlink>
          </w:p>
        </w:tc>
        <w:tc>
          <w:tcPr>
            <w:tcW w:w="1380" w:type="dxa"/>
            <w:vAlign w:val="bottom"/>
            <w:tcBorders>
              <w:top w:val="single" w:sz="8" w:color="0000EE"/>
            </w:tcBorders>
            <w:gridSpan w:val="4"/>
          </w:tcPr>
          <w:p>
            <w:pPr>
              <w:spacing w:after="0"/>
              <w:rPr>
                <w:sz w:val="17"/>
                <w:szCs w:val="17"/>
                <w:color w:val="auto"/>
              </w:rPr>
            </w:pPr>
          </w:p>
        </w:tc>
      </w:tr>
      <w:tr>
        <w:trPr>
          <w:trHeight w:val="412"/>
        </w:trPr>
        <w:tc>
          <w:tcPr>
            <w:tcW w:w="1260" w:type="dxa"/>
            <w:vAlign w:val="bottom"/>
            <w:gridSpan w:val="6"/>
          </w:tcPr>
          <w:p>
            <w:pPr>
              <w:spacing w:after="0"/>
              <w:rPr>
                <w:rFonts w:ascii="Arial" w:cs="Arial" w:eastAsia="Arial" w:hAnsi="Arial"/>
                <w:sz w:val="18"/>
                <w:szCs w:val="18"/>
                <w:color w:val="0000EE"/>
              </w:rPr>
            </w:pPr>
            <w:hyperlink r:id="rId100">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160" w:type="dxa"/>
            <w:vAlign w:val="bottom"/>
            <w:gridSpan w:val="12"/>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Executive Employment Agreement, dated January 17, 2017, by and between FORM Holdings Corp. and Jason Charkow (incorporated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reference from Exhibit 10.5 to our Quarterly Report on Form 10-Q filed with the SEC on May 15, 2017)</w:t>
              </w:r>
            </w:hyperlink>
          </w:p>
        </w:tc>
        <w:tc>
          <w:tcPr>
            <w:tcW w:w="2620" w:type="dxa"/>
            <w:vAlign w:val="bottom"/>
            <w:tcBorders>
              <w:top w:val="single" w:sz="8" w:color="0000EE"/>
            </w:tcBorders>
            <w:gridSpan w:val="8"/>
          </w:tcPr>
          <w:p>
            <w:pPr>
              <w:spacing w:after="0"/>
              <w:rPr>
                <w:sz w:val="17"/>
                <w:szCs w:val="17"/>
                <w:color w:val="auto"/>
              </w:rPr>
            </w:pPr>
          </w:p>
        </w:tc>
      </w:tr>
      <w:tr>
        <w:trPr>
          <w:trHeight w:val="412"/>
        </w:trPr>
        <w:tc>
          <w:tcPr>
            <w:tcW w:w="500" w:type="dxa"/>
            <w:vAlign w:val="bottom"/>
            <w:gridSpan w:val="4"/>
          </w:tcPr>
          <w:p>
            <w:pPr>
              <w:spacing w:after="0"/>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Membership Purchase Agreement dated as of March 7, 2018 by and among Route1 Security Corporation, Route1 Inc. and XpresSpa Group,</w:t>
              </w:r>
            </w:hyperlink>
          </w:p>
        </w:tc>
      </w:tr>
      <w:tr>
        <w:trPr>
          <w:trHeight w:val="196"/>
        </w:trPr>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Inc. (incorporated by reference from Exhibit 2.1 to our Current Report on Form 8-K filed with the SEC on March 26, 2018)</w:t>
              </w:r>
            </w:hyperlink>
          </w:p>
        </w:tc>
      </w:tr>
      <w:tr>
        <w:trPr>
          <w:trHeight w:val="696"/>
        </w:trPr>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20" w:type="dxa"/>
            <w:vAlign w:val="bottom"/>
            <w:tcBorders>
              <w:top w:val="single" w:sz="8" w:color="0000EE"/>
              <w:bottom w:val="single" w:sz="8" w:color="auto"/>
            </w:tcBorders>
            <w:gridSpan w:val="2"/>
          </w:tcPr>
          <w:p>
            <w:pPr>
              <w:ind w:left="4340"/>
              <w:spacing w:after="0"/>
              <w:rPr>
                <w:sz w:val="20"/>
                <w:szCs w:val="20"/>
                <w:color w:val="auto"/>
              </w:rPr>
            </w:pPr>
            <w:r>
              <w:rPr>
                <w:rFonts w:ascii="Arial" w:cs="Arial" w:eastAsia="Arial" w:hAnsi="Arial"/>
                <w:sz w:val="22"/>
                <w:szCs w:val="22"/>
                <w:color w:val="auto"/>
              </w:rPr>
              <w:t>59</w:t>
            </w:r>
          </w:p>
        </w:tc>
        <w:tc>
          <w:tcPr>
            <w:tcW w:w="102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65" w:name="page66"/>
    <w:bookmarkEnd w:id="65"/>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0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7"/>
              </w:rPr>
            </w:pPr>
            <w:hyperlink r:id="rId102">
              <w:r>
                <w:rPr>
                  <w:rFonts w:ascii="Arial" w:cs="Arial" w:eastAsia="Arial" w:hAnsi="Arial"/>
                  <w:sz w:val="18"/>
                  <w:szCs w:val="18"/>
                  <w:color w:val="0000EE"/>
                  <w:w w:val="97"/>
                </w:rPr>
                <w:t>Credit Agreement dated as of April 22, 2015, by and between XpresSpa Holdings, LLC and Rockmore Investment Master Fund Ltd</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(incorporated by reference from Exhibit 10.1 to our Quarterly Report on Form 10-Q filed with the SEC on May 15, 2018).</w:t>
              </w:r>
            </w:hyperlink>
          </w:p>
        </w:tc>
        <w:tc>
          <w:tcPr>
            <w:tcW w:w="1340" w:type="dxa"/>
            <w:vAlign w:val="bottom"/>
            <w:gridSpan w:val="4"/>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0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First Amendment to Credit Agreement and Conditional Waiver dated as of August 8, 2016, by and between XpresSpa Holdings, LLC and</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Rockmore Investment Master Fund Ltd (incorporated by reference from Exhibit 10.2 to our Quarterly Report on Form 10-Q filed with the</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SEC on May 15, 2018).</w:t>
              </w:r>
            </w:hyperlink>
          </w:p>
        </w:tc>
        <w:tc>
          <w:tcPr>
            <w:tcW w:w="8440" w:type="dxa"/>
            <w:vAlign w:val="bottom"/>
            <w:gridSpan w:val="16"/>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0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Second Amendment to Credit Agreement dated as of May 10, 2017, by and between XpresSpa Holdings, LLC and B3D, LLC (incorporated</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by reference from Exhibit 10.3 to our Quarterly Report on Form 10-Q filed with the SEC on May 15, 2018).</w:t>
              </w:r>
            </w:hyperlink>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0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Third Amendment to Credit Agreement dated as of May 14, 2018, by and between XpresSpa Holdings, LLC and B3D, LLC (incorporated</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by reference from Exhibit 10.4 to our Quarterly Report on Form 10-Q filed with the SEC on May 15, 2018).</w:t>
              </w:r>
            </w:hyperlink>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0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Security Agreement dated as of April 22, 2015, by and between XpresSpa Holdings, LLC and Rockmore Investment Master Fund Ltd</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(incorporated by reference from Exhibit 10.5 to our Quarterly Report on Form 10-Q filed with the SEC on May 15, 2018).</w:t>
              </w:r>
            </w:hyperlink>
          </w:p>
        </w:tc>
        <w:tc>
          <w:tcPr>
            <w:tcW w:w="1340" w:type="dxa"/>
            <w:vAlign w:val="bottom"/>
            <w:gridSpan w:val="4"/>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0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3"/>
              </w:rPr>
            </w:pPr>
            <w:hyperlink r:id="rId107">
              <w:r>
                <w:rPr>
                  <w:rFonts w:ascii="Arial" w:cs="Arial" w:eastAsia="Arial" w:hAnsi="Arial"/>
                  <w:sz w:val="18"/>
                  <w:szCs w:val="18"/>
                  <w:color w:val="0000EE"/>
                  <w:w w:val="93"/>
                </w:rPr>
                <w:t>Supplement No. 1 to Security Agreement dated as of May 18, 2015, by and between XpresSpa Holdings, LLC and Rockmore Investment</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Master Fund Ltd (incorporated by reference from Exhibit 10.6 to our Quarterly Report on Form 10-Q filed with the SEC on May 15, 2018).</w:t>
              </w:r>
            </w:hyperlink>
          </w:p>
        </w:tc>
        <w:tc>
          <w:tcPr>
            <w:tcW w:w="80" w:type="dxa"/>
            <w:vAlign w:val="bottom"/>
            <w:gridSpan w:val="2"/>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0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6"/>
              </w:rPr>
            </w:pPr>
            <w:hyperlink r:id="rId108">
              <w:r>
                <w:rPr>
                  <w:rFonts w:ascii="Arial" w:cs="Arial" w:eastAsia="Arial" w:hAnsi="Arial"/>
                  <w:sz w:val="18"/>
                  <w:szCs w:val="18"/>
                  <w:color w:val="0000EE"/>
                  <w:w w:val="96"/>
                </w:rPr>
                <w:t>Supplement No. 2 to Security Agreement dated as of December 20, 2017, by and between XpresSpa Holdings, LLC and Rockmore</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Investment Master Fund Ltd (incorporated by reference from Exhibit 10.7 to our Quarterly Report on Form 10-Q filed with the SEC on May</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15, 2018).</w:t>
              </w:r>
            </w:hyperlink>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0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 of Securities Purchase Agreement, dated May 15, 2018, by and among the Company and the Investors (incorporated by reference from</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Exhibit 10.8 to our Quarterly Report on Form 10-Q filed with the SEC on May 15, 2018).</w:t>
              </w:r>
            </w:hyperlink>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1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25</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Form of Registration Rights Agreement, dated May 15, 2018, by and among the Company and the Investors (incorporated by reference from</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Exhibit 10.9 to our Quarterly Report on Form 10-Q filed with the SEC on May 15, 2018).</w:t>
              </w:r>
            </w:hyperlink>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1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26</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Form of Security Agreement, dated May 15, 2018, by and among the Company, the Subsidiaries, the Collateral Agent and the Investors</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(incorporated by reference from Exhibit 10.10 to our Quarterly Report on Form 10-Q filed with the SEC on May 15, 2018).</w:t>
              </w:r>
            </w:hyperlink>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84"/>
              </w:rPr>
            </w:pPr>
            <w:hyperlink r:id="rId11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27</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Form of Stock Purchase Agreement, dated November 12, 2018, by and among the Company and Calm.com, Inc. (incorporated by reference</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3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from Exhibit 10.1 to our Quarterly Report on Form 10-Q filed with the SEC on November 14, 2018).</w:t>
              </w:r>
            </w:hyperlink>
          </w:p>
        </w:tc>
        <w:tc>
          <w:tcPr>
            <w:tcW w:w="2860" w:type="dxa"/>
            <w:vAlign w:val="bottom"/>
            <w:gridSpan w:val="7"/>
          </w:tcPr>
          <w:p>
            <w:pPr>
              <w:spacing w:after="0"/>
              <w:rPr>
                <w:sz w:val="17"/>
                <w:szCs w:val="17"/>
                <w:color w:val="auto"/>
              </w:rPr>
            </w:pPr>
          </w:p>
        </w:tc>
      </w:tr>
      <w:tr>
        <w:trPr>
          <w:trHeight w:val="412"/>
        </w:trPr>
        <w:tc>
          <w:tcPr>
            <w:tcW w:w="5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2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28*</w:t>
              </w:r>
            </w:hyperlink>
          </w:p>
        </w:tc>
        <w:tc>
          <w:tcPr>
            <w:tcW w:w="760" w:type="dxa"/>
            <w:vAlign w:val="bottom"/>
          </w:tcPr>
          <w:p>
            <w:pPr>
              <w:spacing w:after="0"/>
              <w:rPr>
                <w:sz w:val="24"/>
                <w:szCs w:val="24"/>
                <w:color w:val="auto"/>
              </w:rPr>
            </w:pPr>
          </w:p>
        </w:tc>
        <w:tc>
          <w:tcPr>
            <w:tcW w:w="85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27">
              <w:r>
                <w:rPr>
                  <w:rFonts w:ascii="Arial" w:cs="Arial" w:eastAsia="Arial" w:hAnsi="Arial"/>
                  <w:sz w:val="18"/>
                  <w:szCs w:val="18"/>
                  <w:color w:val="0000EE"/>
                  <w:w w:val="90"/>
                </w:rPr>
                <w:t>Product Sale and Marketing Agreement, dated November 12, 2018, by and between the Company and Calm.com, Inc.</w:t>
              </w:r>
            </w:hyperlink>
          </w:p>
        </w:tc>
        <w:tc>
          <w:tcPr>
            <w:tcW w:w="1640" w:type="dxa"/>
            <w:vAlign w:val="bottom"/>
            <w:gridSpan w:val="5"/>
          </w:tcPr>
          <w:p>
            <w:pPr>
              <w:spacing w:after="0"/>
              <w:rPr>
                <w:sz w:val="24"/>
                <w:szCs w:val="24"/>
                <w:color w:val="auto"/>
              </w:rPr>
            </w:pPr>
          </w:p>
        </w:tc>
      </w:tr>
      <w:tr>
        <w:trPr>
          <w:trHeight w:val="412"/>
        </w:trPr>
        <w:tc>
          <w:tcPr>
            <w:tcW w:w="1260" w:type="dxa"/>
            <w:vAlign w:val="bottom"/>
            <w:gridSpan w:val="4"/>
          </w:tcPr>
          <w:p>
            <w:pPr>
              <w:spacing w:after="0"/>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10160" w:type="dxa"/>
            <w:vAlign w:val="bottom"/>
            <w:gridSpan w:val="18"/>
          </w:tcPr>
          <w:p>
            <w:pPr>
              <w:spacing w:after="0"/>
              <w:rPr>
                <w:rFonts w:ascii="Arial" w:cs="Arial" w:eastAsia="Arial" w:hAnsi="Arial"/>
                <w:sz w:val="18"/>
                <w:szCs w:val="18"/>
                <w:color w:val="0000EE"/>
                <w:w w:val="93"/>
              </w:rPr>
            </w:pPr>
            <w:hyperlink r:id="rId113">
              <w:r>
                <w:rPr>
                  <w:rFonts w:ascii="Arial" w:cs="Arial" w:eastAsia="Arial" w:hAnsi="Arial"/>
                  <w:sz w:val="18"/>
                  <w:szCs w:val="18"/>
                  <w:color w:val="0000EE"/>
                  <w:w w:val="93"/>
                </w:rPr>
                <w:t>Separation Agreement between the Company and Mr. Edward Jankowski, dated March 14, 2019 (incorporated by reference from Exhibit</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our Current Report on Form 8-K filed with the SEC on March 15, 2019).</w:t>
              </w:r>
            </w:hyperlink>
          </w:p>
        </w:tc>
      </w:tr>
      <w:tr>
        <w:trPr>
          <w:trHeight w:val="20"/>
        </w:trPr>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60" w:type="dxa"/>
            <w:vAlign w:val="bottom"/>
            <w:gridSpan w:val="4"/>
          </w:tcPr>
          <w:p>
            <w:pPr>
              <w:spacing w:after="0"/>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10160" w:type="dxa"/>
            <w:vAlign w:val="bottom"/>
            <w:gridSpan w:val="18"/>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Non-Disclosure Agreement between the Company and Mr. Edward Jankowski, dated March 14, 2019 (incorporated by reference from</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6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Exhibit 10.2 to our Current Report on Form 8-K filed with the SEC on March 15, 2019).</w:t>
              </w:r>
            </w:hyperlink>
          </w:p>
        </w:tc>
        <w:tc>
          <w:tcPr>
            <w:tcW w:w="3780" w:type="dxa"/>
            <w:vAlign w:val="bottom"/>
            <w:tcBorders>
              <w:top w:val="single" w:sz="8" w:color="0000EE"/>
            </w:tcBorders>
            <w:gridSpan w:val="9"/>
          </w:tcPr>
          <w:p>
            <w:pPr>
              <w:spacing w:after="0"/>
              <w:rPr>
                <w:sz w:val="17"/>
                <w:szCs w:val="17"/>
                <w:color w:val="auto"/>
              </w:rPr>
            </w:pPr>
          </w:p>
        </w:tc>
      </w:tr>
      <w:tr>
        <w:trPr>
          <w:trHeight w:val="412"/>
        </w:trPr>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250">
              <w:r>
                <w:rPr>
                  <w:rFonts w:ascii="Arial" w:cs="Arial" w:eastAsia="Arial" w:hAnsi="Arial"/>
                  <w:sz w:val="18"/>
                  <w:szCs w:val="18"/>
                  <w:color w:val="0000EE"/>
                  <w:w w:val="96"/>
                </w:rPr>
                <w:t>21*</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50">
              <w:r>
                <w:rPr>
                  <w:rFonts w:ascii="Arial" w:cs="Arial" w:eastAsia="Arial" w:hAnsi="Arial"/>
                  <w:sz w:val="18"/>
                  <w:szCs w:val="18"/>
                  <w:color w:val="0000EE"/>
                  <w:w w:val="90"/>
                </w:rPr>
                <w:t>Subsidiaries of XpresSpa Group, Inc.</w:t>
              </w:r>
            </w:hyperlink>
          </w:p>
        </w:tc>
        <w:tc>
          <w:tcPr>
            <w:tcW w:w="7460" w:type="dxa"/>
            <w:vAlign w:val="bottom"/>
            <w:gridSpan w:val="14"/>
          </w:tcPr>
          <w:p>
            <w:pPr>
              <w:spacing w:after="0"/>
              <w:rPr>
                <w:sz w:val="24"/>
                <w:szCs w:val="24"/>
                <w:color w:val="auto"/>
              </w:rPr>
            </w:pPr>
          </w:p>
        </w:tc>
      </w:tr>
      <w:tr>
        <w:trPr>
          <w:trHeight w:val="412"/>
        </w:trPr>
        <w:tc>
          <w:tcPr>
            <w:tcW w:w="420" w:type="dxa"/>
            <w:vAlign w:val="bottom"/>
            <w:gridSpan w:val="2"/>
          </w:tcPr>
          <w:p>
            <w:pPr>
              <w:spacing w:after="0"/>
              <w:rPr>
                <w:rFonts w:ascii="Arial" w:cs="Arial" w:eastAsia="Arial" w:hAnsi="Arial"/>
                <w:sz w:val="18"/>
                <w:szCs w:val="18"/>
                <w:color w:val="0000EE"/>
                <w:w w:val="90"/>
              </w:rPr>
            </w:pPr>
            <w:hyperlink w:anchor="page251">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Consent of CohnReznick LLP, independent registered public accounting firm</w:t>
              </w:r>
            </w:hyperlink>
          </w:p>
        </w:tc>
      </w:tr>
      <w:tr>
        <w:trPr>
          <w:trHeight w:val="20"/>
        </w:trPr>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52">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252">
              <w:r>
                <w:rPr>
                  <w:rFonts w:ascii="Arial" w:cs="Arial" w:eastAsia="Arial" w:hAnsi="Arial"/>
                  <w:sz w:val="18"/>
                  <w:szCs w:val="18"/>
                  <w:color w:val="0000EE"/>
                  <w:w w:val="99"/>
                </w:rPr>
                <w:t>Certification of Principal Executive Officer pursuant to Exchange Act, Rules 13a – 14(a) and 15d – 14(a), as adopted pursuant to</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Section 302 of the Sarbanes-Oxley Act of 2002</w:t>
              </w:r>
            </w:hyperlink>
          </w:p>
        </w:tc>
        <w:tc>
          <w:tcPr>
            <w:tcW w:w="6720" w:type="dxa"/>
            <w:vAlign w:val="bottom"/>
            <w:gridSpan w:val="12"/>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90"/>
              </w:rPr>
            </w:pPr>
            <w:hyperlink w:anchor="page253">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w w:val="91"/>
              </w:rPr>
            </w:pPr>
            <w:hyperlink w:anchor="page253">
              <w:r>
                <w:rPr>
                  <w:rFonts w:ascii="Arial" w:cs="Arial" w:eastAsia="Arial" w:hAnsi="Arial"/>
                  <w:sz w:val="18"/>
                  <w:szCs w:val="18"/>
                  <w:color w:val="0000EE"/>
                  <w:w w:val="91"/>
                </w:rPr>
                <w:t>Certification of Principal Financial Officer pursuant to Exchange Act Rules 13a – 14(a) and 15d – 14(a), as adopted pursuant to Section 302</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53">
              <w:r>
                <w:rPr>
                  <w:rFonts w:ascii="Arial" w:cs="Arial" w:eastAsia="Arial" w:hAnsi="Arial"/>
                  <w:sz w:val="18"/>
                  <w:szCs w:val="18"/>
                  <w:color w:val="0000EE"/>
                  <w:w w:val="90"/>
                </w:rPr>
                <w:t>of the Sarbanes-Oxley Act of 2002</w:t>
              </w:r>
            </w:hyperlink>
          </w:p>
        </w:tc>
        <w:tc>
          <w:tcPr>
            <w:tcW w:w="762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rPr>
            </w:pPr>
            <w:hyperlink w:anchor="page254">
              <w:r>
                <w:rPr>
                  <w:rFonts w:ascii="Arial" w:cs="Arial" w:eastAsia="Arial" w:hAnsi="Arial"/>
                  <w:sz w:val="18"/>
                  <w:szCs w:val="18"/>
                  <w:color w:val="0000EE"/>
                </w:rPr>
                <w:t>32**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6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254">
              <w:r>
                <w:rPr>
                  <w:rFonts w:ascii="Arial" w:cs="Arial" w:eastAsia="Arial" w:hAnsi="Arial"/>
                  <w:sz w:val="18"/>
                  <w:szCs w:val="18"/>
                  <w:color w:val="0000EE"/>
                  <w:w w:val="94"/>
                </w:rPr>
                <w:t>Certifications  of Principal Executive Officer and Principal Financial Officer Pursuant to 18 U.S.C. Section 1350, as adopted pursuant to</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54">
              <w:r>
                <w:rPr>
                  <w:rFonts w:ascii="Arial" w:cs="Arial" w:eastAsia="Arial" w:hAnsi="Arial"/>
                  <w:sz w:val="18"/>
                  <w:szCs w:val="18"/>
                  <w:color w:val="0000EE"/>
                  <w:w w:val="90"/>
                </w:rPr>
                <w:t>Section 906 of the Sarbanes-Oxley Act of 2002</w:t>
              </w:r>
            </w:hyperlink>
          </w:p>
        </w:tc>
        <w:tc>
          <w:tcPr>
            <w:tcW w:w="6740" w:type="dxa"/>
            <w:vAlign w:val="bottom"/>
            <w:gridSpan w:val="13"/>
          </w:tcPr>
          <w:p>
            <w:pPr>
              <w:spacing w:after="0"/>
              <w:rPr>
                <w:sz w:val="17"/>
                <w:szCs w:val="17"/>
                <w:color w:val="auto"/>
              </w:rPr>
            </w:pPr>
          </w:p>
        </w:tc>
      </w:tr>
      <w:tr>
        <w:trPr>
          <w:trHeight w:val="453"/>
        </w:trPr>
        <w:tc>
          <w:tcPr>
            <w:tcW w:w="12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160" w:hanging="652"/>
        <w:spacing w:after="0"/>
        <w:tabs>
          <w:tab w:leader="none" w:pos="11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1040" w:hanging="654"/>
        <w:spacing w:after="0"/>
        <w:tabs>
          <w:tab w:leader="none" w:pos="10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rFonts w:ascii="Arial" w:cs="Arial" w:eastAsia="Arial" w:hAnsi="Arial"/>
          <w:sz w:val="18"/>
          <w:szCs w:val="18"/>
          <w:color w:val="auto"/>
        </w:rPr>
      </w:pPr>
    </w:p>
    <w:p>
      <w:pPr>
        <w:ind w:left="780" w:hanging="65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74" w:orient="portrait"/>
          <w:cols w:equalWidth="0" w:num="1">
            <w:col w:w="11420"/>
          </w:cols>
          <w:pgMar w:left="240" w:top="891" w:right="239" w:bottom="0" w:gutter="0" w:footer="0" w:header="0"/>
        </w:sectPr>
      </w:pPr>
    </w:p>
    <w:bookmarkStart w:id="66" w:name="page67"/>
    <w:bookmarkEnd w:id="66"/>
    <w:p>
      <w:pPr>
        <w:ind w:left="658" w:hanging="658"/>
        <w:spacing w:after="0"/>
        <w:tabs>
          <w:tab w:leader="none" w:pos="658"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portions have been omitted pursuant to a confidential treatment request. Omitted information has been filed separately with the SEC.</w:t>
      </w:r>
    </w:p>
    <w:p>
      <w:pPr>
        <w:sectPr>
          <w:pgSz w:w="11900" w:h="16838" w:orient="portrait"/>
          <w:cols w:equalWidth="0" w:num="1">
            <w:col w:w="10798"/>
          </w:cols>
          <w:pgMar w:left="302" w:top="341" w:right="7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97"/>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29210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98"/>
          </w:cols>
          <w:pgMar w:left="302" w:top="341" w:right="79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5"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Exhibit 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5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gridSpan w:val="7"/>
            <w:shd w:val="clear" w:color="auto" w:fill="CCEEFF"/>
          </w:tcPr>
          <w:p>
            <w:pPr>
              <w:spacing w:after="0" w:line="136" w:lineRule="exact"/>
              <w:rPr>
                <w:rFonts w:ascii="Arial" w:cs="Arial" w:eastAsia="Arial" w:hAnsi="Arial"/>
                <w:sz w:val="15"/>
                <w:szCs w:val="15"/>
                <w:color w:val="0000EE"/>
              </w:rPr>
            </w:pPr>
            <w:hyperlink w:anchor="page70">
              <w:r>
                <w:rPr>
                  <w:rFonts w:ascii="Arial" w:cs="Arial" w:eastAsia="Arial" w:hAnsi="Arial"/>
                  <w:sz w:val="15"/>
                  <w:szCs w:val="15"/>
                  <w:color w:val="0000EE"/>
                </w:rPr>
                <w:t>Report of Independent Registered Public Accounting Firm</w:t>
              </w:r>
            </w:hyperlink>
          </w:p>
        </w:tc>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center"/>
              <w:ind w:right="220"/>
              <w:spacing w:after="0" w:line="142" w:lineRule="exact"/>
              <w:rPr>
                <w:rFonts w:ascii="Arial" w:cs="Arial" w:eastAsia="Arial" w:hAnsi="Arial"/>
                <w:sz w:val="16"/>
                <w:szCs w:val="16"/>
                <w:color w:val="0000EE"/>
              </w:rPr>
            </w:pPr>
            <w:hyperlink w:anchor="page70">
              <w:r>
                <w:rPr>
                  <w:rFonts w:ascii="Arial" w:cs="Arial" w:eastAsia="Arial" w:hAnsi="Arial"/>
                  <w:sz w:val="16"/>
                  <w:szCs w:val="16"/>
                  <w:color w:val="0000EE"/>
                </w:rPr>
                <w:t>F-2</w:t>
              </w:r>
            </w:hyperlink>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0" w:type="dxa"/>
            <w:vAlign w:val="bottom"/>
            <w:tcBorders>
              <w:top w:val="single" w:sz="8" w:color="0000EE"/>
            </w:tcBorders>
            <w:gridSpan w:val="4"/>
          </w:tcPr>
          <w:p>
            <w:pPr>
              <w:spacing w:after="0" w:line="170"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Balance Sheets</w:t>
              </w:r>
            </w:hyperlink>
          </w:p>
        </w:tc>
        <w:tc>
          <w:tcPr>
            <w:tcW w:w="920" w:type="dxa"/>
            <w:vAlign w:val="bottom"/>
            <w:tcBorders>
              <w:top w:val="single" w:sz="8" w:color="CCEEFF"/>
            </w:tcBorders>
            <w:gridSpan w:val="3"/>
          </w:tcPr>
          <w:p>
            <w:pPr>
              <w:spacing w:after="0"/>
              <w:rPr>
                <w:sz w:val="14"/>
                <w:szCs w:val="14"/>
                <w:color w:val="auto"/>
              </w:rPr>
            </w:pPr>
          </w:p>
        </w:tc>
        <w:tc>
          <w:tcPr>
            <w:tcW w:w="51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0000EE"/>
            </w:tcBorders>
          </w:tcPr>
          <w:p>
            <w:pPr>
              <w:jc w:val="center"/>
              <w:spacing w:after="0" w:line="170"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F-3</w:t>
              </w:r>
            </w:hyperlink>
          </w:p>
        </w:tc>
        <w:tc>
          <w:tcPr>
            <w:tcW w:w="4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20" w:type="dxa"/>
            <w:vAlign w:val="bottom"/>
            <w:gridSpan w:val="7"/>
            <w:shd w:val="clear" w:color="auto" w:fill="CCEEFF"/>
          </w:tcPr>
          <w:p>
            <w:pPr>
              <w:spacing w:after="0" w:line="17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Consolidated Statements of Operations and Comprehensive Loss</w:t>
              </w:r>
            </w:hyperlink>
          </w:p>
        </w:tc>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center"/>
              <w:ind w:right="220"/>
              <w:spacing w:after="0" w:line="17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F-4</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Borders>
              <w:top w:val="single" w:sz="8" w:color="0000EE"/>
            </w:tcBorders>
            <w:gridSpan w:val="6"/>
          </w:tcPr>
          <w:p>
            <w:pPr>
              <w:spacing w:after="0" w:line="176"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Consolidated Statements of Changes in Stockholders' Equity</w:t>
              </w:r>
            </w:hyperlink>
          </w:p>
        </w:tc>
        <w:tc>
          <w:tcPr>
            <w:tcW w:w="460" w:type="dxa"/>
            <w:vAlign w:val="bottom"/>
            <w:tcBorders>
              <w:top w:val="single" w:sz="8" w:color="CCEEFF"/>
            </w:tcBorders>
          </w:tcPr>
          <w:p>
            <w:pPr>
              <w:spacing w:after="0"/>
              <w:rPr>
                <w:sz w:val="15"/>
                <w:szCs w:val="15"/>
                <w:color w:val="auto"/>
              </w:rPr>
            </w:pPr>
          </w:p>
        </w:tc>
        <w:tc>
          <w:tcPr>
            <w:tcW w:w="51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0000EE"/>
            </w:tcBorders>
          </w:tcPr>
          <w:p>
            <w:pPr>
              <w:jc w:val="center"/>
              <w:spacing w:after="0" w:line="17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F-5</w:t>
              </w:r>
            </w:hyperlink>
          </w:p>
        </w:tc>
        <w:tc>
          <w:tcPr>
            <w:tcW w:w="44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Statements of Cash Flows</w:t>
              </w:r>
            </w:hyperlink>
          </w:p>
        </w:tc>
        <w:tc>
          <w:tcPr>
            <w:tcW w:w="2260" w:type="dxa"/>
            <w:vAlign w:val="bottom"/>
            <w:tcBorders>
              <w:bottom w:val="single" w:sz="8" w:color="CCEEFF"/>
            </w:tcBorders>
            <w:gridSpan w:val="5"/>
            <w:shd w:val="clear" w:color="auto" w:fill="CCEEFF"/>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F-6</w:t>
              </w:r>
            </w:hyperlink>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gridSpan w:val="7"/>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Notes to the Consolidated Financial Statements</w:t>
              </w:r>
            </w:hyperlink>
          </w:p>
        </w:tc>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4"/>
          </w:tcPr>
          <w:p>
            <w:pPr>
              <w:jc w:val="center"/>
              <w:ind w:right="220"/>
              <w:spacing w:after="0" w:line="17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F-7- F-45</w:t>
              </w:r>
            </w:hyperlink>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F-1</w:t>
            </w:r>
          </w:p>
        </w:tc>
        <w:tc>
          <w:tcPr>
            <w:tcW w:w="700" w:type="dxa"/>
            <w:vAlign w:val="bottom"/>
            <w:tcBorders>
              <w:top w:val="single" w:sz="8" w:color="0000EE"/>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XpresSpa Group,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have audited the accompanying consolidated balance sheets of XpresSpa Group, Inc. and subsidiaries (the Company) as of December 31, 2018 and 2017, and the related consolidated statements of operations and comprehensive loss,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two-year period ended December 31, 2018, in conformity with accounting principles generally accepted in the United States of America.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based on its projections, the Company anticipates that during 2019, it will not have sufficient capital to repay the obligations under its credit agreement if called for repayment by the lenders. Furthermore, the Company’s recurring losses from operations and working capital deficiency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3,403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1,465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9,167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8,132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1,986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6"/>
              </w:rPr>
              <w:t>Series A Convertible Preferred stock, $0.01 par value per share; 348 shares authorized; 348 issued and none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Series B Convertible Preferred stock, $0.01 par value per share, 80,458 shares authorized; 80,458 shares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none outstanding</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w w:val="91"/>
              </w:rPr>
              <w:t>Series C Junior Preferred stock, $0.01 par value per share; 15,000 shares authorized; none issued and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D Convertible Preferred Stock, $0.01 par value per share, 25,000 shares authorized; 23,760 shares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21,027 shares outstanding with a liquidation value of $20,186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89"/>
              </w:rPr>
              <w:t>Series E Convertible Preferred Stock, $0.01 par value per share, 73,665 shares authorized; 48,387 shares issued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outstanding with a liquidation value of $3,023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per share 7,500,000 shares authorized; 1,761,802 and 1,327,284 shares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 and 2017,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295,904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290,396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(286,913)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4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Product and services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49,294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8,118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6,964</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19,630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16,240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Extinguishment of debt</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non-operating income (expense), net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(35,631</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(12,265)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(35,631)</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comprehensive loss from continuing operations: foreign currency translation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(35,808</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from discontinued operations: foreign currency translation</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discontinued operations</w:t>
            </w:r>
          </w:p>
        </w:tc>
        <w:tc>
          <w:tcPr>
            <w:tcW w:w="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(24.83)</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basic and diluted net loss per share</w:t>
            </w:r>
          </w:p>
        </w:tc>
        <w:tc>
          <w:tcPr>
            <w:tcW w:w="8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number of shares outstanding during the year*</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1,453,635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1,114,349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1,453,635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1,114,349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**Includes stock-based compensation expense, as follows: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916</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other</w:t>
            </w:r>
          </w:p>
        </w:tc>
        <w:tc>
          <w:tcPr>
            <w:tcW w:w="16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Preferred</w:t>
            </w: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Common</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w:t>
            </w: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Company</w:t>
            </w: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stock*</w:t>
            </w: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stock*</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 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7"/>
              </w:rPr>
              <w:t>loss</w:t>
            </w: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20"/>
                <w:szCs w:val="20"/>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equity</w:t>
            </w:r>
          </w:p>
        </w:tc>
      </w:tr>
      <w:tr>
        <w:trPr>
          <w:trHeight w:val="178"/>
        </w:trPr>
        <w:tc>
          <w:tcPr>
            <w:tcW w:w="21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89"/>
              </w:rPr>
              <w:t>Balance as of December 31,</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280,221</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(220,868)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59,528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64,169</w:t>
            </w:r>
          </w:p>
        </w:tc>
        <w:tc>
          <w:tcPr>
            <w:tcW w:w="80" w:type="dxa"/>
            <w:vAlign w:val="bottom"/>
            <w:shd w:val="clear" w:color="auto" w:fill="CCEEFF"/>
          </w:tcPr>
          <w:p>
            <w:pPr>
              <w:spacing w:after="0"/>
              <w:rPr>
                <w:sz w:val="20"/>
                <w:szCs w:val="20"/>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7"/>
              </w:rPr>
              <w:t>Issuance of Common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for services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for acquisition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Excalibur</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20"/>
                <w:szCs w:val="20"/>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6"/>
              </w:rPr>
              <w:t>Net proceeds from sale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60" w:type="dxa"/>
            <w:vAlign w:val="bottom"/>
          </w:tcPr>
          <w:p>
            <w:pPr>
              <w:ind w:left="140"/>
              <w:spacing w:after="0"/>
              <w:rPr>
                <w:sz w:val="20"/>
                <w:szCs w:val="20"/>
                <w:color w:val="auto"/>
              </w:rPr>
            </w:pPr>
            <w:r>
              <w:rPr>
                <w:rFonts w:ascii="Arial" w:cs="Arial" w:eastAsia="Arial" w:hAnsi="Arial"/>
                <w:sz w:val="18"/>
                <w:szCs w:val="18"/>
                <w:color w:val="auto"/>
              </w:rPr>
              <w:t>issuance of shares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tcPr>
          <w:p>
            <w:pPr>
              <w:ind w:left="140"/>
              <w:spacing w:after="0"/>
              <w:rPr>
                <w:sz w:val="20"/>
                <w:szCs w:val="20"/>
                <w:color w:val="auto"/>
              </w:rPr>
            </w:pPr>
            <w:r>
              <w:rPr>
                <w:rFonts w:ascii="Arial" w:cs="Arial" w:eastAsia="Arial" w:hAnsi="Arial"/>
                <w:sz w:val="18"/>
                <w:szCs w:val="18"/>
                <w:color w:val="auto"/>
              </w:rPr>
              <w:t>Common Stock in public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offering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6,584</w:t>
            </w:r>
          </w:p>
        </w:tc>
        <w:tc>
          <w:tcPr>
            <w:tcW w:w="80" w:type="dxa"/>
            <w:vAlign w:val="bottom"/>
          </w:tcPr>
          <w:p>
            <w:pPr>
              <w:spacing w:after="0"/>
              <w:rPr>
                <w:sz w:val="20"/>
                <w:szCs w:val="20"/>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shares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issued to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XpresSpa sellers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Conversion of preferred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stock to Common Stock</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Stock-based compensation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2,745</w:t>
            </w:r>
          </w:p>
        </w:tc>
        <w:tc>
          <w:tcPr>
            <w:tcW w:w="80" w:type="dxa"/>
            <w:vAlign w:val="bottom"/>
            <w:shd w:val="clear" w:color="auto" w:fill="CCEEFF"/>
          </w:tcPr>
          <w:p>
            <w:pPr>
              <w:spacing w:after="0"/>
              <w:rPr>
                <w:sz w:val="18"/>
                <w:szCs w:val="18"/>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Net income (loss) for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(28,840)</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(28,840)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(28,389)</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translation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Contributions from</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0"/>
                <w:szCs w:val="20"/>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r>
      <w:tr>
        <w:trPr>
          <w:trHeight w:val="178"/>
        </w:trPr>
        <w:tc>
          <w:tcPr>
            <w:tcW w:w="2160" w:type="dxa"/>
            <w:vAlign w:val="bottom"/>
          </w:tcPr>
          <w:p>
            <w:pPr>
              <w:spacing w:after="0" w:line="178" w:lineRule="exact"/>
              <w:rPr>
                <w:sz w:val="20"/>
                <w:szCs w:val="20"/>
                <w:color w:val="auto"/>
              </w:rPr>
            </w:pPr>
            <w:r>
              <w:rPr>
                <w:rFonts w:ascii="Arial" w:cs="Arial" w:eastAsia="Arial" w:hAnsi="Arial"/>
                <w:sz w:val="18"/>
                <w:szCs w:val="18"/>
                <w:b w:val="1"/>
                <w:bCs w:val="1"/>
                <w:color w:val="auto"/>
                <w:w w:val="89"/>
              </w:rPr>
              <w:t>Balance as of December 31,</w:t>
            </w: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2160" w:type="dxa"/>
            <w:vAlign w:val="bottom"/>
          </w:tcPr>
          <w:p>
            <w:pPr>
              <w:ind w:left="140"/>
              <w:spacing w:after="0"/>
              <w:rPr>
                <w:sz w:val="20"/>
                <w:szCs w:val="20"/>
                <w:color w:val="auto"/>
              </w:rPr>
            </w:pPr>
            <w:r>
              <w:rPr>
                <w:rFonts w:ascii="Arial" w:cs="Arial" w:eastAsia="Arial" w:hAnsi="Arial"/>
                <w:sz w:val="18"/>
                <w:szCs w:val="18"/>
                <w:b w:val="1"/>
                <w:bCs w:val="1"/>
                <w:color w:val="auto"/>
              </w:rPr>
              <w:t>2017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290,396</w:t>
            </w:r>
          </w:p>
        </w:tc>
        <w:tc>
          <w:tcPr>
            <w:tcW w:w="140" w:type="dxa"/>
            <w:vAlign w:val="bottom"/>
          </w:tcPr>
          <w:p>
            <w:pPr>
              <w:spacing w:after="0"/>
              <w:rPr>
                <w:sz w:val="22"/>
                <w:szCs w:val="22"/>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(249,708)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40,883</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45,839</w:t>
            </w:r>
          </w:p>
        </w:tc>
        <w:tc>
          <w:tcPr>
            <w:tcW w:w="80" w:type="dxa"/>
            <w:vAlign w:val="bottom"/>
          </w:tcPr>
          <w:p>
            <w:pPr>
              <w:spacing w:after="0"/>
              <w:rPr>
                <w:sz w:val="22"/>
                <w:szCs w:val="22"/>
                <w:color w:val="auto"/>
              </w:rPr>
            </w:pPr>
          </w:p>
        </w:tc>
      </w:tr>
      <w:tr>
        <w:trPr>
          <w:trHeight w:val="20"/>
        </w:trPr>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other</w:t>
            </w:r>
          </w:p>
        </w:tc>
        <w:tc>
          <w:tcPr>
            <w:tcW w:w="16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Preferred</w:t>
            </w: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Common</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w:t>
            </w: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Company</w:t>
            </w: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stock*</w:t>
            </w: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stock*</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 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7"/>
              </w:rPr>
              <w:t>loss</w:t>
            </w: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20"/>
                <w:szCs w:val="20"/>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equity</w:t>
            </w:r>
          </w:p>
        </w:tc>
      </w:tr>
      <w:tr>
        <w:trPr>
          <w:trHeight w:val="210"/>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(249,708)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Vesting of restricted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units (“RSUs”)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7"/>
              </w:rPr>
              <w:t>Issuance of equity warrants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Issuance of Series 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Convertible Preferred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20"/>
                <w:szCs w:val="20"/>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Common Stock</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services</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20"/>
                <w:szCs w:val="20"/>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7"/>
              </w:rPr>
              <w:t>Issuance of Common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w w:val="95"/>
              </w:rPr>
              <w:t>for repayment of debt and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20"/>
                <w:szCs w:val="20"/>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Stock-based compensation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Net income (loss) for the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period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(37,205)</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(37,205)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(36,746)</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translation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Contributions from</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(1,636)</w:t>
            </w:r>
          </w:p>
        </w:tc>
        <w:tc>
          <w:tcPr>
            <w:tcW w:w="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(1,636)</w:t>
            </w:r>
          </w:p>
        </w:tc>
      </w:tr>
      <w:tr>
        <w:trPr>
          <w:trHeight w:val="223"/>
        </w:trPr>
        <w:tc>
          <w:tcPr>
            <w:tcW w:w="21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(286,913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721"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20" w:type="dxa"/>
            <w:vAlign w:val="bottom"/>
            <w:gridSpan w:val="4"/>
          </w:tcPr>
          <w:p>
            <w:pPr>
              <w:jc w:val="right"/>
              <w:ind w:right="765"/>
              <w:spacing w:after="0"/>
              <w:rPr>
                <w:sz w:val="20"/>
                <w:szCs w:val="20"/>
                <w:color w:val="auto"/>
              </w:rPr>
            </w:pPr>
            <w:r>
              <w:rPr>
                <w:rFonts w:ascii="Arial" w:cs="Arial" w:eastAsia="Arial" w:hAnsi="Arial"/>
                <w:sz w:val="18"/>
                <w:szCs w:val="18"/>
                <w:b w:val="1"/>
                <w:bCs w:val="1"/>
                <w:color w:val="auto"/>
              </w:rPr>
              <w:t>For the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276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8"/>
                <w:szCs w:val="18"/>
                <w:b w:val="1"/>
                <w:bCs w:val="1"/>
                <w:color w:val="auto"/>
              </w:rPr>
              <w:t>years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Consolidated 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(36,746)</w:t>
            </w:r>
          </w:p>
        </w:tc>
        <w:tc>
          <w:tcPr>
            <w:tcW w:w="106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(28,389)</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net loss from discontinued operations</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(12,277)</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Consolidated net loss from continuing operations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(35,631)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(16,112)</w:t>
            </w:r>
          </w:p>
        </w:tc>
        <w:tc>
          <w:tcPr>
            <w:tcW w:w="100" w:type="dxa"/>
            <w:vAlign w:val="bottom"/>
          </w:tcPr>
          <w:p>
            <w:pPr>
              <w:spacing w:after="0"/>
              <w:rPr>
                <w:sz w:val="18"/>
                <w:szCs w:val="18"/>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consolidated net loss from continuing operations to net cash used in</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impairment, and amortization</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Impairment of goodwill</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19,630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2,177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warrants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Conversion of shares of preferred stock to shares of Common Stock</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shares of Common Stock for services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Issuance of Common Stock for repayment of debt and interest</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disposal of assets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 in fair value of derivative warrant liabilities</w:t>
            </w:r>
          </w:p>
        </w:tc>
        <w:tc>
          <w:tcPr>
            <w:tcW w:w="9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liability as a result of acquisition</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Gain on the sale of patents</w:t>
            </w:r>
          </w:p>
        </w:tc>
        <w:tc>
          <w:tcPr>
            <w:tcW w:w="9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 of effects of acquisition</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Decrease in inventory</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1,347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other current assets and other assets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Decrease in accounts payable, accrued expenses and other current liabilities</w:t>
            </w:r>
          </w:p>
        </w:tc>
        <w:tc>
          <w:tcPr>
            <w:tcW w:w="9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(604)</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(3,114)</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other liabilities</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 – continuing operations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(8,067)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(8,761)</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 – discontinued operations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w:t>
            </w: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(12,172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Cash acquired as part of acquisition</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Acquisition of software</w:t>
            </w:r>
          </w:p>
        </w:tc>
        <w:tc>
          <w:tcPr>
            <w:tcW w:w="9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subsidiary</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the sale of cost method investment</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patents</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Net cash used in investing activities – continuing operations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(4,286)</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investing activities – discontinued operations</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convertible notes and warrants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Issuance of shares of Series E Convertible Preferred Stock</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sale and issuance of shares of Common Stock in public offering</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9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(1,636)</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financing activities – continuing operations</w:t>
            </w: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financing activities – discontinued operations</w:t>
            </w: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(2,965)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(11,542)</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18,397</w:t>
            </w:r>
          </w:p>
        </w:tc>
      </w:tr>
      <w:tr>
        <w:trPr>
          <w:trHeight w:val="26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tcPr>
          <w:p>
            <w:pPr>
              <w:spacing w:after="0"/>
              <w:rPr>
                <w:sz w:val="22"/>
                <w:szCs w:val="22"/>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year for</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c>
          <w:tcPr>
            <w:tcW w:w="106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Issuance of shares of Common Stock to repay $1,068 of debt and interest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1,378</w:t>
            </w:r>
          </w:p>
        </w:tc>
        <w:tc>
          <w:tcPr>
            <w:tcW w:w="200" w:type="dxa"/>
            <w:vAlign w:val="bottom"/>
          </w:tcPr>
          <w:p>
            <w:pPr>
              <w:spacing w:after="0"/>
              <w:rPr>
                <w:sz w:val="18"/>
                <w:szCs w:val="18"/>
                <w:color w:val="auto"/>
              </w:rPr>
            </w:pPr>
          </w:p>
        </w:tc>
        <w:tc>
          <w:tcPr>
            <w:tcW w:w="106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Issuance of shares of Common Stock, preferred stock and warrants for the acquisition of XpresSpa</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Issuance of shares of Common Stock for the acquisition of Excalibur</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1,809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shares of Common Stock for services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w:t>
            </w:r>
          </w:p>
        </w:tc>
        <w:tc>
          <w:tcPr>
            <w:tcW w:w="106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acquisition of cost method investment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2,075</w:t>
            </w:r>
          </w:p>
        </w:tc>
        <w:tc>
          <w:tcPr>
            <w:tcW w:w="200" w:type="dxa"/>
            <w:vAlign w:val="bottom"/>
          </w:tcPr>
          <w:p>
            <w:pPr>
              <w:spacing w:after="0"/>
              <w:rPr>
                <w:sz w:val="18"/>
                <w:szCs w:val="18"/>
                <w:color w:val="auto"/>
              </w:rPr>
            </w:pPr>
          </w:p>
        </w:tc>
        <w:tc>
          <w:tcPr>
            <w:tcW w:w="1060" w:type="dxa"/>
            <w:vAlign w:val="bottom"/>
            <w:gridSpan w:val="2"/>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discount related to issuance of convertible notes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Non-cash acquisition of construction-in-progress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1,154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ectPr>
          <w:pgSz w:w="11900" w:h="16838" w:orient="portrait"/>
          <w:cols w:equalWidth="0" w:num="1">
            <w:col w:w="11420"/>
          </w:cols>
          <w:pgMar w:left="240" w:top="904" w:right="239" w:bottom="0" w:gutter="0" w:footer="0" w:header="0"/>
        </w:sectPr>
      </w:pPr>
    </w:p>
    <w:bookmarkStart w:id="74" w:name="page75"/>
    <w:bookmarkEnd w:id="74"/>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5, 2018, the Company changed its name to XpresSpa Group, Inc. (“XpresSpa Group” or the “Company”) from FORM Holdings Corp. The Company’s common stock, par value $0.01 per share (the “Common Stock”), which had previously been listed under the trading symbol “FH” on the Nasdaq Capital Market, has been listed under the trading symbol “XSPA” since January 8, 2018. Rebranding to XpresSpa Group aligned the Company’s corporate strategy to build a pure-play health and wellness services company, which the Company commenced following its acquisition of XpresSpa Holdings, LLC (“XpresSpa”) on December 23, 2016.</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the Company currently has one operating segment that is also its sole reporting unit, XpresSpa, a leading airport retailer of spa services. XpresSpa is a well-recognized airport spa brand with 56 locations, consisting of 51 domestic and 5 international locations as of December 31, 2018. XpresSpa offers travelers premium spa services, including massage, nail and skin care, as well as spa and travel products. During 2018 and 2017, XpresSpa generated $49,294 and $48,373 of revenue, respectively. In 2018 and 2017, approximately 83% and 82%, respectively, of XpresSpa’s total revenue was generated by services, primarily massage and nailcare, and 17% and 18%, respectively, was generated by retail products, primarily travel accessories.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is a leading airport retailer of spa services and related products. As of December 31, 2018, XpresSpa operated 56 total locations in 23 airports, and one off-airport location in New York City, in three countries including the United States, Netherlands and United Arab Emirates. Services and products include:</w:t>
      </w:r>
    </w:p>
    <w:p>
      <w:pPr>
        <w:spacing w:after="0" w:line="181"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travel products, such as neck pillows, blankets and massage tools;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ind w:left="520" w:hanging="255"/>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new offerings, such as cryotherapy services, NormaTec compression services, and Dermalogica personal care services and retail products.</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Consequently, travelers at large airport hubs have idle time in the terminal after passing through security.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was developed to address the stress and idle time spent at the airport, allowing travelers to spend this time productively, by relaxing and focusing on personal care and wellness. XpresSpa is well positioned to benefit from consumers’ growing interest in health and wellness and increasing demand for spa services and related wellness products.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intended to make an airport more desirable to airlines, require funding from bond issuances that in turn rely upon, in part, the expected minimum rent guarantees and expected income from concessionaires.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certain patent portfolios, which it looks to monetize through sales and licensing agreements. During the year ended December 31, 2018,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October 2017, the Company completed the sale of FLI Charge, Inc. (“FLI Charge”) and in March 2018, the Company completed the sale of Group Mobile Int’l LLC (“Group Mobile”). These two entities previously comprised the Company’s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2018, the Company had approximately $3,403 of cash and cash equivalents, $2,247 of inventory and prepaid expenses and $109 of assets held for disposal, which amount to total current assets of $5,759. The Company’s total current liabilities balance, which includes accounts payable, accrued expenses, debt, and the current portion of Convertible Notes, was $16,658 as of December 31, 2018. The working capital deficiency of $10,899 as of December 31, 2018 includes $1,986 of convertible notes classified as short-term for which principal repayments may be made in shares of Common Stock at the Company’s election. In addition, included in total current liabilities is approximately $1,742 which relates to obligations that will not settle in cash, and an additional $465 of liabilities that are not expected to settle in the next twelve months.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the Company has aggressively reduced operating and overhead expenses, and while the Company continues to focus on its overall profitability, the Company has continued to generate negative cash flows from operations and expects to incur net losses in the foreseeable future. The report of the Company’s independent registered public accounting firm on its financial statements for the years ended December 31, 2018 and 2017 includes an explanatory paragraph indicating that there is substantial doubt about the Company’s ability to continue as a going concern. The receipt of this explanatory paragraph with respect to the Company’s financial statements for the years ended December 31, 2018 and 2017 will result in a breach of a covenant under the Senior Secured Note which, if unremedied for a period of 30 days after the date hereof, will constitute an event of default under the Senior Secured Note. Upon the occurrence of an event of default under the Senior Secured Note, Rockmore may, among other things, declare the Senior Secured Note and all accrued and unpaid interest thereon and all other amounts owing under the Senior Secured Note to be due and payable. If the maturity date of the Senior Secured Note is accelerated as a result of the event of default referenced above, an event of default under the Convertible Notes would be triggered. If an event of default under the Convertible Notes occurs, the outstanding principal amount of the Convertible Notes, liquidated damages and other amounts owing in respect thereof through the date of acceleration, shall become, at the holder’s election, immediately due and payable in cash.</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taken actions to improve its overall cash position and access to liquidity by exploring valuable strategic partnerships, right-sizing its corporate structure, and stream-lining operations. The Company expects that the actions taken in 2018 and early 2019 will enhance its liquidity and financial environment. In addition, the Company expects to generate additional liquidity through the monetization of certain investments and other assets. The Company expects that these actions will be executed in alignment with the anticipated timing of its liquidity needs. There can be no assurance, however, that any such opportunities will materialize.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spacing w:after="0" w:line="279" w:lineRule="auto"/>
        <w:rPr>
          <w:sz w:val="20"/>
          <w:szCs w:val="20"/>
          <w:color w:val="auto"/>
        </w:rPr>
      </w:pPr>
      <w:r>
        <w:rPr>
          <w:rFonts w:ascii="Arial" w:cs="Arial" w:eastAsia="Arial" w:hAnsi="Arial"/>
          <w:sz w:val="17"/>
          <w:szCs w:val="17"/>
          <w:color w:val="auto"/>
        </w:rPr>
        <w:t>The Company’s historical operating results indicate that there is substantial doubt related to the Company's ability to continue as a going concern. The Company believes it is probable that the actions discussed above will transpire and will successfully mitigate the substantial doubt raised by its historical operating results and will satisfy its liquidity needs 12 months from the issuance of the financial statements. However, the Company cannot reasonably predict with any certainty that the results of its planned actions will generate the expected liquidity required to satisfy its liquidity needs.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continues to experience operating losses, and the Company is not able to generate additional liquidity through the actions described above or through some combination of other actions, while not expected, the Company may not be able to access additional funds and the Company might need to secure additional sources of funds, which may or may not be available. Additionally, a failure to generate additional liquidity could negatively impact its access to inventory or services that are important to the operation of the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Transition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will receive termination benefits including $375 payable in equal installments over a twelve-month term commencing on February 13, 2019 and COBRA continuation coverage paid in full by the Company for up to a maximum of twelve months.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as of February 11, 2019, Douglas Satzman was appointed by the Company’s board of directors as the Chief Executive Officer of the Company and as a director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22, 2019, The Company filed a certificate of amendment to its amended and restated certificate of incorporation with the Secretary of State of the State of Delaware to effect a 1-for-20 reverse stock split of the Company’s shares of Common Stock. Such amendment and ratio were previously approved by the Company’s stockholders and board of directors, respectively.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reverse stock split, every twenty (20) shares of the Company’s pre-reverse split Common Stock were combined and reclassified into one (1) share of Common Stock. Proportionate voting rights and other rights of Common Stock 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Such cash payment in lieu of a fractional share of Common Stock was calculated by multiplying such fractional interest in one share of Common Stock by the closing trading price of the Company’s Common Stock on February 22, 2019, and rounded to the nearest cent. No fractional shares were issued in connection with the reverse stock split.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began trading on the Nasdaq Capital Market on a post-reverse split basis at the open of business on February 25, 2019.</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auto"/>
        </w:rPr>
        <w:t>Dispositions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20, 2017, the Company sold FLI Charge to a group of private investors and FLI Charge management, who now own and operate FLI Charge. In February 2019, the Company entered into an agreement to release FLI Charge’s obligation to pay any royalties on FLI Charge’s perpetual gross revenues with regard to conductive wireless charging, power, or accessories, and to cancel its warrants exercisable in FLI Charge in exchange for cash proceeds of $1,100, which were received in full on February 15,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22, 2018, the Company sold Group Mobile to a third party. The Company has not provided any continued management or financing support to FLI Charge or Group Mobile.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Rebranding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5, 2018, the Company changed its name to XpresSpa Group, Inc. from FORM Holdings Corp, which aligned the Company’s corporate strategy to build a pure-play health and wellness services company. The Company’s Common Stock, par value $0.01 per share, which had previously been listed under the trading symbol “FH” on the Nasdaq Capital Market, has been listed under the trading symbol “XSPA” since January 8,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Patents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2018, the Company sold certain patents to Crypto Currency Patent Holdings Company LLC, a unit of Marathon Patent Group, Inc. (“Marathon”), for approximately $1,250, comprised of $250 in cash and 250,000 shares of Marathon Common Stock valued at approximately $1,000 at the time of the transaction. The Marathon Common Stock was subject to a lockup period (the “Lockup Period”) which commenced on the transaction date and ended on July 11, 2018, subject to a leak-out provision. The Marathon Common Stock is recognized as a cost method investment and, as such, was required to be measured at cost on the date of acquisition, which, as of the transaction date, approximated fair value. The fair value of the Marathon Common Stock was estimated by multiplying the number of shares as they become tradeable by the price per share as of the transaction date; however, due to the fact that the Marathon Common Stock is restricted during the Lockup Period, the Company applied a discount on the lack of marketability to estimate the fair value at the measurement date. The fair value of the consideration as of the Transaction Date was determined to be $450.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12, 2018, the Company entered into a Product Sale and Marketing Agreement (the “Collaboration Agreement”) with Calm.com, Inc. (“Calm”) primarily related to the display, marketing, promotion, offer for sale and sale of Calm’s products in each of the Company’s branded stores throughout the United States.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Collaboration Agreement will remain in effect until July 31, 2019, unless terminated earlier in accordance with its terms, and automatically renew for successive terms of six months unless either party provides written notice of termination no later than thirty days prior to any such automatic renewal.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Convertible Notes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the Company entered into a securities purchase agreement (the “Securities Purchase Agreement”) with certain institutional investors (the “Investors”), pursuant to which the Company agreed to sell up to (i) an aggregate principal amount of $4,438 in 5% Secured Convertible Notes due on November 16, 2019, which included $88 of convertible notes issued to Palladium Capital Advisors as Placement Agent (the “Convertible Notes”), convertible into shares of its Common Stock at a conversion price of $12.40 per share, (ii) Class A Warrants (the “Class A Warrants”) to purchase 357,862 shares of Common Stock at an exercise price of $12.40 per share and (iii) Class B Warrants (the “Class B Warrants,” and together with the Class A Warrants, the “Warrants”) to purchase 178,931 shares of Common Stock at an exercise price of $12.40 per share. The Convertible Notes bear interest at a rate of 5% per annum. The Convertible Notes are senior secured obligations of the Company and are secured by certain of its personal property. Unless earlier converted or redeemed, the Convertible Notes will mature on November 16, 2019. The transaction closed on May 17, 2018, at which time the Company received $4,350 in gross proceeds from the Investors.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was originally to be repaid monthly in the amount of approximately $296, beginning on September 17, 2018, and the Company may make such payments and related interest payments in cash or, subject to certain conditions, in registered shares of its Common Stock (or a combination thereof), at its election. If the Company chooses to repay the Convertible Notes in shares of its Common Stock, the shares will be issued at a 10% discount to the volume weighted average price of its Common Stock for the five (5) trading days commencing eight (8) days</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prior to the relevant repayment date and 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The Company may also repay the Convertible Notes in advance of the maturity schedule subject to an early repayment penalty of 15%.</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August 14, 2018, the Company entered into an Amendment Agreement (the “First Amendment Agreement”) whereby the initial monthly principal repayment and accrued interest due on the Convertible Notes of $351 was settled in 103,350 shares of Common Stock on August 15, 2018. All other material terms of the Securities Purchase Agreement remained unchanged. During the year ended December 31, 2018, several of the Investors converted their monthly principal payments and accrued interest due on the Convertible Notes into shares of Common Stock pursuant to the First Amendment Agreement, resulting in the issuance of an additional 377,109 shares of Common Stock.</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11, 2018, the Company entered into a Second Amendment Agreement (the “Second Amendment Agreement”) whereby each Holder waived the Company’s obligation to make any monthly payments for the months of January, February and March 2019. Pursuant to the Second Amendment Agreement, each Holder was permitted to convert its pro-rata share of the Convertible Notes, at a conversion price of $4.00 per share of Common Stock, such that the maximum number of shares to be issued pursuant to the Second Amendment Agreement shall not exceed 250,000 shares of Common Stock. All other material terms of the Securities Purchase Agreement remained unchanged. During the three-month period ended December 31, 2018, one of the Investors converted a portion of their allotted shares, in settlement of $23, into shares of Common Stock pursuant to the Second Amendment Agreement, resulting in the issuance of an additional 5,627 shares of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Agreement and Series E Preferred Stock Financing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entry into the Collaboration Agreement, the Company entered into a stock purchase agreement (the “Purchase Agreement”) with Calm, pursuant to which the Company issued to Calm an aggregate of 32,258 shares of the Company’s newly designated Series E Convertible Preferred Stock, par value $0.01 per share (the “Series E Preferred Stock”), which are initially convertible into 161,290 shares of Common Stock, par value $0.01 per share, at a conversion price of $12.40 per share, subject to certain adjustments. The purchase price per share of the Series E Preferred Stock was $62.00 per share for gross proceeds to the Company of $2,000. In addition, on December 28, 2018, in satisfaction of the conditions under the Purchase Agreement, the Company sold, and Calm purchased, 16,129 additional shares of Series E Preferred Stock (the “Additional Series E Shares”), which are initially convertible into 80,645 shares of Common Stock at a conversion price of $12.40 per share, subject to certain adjustments, for gross proceeds to the Company of $1,000. The sale of Additional Series E Shares were on the same terms and conditions as those contained in the Purchase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The consolidated financial statements include the accounts of the Company, all entities that are wholly-owned by the Company, and all entities in which the Company has a controlling financial interest.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intangibles assets, the useful lives of the Company’s intangible assets, the valuation of the Company’s derivative warrant liabilities, the valuation of stock-based compensation, deferred tax assets and liabilities, income tax uncertainties, and other contingencies.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(c) Translation into United States dollars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included in non-operating income (expense) in the consolidated statements of operations and comprehensive loss.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of the foreign subsidiaries of XpresSpa are translated into United States dollars. Assets and liabilities have been translated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loss and consolidated statements of changes 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maintains cash in checking accounts with financial institutions. The Company has established guidelines relating to diversification and maturities of its investments in order to minimize credit risk and maintain high liquidity of funds. Cash equivalents include amounts due from third-party financial institutions for credit and debit card transactions which typically settle in less than five days. As of December 31, 2018 and 2017, cash and cash equivalents included $260 and $336 of credit card receivables, respectively. As of December 31, 2018, the Company held significant portions of its cash balance in overseas accounts, totaling $1,143, which is not insured by the Federal Deposit Insurance Corporation (“FDIC”). If the Company were to distribute the amounts held overseas, the Company would need to follow an approval and distribution process as defined in its operating and partnership agreements, which may delay and/or reduce the availability of cash to the Company. In addition, as of December 31, 2018 and 2017, there was an additional $487 of restricted cash held by a third party recorded as restricted cash on the Consolidated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all derivative instruments as either assets or liabilities in the consolidated balance sheets at their respective fair values. The Company's derivative instruments have been recorded as liabilities at fair value, and are revalued at each reporting date, with changes in the fair value of the instruments included in the consolidated statements of operations and comprehensive loss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815-40, “</w:t>
      </w:r>
      <w:r>
        <w:rPr>
          <w:rFonts w:ascii="Arial" w:cs="Arial" w:eastAsia="Arial" w:hAnsi="Arial"/>
          <w:sz w:val="17"/>
          <w:szCs w:val="17"/>
          <w:i w:val="1"/>
          <w:iCs w:val="1"/>
          <w:color w:val="auto"/>
        </w:rPr>
        <w:t>Contracts in an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Own Equity” </w:t>
      </w:r>
      <w:r>
        <w:rPr>
          <w:rFonts w:ascii="Arial" w:cs="Arial" w:eastAsia="Arial" w:hAnsi="Arial"/>
          <w:sz w:val="17"/>
          <w:szCs w:val="17"/>
          <w:color w:val="auto"/>
        </w:rPr>
        <w:t>to determine if such instruments are indexed to the Company’s own stock and qualify for classification in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recorded net of an allowance for doubtful accounts for estimated losses resulting from the inability of customers to make required payments. In developing the allowance, the Company considers historical loss experience, the overall quality of the receivable portfolio and specifically identified customer risks. The Company periodically reviews the adequacy of the allowance and the factors used in the estimation making adjustments to the estimate as necessary. Accounts receivable pertaining to continuing operations are included in other current assets in the consolidated balance sheets. As of December 31, 2018 and 2017, there was no allowance for doubtful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inventory is valued at the lower of cost or net realizable value. Cost is determined using a weighted-average cost method. Inventory is included in current assets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Intangible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Intangible assets include trade names, customer relationships, and technology, which were acquired as part of the acquisition of XpresSpa in December 2016 and are recorded based on the estimated fair value in purchase price allocation. Intangible assets also include purchased patents. The intangible assets are amortized over their estimated useful lives, which are periodically evaluated for reasonableness. Gain or loss on dispositions of intangible assets is </w:t>
      </w:r>
      <w:r>
        <w:rPr>
          <w:rFonts w:ascii="Arial" w:cs="Arial" w:eastAsia="Arial" w:hAnsi="Arial"/>
          <w:sz w:val="17"/>
          <w:szCs w:val="17"/>
          <w:color w:val="181818"/>
        </w:rPr>
        <w:t>reflected</w:t>
      </w:r>
      <w:r>
        <w:rPr>
          <w:rFonts w:ascii="Arial" w:cs="Arial" w:eastAsia="Arial" w:hAnsi="Arial"/>
          <w:sz w:val="17"/>
          <w:szCs w:val="17"/>
          <w:color w:val="auto"/>
        </w:rPr>
        <w:t xml:space="preserve"> </w:t>
      </w:r>
      <w:r>
        <w:rPr>
          <w:rFonts w:ascii="Arial" w:cs="Arial" w:eastAsia="Arial" w:hAnsi="Arial"/>
          <w:sz w:val="17"/>
          <w:szCs w:val="17"/>
          <w:color w:val="181818"/>
        </w:rPr>
        <w:t xml:space="preserve">in general and administrative expense in the consolidated statements of operations </w:t>
      </w:r>
      <w:r>
        <w:rPr>
          <w:rFonts w:ascii="Arial" w:cs="Arial" w:eastAsia="Arial" w:hAnsi="Arial"/>
          <w:sz w:val="17"/>
          <w:szCs w:val="17"/>
          <w:color w:val="000000"/>
        </w:rPr>
        <w:t>and comprehensive loss.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spacing w:after="0" w:line="272" w:lineRule="auto"/>
        <w:rPr>
          <w:sz w:val="20"/>
          <w:szCs w:val="20"/>
          <w:color w:val="auto"/>
        </w:rPr>
      </w:pPr>
      <w:r>
        <w:rPr>
          <w:rFonts w:ascii="Arial" w:cs="Arial" w:eastAsia="Arial" w:hAnsi="Arial"/>
          <w:sz w:val="17"/>
          <w:szCs w:val="17"/>
          <w:color w:val="auto"/>
        </w:rPr>
        <w:t>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Property and equipment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Property and equipment is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 Gain or loss on dispositions of property and equipment </w:t>
      </w:r>
      <w:r>
        <w:rPr>
          <w:rFonts w:ascii="Arial" w:cs="Arial" w:eastAsia="Arial" w:hAnsi="Arial"/>
          <w:sz w:val="18"/>
          <w:szCs w:val="18"/>
          <w:color w:val="181818"/>
        </w:rPr>
        <w:t>is</w:t>
      </w:r>
      <w:r>
        <w:rPr>
          <w:rFonts w:ascii="Arial" w:cs="Arial" w:eastAsia="Arial" w:hAnsi="Arial"/>
          <w:sz w:val="18"/>
          <w:szCs w:val="18"/>
          <w:color w:val="auto"/>
        </w:rPr>
        <w:t xml:space="preserve"> </w:t>
      </w:r>
      <w:r>
        <w:rPr>
          <w:rFonts w:ascii="Arial" w:cs="Arial" w:eastAsia="Arial" w:hAnsi="Arial"/>
          <w:sz w:val="18"/>
          <w:szCs w:val="18"/>
          <w:color w:val="181818"/>
        </w:rPr>
        <w:t xml:space="preserve">reflected in the consolidated net loss from discontinued operations in the consolidated statements of operations </w:t>
      </w:r>
      <w:r>
        <w:rPr>
          <w:rFonts w:ascii="Arial" w:cs="Arial" w:eastAsia="Arial" w:hAnsi="Arial"/>
          <w:sz w:val="18"/>
          <w:szCs w:val="18"/>
          <w:color w:val="000000"/>
        </w:rPr>
        <w:t>and comprehensive loss. Property and</w:t>
      </w:r>
      <w:r>
        <w:rPr>
          <w:rFonts w:ascii="Arial" w:cs="Arial" w:eastAsia="Arial" w:hAnsi="Arial"/>
          <w:sz w:val="18"/>
          <w:szCs w:val="18"/>
          <w:color w:val="181818"/>
        </w:rPr>
        <w:t xml:space="preserve"> </w:t>
      </w:r>
      <w:r>
        <w:rPr>
          <w:rFonts w:ascii="Arial" w:cs="Arial" w:eastAsia="Arial" w:hAnsi="Arial"/>
          <w:sz w:val="18"/>
          <w:szCs w:val="18"/>
          <w:color w:val="000000"/>
        </w:rPr>
        <w:t>equipment is tested for impairment on at least an annual basis or whenever events or changes in circumstances indicate that its carrying amount may not be recoverable.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Goodwill is reviewed for impairment at least annually, and when triggering events occur, in accordance with the provisions of Financial Accounting Standards Board (“FASB”) Accounting Standards Codification (“ASC”) </w:t>
      </w:r>
      <w:r>
        <w:rPr>
          <w:rFonts w:ascii="Arial" w:cs="Arial" w:eastAsia="Arial" w:hAnsi="Arial"/>
          <w:sz w:val="18"/>
          <w:szCs w:val="18"/>
          <w:i w:val="1"/>
          <w:iCs w:val="1"/>
          <w:color w:val="auto"/>
        </w:rPr>
        <w:t>Topic 350, Intangibles – Goodwill and Other</w:t>
      </w:r>
      <w:r>
        <w:rPr>
          <w:rFonts w:ascii="Arial" w:cs="Arial" w:eastAsia="Arial" w:hAnsi="Arial"/>
          <w:sz w:val="18"/>
          <w:szCs w:val="18"/>
          <w:color w:val="auto"/>
        </w:rPr>
        <w:t xml:space="preserve">. The Company evaluates goodwill impairment at the reporting unit level and performs its annual goodwill impairment test on December 31. The Company has adopted </w:t>
      </w:r>
      <w:r>
        <w:rPr>
          <w:rFonts w:ascii="Arial" w:cs="Arial" w:eastAsia="Arial" w:hAnsi="Arial"/>
          <w:sz w:val="18"/>
          <w:szCs w:val="18"/>
          <w:i w:val="1"/>
          <w:iCs w:val="1"/>
          <w:color w:val="auto"/>
        </w:rPr>
        <w:t>ASU No. 2017-14,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Intangibles – Goodwill and Other (Topic 350): Simplifying the Test for Goodwill Impairment </w:t>
      </w:r>
      <w:r>
        <w:rPr>
          <w:rFonts w:ascii="Arial" w:cs="Arial" w:eastAsia="Arial" w:hAnsi="Arial"/>
          <w:sz w:val="18"/>
          <w:szCs w:val="18"/>
          <w:color w:val="auto"/>
        </w:rPr>
        <w:t>effective January 1, 2018. The Company has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a qualitative assessment to determine if an impairment is more likely than not to have occurred. If the Company can support the conclusion that it is not more likely than not that the fair value of a reporting unit is less than its carrying amount, then they would not need to perform the quantitative impairment test for the reporting unit. If the Company cannot support such a conclusion or does not elect to perform the qualitative assessment, then the qualitative goodwill impairment test is used to identify potential impairment by comparing the fair value of the reporting unit with its carrying amount, including goodwill.</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the fair value of the reporting unit exceeds its carrying value, then the goodwill is not impaired. If the fair value of the reporting unit is less than its carrying value, an impairment charge will be recorded based on the excess of a reporting unit’s carrying amount over its fair value. A significant amount of judgment is required in performing goodwill impairment tests including estimating the fair value of a reporting unit and the implied fair value of goodwill.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December 31, 2018, the Company’s goodwill was fully impaired. See </w:t>
      </w:r>
      <w:r>
        <w:rPr>
          <w:rFonts w:ascii="Arial" w:cs="Arial" w:eastAsia="Arial" w:hAnsi="Arial"/>
          <w:sz w:val="18"/>
          <w:szCs w:val="18"/>
          <w:i w:val="1"/>
          <w:iCs w:val="1"/>
          <w:color w:val="auto"/>
        </w:rPr>
        <w:t>“Note 6. Intangible Assets and Goodwill”</w:t>
      </w:r>
      <w:r>
        <w:rPr>
          <w:rFonts w:ascii="Arial" w:cs="Arial" w:eastAsia="Arial" w:hAnsi="Arial"/>
          <w:sz w:val="18"/>
          <w:szCs w:val="18"/>
          <w:color w:val="auto"/>
        </w:rPr>
        <w:t xml:space="preserve"> for further details on the assessment and conclusion on the goodwill impairment recorded during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Restricted cash and other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which is listed as its own line item in the consolidated balance sheets, represents balances at financial institutions to secure bonds and letters of credit as required by the Company’s various lease agreements. Other assets include cost basis investments.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services. On February 18, 2014, the Company sold its mobile social application business to InfoMedia Services Limited (“InfoMedia”), receiving an 8.25% ownership interest in InfoMedia as consideration and a seat on the board of directors of InfoMedia. The Company’s equity interest increased from 8.25% to 11% in the first quarter of 2017 due to a realignment of ownership interests. The Company’s investment in InfoMedia is included in other assets in the consolidated balance sheets for the years ended December 31, 2018 and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Revenue recognition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recognizes revenue from the sale of XpresSpa products and services at the point of sale, net of discounts and applicable sales taxes. Revenues from the XpresSpa wholesale and e-commerce businesses are recorded at the time goods are shipped. Accordingly, the Company recognizes revenue for its single performance obligation related to both in-store and online sales at the point at which the service has been performed or the control of the merchandise has passed to the customer. The Company excludes all sales taxes assessed to its customers. Sales taxes assessed on revenues are included in accounts payable, accrued expenses and other current liabilities in the consolidated balance sheets until remitted to the state agencies.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also has a franchise agreement with an unaffiliated franchisee to operate an XpresSpa location. The Company has identified the franchise right as a distinct performance obligation that transfers over time, and therefore any portion of the non-recurring initial franchise fee that is allocated to the franchise right should be recognized over the course of the contract rather than all upfront as would be the case with distinct performance obligations. Under the Company’s franchising model, all initial franchising fees relate to the franchise right and therefore are recognized over the course of the contract which commences upon signing of the agreement. Upon receipt of the non-recurring, non-refundable initial franchise fee, management records a deferred revenue asset and recognizes revenue on a straight-line basis over the contract term. As of December 31, 2018, there were no franchise royalty revenues as operations have not yet commenced. Once operations commence, franchise royalty revenue will be recorded in the period earned.</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revenue relates to one-time intellectual property licenses as well as the sale of certain of the Company’s intellectual property. Revenue from patent licensing is recognized when the Company transfers promised intellectual property rights to customers in an amount that reflects the consideration to which the Company expects to be entitled in exchange for those intellectual property rights.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receipt of the upfront fee, and transfer of the promised intellectual property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Gift cards and customer rewards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reduction in the value of unused card balances.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XpresSpa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 On June 1, 2018, the Company adopted a formal expiration policy whereby any loyalty members with inactivity for an 18-month period will forfeit any unused loyalty rewards.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costs associated with gift cards and reward points are accrued as the rewards are earned by the cardholder and are included in accounts payable, accrued expenses and other current liabilities in the consolidated balance sheets until remitted to the state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Segment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continuing operating segments are defined as components of an enterprise about which separate financial information is available that is regularly evaluated by the enterprise’s chief operating decision maker (“CODM”) in deciding how to allocate resources and in assessing performance. As a result of the Company’s transition to a pure-play health and wellness services company, it currently has one operating segment that is also its sole reporting unit, XpresSpa.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certain patent portfolios, which it looks to monetize through sales and licensing agreements. During the year ended December 31, 2018, the Company determined that its former intellectual property operating segment would no longer be an area of focus and, as such, will no longer operate as a separate operating segment, as it is not expected to generate any material revenues or operating costs.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(o) Rent expense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Minimum rent expense is recognized over the term of the lease, starting when possession of the property is taken from the landlord, which normally includes a construction period prior to the store opening. When a lease contains a predetermined fixed escalation of the minimum rent, the Company recognizes the related rent expense on a straight-line basis and records the difference between the recognized rent expense and the amounts payable under the lease as a short-term or long-term deferred rent liability. Costs related to common area maintenance, insurance, real estate taxes, and other occupancy costs the Company is obligated to pay are excluded from minimum rent expense.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leases provide for contingent rents that are not measurable at inception. These contingent rents are primarily based on a percentage of sales that are in excess of a predetermined level and/or rent increase based on a change in the consumer price index or fair market value. These amounts are excluded from minimum rent and are included in the determination of rent expense when it is probable that the expense has been incurred and the amount can be reasonably estimated.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Pre-opening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Pre-opening and start-up activity costs, which include rent and occupancy, supplies, advertising, and other direct expenses incurred prior to the opening of a new store, are expensed in the period in which they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for the Company’s wellness operating segment consists of store-level costs. Store-level costs include all costs that are directly attributable to the store operations and include:</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for the Company’s intellectual property operating segment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and comparable entities with publicly traded shares. The risk-free rate for the expected term of the option is based on the United States Treasury yield curve as of the date of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22, 2017, the United States government enacted comprehensive tax reform, commonly referred to as the Tax Cuts and Jobs Act of 2017 (“Tax Act”). The Tax Act makes changes to the corporate tax rate, business-related deductions and taxation of foreign earnings, among other changes, that generally became effective for tax years beginning after December 31,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sectPr>
      </w:pPr>
    </w:p>
    <w:bookmarkStart w:id="84" w:name="page85"/>
    <w:bookmarkEnd w:id="84"/>
    <w:p>
      <w:pPr>
        <w:jc w:val="both"/>
        <w:spacing w:after="0" w:line="257"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judgment is required in evaluating the Company's federal, state, local,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These adjustments are recognized as a component of income tax expense entirely in the period in which new information is available. The Company records interest related to unrecognized tax benefits in interest expense and penalties in the consolidated statements of operations and comprehensive loss as general and administrative expenses.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Noncontrolling interests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Noncontrolling interests represent the noncontrolling holders’ percentage share of earnings or losses from the subsidiaries, in which the Company holds a majority, but less than 100%, ownership interest and the results of which are included in the Company’s consolidated statements of operations and comprehensive loss. Net earnings attributable to noncontrolling interests represents the proportionate share of the noncontrolling holders' ownership in certain subsidiaries of XpresSpa.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Net loss per common share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net loss per share is computed by dividing the net loss attributable to the Company for the period by the weighted-average number of shares of Common Stock outstanding during the period. Diluted net loss per share is computed by dividing the net loss attributable to the Company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Commitments and contingencies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Liabilities for loss contingencies arising from assessments, estimates or other sources are to be recorded when it is probable that a liability has been incurred and the amount can be reasonably estimated. Legal costs expected to be incurred in connection with a loss contingency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Reclassification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presentation of discontinued operations and assets and liabilities held for disposal with respect to the Company’s FLI Charge and Group Mobile businesses, as well as consistent presentation of cost of sales and general and administrative expenses to align the presentation for operating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fair value 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core principle of this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Adoption of this ASU did not have a material impact on the Company’s consolidated financial statements.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No. 2014-15, Presentation of Financial Statements — Going Concern, Disclosures of Uncertainties about an Entity’s Ability to Continue as a Going Concern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requires management to evaluate whether there are conditions or events, considered in the aggregate, that raise substantial doubt about the entity’s ability to continue as a going concern within one year after the date that the financial statements are issued. Substantial doubt about an entity’s ability to continue as a going concern exists when it is probable that the entity will be unable to meet its obligations as they become due within one year after the date that the financial statements are issued. Management’s evaluation should be based on relevant conditions and events that are known and reasonably knowable at the date that the financial statements are issued. The amendments in this Update are effective for the annual period beginning after December 15,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This standard amends various aspects of the recognition, measurement, presentation, and disclosure for financial instruments. With respect to the Company’s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Adoption of this ASU did not have a material impact on the Company’s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0"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This standard provides new guidance related to accounting for leases and supersedes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2016, FASB issued ASU 2016-02, Leases, and several amendments (collectively, “ASU 2016-02”), which requires the Company to recognize assets and liabilities arising from most operating leases on the consolidated statements of financial condition. In 2018, the FASB issued ASU 2018-11, Targeted Improvements (“ASU 2018-11”), which provides a transition option to not apply the new lease standard to the comparative periods presented in the consolidated statements of financial condition. Under this transition option, the Company shall apply the new leases standard at the adoption date and recognizes any cumulative-effect adjustment to the opening balance of retained earnings in the period of adoption.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ASU 2016-02 effective for the fiscal year beginning after December 15, 2018 on a modified retrospective basis. The Company applied the transition option permitted by ASU 2018-11 and elected the package of practical expedients to alleviate certain operational and reporting complexities related to the adoption. The Company expects to recognize right-of-use assets and lease liabilities in the range of $10 million to $12 million for its current operating leases upon adoption of ASU 2016-02 and does not expect the adoption to have a material impact on its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The Company is currently in the process of evaluating the potential impact of the adoption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 (Topic 230): Classification of Certain Cash Receipts, Cash Payments, and Restricted Stock</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standard provides new guidance to help clarify whether certain items should be categorized as operating, investing, or financing in the statement of cash flows. This ASU No. 2016-15 provides guidance on eight specific cash flow issues. The new standard is effective for the fiscal year beginning after December 15, 2017, with early adoption permitted. Adoption of this ASU did not have a material impact on the Company’s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2016-18, Statement of Cash Flows (Topic 230): Restricted Cash</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amendment clarifies the classification and presentation of restricted cash in the consolidated statement of cash flows under Topic 230. In addition to providing explanation on the change during the period in the total of cash, cash equivalents, and amounts generally described as restricted cash or restricted cash equivalents. The new standard is effective for the fiscal year beginning after December 15, 2017, with early adoption permitted. We adopted ASU 2016-18 effective January 1, 2018. As a result of the adoption of ASU 2016-18, in the consolidated statement of cash flows for the year ended December 31, 2018, we reclassified $487 of restricted cash.</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ASU No. 2017-09, Stock Compensation (Topic 718): Scope of Modification Accounting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This standard provides guidance about which changes to the terms or conditions of a stock-based payment award require an entity to apply modification accounting in Topic 718. The current disclosure requirements in Topic 718 apply regardless of whether an entity is required to apply modification accounting under the amendments in this update. ASU 2017-09 is effective for annual periods, and interim periods within those annual periods, beginning after December 15, 2017; early adoption is permitted. Adoption of this ASU did not have a material impact on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2017-11, Earnings Per Share (Topic 260); Distinguishing Liabilities from Equity (Topic 480); Derivatives and Hedging (Topic 815)</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standard provides new guidance to address the complexity of accounting for certain financial instruments with down round features. The amendments of this ASU change the classification analysis of certain equity-linked financial instruments (or embedded features) with down round features. A down round feature no longer precludes equity classification when assessing whether the instrument is indexed to an entity’s own stock. A freestanding equity-linked financial instrument (or embedded conversion feature) no longer would be accounted for as a derivative liability at fair value as a result of the existence of a down round feature. The new standard is effective for the fiscal year beginning after December 15, 2018 with early adoption permitted. The Company early adopted this standard effective January 1, 2018. Adoption of this ASU did not have a material impact on the Company’s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2017-12, Derivatives and Hedging (Topic 815): Targeted Improvements to Accounting for Hedging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standard was created to provide more specific guidance and to simplify the application of hedge accounting in current U.S. GAAP to facilitate financial reporting that more closely reflects an entity’s risk management activities. The new standard is effective for the fiscal year beginning after December 15, 2018. The Company is currently in the process of evaluating the potential impact of the adoption on its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standard provides guidance on the reclassification of certain tax effects from AOCI to retained earnings in the period in which the effects of the change in the U.S. federal corporate income tax rate in the Tax Cuts and Jobs Act is recorded. The new standard is effective for the fiscal year beginning after December 15, 2018. The Company is currently in the process of evaluating the potential impact of the adoption on its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ASU No. 2018-13, Fair Value Measurement (Topic 820): Disclosure Framework—Changes to the Disclosure Requirements for Fair Value Measurement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amendment provides updates to the disclosure requirements on fair value measures in Topic 820 which includes the changes in unrealized gains and losses in other comprehensive income for recurring Level 3 fair value measurements, the option of additional quantitative information surrounding unobservable inputs and the elimination of disclosures around the valuation processes for Level 3 measurements. The new standard is effective for the fiscal year beginning after December 15, 2019. The Company is currently in the process of evaluating the impact of the adoption of this standard on its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Note 3. Net Loss per Share of Common Stock*</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The table below presents the computation of basic and diluted net losses per share of Common Stock:</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(36,090)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attributable to shares of Common Stock</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the Company</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Basic shares of Common Stock outstanding*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1,453,635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1,114,349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 of Common Stock from continuing operations</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(24.83)</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(14.86)</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Basic loss per share of Common Stock from discontinued operations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loss per share of Common Stock</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(36,090)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attributable to shares of Common Stock</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(12,277)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the Company</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of Common Stock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1,453,635</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Diluted loss per share of Common Stock from continuing operations</w:t>
            </w: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(24.83)</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(14.86)</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 of Common Stock from discontinued operations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net loss per share of Common Stock</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excludes from the calculation of diluted net loss the following potentially</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b w:val="1"/>
                <w:bCs w:val="1"/>
                <w:color w:val="auto"/>
              </w:rPr>
              <w:t>dilutive securities, as they had an anti-dilutive impact*: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Both vested and unvested options outstanding to purchase an equal number of shares of Common Stock of the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101,979</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215,897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Unvested RSUs to issue an equal number of shares of Common Stock of the Company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17,750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18,278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703,670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Preferred stock on an as converted basis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6,364,328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168,216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 of senior secured notes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217,500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w w:val="96"/>
              </w:rPr>
              <w:t>Total number of potentially dilutive instruments, excluded from the calculation of net loss per share*</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7,405,227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556,767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4. Cash, Cash Equivalents, and Restricted Cash</w:t>
            </w: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denominated in United States dollars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Cash denominated in currency other than United States dollars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1,143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Credit and debit card receivables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r>
      <w:tr>
        <w:trPr>
          <w:trHeight w:val="223"/>
        </w:trPr>
        <w:tc>
          <w:tcPr>
            <w:tcW w:w="6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as of December 31, 2018 and 2017, there was an additional $487 of restricted cash held by a third party recorded as restricted cash on the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 the consolidated balance sheets are comprised of the following as of December 31, 2018 and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2018</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2017</w:t>
            </w: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Lease deposits</w:t>
            </w: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r>
      <w:tr>
        <w:trPr>
          <w:trHeight w:val="223"/>
        </w:trPr>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the Company’s other assets included:</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$1,625 cost method investment in Route1 Inc. (“Route1”), which the Company received from the disposition of Group Mobile in March 2018;</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$787 cost method investment in InfoMedia Services Limited (“InfoMedia”), which the Company acquired in 2014;</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$23 cost method investment in Marathon Patent Group, Inc. (“Marathon”), which the Company acquired in January 2018 with an acquisition date fair value of $450. Based on the Company’s evaluation of the investment, it was determined that certain unrealized losses represented an other-than-temporary impairment as of December 31, 2018 and the Company recognized an impairment charge of $148 for the year ended December 31, 2018, equal to the excess of carrying value over fair value. During the year ended December 31, 2018, the Company sold 205,646 shares of Marathon Common Stock, with a carrying value of $279, for net proceeds of $200;</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$47 cost method investment in FLI Charge, which the Company received from the disposition of FLI Charge in October 2017;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$894 deposits made pursuant to various lease agreements, which will be returned to the Company at the end of the leases.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Net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amortization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and</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w:t>
            </w:r>
          </w:p>
        </w:tc>
        <w:tc>
          <w:tcPr>
            <w:tcW w:w="0" w:type="dxa"/>
            <w:vAlign w:val="bottom"/>
          </w:tcPr>
          <w:p>
            <w:pPr>
              <w:spacing w:after="0"/>
              <w:rPr>
                <w:sz w:val="1"/>
                <w:szCs w:val="1"/>
                <w:color w:val="auto"/>
              </w:rPr>
            </w:pPr>
          </w:p>
        </w:tc>
      </w:tr>
      <w:tr>
        <w:trPr>
          <w:trHeight w:val="234"/>
        </w:trPr>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6"/>
              </w:rPr>
              <w:t>Impairment</w:t>
            </w: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and Impairment</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(26,797)</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26,897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(26,775)</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F-22</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1" w:name="page92"/>
    <w:bookmarkEnd w:id="91"/>
    <w:p>
      <w:pPr>
        <w:jc w:val="both"/>
        <w:ind w:right="20"/>
        <w:spacing w:after="0" w:line="264" w:lineRule="auto"/>
        <w:rPr>
          <w:sz w:val="20"/>
          <w:szCs w:val="20"/>
          <w:color w:val="auto"/>
        </w:rPr>
      </w:pPr>
      <w:r>
        <w:rPr>
          <w:rFonts w:ascii="Arial" w:cs="Arial" w:eastAsia="Arial" w:hAnsi="Arial"/>
          <w:sz w:val="18"/>
          <w:szCs w:val="18"/>
          <w:color w:val="auto"/>
        </w:rPr>
        <w:t>The Company’s trade name relates to the value of the XpresSpa trade name, customer relationships represent the value of the loyalty customers, software relates to certain capitalized third-party costs related to a new point-of-sale system, and patents consist of intellectual property portfolios acquired from third parties.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intangible assets are amortized over their expected useful lives. During the year ended December 31, 2018, the Company recorded amortization expense of $2,465. During the year ended December 31, 2017, the Company recorded amortization and impairment expense of $2,403 related to its intangible assets.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impairment indicators related to any of the Company’s amortizable intangible assets during the year ended December 31, 2018 for the Company’s continuing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Estimated amortization expense for the Company’s intangible assets for each of the five succeeding years and thereafter at December 31, 2018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2,293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2,232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7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5, 2018, the Company changed its name to XpresSpa Group as part of a rebranding effort to carry out its corporate strategy to build a pure-play health and wellness services company, which the Company commenced following its acquisition of XpresSpa on December 23, 2016. The Company completed the sale of Group Mobile on March 22, 2018, which was the only remaining component of the Company’s technology operating segment. Following the sale of Group Mobile, the Company’s management made the decision that its intellectual property operating segment would no longer be an area of focus and would no longer be a separate operating segment as it is not expected to generate any material revenues. This completed the transition of the Company into a pure-play health and wellness company with only one operating segment, consisting of its XpresSpa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market capitalization is sensitive to the volatility of its stock price. On January 2, 2018, the first trading day of fiscal year 2018, the Company’s stock price opened at $544.00 and closed at $29.00. The closing price of the Company’s stock on March 29, 2018, the last trading day of the first quarter of fiscal 2018, was $14.40. The average closing stock price of the Company from January 2, 2018 through March 29, 2018 was approximately $20.40, ranging from $14.20 to $36.00 during that period.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19, 2018, the Company entered into a separation agreement with its Chief Executive Officer regarding his resignation as Chief Executive Officer and as a Director the Company. On that same date, the Company’s Senior Vice President and Chief Executive Officer of XpresSpa was appointed by the Board of Directors as the Chief Executive Officer and as a Director of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events were identified by the Company’s management as triggering events requiring that goodwill be tested for impairment as of March 31, 2018. In addition to the Company’s rebranding efforts to a pure-play health and wellness services company, its stock price continued to decline even after the announcement of the new Chief Executive Officer. As the stock price had not rebounded, the Company determined that the impairment was incurred during the three-month period ended March 31, 2018.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2" w:name="page93"/>
    <w:bookmarkEnd w:id="92"/>
    <w:p>
      <w:pPr>
        <w:jc w:val="both"/>
        <w:ind w:right="20"/>
        <w:spacing w:after="0" w:line="276" w:lineRule="auto"/>
        <w:rPr>
          <w:sz w:val="20"/>
          <w:szCs w:val="20"/>
          <w:color w:val="auto"/>
        </w:rPr>
      </w:pPr>
      <w:r>
        <w:rPr>
          <w:rFonts w:ascii="Arial" w:cs="Arial" w:eastAsia="Arial" w:hAnsi="Arial"/>
          <w:sz w:val="17"/>
          <w:szCs w:val="17"/>
          <w:color w:val="auto"/>
        </w:rPr>
        <w:t>The Company performed a quantitative goodwill impairment test, in which the Company compared the carrying value of the reporting unit to its estimated fair value, which was calculated using an income approach. The key assumptions for this approach were projected future cash flows and a discount rate, which was based on a weighted average cost of capital adjusted for the relevant risk associated with the characteristics of the business and the projected future cash flows. As a result of the quantitative goodwill impairment test performed as of March 31, 2018, the Company determined that the fair value of the reporting unit did not exceed its carrying amount and, therefore, goodwill of the reporting unit was considered impaired.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estimated fair value of goodwill, the Company recorded an impairment charge of $19,630, to reduce the carrying value of goodwill to its fair value, which was determined to be zero. This impairment charge is included in goodwill impairment in the consolidated statements of operations and comprehensive loss for the year ended December 31,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measurement of goodwill was classified within Level 3 of the fair value hierarchy because the income approach was used, which utilizes significant inputs that are unobservable in the market. The Company believes it made reasonable estimates and assumptions to calculate the fair value of the reporting unit as of the impairment test measurement date.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following table provides information regarding the Company’s goodwill, which relates to the acquisition of XpresSpa completed in December 2016, and related impairment charge recorded during the year ended December 31, 2018. </w:t>
      </w:r>
      <w:r>
        <w:rPr>
          <w:rFonts w:ascii="Arial" w:cs="Arial" w:eastAsia="Arial" w:hAnsi="Arial"/>
          <w:sz w:val="17"/>
          <w:szCs w:val="17"/>
          <w:color w:val="303131"/>
        </w:rPr>
        <w:t>See “Note 16 –</w:t>
      </w:r>
      <w:r>
        <w:rPr>
          <w:rFonts w:ascii="Arial" w:cs="Arial" w:eastAsia="Arial" w:hAnsi="Arial"/>
          <w:sz w:val="17"/>
          <w:szCs w:val="17"/>
          <w:color w:val="auto"/>
        </w:rPr>
        <w:t xml:space="preserve"> Discontinued Operations and Assets and Liabilities Held for Disposal</w:t>
      </w:r>
      <w:r>
        <w:rPr>
          <w:rFonts w:ascii="Arial" w:cs="Arial" w:eastAsia="Arial" w:hAnsi="Arial"/>
          <w:sz w:val="17"/>
          <w:szCs w:val="17"/>
          <w:color w:val="303131"/>
        </w:rPr>
        <w:t>” for impairment charges pertaining to discontinued operations for the year ended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December 31, 2016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20,303</w:t>
            </w: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Adjustments to XpresSpa goodwill</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(673)</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as of December 31, 2017</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(19,630)</w:t>
            </w:r>
          </w:p>
        </w:tc>
      </w:tr>
      <w:tr>
        <w:trPr>
          <w:trHeight w:val="223"/>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as of December 31, 2018</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Information</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Company’s continuing operating segments are defined as components of an enterprise about which separate financial information is available that is regularly evaluated by the enterprise’s CODM in deciding how to allocate resources and in assessing performance. As a result of the Company’s transition to a pure-play health and wellness services company, it currently has one operating segment that is also its sole reporting unit, XpresSpa.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both"/>
        <w:spacing w:after="0" w:line="312" w:lineRule="auto"/>
        <w:rPr>
          <w:sz w:val="20"/>
          <w:szCs w:val="20"/>
          <w:color w:val="auto"/>
        </w:rPr>
      </w:pPr>
      <w:r>
        <w:rPr>
          <w:rFonts w:ascii="Arial" w:cs="Arial" w:eastAsia="Arial" w:hAnsi="Arial"/>
          <w:sz w:val="16"/>
          <w:szCs w:val="16"/>
          <w:color w:val="auto"/>
        </w:rPr>
        <w:t>The Company currently operates in two geographical regions: United States and all other countries. The following table represents the geographical revenue, regional operating loss, and total asset information as of and for the years ended December 31, 2018 and 2017. There were no concentrations of geographical revenue, regional operating loss or total assets related to any single foreign country that were material to the Company’s consolidated financial statements.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All other countries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Operating loss from continuing operations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Corporate non-operating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All other countries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Assets held for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19"/>
                <w:szCs w:val="19"/>
                <w:color w:val="auto"/>
              </w:rPr>
            </w:pPr>
          </w:p>
        </w:tc>
      </w:tr>
      <w:tr>
        <w:trPr>
          <w:trHeight w:val="425"/>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44,738</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43,555</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5,356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5,268</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48,823</w:t>
            </w:r>
          </w:p>
        </w:tc>
        <w:tc>
          <w:tcPr>
            <w:tcW w:w="60" w:type="dxa"/>
            <w:vAlign w:val="bottom"/>
          </w:tcPr>
          <w:p>
            <w:pPr>
              <w:spacing w:after="0"/>
              <w:rPr>
                <w:sz w:val="18"/>
                <w:szCs w:val="18"/>
                <w:color w:val="auto"/>
              </w:rPr>
            </w:pPr>
          </w:p>
        </w:tc>
      </w:tr>
      <w:tr>
        <w:trPr>
          <w:trHeight w:val="64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36,017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35,844</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3,434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3,142</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38,986</w:t>
            </w:r>
          </w:p>
        </w:tc>
        <w:tc>
          <w:tcPr>
            <w:tcW w:w="60" w:type="dxa"/>
            <w:vAlign w:val="bottom"/>
          </w:tcPr>
          <w:p>
            <w:pPr>
              <w:spacing w:after="0"/>
              <w:rPr>
                <w:sz w:val="18"/>
                <w:szCs w:val="18"/>
                <w:color w:val="auto"/>
              </w:rPr>
            </w:pPr>
          </w:p>
        </w:tc>
      </w:tr>
      <w:tr>
        <w:trPr>
          <w:trHeight w:val="64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(36,125)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(16,282)</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1,566</w:t>
            </w:r>
          </w:p>
        </w:tc>
        <w:tc>
          <w:tcPr>
            <w:tcW w:w="6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(34,725)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(14,716)</w:t>
            </w:r>
          </w:p>
        </w:tc>
        <w:tc>
          <w:tcPr>
            <w:tcW w:w="6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(1,285)</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4"/>
        </w:trPr>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27,809</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55,152</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2,666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3,642</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6,446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8" w:right="23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8. Debt and Convertible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acquisition of XpresSpa, which was completed on December 23, 2016, the Company recorded the debt described below.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entered into a credit agreement and secured promissory note (the “Debt”) with Rockmore Investment Master Fund Ltd. (“Rockmore”), a related party, on April 22, 2015 that was amended on August 8, 2016. Rockmore is an investment entity controlled by the Company’s Chairman of the Board of Directors, Bruce T. Bernstein.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principal of the Debt is $6,500 payable in full upon maturity on December 31, 2019. In May 2017, per the original agreement and with Rockmore’s consent, the Company elected to extend the maturity date of the Debt from May 1, 2018 to May 1, 2019. No other material terms of the Debt were modified. The Debt bears 11.24% interest per year (based on 360 days in a year) that is payable as follows:</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9.24% annual interest, calculated on a monthly basis, which is payable in arrears on the last business day of each month plus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 annual interest, calculated on a monthly basis, which accrues monthly and becomes due and payable on the Debt anniversary dates.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14, 2018, the Company and Rockmore agreed to extend the maturity date of the Debt from May 1, 2019 to December 31, 2019. No other material terms of the Debt were modified. As consideration for the agreement to extend the maturity date of the Debt and the consent to the Securities Purchase Agreement, the Company issued to Rockmore 250,000 Class A Warrants. These Class A Warrants were issued on the same terms and conditions as the Class A Warrants issued pursuant to the Securities Purchase Agreement. The warrants issued to Rockmore were classified as equity warrants in the consolidated balance sheet as of December 31, 2018.</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Debt can be prepaid by XpresSpa at a 4% penalty at any point at its election. The Debt is secured by substantially all of the assets of XpresSpa. In addition, XpresSpa needs consent of Rockmore to incur any additional debt, except for:</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to finance acquisition, construction, or improvement of fixed and capital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bonds, bid bonds, appeal bonds, surety bonds, and similar;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pension fund and employee benefit plan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unsecured debt not exceeding $1,000;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convertible notes not exceeding $5,000;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letters of credit, bank guarantees and others in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Rockmore was entitled to certain reporting rights and annual audited financial information, which Rockmore waived in March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years-ended December 31, 2018 and 2017, XpresSpa paid and recorded $731 of interest expense in connection with the Rockmore debt.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Convertible Notes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15, 2018, the Company entered into the Securities Purchase Agreement with the Investors, pursuant to which the Company agreed to sell up to (i) an aggregate principal amount of $4,438 in the Convertible Notes, which includes $88 of Convertible Notes issued to Palladium Capital Advisors as Placement Agent, convertible into Common Stock at a conversion price of $12.40 per share, (ii) Class A Warrants to purchase 357,862 shares of Common Stock at an exercise price of $12.40 per share and (iii) Class B Warrants to purchase up to 178,931 shares of Common Stock at an exercise price of $12.40 per share. The Convertible Notes bear interest at a rate of 5% per annum. The Convertible Notes are senior secured obligations of the Company and are secured by certain of its personal property. Unless earlier converted or redeemed, the Convertible Notes will mature on November 16, 2019. The transaction closed on May 17, 2018.</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principal amount of the outstanding Convertible Notes was originally to be repaid monthly in the amount of $296, beginning on September 17, 2018, and the Company may make such payments and related interest payments in cash or, subject to certain conditions, in registered shares of Common Stock (or a combination thereof), at its election. If the Company chooses to repay the Convertible Notes in shares of Common Stock, the shares will be issued at a 10% discount to the volume weighted average price of Common Stock for the five (5) trading days commencing eight (8) days prior to the relevant repayment date</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and ending on the fourth (4</w:t>
      </w:r>
      <w:r>
        <w:rPr>
          <w:rFonts w:ascii="Arial" w:cs="Arial" w:eastAsia="Arial" w:hAnsi="Arial"/>
          <w:sz w:val="30"/>
          <w:szCs w:val="30"/>
          <w:color w:val="auto"/>
          <w:vertAlign w:val="superscript"/>
        </w:rPr>
        <w:t>th</w:t>
      </w:r>
      <w:r>
        <w:rPr>
          <w:rFonts w:ascii="Arial" w:cs="Arial" w:eastAsia="Arial" w:hAnsi="Arial"/>
          <w:sz w:val="18"/>
          <w:szCs w:val="18"/>
          <w:color w:val="auto"/>
        </w:rPr>
        <w:t>) trading day prior to such repayment date, subject to a minimum floor price of not less than 20% of the conversion price of the Convertible Notes on the issue date. The Company may also repay the Convertible Notes in advance of the maturity schedule subject to an early repayment penalty of 15%.</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14, 2018, the Company and each of the Investors entered into an Amendment Agreement (“First Amendment Agreement”) whereby the initial monthly principal repayment and accrued interest due on the Convertible Notes of $351 was settled in 2,067 shares of Common Stock on August 15, 2018. All other material terms of the Securities Purchase Agreement remained unchanged. During the three-month period ended September 30, 2018, several of the Investors converted their monthly principal payments and accrued interest due on the Convertible Notes into shares of Common Stock pursuant to the First Amendment Agreement, resulting in the issuance of an additional 2,737 shares of Common Stock.</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11, 2018, the Company entered into a Second Amendment Agreement (“Second Amendment Agreement”) whereby certain investors waived the Company’s obligation to make any monthly payments for the months of January, February and March 2019. Pursuant to the Second Amendment Agreement, each of such investors was permitted to convert its pro-rata share of the Convertible Notes, at a conversion price of $4.00 per share of Common Stock, such that the maximum number of shares to be issued pursuant to this amendment shall not exceed 250,000 shares of Common Stock. All other material terms of the Securities Purchase Agreement remained unchanged. During the three-month period ended December 31, 2018, one of the investors converted a portion of their allotted shares, in settlement of $23,000, into shares of Common Stock pursuant to the Second Amendment Agreement, resulting in the issuance of an additional 5,627 shares of Common Stock.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The table below summarizes the initial fair value of the Convertible Notes and Warrants as of May 17, 2018: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Class B Warrants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Total Fair Value</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the book value of the Convertible Notes from May 17, 2018 to December 31, 2018:</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Debt repayments in the period</w:t>
      </w:r>
    </w:p>
    <w:p>
      <w:pPr>
        <w:spacing w:after="0" w:line="9" w:lineRule="exact"/>
        <w:rPr>
          <w:sz w:val="20"/>
          <w:szCs w:val="20"/>
          <w:color w:val="auto"/>
        </w:rPr>
      </w:pPr>
    </w:p>
    <w:p>
      <w:pPr>
        <w:ind w:right="3360"/>
        <w:spacing w:after="0" w:line="276" w:lineRule="auto"/>
        <w:rPr>
          <w:sz w:val="20"/>
          <w:szCs w:val="20"/>
          <w:color w:val="auto"/>
        </w:rPr>
      </w:pPr>
      <w:r>
        <w:rPr>
          <w:rFonts w:ascii="Arial" w:cs="Arial" w:eastAsia="Arial" w:hAnsi="Arial"/>
          <w:sz w:val="18"/>
          <w:szCs w:val="18"/>
          <w:color w:val="auto"/>
        </w:rPr>
        <w:t>Amortization of debt discount and debt issuance costs, included in interest expense Book value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40" w:hanging="831"/>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2,388</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7"/>
          <w:szCs w:val="17"/>
          <w:color w:val="auto"/>
        </w:rPr>
        <w:t>(320)</w:t>
      </w:r>
    </w:p>
    <w:p>
      <w:pPr>
        <w:spacing w:after="0" w:line="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2,068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(1,068)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 w:lineRule="exact"/>
        <w:rPr>
          <w:sz w:val="20"/>
          <w:szCs w:val="20"/>
          <w:color w:val="auto"/>
        </w:rPr>
      </w:pPr>
    </w:p>
    <w:p>
      <w:pPr>
        <w:ind w:left="840" w:hanging="831"/>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31750</wp:posOffset>
            </wp:positionV>
            <wp:extent cx="7886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340" w:space="720"/>
            <w:col w:w="1360"/>
          </w:cols>
          <w:pgMar w:left="240" w:top="904" w:right="239" w:bottom="1440" w:gutter="0" w:footer="0" w:header="0"/>
          <w:type w:val="continuous"/>
        </w:sectPr>
      </w:pP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debt discount and debt issuance costs will be amortized on a straight-line basis over the remaining term of the Convertible Notes. During the year ended December 31, 2018, the Company recorded $986 of amortization of debt discount and debt issuance costs, which was included in interest expense for the year ended December 31, 2018. Additionally, for the year ended December 31, 2018, the Company recorded $110 of interest expense related to the Convertible Notes, which was included in interest 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liabilities measured at fair value on a recurring basis as of December 31, 2018 and 2017:</w:t>
      </w:r>
    </w:p>
    <w:p>
      <w:pPr>
        <w:sectPr>
          <w:pgSz w:w="11900" w:h="16838" w:orient="portrait"/>
          <w:cols w:equalWidth="0" w:num="1">
            <w:col w:w="11420"/>
          </w:cols>
          <w:pgMar w:left="240" w:top="904"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2015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May 2015 Warrants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May 2015 Warrants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2018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Balance</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20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inputs (Level 3)</w:t>
            </w:r>
          </w:p>
        </w:tc>
      </w:tr>
      <w:tr>
        <w:trPr>
          <w:trHeight w:val="453"/>
        </w:trPr>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34</w:t>
            </w: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-779780</wp:posOffset>
            </wp:positionV>
            <wp:extent cx="72466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-471170</wp:posOffset>
            </wp:positionV>
            <wp:extent cx="72466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-179705</wp:posOffset>
            </wp:positionV>
            <wp:extent cx="72466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4900" w:space="720"/>
            <w:col w:w="580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w:t>
      </w:r>
    </w:p>
    <w:p>
      <w:pPr>
        <w:spacing w:after="0" w:line="46" w:lineRule="exact"/>
        <w:rPr>
          <w:sz w:val="20"/>
          <w:szCs w:val="20"/>
          <w:color w:val="auto"/>
        </w:rPr>
      </w:pPr>
    </w:p>
    <w:p>
      <w:pPr>
        <w:jc w:val="both"/>
        <w:ind w:left="180" w:right="3900" w:hanging="10"/>
        <w:spacing w:after="0" w:line="300" w:lineRule="auto"/>
        <w:tabs>
          <w:tab w:leader="none" w:pos="355" w:val="left"/>
        </w:tabs>
        <w:numPr>
          <w:ilvl w:val="0"/>
          <w:numId w:val="32"/>
        </w:numPr>
        <w:rPr>
          <w:rFonts w:ascii="Arial" w:cs="Arial" w:eastAsia="Arial" w:hAnsi="Arial"/>
          <w:sz w:val="15"/>
          <w:szCs w:val="15"/>
          <w:color w:val="auto"/>
        </w:rPr>
      </w:pPr>
      <w:r>
        <w:rPr>
          <w:rFonts w:ascii="Arial" w:cs="Arial" w:eastAsia="Arial" w:hAnsi="Arial"/>
          <w:sz w:val="15"/>
          <w:szCs w:val="15"/>
          <w:color w:val="auto"/>
        </w:rPr>
        <w:t>Warrants B Warrants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8"/>
          </w:tcPr>
          <w:p>
            <w:pPr>
              <w:jc w:val="center"/>
              <w:ind w:right="7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Significant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Significant</w:t>
            </w:r>
          </w:p>
        </w:tc>
      </w:tr>
      <w:tr>
        <w:trPr>
          <w:trHeight w:val="230"/>
        </w:trPr>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observable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assets (Level 1)</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inputs (Level 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inputs (Level 3)</w:t>
            </w:r>
          </w:p>
        </w:tc>
      </w:tr>
      <w:tr>
        <w:trPr>
          <w:trHeight w:val="425"/>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8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May 17, 2018:</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 Warrants</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1,827</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B Warrants</w:t>
            </w:r>
          </w:p>
        </w:tc>
        <w:tc>
          <w:tcPr>
            <w:tcW w:w="4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600" w:type="dxa"/>
            <w:vAlign w:val="bottom"/>
          </w:tcPr>
          <w:p>
            <w:pPr>
              <w:spacing w:after="0"/>
              <w:rPr>
                <w:sz w:val="19"/>
                <w:szCs w:val="19"/>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its derivative warrant liabilities at fair value. The derivative warrant liabilities were classified within Level 3 because they were valued using the Black-Scholes-Merton model, which utilizes significant inputs that are unobservable in the market. These derivative warrant liabilities were initially measured at fair value and are marked to market at each balance sheet date. The derivative warrant liabilities are recorded as derivative warrant liabilities in the consolidated balance sheets and the revaluation of the derivative warrants liabilities is included in other non-operating income (expense) in the consolidated statements of operations and comprehensive loss.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7" w:name="page98"/>
    <w:bookmarkEnd w:id="97"/>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December 31, 2018 and 2017 consisted of cash and cash equivalents, receivables, accounts payable and Debt.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year ended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Issuance of warrants May 17, 2018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8"/>
                <w:szCs w:val="18"/>
                <w:color w:val="auto"/>
              </w:rPr>
            </w:pPr>
          </w:p>
        </w:tc>
      </w:tr>
      <w:tr>
        <w:trPr>
          <w:trHeight w:val="23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(1,520)</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December 31, 2018</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May 2015 Warrants</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December 31, 2018:</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4"/>
                <w:szCs w:val="24"/>
                <w:color w:val="auto"/>
              </w:rPr>
            </w:pPr>
          </w:p>
        </w:tc>
        <w:tc>
          <w:tcPr>
            <w:tcW w:w="24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71.16%</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980" w:type="dxa"/>
            <w:vAlign w:val="bottom"/>
          </w:tcPr>
          <w:p>
            <w:pPr>
              <w:spacing w:after="0"/>
              <w:rPr>
                <w:sz w:val="20"/>
                <w:szCs w:val="20"/>
                <w:color w:val="auto"/>
              </w:rPr>
            </w:pPr>
            <w:r>
              <w:rPr>
                <w:rFonts w:ascii="Arial" w:cs="Arial" w:eastAsia="Arial" w:hAnsi="Arial"/>
                <w:sz w:val="18"/>
                <w:szCs w:val="18"/>
                <w:b w:val="1"/>
                <w:bCs w:val="1"/>
                <w:color w:val="auto"/>
              </w:rPr>
              <w:t>May 2018 Warrants</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December 31, 2018:</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25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 Warrants</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Black-Scholes-Merton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70.61%</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634"/>
        </w:trPr>
        <w:tc>
          <w:tcPr>
            <w:tcW w:w="3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F-29</w:t>
            </w: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25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 Warrants</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Black-Scholes-Merton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84.02%</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May 17, 2018:</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25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 Warrants</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Black-Scholes-Merton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71.13%</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0"/>
                <w:szCs w:val="20"/>
                <w:color w:val="auto"/>
              </w:rPr>
            </w:pPr>
          </w:p>
        </w:tc>
        <w:tc>
          <w:tcPr>
            <w:tcW w:w="2280" w:type="dxa"/>
            <w:vAlign w:val="bottom"/>
          </w:tcPr>
          <w:p>
            <w:pPr>
              <w:ind w:left="380"/>
              <w:spacing w:after="0"/>
              <w:rPr>
                <w:sz w:val="20"/>
                <w:szCs w:val="20"/>
                <w:color w:val="auto"/>
              </w:rPr>
            </w:pPr>
            <w:r>
              <w:rPr>
                <w:rFonts w:ascii="Arial" w:cs="Arial" w:eastAsia="Arial" w:hAnsi="Arial"/>
                <w:sz w:val="18"/>
                <w:szCs w:val="18"/>
                <w:b w:val="1"/>
                <w:bCs w:val="1"/>
                <w:color w:val="auto"/>
              </w:rPr>
              <w:t>Valuation technique</w:t>
            </w:r>
          </w:p>
        </w:tc>
        <w:tc>
          <w:tcPr>
            <w:tcW w:w="120" w:type="dxa"/>
            <w:vAlign w:val="bottom"/>
          </w:tcPr>
          <w:p>
            <w:pPr>
              <w:spacing w:after="0"/>
              <w:rPr>
                <w:sz w:val="20"/>
                <w:szCs w:val="20"/>
                <w:color w:val="auto"/>
              </w:rPr>
            </w:pPr>
          </w:p>
        </w:tc>
        <w:tc>
          <w:tcPr>
            <w:tcW w:w="2380" w:type="dxa"/>
            <w:vAlign w:val="bottom"/>
            <w:gridSpan w:val="2"/>
          </w:tcPr>
          <w:p>
            <w:pPr>
              <w:ind w:left="340"/>
              <w:spacing w:after="0"/>
              <w:rPr>
                <w:sz w:val="20"/>
                <w:szCs w:val="20"/>
                <w:color w:val="auto"/>
              </w:rPr>
            </w:pPr>
            <w:r>
              <w:rPr>
                <w:rFonts w:ascii="Arial" w:cs="Arial" w:eastAsia="Arial" w:hAnsi="Arial"/>
                <w:sz w:val="18"/>
                <w:szCs w:val="18"/>
                <w:b w:val="1"/>
                <w:bCs w:val="1"/>
                <w:color w:val="auto"/>
              </w:rPr>
              <w:t>Unobservable inputs</w:t>
            </w:r>
          </w:p>
        </w:tc>
        <w:tc>
          <w:tcPr>
            <w:tcW w:w="256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Range</w:t>
            </w:r>
          </w:p>
        </w:tc>
      </w:tr>
      <w:tr>
        <w:trPr>
          <w:trHeight w:val="195"/>
        </w:trPr>
        <w:tc>
          <w:tcPr>
            <w:tcW w:w="3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Derivative warrant liabilities –</w:t>
            </w:r>
          </w:p>
        </w:tc>
        <w:tc>
          <w:tcPr>
            <w:tcW w:w="10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 Warrants</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Black-Scholes-Merton</w:t>
            </w: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72.88%</w:t>
            </w:r>
          </w:p>
        </w:tc>
      </w:tr>
      <w:tr>
        <w:trPr>
          <w:trHeight w:val="216"/>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Expected term, in years</w:t>
            </w:r>
          </w:p>
        </w:tc>
        <w:tc>
          <w:tcPr>
            <w:tcW w:w="2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500" w:type="dxa"/>
            <w:vAlign w:val="bottom"/>
            <w:gridSpan w:val="3"/>
          </w:tcPr>
          <w:p>
            <w:pPr>
              <w:ind w:left="120"/>
              <w:spacing w:after="0"/>
              <w:rPr>
                <w:sz w:val="20"/>
                <w:szCs w:val="20"/>
                <w:color w:val="auto"/>
              </w:rPr>
            </w:pPr>
            <w:r>
              <w:rPr>
                <w:rFonts w:ascii="Arial" w:cs="Arial" w:eastAsia="Arial" w:hAnsi="Arial"/>
                <w:sz w:val="18"/>
                <w:szCs w:val="18"/>
                <w:color w:val="auto"/>
              </w:rPr>
              <w:t>Dividend yield</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Marathon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11, 2018 (the “Transaction Date”), the Company entered into a Patent Rights Purchase and Assignment Agreement (the “Agreement”) with Crypto Currency Patent Holding Company LLC (the “Buyer”) and its parent company, Marathon, pursuant to which the Buyer agreed to purchase certain of the Company’s patents. As consideration for the patents, the Buyer paid $250 and Marathon issued 250,000 shares of Marathon Common Stock (the “Marathon Common Stock”) to the Company. The Marathon Common Stock was subject to a lockup period (the “Lockup Period”) which commenced on the Transaction Date and ended on July 11, 2018, subject to a leak-out provision.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9" w:name="page100"/>
    <w:bookmarkEnd w:id="99"/>
    <w:p>
      <w:pPr>
        <w:jc w:val="both"/>
        <w:spacing w:after="0" w:line="264" w:lineRule="auto"/>
        <w:rPr>
          <w:sz w:val="20"/>
          <w:szCs w:val="20"/>
          <w:color w:val="auto"/>
        </w:rPr>
      </w:pPr>
      <w:r>
        <w:rPr>
          <w:rFonts w:ascii="Arial" w:cs="Arial" w:eastAsia="Arial" w:hAnsi="Arial"/>
          <w:sz w:val="18"/>
          <w:szCs w:val="18"/>
          <w:color w:val="auto"/>
        </w:rPr>
        <w:t>The Marathon Common Stock is recognized as a cost method investment and, as such, was required to be measured at cost on the date of acquisition, which, as of the Transaction Date, approximated fair value. The following table presents the placement in the fair value hierarchy of the Marathon Common Stock measured at fair value on a nonrecurring basis as of the Transaction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Quoted prices in</w:t>
            </w:r>
          </w:p>
        </w:tc>
        <w:tc>
          <w:tcPr>
            <w:tcW w:w="8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active markets</w:t>
            </w:r>
          </w:p>
        </w:tc>
        <w:tc>
          <w:tcPr>
            <w:tcW w:w="880" w:type="dxa"/>
            <w:vAlign w:val="bottom"/>
          </w:tcPr>
          <w:p>
            <w:pPr>
              <w:spacing w:after="0"/>
              <w:rPr>
                <w:sz w:val="20"/>
                <w:szCs w:val="20"/>
                <w:color w:val="auto"/>
              </w:rPr>
            </w:pPr>
            <w:r>
              <w:rPr>
                <w:rFonts w:ascii="Arial" w:cs="Arial" w:eastAsia="Arial" w:hAnsi="Arial"/>
                <w:sz w:val="18"/>
                <w:szCs w:val="18"/>
                <w:b w:val="1"/>
                <w:bCs w:val="1"/>
                <w:color w:val="auto"/>
                <w:w w:val="93"/>
              </w:rPr>
              <w:t>Significant</w:t>
            </w:r>
          </w:p>
        </w:tc>
        <w:tc>
          <w:tcPr>
            <w:tcW w:w="5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for identical</w:t>
            </w: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assets (Level 1)</w:t>
            </w: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11, 2018</w:t>
            </w: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79"/>
              </w:rPr>
              <w:t>23</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 of the Marathon Common Stock was estimated by multiplying the number of shares as they become tradeable by the price per share as of the Transaction Date, information that falls within Level 1 of the fair value hierarchy, quoted prices in active markets for identical assets; however, due to the fact that the Marathon Common Stock was restricted during the Lockup Period, the Company applied a discount on the lack of marketability to estimate the fair value at the measurement date, which is a significant other observable input resulting in placement in Level 2 of the fair value hierarchy. The fair value of the consideration as of the Transaction Date was determined to be $450. Based on the Company’s evaluation of the investment, it was determined that certain unrealized losses represented an other-than-temporary impairment as of December 31, 2018 and the Company recognized an impairment charge of $148 for the year ended December 31, 2018, equal to the excess of carrying value over fair value. The fair value of the remaining Marathon Common Stock held as of December 31, 2018 was determined to be $23, which is included in other assets in the consolidated balance sheet as of December 31,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11, 2018, the Lockup Period concluded and the Company was permitted to begin trading the Marathon Common Stock, subject to a leak-out provision whereby the shares were released from lockup in equal increments over a twenty-day period. As of December 31, 2018, the remaining 44,354 shares of Marathon Common Stock were no longer restricted pursuant to the Lockup Period and leak-out provision, and the Company determined that the investments are classified within Level 1 of the fair value hierarchy.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2018, the Company sold 205,646 shares of Marathon Common Stock, with a carrying value of $279, for net proceeds of $200.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the changes in the Company’s investment in Marathon Common Stock, measured at fair value using significant other observable inputs (Level 2) as of Transaction Date and measured at fair value using quoted prices in active markets for identical assets (Level 1) during the year ended December 31, 2018: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January 11, 2018</w:t>
            </w:r>
          </w:p>
        </w:tc>
        <w:tc>
          <w:tcPr>
            <w:tcW w:w="58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Carrying value of Marathon Common Stock sold</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Decrease in fair value of the Marathon Common Stock</w:t>
            </w:r>
          </w:p>
        </w:tc>
        <w:tc>
          <w:tcPr>
            <w:tcW w:w="5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December 31, 2018</w:t>
            </w:r>
          </w:p>
        </w:tc>
        <w:tc>
          <w:tcPr>
            <w:tcW w:w="5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76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2"/>
          </w:tcPr>
          <w:p>
            <w:pPr>
              <w:jc w:val="right"/>
              <w:ind w:right="4590"/>
              <w:spacing w:after="0"/>
              <w:rPr>
                <w:sz w:val="20"/>
                <w:szCs w:val="20"/>
                <w:color w:val="auto"/>
              </w:rPr>
            </w:pPr>
            <w:r>
              <w:rPr>
                <w:rFonts w:ascii="Arial" w:cs="Arial" w:eastAsia="Arial" w:hAnsi="Arial"/>
                <w:sz w:val="18"/>
                <w:szCs w:val="18"/>
                <w:color w:val="auto"/>
              </w:rPr>
              <w:t>F-31</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the contingent consideration assumed by the Company following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Excalibur Integrated Systems, Inc. (“Excalibur”), which is measured at fair value on a recurring basis as of December 31, 2018 and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5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30"/>
        </w:trPr>
        <w:tc>
          <w:tcPr>
            <w:tcW w:w="5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5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 2)</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4"/>
                <w:szCs w:val="24"/>
                <w:color w:val="auto"/>
              </w:rPr>
            </w:pPr>
          </w:p>
        </w:tc>
      </w:tr>
      <w:tr>
        <w:trPr>
          <w:trHeight w:val="197"/>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December 31, 2017:</w:t>
            </w: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value of the contingent consideration assumed by the Company following the acquisition of Excalibur was determined using the Monte-Carlo simulation and, as such, was classified as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 activity during the years ended December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4180" w:type="dxa"/>
            <w:vAlign w:val="bottom"/>
          </w:tcPr>
          <w:p>
            <w:pPr>
              <w:spacing w:after="0"/>
              <w:rPr>
                <w:sz w:val="20"/>
                <w:szCs w:val="20"/>
                <w:color w:val="auto"/>
              </w:rPr>
            </w:pPr>
          </w:p>
        </w:tc>
        <w:tc>
          <w:tcPr>
            <w:tcW w:w="4260" w:type="dxa"/>
            <w:vAlign w:val="bottom"/>
            <w:gridSpan w:val="3"/>
          </w:tcPr>
          <w:p>
            <w:pPr>
              <w:ind w:left="2760"/>
              <w:spacing w:after="0"/>
              <w:rPr>
                <w:sz w:val="20"/>
                <w:szCs w:val="20"/>
                <w:color w:val="auto"/>
              </w:rPr>
            </w:pPr>
            <w:r>
              <w:rPr>
                <w:rFonts w:ascii="Arial" w:cs="Arial" w:eastAsia="Arial" w:hAnsi="Arial"/>
                <w:sz w:val="18"/>
                <w:szCs w:val="18"/>
                <w:b w:val="1"/>
                <w:bCs w:val="1"/>
                <w:color w:val="auto"/>
              </w:rPr>
              <w:t>No. of warrants*</w:t>
            </w:r>
          </w:p>
        </w:tc>
        <w:tc>
          <w:tcPr>
            <w:tcW w:w="12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price range*</w:t>
            </w:r>
          </w:p>
        </w:tc>
      </w:tr>
      <w:tr>
        <w:trPr>
          <w:trHeight w:val="195"/>
        </w:trPr>
        <w:tc>
          <w:tcPr>
            <w:tcW w:w="4180" w:type="dxa"/>
            <w:vAlign w:val="bottom"/>
            <w:tcBorders>
              <w:top w:val="single" w:sz="8" w:color="CCEEFF"/>
            </w:tcBorders>
            <w:shd w:val="clear" w:color="auto" w:fill="CCEEFF"/>
          </w:tcPr>
          <w:p>
            <w:pPr>
              <w:spacing w:after="0"/>
              <w:rPr>
                <w:sz w:val="16"/>
                <w:szCs w:val="16"/>
                <w:color w:val="auto"/>
              </w:rPr>
            </w:pPr>
          </w:p>
        </w:tc>
        <w:tc>
          <w:tcPr>
            <w:tcW w:w="27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$ 60.00 –</w:t>
            </w: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154,375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549,294</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7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Expired</w:t>
            </w:r>
          </w:p>
        </w:tc>
        <w:tc>
          <w:tcPr>
            <w:tcW w:w="27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418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$ 12.40 –</w:t>
            </w:r>
          </w:p>
        </w:tc>
      </w:tr>
      <w:tr>
        <w:trPr>
          <w:trHeight w:val="257"/>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703,669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7"/>
          </w:tcPr>
          <w:p>
            <w:pPr>
              <w:spacing w:after="0"/>
              <w:rPr>
                <w:sz w:val="20"/>
                <w:szCs w:val="20"/>
                <w:color w:val="auto"/>
              </w:rPr>
            </w:pPr>
            <w:r>
              <w:rPr>
                <w:rFonts w:ascii="Arial" w:cs="Arial" w:eastAsia="Arial" w:hAnsi="Arial"/>
                <w:sz w:val="18"/>
                <w:szCs w:val="18"/>
                <w:color w:val="auto"/>
              </w:rPr>
              <w:t>The Company’s outstanding equity warrants as of December 31, 2018 consist of the following:</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No. outstanding*</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contractual life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2015 Warrants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2.29 years</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2021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December 2016 Warrants</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2.98 years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December 23, 2021</w:t>
            </w:r>
          </w:p>
        </w:tc>
        <w:tc>
          <w:tcPr>
            <w:tcW w:w="0" w:type="dxa"/>
            <w:vAlign w:val="bottom"/>
          </w:tcPr>
          <w:p>
            <w:pPr>
              <w:spacing w:after="0"/>
              <w:rPr>
                <w:sz w:val="1"/>
                <w:szCs w:val="1"/>
                <w:color w:val="auto"/>
              </w:rPr>
            </w:pPr>
          </w:p>
        </w:tc>
      </w:tr>
      <w:tr>
        <w:trPr>
          <w:trHeight w:val="243"/>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May 2018 Warrants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4.88 years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17, 2023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Outstanding as of December 31, 2018</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140,000</w:t>
            </w: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20" w:type="dxa"/>
            <w:vAlign w:val="bottom"/>
            <w:gridSpan w:val="7"/>
          </w:tcPr>
          <w:p>
            <w:pPr>
              <w:spacing w:after="0"/>
              <w:rPr>
                <w:sz w:val="20"/>
                <w:szCs w:val="20"/>
                <w:color w:val="auto"/>
              </w:rPr>
            </w:pPr>
            <w:r>
              <w:rPr>
                <w:rFonts w:ascii="Arial" w:cs="Arial" w:eastAsia="Arial" w:hAnsi="Arial"/>
                <w:sz w:val="18"/>
                <w:szCs w:val="18"/>
                <w:color w:val="auto"/>
              </w:rPr>
              <w:t>The Company’s outstanding derivative warrants as of December 31, 2018 consist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No. outstanding*</w:t>
            </w: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Exercise price*</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contractual life</w:t>
            </w:r>
          </w:p>
        </w:tc>
        <w:tc>
          <w:tcPr>
            <w:tcW w:w="12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0" w:type="dxa"/>
            <w:vAlign w:val="bottom"/>
          </w:tcPr>
          <w:p>
            <w:pPr>
              <w:spacing w:after="0"/>
              <w:rPr>
                <w:sz w:val="1"/>
                <w:szCs w:val="1"/>
                <w:color w:val="auto"/>
              </w:rPr>
            </w:pPr>
          </w:p>
        </w:tc>
      </w:tr>
      <w:tr>
        <w:trPr>
          <w:trHeight w:val="23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1.34 years</w:t>
            </w: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May 4, 2020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stock-based compensation plan available to grant stock options and RSUs to the Company’s directors, employees and consultants. Under the 2012 Employee, Director and Consultant Equity Incentive Plan (the “Plan”), a maximum of 78,000 shares of Common Stock may be awarded. In 2015 and 2016, the Company amended the Plan so that a maximum number of shares of Common Stock that may be awarded was increased to 355,000. As of December 31, 2018, 191,569 shares were available for future grants under the Plan.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stock-based compensation expense for the years ended December 31, 2018 and 2017 was $916 and $2,745, respectively, of which stock-based compensation expense included in the discontinued operations was $0 and $586,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There were no stock options granted during the year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RSUs granted during the year ended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Fair market</w:t>
            </w:r>
          </w:p>
        </w:tc>
        <w:tc>
          <w:tcPr>
            <w:tcW w:w="2280" w:type="dxa"/>
            <w:vAlign w:val="bottom"/>
          </w:tcPr>
          <w:p>
            <w:pPr>
              <w:spacing w:after="0"/>
              <w:rPr>
                <w:sz w:val="18"/>
                <w:szCs w:val="18"/>
                <w:color w:val="auto"/>
              </w:rPr>
            </w:pP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2060" w:type="dxa"/>
            <w:vAlign w:val="bottom"/>
            <w:gridSpan w:val="2"/>
          </w:tcPr>
          <w:p>
            <w:pPr>
              <w:ind w:left="460"/>
              <w:spacing w:after="0"/>
              <w:rPr>
                <w:sz w:val="20"/>
                <w:szCs w:val="20"/>
                <w:color w:val="auto"/>
              </w:rPr>
            </w:pPr>
            <w:r>
              <w:rPr>
                <w:rFonts w:ascii="Arial" w:cs="Arial" w:eastAsia="Arial" w:hAnsi="Arial"/>
                <w:sz w:val="18"/>
                <w:szCs w:val="18"/>
                <w:b w:val="1"/>
                <w:bCs w:val="1"/>
                <w:color w:val="auto"/>
              </w:rPr>
              <w:t>No. of RSUs*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value at grant date*</w:t>
            </w:r>
          </w:p>
        </w:tc>
        <w:tc>
          <w:tcPr>
            <w:tcW w:w="2280" w:type="dxa"/>
            <w:vAlign w:val="bottom"/>
          </w:tcPr>
          <w:p>
            <w:pPr>
              <w:ind w:left="640"/>
              <w:spacing w:after="0"/>
              <w:rPr>
                <w:sz w:val="20"/>
                <w:szCs w:val="20"/>
                <w:color w:val="auto"/>
              </w:rPr>
            </w:pPr>
            <w:r>
              <w:rPr>
                <w:rFonts w:ascii="Arial" w:cs="Arial" w:eastAsia="Arial" w:hAnsi="Arial"/>
                <w:sz w:val="18"/>
                <w:szCs w:val="18"/>
                <w:b w:val="1"/>
                <w:bCs w:val="1"/>
                <w:color w:val="auto"/>
              </w:rPr>
              <w:t>Vesting term</w:t>
            </w:r>
          </w:p>
        </w:tc>
      </w:tr>
      <w:tr>
        <w:trPr>
          <w:trHeight w:val="195"/>
        </w:trPr>
        <w:tc>
          <w:tcPr>
            <w:tcW w:w="4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Vesting immediately upon</w:t>
            </w:r>
          </w:p>
        </w:tc>
      </w:tr>
      <w:tr>
        <w:trPr>
          <w:trHeight w:val="23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2018</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18.80</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grant</w:t>
            </w:r>
          </w:p>
        </w:tc>
      </w:tr>
      <w:tr>
        <w:trPr>
          <w:trHeight w:val="202"/>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Vesting immediately upon</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April 19, 2018</w:t>
            </w:r>
          </w:p>
        </w:tc>
        <w:tc>
          <w:tcPr>
            <w:tcW w:w="20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2280" w:type="dxa"/>
            <w:vAlign w:val="bottom"/>
          </w:tcPr>
          <w:p>
            <w:pPr>
              <w:spacing w:after="0"/>
              <w:rPr>
                <w:sz w:val="20"/>
                <w:szCs w:val="20"/>
                <w:color w:val="auto"/>
              </w:rPr>
            </w:pPr>
            <w:r>
              <w:rPr>
                <w:rFonts w:ascii="Arial" w:cs="Arial" w:eastAsia="Arial" w:hAnsi="Arial"/>
                <w:sz w:val="18"/>
                <w:szCs w:val="18"/>
                <w:color w:val="auto"/>
              </w:rPr>
              <w:t>grant</w:t>
            </w:r>
          </w:p>
        </w:tc>
      </w:tr>
      <w:tr>
        <w:trPr>
          <w:trHeight w:val="230"/>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1"/>
              </w:rPr>
              <w:t>Over one year, vesting on 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May 15, 2018</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23,250</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40" w:type="dxa"/>
            <w:vAlign w:val="bottom"/>
            <w:gridSpan w:val="10"/>
          </w:tcPr>
          <w:p>
            <w:pPr>
              <w:jc w:val="center"/>
              <w:ind w:right="100"/>
              <w:spacing w:after="0"/>
              <w:rPr>
                <w:sz w:val="20"/>
                <w:szCs w:val="20"/>
                <w:color w:val="auto"/>
              </w:rPr>
            </w:pPr>
            <w:r>
              <w:rPr>
                <w:rFonts w:ascii="Arial" w:cs="Arial" w:eastAsia="Arial" w:hAnsi="Arial"/>
                <w:sz w:val="18"/>
                <w:szCs w:val="18"/>
                <w:color w:val="auto"/>
                <w:w w:val="92"/>
              </w:rPr>
              <w:t>12.00   year anniversary of grant date</w:t>
            </w:r>
          </w:p>
        </w:tc>
        <w:tc>
          <w:tcPr>
            <w:tcW w:w="0" w:type="dxa"/>
            <w:vAlign w:val="bottom"/>
          </w:tcPr>
          <w:p>
            <w:pPr>
              <w:spacing w:after="0"/>
              <w:rPr>
                <w:sz w:val="1"/>
                <w:szCs w:val="1"/>
                <w:color w:val="auto"/>
              </w:rPr>
            </w:pPr>
          </w:p>
        </w:tc>
      </w:tr>
      <w:tr>
        <w:trPr>
          <w:trHeight w:val="418"/>
        </w:trPr>
        <w:tc>
          <w:tcPr>
            <w:tcW w:w="9900" w:type="dxa"/>
            <w:vAlign w:val="bottom"/>
            <w:gridSpan w:val="21"/>
          </w:tcPr>
          <w:p>
            <w:pPr>
              <w:spacing w:after="0"/>
              <w:rPr>
                <w:sz w:val="20"/>
                <w:szCs w:val="20"/>
                <w:color w:val="auto"/>
              </w:rPr>
            </w:pPr>
            <w:r>
              <w:rPr>
                <w:rFonts w:ascii="Arial" w:cs="Arial" w:eastAsia="Arial" w:hAnsi="Arial"/>
                <w:sz w:val="18"/>
                <w:szCs w:val="18"/>
                <w:color w:val="auto"/>
                <w:w w:val="99"/>
              </w:rPr>
              <w:t>The following tables summarize information about stock options and RSU activity during the year ended December 31, 2018: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40" w:type="dxa"/>
            <w:vAlign w:val="bottom"/>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RSUs</w:t>
            </w: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ind w:left="860"/>
              <w:spacing w:after="0"/>
              <w:rPr>
                <w:sz w:val="20"/>
                <w:szCs w:val="20"/>
                <w:color w:val="auto"/>
              </w:rPr>
            </w:pPr>
            <w:r>
              <w:rPr>
                <w:rFonts w:ascii="Arial" w:cs="Arial" w:eastAsia="Arial" w:hAnsi="Arial"/>
                <w:sz w:val="18"/>
                <w:szCs w:val="18"/>
                <w:b w:val="1"/>
                <w:bCs w:val="1"/>
                <w:color w:val="auto"/>
              </w:rPr>
              <w:t>Options</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1"/>
              </w:rPr>
              <w:t>Weighted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Exercise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No. of</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grant date</w:t>
            </w: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No. of</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3"/>
              </w:rPr>
              <w:t>exercise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price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grant date</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RSUs*</w:t>
            </w:r>
          </w:p>
        </w:tc>
        <w:tc>
          <w:tcPr>
            <w:tcW w:w="14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options*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price*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range*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Outstanding as of January 1,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215,897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22.00 – 820.00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33,420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1700" w:type="dxa"/>
            <w:vAlign w:val="bottom"/>
            <w:gridSpan w:val="6"/>
          </w:tcPr>
          <w:p>
            <w:pPr>
              <w:jc w:val="right"/>
              <w:ind w:right="160"/>
              <w:spacing w:after="0"/>
              <w:rPr>
                <w:sz w:val="20"/>
                <w:szCs w:val="20"/>
                <w:color w:val="auto"/>
              </w:rPr>
            </w:pPr>
            <w:r>
              <w:rPr>
                <w:rFonts w:ascii="Arial" w:cs="Arial" w:eastAsia="Arial" w:hAnsi="Arial"/>
                <w:sz w:val="18"/>
                <w:szCs w:val="18"/>
                <w:color w:val="auto"/>
              </w:rPr>
              <w:t>(111,302)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119.00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31.00 – 820.00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02"/>
        </w:trPr>
        <w:tc>
          <w:tcPr>
            <w:tcW w:w="2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Expired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700" w:type="dxa"/>
            <w:vAlign w:val="bottom"/>
            <w:gridSpan w:val="6"/>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(2,616)</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192.00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vMerge w:val="continue"/>
            <w:shd w:val="clear" w:color="auto" w:fill="CCEEFF"/>
          </w:tcPr>
          <w:p>
            <w:pPr>
              <w:spacing w:after="0"/>
              <w:rPr>
                <w:sz w:val="20"/>
                <w:szCs w:val="20"/>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6"/>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324.80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194.20</w:t>
            </w:r>
          </w:p>
        </w:tc>
        <w:tc>
          <w:tcPr>
            <w:tcW w:w="0" w:type="dxa"/>
            <w:vAlign w:val="bottom"/>
          </w:tcPr>
          <w:p>
            <w:pPr>
              <w:spacing w:after="0"/>
              <w:rPr>
                <w:sz w:val="1"/>
                <w:szCs w:val="1"/>
                <w:color w:val="auto"/>
              </w:rPr>
            </w:pPr>
          </w:p>
        </w:tc>
      </w:tr>
      <w:tr>
        <w:trPr>
          <w:trHeight w:val="182"/>
        </w:trPr>
        <w:tc>
          <w:tcPr>
            <w:tcW w:w="2640" w:type="dxa"/>
            <w:vAlign w:val="bottom"/>
          </w:tcPr>
          <w:p>
            <w:pPr>
              <w:spacing w:after="0" w:line="182" w:lineRule="exact"/>
              <w:rPr>
                <w:sz w:val="20"/>
                <w:szCs w:val="20"/>
                <w:color w:val="auto"/>
              </w:rPr>
            </w:pPr>
            <w:r>
              <w:rPr>
                <w:rFonts w:ascii="Arial" w:cs="Arial" w:eastAsia="Arial" w:hAnsi="Arial"/>
                <w:sz w:val="18"/>
                <w:szCs w:val="18"/>
                <w:color w:val="auto"/>
              </w:rPr>
              <w:t>Outstanding as of December 31,</w:t>
            </w:r>
          </w:p>
        </w:tc>
        <w:tc>
          <w:tcPr>
            <w:tcW w:w="12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640" w:type="dxa"/>
            <w:vAlign w:val="bottom"/>
          </w:tcPr>
          <w:p>
            <w:pPr>
              <w:spacing w:after="0"/>
              <w:rPr>
                <w:sz w:val="20"/>
                <w:szCs w:val="20"/>
                <w:color w:val="auto"/>
              </w:rPr>
            </w:pPr>
            <w:r>
              <w:rPr>
                <w:rFonts w:ascii="Arial" w:cs="Arial" w:eastAsia="Arial" w:hAnsi="Arial"/>
                <w:sz w:val="18"/>
                <w:szCs w:val="18"/>
                <w:color w:val="auto"/>
              </w:rPr>
              <w:t>2018</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17,750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rPr>
              <w:t>101,979</w:t>
            </w:r>
          </w:p>
        </w:tc>
        <w:tc>
          <w:tcPr>
            <w:tcW w:w="2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99.80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22.00 – 820.00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155"/>
        </w:trPr>
        <w:tc>
          <w:tcPr>
            <w:tcW w:w="26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Exercisable as of December 31,</w:t>
            </w:r>
          </w:p>
        </w:tc>
        <w:tc>
          <w:tcPr>
            <w:tcW w:w="12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94,688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22.00 – 820.00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9"/>
          </w:tcPr>
          <w:p>
            <w:pPr>
              <w:ind w:left="220"/>
              <w:spacing w:after="0"/>
              <w:rPr>
                <w:sz w:val="20"/>
                <w:szCs w:val="20"/>
                <w:color w:val="auto"/>
              </w:rPr>
            </w:pPr>
            <w:r>
              <w:rPr>
                <w:rFonts w:ascii="Arial" w:cs="Arial" w:eastAsia="Arial" w:hAnsi="Arial"/>
                <w:sz w:val="18"/>
                <w:szCs w:val="18"/>
                <w:b w:val="1"/>
                <w:bCs w:val="1"/>
                <w:color w:val="auto"/>
              </w:rPr>
              <w:t>Non-vested stock options: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89"/>
              </w:rPr>
              <w:t>Non-vested RSU:</w:t>
            </w: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5"/>
          </w:tcPr>
          <w:p>
            <w:pPr>
              <w:jc w:val="right"/>
              <w:spacing w:after="0" w:line="191" w:lineRule="exact"/>
              <w:rPr>
                <w:sz w:val="20"/>
                <w:szCs w:val="20"/>
                <w:color w:val="auto"/>
              </w:rPr>
            </w:pPr>
            <w:r>
              <w:rPr>
                <w:rFonts w:ascii="Arial" w:cs="Arial" w:eastAsia="Arial" w:hAnsi="Arial"/>
                <w:sz w:val="18"/>
                <w:szCs w:val="18"/>
                <w:b w:val="1"/>
                <w:bCs w:val="1"/>
                <w:color w:val="auto"/>
                <w:w w:val="92"/>
              </w:rPr>
              <w:t>Weighted average</w:t>
            </w:r>
          </w:p>
        </w:tc>
        <w:tc>
          <w:tcPr>
            <w:tcW w:w="200" w:type="dxa"/>
            <w:vAlign w:val="bottom"/>
            <w:gridSpan w:val="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ind w:left="40"/>
              <w:spacing w:after="0" w:line="191" w:lineRule="exact"/>
              <w:rPr>
                <w:sz w:val="20"/>
                <w:szCs w:val="20"/>
                <w:color w:val="auto"/>
              </w:rPr>
            </w:pPr>
            <w:r>
              <w:rPr>
                <w:rFonts w:ascii="Arial" w:cs="Arial" w:eastAsia="Arial" w:hAnsi="Arial"/>
                <w:sz w:val="18"/>
                <w:szCs w:val="18"/>
                <w:b w:val="1"/>
                <w:bCs w:val="1"/>
                <w:color w:val="auto"/>
                <w:w w:val="88"/>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4"/>
          </w:tcPr>
          <w:p>
            <w:pPr>
              <w:ind w:left="40"/>
              <w:spacing w:after="0"/>
              <w:rPr>
                <w:sz w:val="20"/>
                <w:szCs w:val="20"/>
                <w:color w:val="auto"/>
              </w:rPr>
            </w:pPr>
            <w:r>
              <w:rPr>
                <w:rFonts w:ascii="Arial" w:cs="Arial" w:eastAsia="Arial" w:hAnsi="Arial"/>
                <w:sz w:val="18"/>
                <w:szCs w:val="18"/>
                <w:b w:val="1"/>
                <w:bCs w:val="1"/>
                <w:color w:val="auto"/>
              </w:rPr>
              <w:t>grant date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grant date</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0"/>
              </w:rPr>
              <w:t>No. of options*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b w:val="1"/>
                <w:bCs w:val="1"/>
                <w:color w:val="auto"/>
              </w:rPr>
              <w:t>fair value*</w:t>
            </w:r>
          </w:p>
        </w:tc>
        <w:tc>
          <w:tcPr>
            <w:tcW w:w="1420" w:type="dxa"/>
            <w:vAlign w:val="bottom"/>
            <w:gridSpan w:val="5"/>
          </w:tcPr>
          <w:p>
            <w:pPr>
              <w:ind w:left="120"/>
              <w:spacing w:after="0"/>
              <w:rPr>
                <w:sz w:val="20"/>
                <w:szCs w:val="20"/>
                <w:color w:val="auto"/>
              </w:rPr>
            </w:pPr>
            <w:r>
              <w:rPr>
                <w:rFonts w:ascii="Arial" w:cs="Arial" w:eastAsia="Arial" w:hAnsi="Arial"/>
                <w:sz w:val="18"/>
                <w:szCs w:val="18"/>
                <w:b w:val="1"/>
                <w:bCs w:val="1"/>
                <w:color w:val="auto"/>
              </w:rPr>
              <w:t>No. of RSUs*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65,313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33,420</w:t>
            </w:r>
          </w:p>
        </w:tc>
        <w:tc>
          <w:tcPr>
            <w:tcW w:w="4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(33,292)</w:t>
            </w:r>
          </w:p>
        </w:tc>
        <w:tc>
          <w:tcPr>
            <w:tcW w:w="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(5,500)</w:t>
            </w:r>
          </w:p>
        </w:tc>
        <w:tc>
          <w:tcPr>
            <w:tcW w:w="4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 remaining</w:t>
            </w:r>
          </w:p>
        </w:tc>
      </w:tr>
      <w:tr>
        <w:trPr>
          <w:trHeight w:val="234"/>
        </w:trPr>
        <w:tc>
          <w:tcPr>
            <w:tcW w:w="620" w:type="dxa"/>
            <w:vAlign w:val="bottom"/>
          </w:tcPr>
          <w:p>
            <w:pPr>
              <w:spacing w:after="0"/>
              <w:rPr>
                <w:sz w:val="20"/>
                <w:szCs w:val="20"/>
                <w:color w:val="auto"/>
              </w:rPr>
            </w:pPr>
          </w:p>
        </w:tc>
        <w:tc>
          <w:tcPr>
            <w:tcW w:w="3280" w:type="dxa"/>
            <w:vAlign w:val="bottom"/>
            <w:gridSpan w:val="2"/>
          </w:tcPr>
          <w:p>
            <w:pPr>
              <w:ind w:left="500"/>
              <w:spacing w:after="0"/>
              <w:rPr>
                <w:sz w:val="20"/>
                <w:szCs w:val="20"/>
                <w:color w:val="auto"/>
              </w:rPr>
            </w:pPr>
            <w:r>
              <w:rPr>
                <w:rFonts w:ascii="Arial" w:cs="Arial" w:eastAsia="Arial" w:hAnsi="Arial"/>
                <w:sz w:val="18"/>
                <w:szCs w:val="18"/>
                <w:b w:val="1"/>
                <w:bCs w:val="1"/>
                <w:color w:val="auto"/>
              </w:rPr>
              <w:t>Exercise price range</w:t>
            </w:r>
          </w:p>
        </w:tc>
        <w:tc>
          <w:tcPr>
            <w:tcW w:w="1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No. options outstanding*</w:t>
            </w:r>
          </w:p>
        </w:tc>
        <w:tc>
          <w:tcPr>
            <w:tcW w:w="210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No. options exercisable*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contractual life (years)</w:t>
            </w:r>
          </w:p>
        </w:tc>
      </w:tr>
      <w:tr>
        <w:trPr>
          <w:trHeight w:val="210"/>
        </w:trPr>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3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0.01-200.00</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3200" w:type="dxa"/>
            <w:vAlign w:val="bottom"/>
          </w:tcPr>
          <w:p>
            <w:pPr>
              <w:jc w:val="right"/>
              <w:spacing w:after="0"/>
              <w:rPr>
                <w:sz w:val="20"/>
                <w:szCs w:val="20"/>
                <w:color w:val="auto"/>
              </w:rPr>
            </w:pPr>
            <w:r>
              <w:rPr>
                <w:rFonts w:ascii="Arial" w:cs="Arial" w:eastAsia="Arial" w:hAnsi="Arial"/>
                <w:sz w:val="18"/>
                <w:szCs w:val="18"/>
                <w:color w:val="auto"/>
              </w:rPr>
              <w:t>200.00-400.00</w:t>
            </w:r>
          </w:p>
        </w:tc>
        <w:tc>
          <w:tcPr>
            <w:tcW w:w="80" w:type="dxa"/>
            <w:vAlign w:val="bottom"/>
          </w:tcPr>
          <w:p>
            <w:pPr>
              <w:spacing w:after="0"/>
              <w:rPr>
                <w:sz w:val="18"/>
                <w:szCs w:val="18"/>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400.00-600.00</w:t>
            </w: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3200" w:type="dxa"/>
            <w:vAlign w:val="bottom"/>
          </w:tcPr>
          <w:p>
            <w:pPr>
              <w:jc w:val="right"/>
              <w:spacing w:after="0"/>
              <w:rPr>
                <w:sz w:val="20"/>
                <w:szCs w:val="20"/>
                <w:color w:val="auto"/>
              </w:rPr>
            </w:pPr>
            <w:r>
              <w:rPr>
                <w:rFonts w:ascii="Arial" w:cs="Arial" w:eastAsia="Arial" w:hAnsi="Arial"/>
                <w:sz w:val="18"/>
                <w:szCs w:val="18"/>
                <w:color w:val="auto"/>
              </w:rPr>
              <w:t>600.00-800.00</w:t>
            </w:r>
          </w:p>
        </w:tc>
        <w:tc>
          <w:tcPr>
            <w:tcW w:w="80" w:type="dxa"/>
            <w:vAlign w:val="bottom"/>
          </w:tcPr>
          <w:p>
            <w:pPr>
              <w:spacing w:after="0"/>
              <w:rPr>
                <w:sz w:val="18"/>
                <w:szCs w:val="18"/>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5,300</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5,300</w:t>
            </w:r>
          </w:p>
        </w:tc>
        <w:tc>
          <w:tcPr>
            <w:tcW w:w="140" w:type="dxa"/>
            <w:vAlign w:val="bottom"/>
          </w:tcPr>
          <w:p>
            <w:pPr>
              <w:spacing w:after="0"/>
              <w:rPr>
                <w:sz w:val="18"/>
                <w:szCs w:val="18"/>
                <w:color w:val="auto"/>
              </w:rPr>
            </w:pPr>
          </w:p>
        </w:tc>
        <w:tc>
          <w:tcPr>
            <w:tcW w:w="23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r>
      <w:tr>
        <w:trPr>
          <w:trHeight w:val="230"/>
        </w:trPr>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800.00-1000.00</w:t>
            </w:r>
          </w:p>
        </w:tc>
        <w:tc>
          <w:tcPr>
            <w:tcW w:w="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2,700</w:t>
            </w:r>
          </w:p>
        </w:tc>
        <w:tc>
          <w:tcPr>
            <w:tcW w:w="14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r>
      <w:tr>
        <w:trPr>
          <w:trHeight w:val="223"/>
        </w:trPr>
        <w:tc>
          <w:tcPr>
            <w:tcW w:w="6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101,979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94,688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jc w:val="both"/>
        <w:spacing w:after="0" w:line="312" w:lineRule="auto"/>
        <w:rPr>
          <w:sz w:val="20"/>
          <w:szCs w:val="20"/>
          <w:color w:val="auto"/>
        </w:rPr>
      </w:pPr>
      <w:r>
        <w:rPr>
          <w:rFonts w:ascii="Arial" w:cs="Arial" w:eastAsia="Arial" w:hAnsi="Arial"/>
          <w:sz w:val="16"/>
          <w:szCs w:val="16"/>
          <w:color w:val="auto"/>
        </w:rPr>
        <w:t>As of December 31, 2018, there was no aggregate intrinsic value associated with either the options outstanding or the options exercisable, as they were out-of-the-money. As of December 31, 2017, the total aggregate intrinsic values of options outstanding was $14, and there was no aggregate intrinsic value associated with the options exercisable as they were out-of-the-money. There were no options exercised during the years ended December 31, 2018 and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fair value of stock options that vested in the years ended December 31, 2018 and 2017 was $565 and $1,932, respectively. As of December 31, 2018, there was approximately $153 of total unrecognized stock-based payment cost related to non-vested options, shares, and RSUs granted under the incentive stock option plans. Overall, the cost is expected to be recognized over a weighted average of 1.00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Parties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14, 2018, the Company entered into a consulting agreement with an employee of Mistral Equity Partners, which is a significant shareholder of the Company and whose Chief Executive Officer is a member of the Board of Directors of the Company, to consult on certain business-related matters. The total consideration is approximately $10 per month through December 31, 2018. The agreement may be terminated by either party at any time upon delivery of written notice. Pursuant to the agreement, the Company recorded consulting expense of $85 for the year ended December 31, 2018. The consulting agreement was extended through June 30, 2019. No other material terms of the agreement were modified.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Collaboration Agreement with Calm, the Company sold Calm subscriptions and certain Calm-branded retail products in its spas, beginning in November 2018. During the year ended December 31, 2018, the Company recorded revenue of $11 from the sale of Calm’s branded products in its spas which is included in products and services revenue in the consolidated statements of operations and comprehensive loss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property and equipment activity during the years ended December 31, 2018 and 2017:</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of property and equipment as of December 31, 2016</w:t>
            </w:r>
          </w:p>
        </w:tc>
        <w:tc>
          <w:tcPr>
            <w:tcW w:w="18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Additions</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5,104</w:t>
            </w:r>
          </w:p>
        </w:tc>
        <w:tc>
          <w:tcPr>
            <w:tcW w:w="80" w:type="dxa"/>
            <w:vAlign w:val="bottom"/>
          </w:tcPr>
          <w:p>
            <w:pPr>
              <w:spacing w:after="0"/>
              <w:rPr>
                <w:sz w:val="18"/>
                <w:szCs w:val="18"/>
                <w:color w:val="auto"/>
              </w:rPr>
            </w:pPr>
          </w:p>
        </w:tc>
      </w:tr>
      <w:tr>
        <w:trPr>
          <w:trHeight w:val="23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(5,573)</w:t>
            </w: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Balance of property and equipment as of December 31, 2017</w:t>
            </w:r>
          </w:p>
        </w:tc>
        <w:tc>
          <w:tcPr>
            <w:tcW w:w="1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15,797</w:t>
            </w:r>
          </w:p>
        </w:tc>
        <w:tc>
          <w:tcPr>
            <w:tcW w:w="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8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Depreciation expense</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(7,033)</w:t>
            </w:r>
          </w:p>
        </w:tc>
      </w:tr>
      <w:tr>
        <w:trPr>
          <w:trHeight w:val="223"/>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of property and equipment as of December 31, 2018</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comprised of three categories: leasehold improvements, furniture and fixtures, and other operating equipment.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years ended December 31, 2018 and 2017, the Company recorded $7,033 and $5,573 of depreciation expense from continuing operations, respectively. Included in the depreciation expense from continuing operations for the year ended December 31, 2018 was a $2,100 expense for impairment of fixed assets in locations where the Company has obligations under long-term leases. Included in the depreciation expense from continuing operations for the year ended December 31, 2017 is $1,131 of accelerated depreciation related to the closure of one of XpresSpa’s JFK locations in June 2017. The assets related to the JFK location are not included in the net book value of property and equipment and accumulated depreciation, as noted in the table below.</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2018 and 2017, the Company had capitalized $770 and $860, respectively, related to construction-in-progress based on percentage of completion of each in-progress project. In October 2017, the Company recorded a $235 reduction of construction-in-progress within property and equipment and an increase to goodwill, which represents amounts as of the acquisition date of XpresSpa that were related to two old projects for stores that never actually opened.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2017</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 years</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18,932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17,704</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Average 5-8 years</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equipment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2,322</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1,488</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Maximum 5 years</w:t>
            </w:r>
          </w:p>
        </w:tc>
      </w:tr>
      <w:tr>
        <w:trPr>
          <w:trHeight w:val="210"/>
        </w:trPr>
        <w:tc>
          <w:tcPr>
            <w:tcW w:w="4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(10,723)</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(4,559)</w:t>
            </w:r>
          </w:p>
        </w:tc>
        <w:tc>
          <w:tcPr>
            <w:tcW w:w="1520" w:type="dxa"/>
            <w:vAlign w:val="bottom"/>
            <w:shd w:val="clear" w:color="auto" w:fill="CCEEFF"/>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useful lives of the related assets. Leasehold improvements are depreciated over the shorter of remaining lease term or economic useful life (which is on average 5-8 years).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14.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2017, the Company’s other current assets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4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Notes receivable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 other current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Prepaid expenses are predominantly comprised of prepaid insurance policies which have terms of one year or less. The note receivable, which related to the sale of FLI Charge, was collected in February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and 2017, the Company’s accounts payable, accrued expenses and other current liabilities were comprised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4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1,704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Tax-related liabilities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615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Gift certificates and loyalty reward program liabilities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r>
      <w:tr>
        <w:trPr>
          <w:trHeight w:val="223"/>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accrued expenses and other current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liability for insurance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carries several annual insurance policies including indemnity, fire, umbrella, and workers’ compensation. XpresSpa financed a total of $1,184, or 80%, of the total insurance premiums with a third-party provider, at a weighted average rate of 4.06% per year payable in ten monthly installments. As of December 31, 2018, XpresSpa had an outstanding balance of its financing arrangement of approximately $897, which is included in accounts payable, accrued expenses and other current liabilities on the consolidated balance sheets, scheduled to be repaid in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financing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February 2017, XpresSpa entered into a merchant financing arrangement with a top tier credit card company for $500. As of December 31, 2017, the outstanding balance of the advance was $112. This balance was repaid in full in February 2018. No further merchant financing has been obtained.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16. Discontinued Operations and Assets and Liabilities Held for Disposal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2017, the Company concluded that the requirement to report the results of FLI Charge, a wholly-owned subsidiary included in its technology operating segment, as discontinued operations was triggered. As a result, a non-cash impairment loss to discontinued operations of $1,092 relating to FLI Charge’s technology assets and goodwill was recorded during the year ended December 31,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20, 2017 (the “Closing Date”), the Company sold FLI Charge to a group of private investors and FLI Charge management, to own and operate FLI Charge. The Company did not provide any continued management or financing support to FLI Charge after the Closing Date.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consideration for the sale of FLI Charge was $1,250, payable in installments. The consideration was secured by a note and security agreement. Additionally, the Company is entitled to a 5% royalty, in perpetuity, on the gross revenue of FLI Charge and of any affiliate of FLI Charge with regard to conductive wireless charging, power, or accessories. The Company also received a warrant exercisable in FLI Charge or an affiliate of FLI Charge upon an initial public offering or certain defined events in connection with a change of control. The warrant has a five-year life and is based on a valuation of the lesser of $30,000 or the financing valuation of FLI Charge preceding the initial public offering or certain defined events.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of the total consideration was determined to be $1,052, which resulted in a gain on disposal of $629 in consolidated net loss from discontinued operations. The fair value of the consideration for the FLI Charge disposition was determined using a combination of valuation methods including: (i) the face value of the upfront cash installment of $250; (ii) the present value of the deferred cash installments was calculated by multiplying the face value of the installments by the acquirer’s default probability and discounted by the risk-free rate; (iii) the Black-Scholes model was used to obtain the value of the warrants; and (iv) the value of the 5% royalty was calculated using a discounted cash flow model. The Company’s fair value measurements are evaluated by management to ensure that they are consistent with expectations of management based upon the sensitivity and nature of the inputs.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concluded that the requirement to report the results of Group Mobile, a wholly-owned subsidiary included in its technology operating segment, as discontinued operations was triggered.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7, 2018 (the “Signing Date”), the Company entered into a membership purchase agreement (the “Purchase Agreement”) with Route1 Security Corporation, a Delaware corporation (the “Buyer”), and Route1 Inc., an Ontario corporation (“Route1”), pursuant to which the Buyer agreed to acquire Group Mobile (the “Disposition”). The transaction closed on March 22, 2018 (the “Closing Date”), after which the Company no longer had any involvement with Group Mobile.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for the Disposition, the Buyer issued to the Company:</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2,250,000 shares of common stock of Route1 (“Route1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warrants to purchase 30,000,000 shares of Route1 common stock, which will feature an exercise price of CAD 5 cents per share of common stock and will be exercisable for a three-year period;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other payments over the three-year period pursuant to an earn-out provision in the Purchase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retained certain inventory with a value of $555 to be disposed of separately from the transaction with Route1 in the first half of 2018. Of this amount, $110 was sold and the remaining inventory excluded from the transaction was subsequently determined to be obsolete and unsalable and was fully written off in June 2018. Assets held for disposal includes $109 of accounts receivable, net of allowance, associated with the sale of the inventory excluded from the transaction with Route1.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5" w:name="page106"/>
    <w:bookmarkEnd w:id="105"/>
    <w:p>
      <w:pPr>
        <w:jc w:val="both"/>
        <w:spacing w:after="0" w:line="257" w:lineRule="auto"/>
        <w:rPr>
          <w:sz w:val="20"/>
          <w:szCs w:val="20"/>
          <w:color w:val="auto"/>
        </w:rPr>
      </w:pPr>
      <w:r>
        <w:rPr>
          <w:rFonts w:ascii="Arial" w:cs="Arial" w:eastAsia="Arial" w:hAnsi="Arial"/>
          <w:sz w:val="18"/>
          <w:szCs w:val="18"/>
          <w:color w:val="auto"/>
        </w:rPr>
        <w:t>Post-closing, the Company owned approximately 6.7% of Route1 common stock. The Route1 common stock is not tradable until a date no earlier than 12 months after the Closing Date; 50%, or 12,500,000 shares, of Route1 common stock are tradeable after 12 months plus an additional 2,083,333 shares of Route1 common stock are tradeable each month until 18 months after the Closing Date, subject to a change of control provision. The Company has the ability to sell the Route1 common stock and warrants to qualified institutional investors. The Group Mobile Purchase Agreement also contains representations, warranties, and covenants customary for transactions of this type.</w:t>
      </w:r>
    </w:p>
    <w:p>
      <w:pPr>
        <w:spacing w:after="0" w:line="18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total consideration of the Disposition is recognized as a cost method investment and, as such, must be measured at cost on the date of acquisition, which, as of the Closing Date, approximates fair value. The fair value of the total consideration as of the Closing Date was determined to be $1,625, which is less than the carrying value of the asset, and is included in other assets in the consolidated balance sheet as of December 31, 2018. This resulted in a loss on disposal of $301, which is included in consolidated net loss from discontinued operations in the consolidated statement of operations and comprehensive loss for the year ended December 31,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total consideration for the Group Mobile disposition was determined using a combination of valuation methods including:</w:t>
      </w:r>
    </w:p>
    <w:p>
      <w:pPr>
        <w:spacing w:after="0" w:line="225"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the Route 1 common stock was determined to be $308, which was estimated by multiplying the number of shares as they become tradeable by the price per share as of the Closing 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the warrants was determined to be $176, which was obtained using the Black-Scholes-Merton model.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the earn-out provision was determined to be $1,141, which was estimated using a Monte-Carlo simulation analysis.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The sale of Group Mobile was completed on March 22, 2018, after which the Company had no further involvement with Group Mobile.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and Assets and Liabilities Held for Sale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the components of operating results from discontinued operations, as presented in the consolidated statements of operations and comprehensive loss for the years ended December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4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w w:val="90"/>
              </w:rPr>
              <w:t>For the years ended December 31,</w:t>
            </w:r>
          </w:p>
        </w:tc>
      </w:tr>
      <w:tr>
        <w:trPr>
          <w:trHeight w:val="223"/>
        </w:trPr>
        <w:tc>
          <w:tcPr>
            <w:tcW w:w="63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Cost of sales</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(12,373)</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(770)</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Impairment</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(8,577)</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(5,986)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Loss on disposal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2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(12,265)</w:t>
            </w:r>
          </w:p>
        </w:tc>
        <w:tc>
          <w:tcPr>
            <w:tcW w:w="100" w:type="dxa"/>
            <w:vAlign w:val="bottom"/>
            <w:gridSpan w:val="2"/>
          </w:tcPr>
          <w:p>
            <w:pPr>
              <w:spacing w:after="0"/>
              <w:rPr>
                <w:sz w:val="18"/>
                <w:szCs w:val="18"/>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Consolidated net loss from discontinued operations</w:t>
            </w:r>
          </w:p>
        </w:tc>
        <w:tc>
          <w:tcPr>
            <w:tcW w:w="22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following table presents the carrying amounts of the major classes of assets and liabilities held for sale as of December 31, 2018 and 2017, as presented in the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current assets</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8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Deferred revenue</w:t>
            </w:r>
          </w:p>
        </w:tc>
        <w:tc>
          <w:tcPr>
            <w:tcW w:w="1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and 2017, the loss from continuing operations before income taxes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Borders>
              <w:bottom w:val="single" w:sz="8" w:color="CCEEFF"/>
            </w:tcBorders>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c>
          <w:tcPr>
            <w:tcW w:w="2860" w:type="dxa"/>
            <w:vAlign w:val="bottom"/>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(16,536)</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2860" w:type="dxa"/>
            <w:vAlign w:val="bottom"/>
          </w:tcPr>
          <w:p>
            <w:pPr>
              <w:spacing w:after="0"/>
              <w:rPr>
                <w:sz w:val="19"/>
                <w:szCs w:val="19"/>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3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6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629"/>
        </w:trPr>
        <w:tc>
          <w:tcPr>
            <w:tcW w:w="3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F-38</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color w:val="auto"/>
        </w:rPr>
        <w:t>Income tax expense attributable to continuing and discontinued operations for the years ended December 31, 2018 and 2017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20"/>
                <w:szCs w:val="20"/>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State</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State</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2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Current:</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0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expense attributable to continuing operations differed from the amounts computed by applying the applicable United States federal income tax rate to loss from continuing operations before taxes on income as a result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2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For the years ended December 31,</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6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Tax rate</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(7,541)</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(5,600)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income tax benefit</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(19,554)</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Tax Reform Rate impact</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24,486</w:t>
            </w: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expense (benefit) for continuing operations</w:t>
            </w:r>
          </w:p>
        </w:tc>
        <w:tc>
          <w:tcPr>
            <w:tcW w:w="9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rPr>
              <w:t>F-39</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8" w:name="page109"/>
    <w:bookmarkEnd w:id="108"/>
    <w:p>
      <w:pPr>
        <w:jc w:val="both"/>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2018 and 2017 are as follows: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428615"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Net operating loss carryforwards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and other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Net 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42861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Net deferred income tax assets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3036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38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43" w:lineRule="exact"/>
        <w:rPr>
          <w:sz w:val="20"/>
          <w:szCs w:val="20"/>
          <w:color w:val="auto"/>
        </w:rPr>
      </w:pPr>
    </w:p>
    <w:p>
      <w:pPr>
        <w:ind w:left="460" w:hanging="457"/>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39,972  $</w:t>
      </w:r>
      <w:r>
        <w:rPr>
          <w:rFonts w:ascii="Arial" w:cs="Arial" w:eastAsia="Arial" w:hAnsi="Arial"/>
          <w:sz w:val="16"/>
          <w:szCs w:val="16"/>
          <w:color w:val="auto"/>
        </w:rPr>
        <w:t>35,743</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4,468</w:t>
      </w:r>
      <w:r>
        <w:rPr>
          <w:rFonts w:ascii="Arial" w:cs="Arial" w:eastAsia="Arial" w:hAnsi="Arial"/>
          <w:sz w:val="15"/>
          <w:szCs w:val="15"/>
          <w:color w:val="auto"/>
        </w:rPr>
        <w:t>4,238</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4,308</w:t>
      </w:r>
      <w:r>
        <w:rPr>
          <w:rFonts w:ascii="Arial" w:cs="Arial" w:eastAsia="Arial" w:hAnsi="Arial"/>
          <w:sz w:val="15"/>
          <w:szCs w:val="15"/>
          <w:color w:val="auto"/>
        </w:rPr>
        <w:t>1,020</w:t>
      </w:r>
    </w:p>
    <w:p>
      <w:pPr>
        <w:spacing w:after="0" w:line="23" w:lineRule="exact"/>
        <w:rPr>
          <w:sz w:val="20"/>
          <w:szCs w:val="20"/>
          <w:color w:val="auto"/>
        </w:rPr>
      </w:pPr>
    </w:p>
    <w:p>
      <w:pPr>
        <w:jc w:val="both"/>
        <w:ind w:left="460"/>
        <w:spacing w:after="0"/>
        <w:tabs>
          <w:tab w:leader="none" w:pos="1540" w:val="left"/>
        </w:tabs>
        <w:rPr>
          <w:sz w:val="20"/>
          <w:szCs w:val="20"/>
          <w:color w:val="auto"/>
        </w:rPr>
      </w:pPr>
      <w:r>
        <w:rPr>
          <w:rFonts w:ascii="Arial" w:cs="Arial" w:eastAsia="Arial" w:hAnsi="Arial"/>
          <w:sz w:val="18"/>
          <w:szCs w:val="18"/>
          <w:color w:val="auto"/>
        </w:rPr>
        <w:t>48,748</w:t>
      </w:r>
      <w:r>
        <w:rPr>
          <w:sz w:val="20"/>
          <w:szCs w:val="20"/>
          <w:color w:val="auto"/>
        </w:rPr>
        <w:tab/>
      </w:r>
      <w:r>
        <w:rPr>
          <w:rFonts w:ascii="Arial" w:cs="Arial" w:eastAsia="Arial" w:hAnsi="Arial"/>
          <w:sz w:val="18"/>
          <w:szCs w:val="18"/>
          <w:color w:val="auto"/>
        </w:rPr>
        <w:t>41,001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(48,748)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(41,209)</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200" w:type="dxa"/>
            <w:vAlign w:val="bottom"/>
            <w:gridSpan w:val="2"/>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00" w:space="720"/>
            <w:col w:w="5000"/>
          </w:cols>
          <w:pgMar w:left="240" w:top="908" w:right="2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(“NOLs”) will not be utilized in the foreseeable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valuation allowance as of December 31, 2018 is $48,748, which will be reduced if and when the Company determines that the deferred income tax assets are more likely than not to be realized.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the changes to the valuation allowance during the years presented: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2017</w:t>
            </w: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Charged to cost and expenses – continuing operations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 to cost and expenses – discontinued operations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Return to provision true-up and other</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Charged to cost and expenses – continuing operations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 to cost and expenses – discontinued operations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Return to provision true-up and other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2018, the Company’s estimated aggregate total NOLs were $150,926 for U.S. federal purposes, expiring 20 years from the respective tax years to which they relate, and $23,139 for U.S. federal purposes with an indefinite life due to new regulations in the TCJA of 2017.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The NOLs available post-merger that the Company completed in 2012 that are not subject to limitation amount to $134,463. The remaining NOLs of $39,601 are subject to the limitation of Section 382. The annual limitation is approximately $2,000.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files its tax returns in the U.S. federal jurisdiction, as well as in various state and local jurisdictions. XpresSpa Group has open tax years for 2015 through 2017.</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December 22, 2017, the United States government enacted the Tax Act, which made changes to the corporate tax rate, business-related deductions and taxation of foreign earnings, among other changes, that was generally effective for tax years beginning after December 31, 2017. After the one-year evaluation under SAB 118, the Company determined that there was no material impact from the TCJA.</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reduction to the corporate tax rate, the Company was required to remeasure its deferred tax assets and liabilities and any associated adjustment to the valuation allowance. As the Company was in a full valuation allowance in both 2018 and 2017, the net impact to the financial statements associated with the rate change was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0" w:name="page111"/>
    <w:bookmarkEnd w:id="110"/>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recorded $290 as of December 31, 2018 and $250 as of December 31, 2017, which are included in accounts payable, accrued expenses and other current liabilities in the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arguments on the appeal are expected to take place in early 2019. Oral argument on the appeal went forward on March 20, 2019, and the court likely will rule in the coming months.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30, 2018, Cordial filed a lawsuit against XpresSpa, a subsidiary of XpresSpa, and several additional parties in the Superior Court of Fulton County, Georgia, alleging the violation of Cordial’s civil rights, tortious interference, breach of fiduciary duty, civil conspiracy, conversion, retaliation, and unjust enrichment. Cordial has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3, 2018, the Court issued an order extending the time for the defendants to respond to Cordial’s lawsuit until June 25, 2018. On May 4, 2018, the defendants moved the lawsuit to the United States District Court for the Northern District of Georgia. On June 5, 2018, the Court granted an extension of time for the defendants’ response until August 17, 2018.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operation expenses. XpresSpa filed an opposition and, in a decision entered December 26, 2018, the Court denied Cordial’s TRO Motion entirely. Defendants filed a Motion to Dismiss the Complaint in its entirety on November 20, 2018, which is pending decision by the Court.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86" w:lineRule="auto"/>
        <w:tabs>
          <w:tab w:leader="none" w:pos="194"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 and are awaiting the Court’s ruling on the open issues.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v. FORM Holdings Corp. et al.</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6, 2017, Moreton Binn and Marisol F, LLC, former stockholders of XpresSpa, filed a lawsuit against the Company and its directors in the United States District Court for the Southern District of New York. The lawsuit alleged violations of various sections of the Securities Exchange Act of 1934 (“Exchange Act”), material omissions and misrepresentations (negligent and fraudulent), fraudulent omission, expropriation, breach of fiduciary duties, aiding and abetting, and unjust enrichment in the defendants’ conduct related to the Company’s acquisition of XpresSpa, and sought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By March 30, 2018, the motion to dismiss was fully briefed. On August 7, 2018, the Court ruled on the defendants’ motion, dismissing eight of the plaintiffs’ ten claims and denying the defendants’ motion to dismiss with respect to the two remaining claims, related to the Exchange Act. On October 30, 2018, the Court ordered that the plaintiffs could file an amended complaint and, in response, the defendants could move for summary judgment. Consistent with the Court’s Order, on November 16, 2018, the plaintiffs filed a second amended complaint, modifying their allegations, and asserting claims pursuant to the Exchange Act, the Securities Act of 1933, and bringing a breach of contract claim. On December 17, 2018, the defendants filed a motion for summary judgment seeking dismissal of all claims. On February 1, 2019, the plaintiffs filed an opposition to defendants’ motion and filed a counter motion for partial summary judgment concerning one of the alleged misstatements. The defendants’ motion for summary judgment was fully briefed as of March 1, 2019. The plaintiffs’ partial motion for summary judgment was fully briefed as of March 15,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Krainz v. FORM Holdings Corp. et 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March 20, 2019, a second suit was commenced in the United States District Court for the Southern District of New York against FORM Holdings Corp., seven of its directors and former directors, as well as a managing director of Mistral Equity Partners. The individual plaintiff, Roman Kainz, who was a shareholder of XpresSpa Holdings, LLC at the time of its merger with FORM Holdings Corp, alleges that Defendants violated Sections 10(b) and 20(a) of the Securities Exchange Act of 1934 by making false statements concerning, </w:t>
      </w:r>
      <w:r>
        <w:rPr>
          <w:rFonts w:ascii="Arial" w:cs="Arial" w:eastAsia="Arial" w:hAnsi="Arial"/>
          <w:sz w:val="17"/>
          <w:szCs w:val="17"/>
          <w:i w:val="1"/>
          <w:iCs w:val="1"/>
          <w:color w:val="auto"/>
        </w:rPr>
        <w:t>inter alia</w:t>
      </w:r>
      <w:r>
        <w:rPr>
          <w:rFonts w:ascii="Arial" w:cs="Arial" w:eastAsia="Arial" w:hAnsi="Arial"/>
          <w:sz w:val="17"/>
          <w:szCs w:val="17"/>
          <w:color w:val="auto"/>
        </w:rPr>
        <w:t>, the merger and the independence of FORM Holdings Corp.’s board of directors, violated Section 12(2) of the Securities Act of 1933, breached the Merger Agreement by making false and misleading statements concerning the merger, and fraudulently induced Plaintiff into signing the joinder agreement related to the Merger. This suit seeks rescission of the transaction, damages, equitable and injunctive relief, fees and costs, and various other relief.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23, 2018, Route1 and Group Mobile filed a Statement of Claim against the Company in the Ontario (Canada) Superior Court of Justice seeking monetary damages based on indemnity claims made by Route1 and Group Mobile pursuant to the Group Mobile Purchase Agreement, including an offset against funds payable to the Company by Route1 and Group Mobile pursuant to the Group Mobile Purchase Agreement. On August 13, 2018, the Company filed its Defense and Counterclaim, seeking the payment of such funds payable to the Company by Route1 and Group Mobile pursuant to the Group Mobile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Rodger Jenkins v. XpresSpa Group, Inc.</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March 2019, Rodger Jenkins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engaged in litigation related to certain of the intellectual property that it owns, for which no liability is recorded, as the Company does not expect a material negative outcome.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the event that an action is brought against the Company or one of its subsidiaries, the Company will investigate the allegation and vigorously defend itself.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obligated under multiple lease agreements for its XpresSpa retail concessions. The lease agreements for the retail concessions have terms which expire at varying dates through December 31, 2028 and primarily require payment of rent as a percentage of sales and a minimum annual guarantee (“MAG”) rent payment. The MAG rent under the terms of the agreements range from $3 to $320 per year and are adjusted on each anniversary date.</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corporate headquarters are located in New York, NY and its lease will expire in October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Rent expense from continuing operations for operating leases for years ended December 31, 2018 and 2017 were $8,405 and $7,996,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future minimum commitments under noncancelable lease agreements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7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80" w:type="dxa"/>
            <w:vAlign w:val="bottom"/>
            <w:tcBorders>
              <w:bottom w:val="single" w:sz="8" w:color="CCEEFF"/>
            </w:tcBorders>
          </w:tcPr>
          <w:p>
            <w:pPr>
              <w:spacing w:after="0"/>
              <w:rPr>
                <w:sz w:val="19"/>
                <w:szCs w:val="19"/>
                <w:color w:val="auto"/>
              </w:rPr>
            </w:pP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Transition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Edward Jankowski resigned as Chief Executive Officer of the Company and as a director of the Company. Mr. Jankowski’s resignation was not as a result of any disagreement with the Company on any matters related to the Company’s operations, policies or practices. Mr. Jankowski will receive termination benefits including $375 payable in equal installments over a twelve-month term commencing on February 13, 2019 and COBRA continuation coverage paid in full by the Company for up to a maximum of twelve months.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as of February 11, 2019, Douglas Satzman was appointed by the Company’s board of directors as the Chief Executive Officer of the Company and as a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22, 2019, The Company filed a certificate of amendment to its amended and restated certificate of incorporation with the Secretary of State of the State of Delaware to effect a 1-for-20 reverse stock split of the Company’s shares of Common Stock. Such amendment and ratio were previously approved by the Company’s stockholders and board of directors, respectively.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result of the reverse stock split, every twenty (20) shares of the Company’s pre-reverse split Common Stock were combined and reclassified into one (1) share of Common Stock. Proportionate voting rights and other rights of Common Stock holders were affected by the reverse stock split. Stockholders who would have otherwise held a fractional share of Common Stock received payment in cash in lieu of any such resulting fractional shares of Common Stock as the post-reverse split amounts of Common Stock were rounded down to the nearest full share. Such cash payment in lieu of a fractional share of Common Stock was calculated by multiplying such fractional interest in one share of Common Stock by the closing trading price of the Company’s Common Stock on February 22, 2019, and rounded to the nearest cent. No fractional shares were issued in connection with the reverse stock split.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began trading on the Nasdaq Capital Market on a post-reverse split basis at the open of business on February 25,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 Charge Amendment to Royalty Agreement and Termination of Warrant</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February 2019, the Company entered into an agreement to release FLI Charge’s obligation to pay any royalties on FLI Charge’s perpetual gross revenues with regard to conductive wireless charging, power, or accessories, and to cancel its warrants exercisable in FLI Charge in exchange for cash proceeds of $1,100, which were received in full on February 15, 2019.</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April, 2019.</w:t>
      </w:r>
    </w:p>
    <w:p>
      <w:pPr>
        <w:spacing w:after="0" w:line="4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7"/>
          <w:szCs w:val="17"/>
          <w:color w:val="auto"/>
        </w:rPr>
        <w:t>DOUGLAS SATZMAN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02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Date</w:t>
            </w:r>
          </w:p>
        </w:tc>
      </w:tr>
      <w:tr>
        <w:trPr>
          <w:trHeight w:val="426"/>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DOUGLAS SATZMAN</w:t>
            </w:r>
          </w:p>
        </w:tc>
        <w:tc>
          <w:tcPr>
            <w:tcW w:w="1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Director (Principal</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1, 2019</w:t>
            </w: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Douglas Satzman</w:t>
            </w:r>
          </w:p>
        </w:tc>
        <w:tc>
          <w:tcPr>
            <w:tcW w:w="1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Executive Officer)</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JANINE CANALE</w:t>
            </w:r>
          </w:p>
        </w:tc>
        <w:tc>
          <w:tcPr>
            <w:tcW w:w="1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Controller (Principal Financial Officer</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1, 2019</w:t>
            </w: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Janine Canale</w:t>
            </w:r>
          </w:p>
        </w:tc>
        <w:tc>
          <w:tcPr>
            <w:tcW w:w="1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and Principal Accounting Officer)</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 Chairman of Board of Directors</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1, 2019</w:t>
            </w: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Bruce T. Bernstein</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SALVATORE GIARDINA</w:t>
            </w:r>
          </w:p>
        </w:tc>
        <w:tc>
          <w:tcPr>
            <w:tcW w:w="1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1, 2019</w:t>
            </w: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Salvatore Giardina</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21"/>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ANDREW R. HEYER</w:t>
            </w:r>
          </w:p>
        </w:tc>
        <w:tc>
          <w:tcPr>
            <w:tcW w:w="1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1, 2019</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Andrew R. Heyer</w:t>
            </w:r>
          </w:p>
        </w:tc>
        <w:tc>
          <w:tcPr>
            <w:tcW w:w="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April 1, 2019</w:t>
            </w: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Donald E. Stout</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86585" cy="6000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1886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Vringo, Inc. (the “Corporation”), a corporation organized and existing under and by virtue of the General Corporation Law of the State of Delaware (the “DGCL”), DOES HEREBY CERTIFY:</w:t>
      </w:r>
    </w:p>
    <w:p>
      <w:pPr>
        <w:spacing w:after="0" w:line="170" w:lineRule="exact"/>
        <w:rPr>
          <w:sz w:val="20"/>
          <w:szCs w:val="20"/>
          <w:color w:val="auto"/>
        </w:rPr>
      </w:pPr>
    </w:p>
    <w:p>
      <w:pPr>
        <w:jc w:val="both"/>
        <w:ind w:firstLine="332"/>
        <w:spacing w:after="0" w:line="259" w:lineRule="auto"/>
        <w:tabs>
          <w:tab w:leader="none" w:pos="5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of the Corporation is Vringo, Inc. The Corporation’s original Certificate of Incorporation was filed with the Delaware Secretary of State on January 9, 2006. An Amended and Restated Certificate of Incorporation was filed with the Secretary of State of the State of Delaware on May 9, 2006, July 12, 2006, August 9, 2006 and July 30, 2007. An amendment to the Amended and Restated Certificate of Incorporation was filed with the Secretary of State of the State of Delaware on February 21, 2008 and December 29, 2009.</w:t>
      </w:r>
    </w:p>
    <w:p>
      <w:pPr>
        <w:spacing w:after="0" w:line="186" w:lineRule="exact"/>
        <w:rPr>
          <w:rFonts w:ascii="Arial" w:cs="Arial" w:eastAsia="Arial" w:hAnsi="Arial"/>
          <w:sz w:val="18"/>
          <w:szCs w:val="18"/>
          <w:color w:val="auto"/>
        </w:rPr>
      </w:pPr>
    </w:p>
    <w:p>
      <w:pPr>
        <w:jc w:val="both"/>
        <w:ind w:firstLine="332"/>
        <w:spacing w:after="0" w:line="259" w:lineRule="auto"/>
        <w:tabs>
          <w:tab w:leader="none" w:pos="5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setting forth a proposed amendment and restatement of the Amended and Restated Certificate of Incorporation of the Corporation, declaring said amendment and restatement to be advisable and directing its officers to submit said amendment and restatement to the stockholders of the Corporation for consideration thereof. The resolution setting forth the proposed amendment and restatement is as follows: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“THEREFORE, BE IT RESOLVED, that the Amended and Restated Certificate of Incorporation of the Corporation is hereby amended to read in its entirety as follows, subject to the required consent of the stockholders of the Corporation: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FIRST: The name of the Corporation (hereinafter the “Corporation”) is Vringo, Inc.</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SECOND: The address, including street, number, city and county, of the registered office of the Corporation in the State of Delaware is 1209 Orange Street, Wilmington, County of New Castle, Delaware 19801; and the name of the Registered Agent of the Corporation at such address is The Corporation Trust Company.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is to engage in any lawful act or activity for which corporations may be organized under the General Corporation Law of the State of Delaware (the “DGCL”).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FOURTH: The Corporation is authorized to issue two classes of stock to be designated, respectively, Common Stock, par value $0.01 per share (“Common Stock”) and Preferred Stock, par value $0.01 per share (“Preferred Stock”). The total number of shares the Corporation shall have the authority to issue is thirty three million (33,000,000) shares, twenty eight million (28,000,000) shares of which shall be Common Stock and five million (5,000,000) shares of which shall be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6" w:name="page117"/>
    <w:bookmarkEnd w:id="116"/>
    <w:p>
      <w:pPr>
        <w:jc w:val="both"/>
        <w:ind w:firstLine="656"/>
        <w:spacing w:after="0" w:line="255" w:lineRule="auto"/>
        <w:tabs>
          <w:tab w:leader="none" w:pos="9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Common Stock. The voting, dividend and liquidation rights of the holders of the Common Stock are subject to and qualified by the rights of the holders of the Preferred Stock of any series as may be designated by the Board of Directors upon any issuance of the Preferred Stock or any series. The holders of the Common Stock are entitled to one vote for each share held at all meetings of stockholders. There shall be no cumulative voting. Dividends may be declared and paid on the Common Stock from funds lawfully available therefor as and when determined by the Board of Directors and subject to any preferential dividend rights of any then outstanding Preferred Stock. Upon the dissolution or liquidation of the Corporation, whether voluntary or involuntary, holders of the Corporation will be entitled to receive ratably all assets of the Corporation available for distribution to stockholders, subject to any preferential rights of any then outstanding Preferred Stock.</w:t>
      </w:r>
    </w:p>
    <w:p>
      <w:pPr>
        <w:spacing w:after="0" w:line="189" w:lineRule="exact"/>
        <w:rPr>
          <w:rFonts w:ascii="Arial" w:cs="Arial" w:eastAsia="Arial" w:hAnsi="Arial"/>
          <w:sz w:val="18"/>
          <w:szCs w:val="18"/>
          <w:color w:val="auto"/>
        </w:rPr>
      </w:pPr>
    </w:p>
    <w:p>
      <w:pPr>
        <w:jc w:val="both"/>
        <w:ind w:firstLine="656"/>
        <w:spacing w:after="0" w:line="286" w:lineRule="auto"/>
        <w:tabs>
          <w:tab w:leader="none" w:pos="9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Preferred Stock. Shares of Preferred Stock may be issued from time to time in one or more series, each of such series to have such terms as stated in the resolution or resolutions providing for the establishment of such series adopted by the Board of Directors of the Corporation as hereinafter provided. Authority is hereby expressly granted to the Board of Directors of the Corporation to issue, from time to time, shares of Preferred Stock in one or more series, and, in connection with the establishment of any such series by resolution or resolutions, to determine and fix such voting powers, full or limited, or no voting powers, and such other powers, designations, preferences and relative, participating, optional and other special rights, and the qualifications, limitations and restrictions thereof, if any, including, without limitation, dividend rights, conversion rights, redemption privileges and liquidation preferences, as shall be stated in such resolution or resolutions, all to the fullest extent permitted by the DGCL.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FIFTH: (1) The business and affairs of the Corporation shall be managed by or under the direction of a Board of Directors having that number of directors set out in the Bylaws of the Corporation as adopted or as set forth from time to time by a duly adopted amendment thereto by the Board of Directors or stockholders of the Corporation.</w:t>
      </w:r>
    </w:p>
    <w:p>
      <w:pPr>
        <w:spacing w:after="0" w:line="18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 xml:space="preserve">(2) No director (other than directors elected by one or more series of Preferred Stock) may be removed from office by the stockholders except for cause and, in addition to any other vote required by law, upon the affirmative vote of not less than 66 </w:t>
      </w:r>
      <w:r>
        <w:rPr>
          <w:rFonts w:ascii="Arial" w:cs="Arial" w:eastAsia="Arial" w:hAnsi="Arial"/>
          <w:sz w:val="30"/>
          <w:szCs w:val="30"/>
          <w:color w:val="auto"/>
          <w:vertAlign w:val="superscript"/>
        </w:rPr>
        <w:t>2</w:t>
      </w:r>
      <w:r>
        <w:rPr>
          <w:rFonts w:ascii="Arial" w:cs="Arial" w:eastAsia="Arial" w:hAnsi="Arial"/>
          <w:sz w:val="18"/>
          <w:szCs w:val="18"/>
          <w:color w:val="auto"/>
        </w:rPr>
        <w:t>/3% of the total voting power of all outstanding securities of the Corporation then entitled to vote generally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jc w:val="both"/>
        <w:ind w:firstLine="656"/>
        <w:spacing w:after="0" w:line="271" w:lineRule="auto"/>
        <w:tabs>
          <w:tab w:leader="none" w:pos="92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director shall hold office until such director’s successor shall have been duly elected and qualified or until such director’s earlier death, resignation or removal. Vacancies on the Board of Directors resulting from death, resignation, removal or otherwise and newly created directorships resulting from any increase in the number of directors (other than directors elected by one or more series of Preferred Stock) may be filled solely by a vote of a majority of the directors then in office (although less than a quorum) or by a sole remaining director, and each director so elected shall serve for the remainder of the full term of the director whose death, resignation or removal shall have created such vacancy and until his or her successor shall have been elected and qualified. Whenever the holders of one or more classes or series of Preferred Stock shall have the right, voting separately as a class or series, to elect directors, the nomination, election, term of office, filling of vacancies, removal and other features of such directorships shall not be governed by this Article FIFTH unless otherwise provided for in the certificate of designation for such classes or series.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SIXTH: The Corporation is to have perpetual existence.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the conduct of the affairs of the Corporation and for the further definition of the powers of the Corporation and its directors and stockholders:</w:t>
      </w:r>
    </w:p>
    <w:p>
      <w:pPr>
        <w:spacing w:after="0" w:line="170" w:lineRule="exact"/>
        <w:rPr>
          <w:sz w:val="20"/>
          <w:szCs w:val="20"/>
          <w:color w:val="auto"/>
        </w:rPr>
      </w:pPr>
    </w:p>
    <w:p>
      <w:pPr>
        <w:jc w:val="both"/>
        <w:ind w:firstLine="656"/>
        <w:spacing w:after="0" w:line="291" w:lineRule="auto"/>
        <w:tabs>
          <w:tab w:leader="none" w:pos="9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Board of Directors is expressly authorized to make, adopt, amend, alter, rescind or repeal the Bylaws of the Corporation. Notwithstanding the foregoing, the stockholders may adopt, amend, alter, rescind or repeal the Bylaws with, in addition to any other vote required by law, the affirmative vote</w:t>
      </w:r>
    </w:p>
    <w:p>
      <w:pPr>
        <w:ind w:right="20"/>
        <w:spacing w:after="0" w:line="205" w:lineRule="auto"/>
        <w:rPr>
          <w:sz w:val="20"/>
          <w:szCs w:val="20"/>
          <w:color w:val="auto"/>
        </w:rPr>
      </w:pPr>
      <w:r>
        <w:rPr>
          <w:rFonts w:ascii="Arial" w:cs="Arial" w:eastAsia="Arial" w:hAnsi="Arial"/>
          <w:sz w:val="18"/>
          <w:szCs w:val="18"/>
          <w:color w:val="auto"/>
        </w:rPr>
        <w:t xml:space="preserve">of the holders of not less than 66 </w:t>
      </w:r>
      <w:r>
        <w:rPr>
          <w:rFonts w:ascii="Arial" w:cs="Arial" w:eastAsia="Arial" w:hAnsi="Arial"/>
          <w:sz w:val="30"/>
          <w:szCs w:val="30"/>
          <w:color w:val="auto"/>
          <w:vertAlign w:val="superscript"/>
        </w:rPr>
        <w:t>2</w:t>
      </w:r>
      <w:r>
        <w:rPr>
          <w:rFonts w:ascii="Arial" w:cs="Arial" w:eastAsia="Arial" w:hAnsi="Arial"/>
          <w:sz w:val="18"/>
          <w:szCs w:val="18"/>
          <w:color w:val="auto"/>
        </w:rPr>
        <w:t>/3% of the total voting power of all outstanding securities of the Corporation then entitled to vote generally in the election of directors, voting together as a single class.</w:t>
      </w:r>
    </w:p>
    <w:p>
      <w:pPr>
        <w:spacing w:after="0" w:line="203" w:lineRule="exact"/>
        <w:rPr>
          <w:sz w:val="20"/>
          <w:szCs w:val="20"/>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so provide.</w:t>
      </w:r>
    </w:p>
    <w:p>
      <w:pPr>
        <w:spacing w:after="0" w:line="225" w:lineRule="exact"/>
        <w:rPr>
          <w:rFonts w:ascii="Arial" w:cs="Arial" w:eastAsia="Arial" w:hAnsi="Arial"/>
          <w:sz w:val="18"/>
          <w:szCs w:val="18"/>
          <w:color w:val="auto"/>
        </w:rPr>
      </w:pPr>
    </w:p>
    <w:p>
      <w:pPr>
        <w:jc w:val="both"/>
        <w:ind w:firstLine="656"/>
        <w:spacing w:after="0" w:line="276" w:lineRule="auto"/>
        <w:tabs>
          <w:tab w:leader="none" w:pos="9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Special meetings of the stockholders of the Corporation for any purpose or purposes may be called at any time by the Chairman of the Board of Directors or the Chief Executive Officer or at the written request of a majority of the members of the Board of Directors and may not be called by any other person;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and to the extent that any special meeting of stockholders may be called by any other person or persons specified in any provisions of the Certificate of Incorporation or any amendment thereto or any certificate filed under Section 151(g) of the DGCL, then such special meeting may also be called by the person or persons, in the manner, at the times and for the purposes so specified.</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EIGHTH: 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8" w:name="page119"/>
    <w:bookmarkEnd w:id="118"/>
    <w:p>
      <w:pPr>
        <w:jc w:val="both"/>
        <w:ind w:firstLine="324"/>
        <w:spacing w:after="0" w:line="259" w:lineRule="auto"/>
        <w:rPr>
          <w:sz w:val="20"/>
          <w:szCs w:val="20"/>
          <w:color w:val="auto"/>
        </w:rPr>
      </w:pPr>
      <w:r>
        <w:rPr>
          <w:rFonts w:ascii="Arial" w:cs="Arial" w:eastAsia="Arial" w:hAnsi="Arial"/>
          <w:sz w:val="18"/>
          <w:szCs w:val="18"/>
          <w:color w:val="auto"/>
        </w:rPr>
        <w:t>NINTH: A director of the Corporation shall not be personally liable to the Corporation or its stockholders for monetary damages for breach of fiduciary duty as a director, provided that this Article shall not eliminate or limit the liability of a director (i) for any breach of his or her duty of loyalty to the Corporation or its stockholders, (ii) for acts or omissions not in good faith or which involve intentional misconduct or a knowing violation of the law, (iii) under Section 174 of the DGCL or (iv) for any transaction from which the director derives an improper personal benefit.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DGCL is hereafter amended to authorize corporate action further limiting or eliminating the personal liability of directors, then the liability of the director to the Corporation shall be limited or eliminated to the fullest extent permitted by the DGCL, as so amended from time to time. Any amendment, repeal or modification of this Article shall be prospective only, and shall not adversely affect any right or protection of a director of the Corporation under this Article NINTH in respect of any act or omission occurring prior to the time of such amendment, repeal or modification.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TENTH: Each reference in this Amended and Restated Certificate of Incorporation to any provision of the DGCL refers to the specified provision of the DGCL, as the same now exists or as it may hereafter be amended or superseded.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ELEVENTH: The Corporation reserves the right at any time and from time to time to amend, alter, change or repeal any provision contained in this Certificate of Incorporation, in the manner now or hereafter prescribed by the laws of the State of Delaware; and all rights conferred on stockholders, directors or any other persons herein are granted subject to this reservation.</w:t>
      </w:r>
    </w:p>
    <w:p>
      <w:pPr>
        <w:spacing w:after="0" w:line="181" w:lineRule="exact"/>
        <w:rPr>
          <w:sz w:val="20"/>
          <w:szCs w:val="20"/>
          <w:color w:val="auto"/>
        </w:rPr>
      </w:pPr>
    </w:p>
    <w:p>
      <w:pPr>
        <w:ind w:firstLine="332"/>
        <w:spacing w:after="0" w:line="277" w:lineRule="auto"/>
        <w:tabs>
          <w:tab w:leader="none" w:pos="5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has been consented to and authorized by the holders of a majority of the issued and outstanding stock entitled to vote in accordance with the provisions of Section 228 of the DGCL.</w:t>
      </w:r>
    </w:p>
    <w:p>
      <w:pPr>
        <w:spacing w:after="0" w:line="170" w:lineRule="exact"/>
        <w:rPr>
          <w:rFonts w:ascii="Arial" w:cs="Arial" w:eastAsia="Arial" w:hAnsi="Arial"/>
          <w:sz w:val="18"/>
          <w:szCs w:val="18"/>
          <w:color w:val="auto"/>
        </w:rPr>
      </w:pPr>
    </w:p>
    <w:p>
      <w:pPr>
        <w:ind w:firstLine="332"/>
        <w:spacing w:after="0" w:line="277" w:lineRule="auto"/>
        <w:tabs>
          <w:tab w:leader="none" w:pos="5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was duly adopted in accordance with the applicable provisions of Sections 242 and 245 of the DGCL.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ind w:firstLine="324"/>
        <w:spacing w:after="0" w:line="280" w:lineRule="auto"/>
        <w:rPr>
          <w:sz w:val="20"/>
          <w:szCs w:val="20"/>
          <w:color w:val="auto"/>
        </w:rPr>
      </w:pPr>
      <w:r>
        <w:rPr>
          <w:rFonts w:ascii="Arial" w:cs="Arial" w:eastAsia="Arial" w:hAnsi="Arial"/>
          <w:sz w:val="18"/>
          <w:szCs w:val="18"/>
          <w:color w:val="auto"/>
        </w:rPr>
        <w:t>IN WITNESS WHEREOF, Vringo, Inc. has caused this Amended and Restated Certificate of Incorporation to be signed by Jonathan Medved, its Chief Executive Officer, on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June, 2010.</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Medved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86585" cy="6000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886585" cy="60007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 does hereby certify that: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w:t>
      </w:r>
      <w:r>
        <w:rPr>
          <w:rFonts w:ascii="Arial" w:cs="Arial" w:eastAsia="Arial" w:hAnsi="Arial"/>
          <w:sz w:val="18"/>
          <w:szCs w:val="18"/>
          <w:b w:val="1"/>
          <w:bCs w:val="1"/>
          <w:color w:val="auto"/>
        </w:rPr>
        <w:t xml:space="preserve"> VRINGO, INC.</w:t>
      </w:r>
    </w:p>
    <w:p>
      <w:pPr>
        <w:spacing w:after="0" w:line="225"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original Certificate of Incorporation of the Corporation was filed with the Secretary of State of the State of Delaware on January 9, 2006</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Amended and Restated Certificate of Incorporation of the Corporation was filed with the Secretary of State of the State of Delaware on June 22, 2010.</w:t>
      </w:r>
    </w:p>
    <w:p>
      <w:pPr>
        <w:spacing w:after="0" w:line="11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w:t>
      </w:r>
      <w:r>
        <w:rPr>
          <w:rFonts w:ascii="Arial" w:cs="Arial" w:eastAsia="Arial" w:hAnsi="Arial"/>
          <w:sz w:val="18"/>
          <w:szCs w:val="18"/>
          <w:b w:val="1"/>
          <w:bCs w:val="1"/>
          <w:color w:val="auto"/>
        </w:rPr>
        <w:t xml:space="preserve"> “Board”), </w:t>
      </w:r>
      <w:r>
        <w:rPr>
          <w:rFonts w:ascii="Arial" w:cs="Arial" w:eastAsia="Arial" w:hAnsi="Arial"/>
          <w:sz w:val="18"/>
          <w:szCs w:val="18"/>
          <w:color w:val="auto"/>
        </w:rPr>
        <w:t>acting in accordance with the provisions of Sections 141 and 242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xml:space="preserve"> adopted resolutions amending the Corporation’s Amended and Restated Certificate of Incorporation as follows:</w:t>
      </w:r>
    </w:p>
    <w:p>
      <w:pPr>
        <w:spacing w:after="0" w:line="180"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170" w:lineRule="exact"/>
        <w:rPr>
          <w:sz w:val="20"/>
          <w:szCs w:val="20"/>
          <w:color w:val="auto"/>
        </w:rPr>
      </w:pPr>
    </w:p>
    <w:p>
      <w:pPr>
        <w:ind w:left="340" w:firstLine="324"/>
        <w:spacing w:after="0" w:line="308" w:lineRule="auto"/>
        <w:rPr>
          <w:sz w:val="20"/>
          <w:szCs w:val="20"/>
          <w:color w:val="auto"/>
        </w:rPr>
      </w:pPr>
      <w:r>
        <w:rPr>
          <w:rFonts w:ascii="Arial" w:cs="Arial" w:eastAsia="Arial" w:hAnsi="Arial"/>
          <w:sz w:val="17"/>
          <w:szCs w:val="17"/>
          <w:color w:val="auto"/>
        </w:rPr>
        <w:t>“The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143"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 of the Corporation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their approval, and was duly adopted in accordance with the provisions of Sections 222 and 242 of the DGCL.</w:t>
      </w:r>
    </w:p>
    <w:p>
      <w:pPr>
        <w:spacing w:after="0" w:line="162"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w:t>
      </w:r>
      <w:r>
        <w:rPr>
          <w:rFonts w:ascii="Arial" w:cs="Arial" w:eastAsia="Arial" w:hAnsi="Arial"/>
          <w:sz w:val="18"/>
          <w:szCs w:val="18"/>
          <w:b w:val="1"/>
          <w:bCs w:val="1"/>
          <w:color w:val="auto"/>
        </w:rPr>
        <w:t xml:space="preserve"> CERTIFICATE OF AMENDMENT </w:t>
      </w:r>
      <w:r>
        <w:rPr>
          <w:rFonts w:ascii="Arial" w:cs="Arial" w:eastAsia="Arial" w:hAnsi="Arial"/>
          <w:sz w:val="18"/>
          <w:szCs w:val="18"/>
          <w:color w:val="auto"/>
        </w:rPr>
        <w:t>to be signed by its Chief Executive Officer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19th day of July, 2012.</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86585" cy="6000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886585" cy="6000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RIGHTS OF SERIES A CONVERTIBLE PREFERRED STOCK</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Vringo, Inc. (the </w:t>
      </w:r>
      <w:r>
        <w:rPr>
          <w:rFonts w:ascii="Arial" w:cs="Arial" w:eastAsia="Arial" w:hAnsi="Arial"/>
          <w:sz w:val="18"/>
          <w:szCs w:val="18"/>
          <w:b w:val="1"/>
          <w:bCs w:val="1"/>
          <w:color w:val="auto"/>
        </w:rPr>
        <w:t>“Corporation”</w:t>
      </w:r>
      <w:r>
        <w:rPr>
          <w:rFonts w:ascii="Arial" w:cs="Arial" w:eastAsia="Arial" w:hAnsi="Arial"/>
          <w:sz w:val="18"/>
          <w:szCs w:val="18"/>
          <w:color w:val="auto"/>
        </w:rPr>
        <w:t xml:space="preserve">), a corporation organized and existing under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xml:space="preserve"> does hereby certify that, pursuant to authority conferred upon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by the Amended and Restated Certificate of Incorporation, as amended, of the Corporation, and pursuant to Sections 151 and 141 of the DGCL, the Board adopted resolutions (i) designating a series of the Corporation’s previously authorized preferred stock, par value $0.01 per share, and (ii) 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RESOLVED, that the Corporation is authorized to issue six thousand nine hundred and sixty eight (6,968) shares of Series A Convertible Preferred Stock (the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xml:space="preserve"> par value $0.01 per share, which shall have the following powers, designations, preferences and other special rights:</w:t>
      </w:r>
    </w:p>
    <w:p>
      <w:pPr>
        <w:spacing w:after="0" w:line="124" w:lineRule="exact"/>
        <w:rPr>
          <w:sz w:val="20"/>
          <w:szCs w:val="20"/>
          <w:color w:val="auto"/>
        </w:rPr>
      </w:pPr>
    </w:p>
    <w:p>
      <w:pPr>
        <w:jc w:val="both"/>
        <w:ind w:firstLine="656"/>
        <w:spacing w:after="0" w:line="259" w:lineRule="auto"/>
        <w:tabs>
          <w:tab w:leader="none" w:pos="148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59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xml:space="preserve">. The Series A Preferred Stock shall rank prior and superior to all of the common stock, par value $0.01 per share, of the Corporation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2" w:name="page123"/>
    <w:bookmarkEnd w:id="122"/>
    <w:p>
      <w:pPr>
        <w:jc w:val="both"/>
        <w:ind w:left="-20" w:firstLine="656"/>
        <w:spacing w:after="0" w:line="285" w:lineRule="auto"/>
        <w:tabs>
          <w:tab w:leader="none" w:pos="133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From and after the first date of issuance of any shares of Series A Preferred Stock (the </w:t>
      </w:r>
      <w:r>
        <w:rPr>
          <w:rFonts w:ascii="Arial" w:cs="Arial" w:eastAsia="Arial" w:hAnsi="Arial"/>
          <w:sz w:val="16"/>
          <w:szCs w:val="16"/>
          <w:b w:val="1"/>
          <w:bCs w:val="1"/>
          <w:color w:val="auto"/>
        </w:rPr>
        <w:t>“Initial Issuance Date”),</w:t>
      </w:r>
      <w:r>
        <w:rPr>
          <w:rFonts w:ascii="Arial" w:cs="Arial" w:eastAsia="Arial" w:hAnsi="Arial"/>
          <w:sz w:val="16"/>
          <w:szCs w:val="16"/>
          <w:color w:val="auto"/>
        </w:rPr>
        <w:t xml:space="preserve"> the holders of Series A Preferred Stock (each, a </w:t>
      </w:r>
      <w:r>
        <w:rPr>
          <w:rFonts w:ascii="Arial" w:cs="Arial" w:eastAsia="Arial" w:hAnsi="Arial"/>
          <w:sz w:val="16"/>
          <w:szCs w:val="16"/>
          <w:b w:val="1"/>
          <w:bCs w:val="1"/>
          <w:color w:val="auto"/>
        </w:rPr>
        <w:t>“Holder”</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xml:space="preserve">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6"/>
          <w:szCs w:val="16"/>
          <w:b w:val="1"/>
          <w:bCs w:val="1"/>
          <w:color w:val="auto"/>
        </w:rPr>
        <w:t>“Junior Stock”)</w:t>
      </w:r>
      <w:r>
        <w:rPr>
          <w:rFonts w:ascii="Arial" w:cs="Arial" w:eastAsia="Arial" w:hAnsi="Arial"/>
          <w:sz w:val="16"/>
          <w:szCs w:val="16"/>
          <w:color w:val="auto"/>
        </w:rPr>
        <w:t xml:space="preserve"> (if any) (but after and subject to the rights of holders of Senior Preferred Stock (as defined below), if any,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rights of holders of capital stock of the Corporation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6"/>
          <w:szCs w:val="16"/>
          <w:b w:val="1"/>
          <w:bCs w:val="1"/>
          <w:color w:val="auto"/>
        </w:rPr>
        <w:t>“Pari Passu</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Stock”) </w:t>
      </w:r>
      <w:r>
        <w:rPr>
          <w:rFonts w:ascii="Arial" w:cs="Arial" w:eastAsia="Arial" w:hAnsi="Arial"/>
          <w:sz w:val="16"/>
          <w:szCs w:val="16"/>
          <w:color w:val="auto"/>
        </w:rPr>
        <w:t>(if any)), to the same extent as if such Holders had converted the Series A Preferred Stock into Common Stock (without regard to any limitations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herein or elsewhere) and had held such shares of Common Stock on the record date for such dividends and distributions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 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172" w:lineRule="exact"/>
        <w:rPr>
          <w:rFonts w:ascii="Arial" w:cs="Arial" w:eastAsia="Arial" w:hAnsi="Arial"/>
          <w:sz w:val="16"/>
          <w:szCs w:val="16"/>
          <w:color w:val="auto"/>
        </w:rPr>
      </w:pPr>
    </w:p>
    <w:p>
      <w:pPr>
        <w:jc w:val="both"/>
        <w:ind w:left="-20" w:firstLine="656"/>
        <w:spacing w:after="0" w:line="268" w:lineRule="auto"/>
        <w:tabs>
          <w:tab w:leader="none" w:pos="1357"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7"/>
          <w:szCs w:val="17"/>
          <w:b w:val="1"/>
          <w:bCs w:val="1"/>
          <w:color w:val="auto"/>
        </w:rPr>
        <w:t xml:space="preserve">“Senior Preferred Stock”) </w:t>
      </w:r>
      <w:r>
        <w:rPr>
          <w:rFonts w:ascii="Arial" w:cs="Arial" w:eastAsia="Arial" w:hAnsi="Arial"/>
          <w:sz w:val="17"/>
          <w:szCs w:val="17"/>
          <w:color w:val="auto"/>
        </w:rPr>
        <w:t>upon such liquidation, dissolution or winding up, but before any payment shall be made to the holders of Junior Stock,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7"/>
          <w:szCs w:val="17"/>
          <w:b w:val="1"/>
          <w:bCs w:val="1"/>
          <w:color w:val="auto"/>
        </w:rPr>
        <w:t>’’Stated Value”</w:t>
      </w:r>
      <w:r>
        <w:rPr>
          <w:rFonts w:ascii="Arial" w:cs="Arial" w:eastAsia="Arial" w:hAnsi="Arial"/>
          <w:sz w:val="17"/>
          <w:szCs w:val="17"/>
          <w:color w:val="auto"/>
        </w:rPr>
        <w:t xml:space="preserve"> shall mean one thousand dollars ($1,000) per share, subject to adjustment for stock splits, stock dividends, recapitalizations, reorganizations, reclassifications, combinations, reverse stock splits or other similar events relating to the Series A Preferred Stock after the Initial Issuance Date. For purposes of this Certificate of Designations, a </w:t>
      </w:r>
      <w:r>
        <w:rPr>
          <w:rFonts w:ascii="Arial" w:cs="Arial" w:eastAsia="Arial" w:hAnsi="Arial"/>
          <w:sz w:val="17"/>
          <w:szCs w:val="17"/>
          <w:b w:val="1"/>
          <w:bCs w:val="1"/>
          <w:color w:val="auto"/>
        </w:rPr>
        <w:t xml:space="preserve">“Liquidation Event” </w:t>
      </w:r>
      <w:r>
        <w:rPr>
          <w:rFonts w:ascii="Arial" w:cs="Arial" w:eastAsia="Arial" w:hAnsi="Arial"/>
          <w:sz w:val="17"/>
          <w:szCs w:val="17"/>
          <w:color w:val="auto"/>
        </w:rPr>
        <w:t>means the voluntary or involuntary liquidation, dissolution or winding up of the Corporation or its Subsidiaries, the assets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all or substantially all of the assets of the business of the Corporation and its Subsidiaries taken as a whole, in a single transaction or series of transactions.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3" w:name="page124"/>
    <w:bookmarkEnd w:id="123"/>
    <w:p>
      <w:pPr>
        <w:ind w:left="1000" w:hanging="684"/>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Fundamental Transactions; Put Triggering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655"/>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firstLine="1613"/>
        <w:spacing w:after="0" w:line="282" w:lineRule="auto"/>
        <w:tabs>
          <w:tab w:leader="none" w:pos="2240" w:val="left"/>
        </w:tabs>
        <w:numPr>
          <w:ilvl w:val="2"/>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other day on which commercial banks in The City of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are authorized or required by law to remain closed.</w:t>
      </w:r>
    </w:p>
    <w:p>
      <w:pPr>
        <w:spacing w:after="0" w:line="161" w:lineRule="exact"/>
        <w:rPr>
          <w:rFonts w:ascii="Arial" w:cs="Arial" w:eastAsia="Arial" w:hAnsi="Arial"/>
          <w:sz w:val="18"/>
          <w:szCs w:val="18"/>
          <w:color w:val="auto"/>
        </w:rPr>
      </w:pPr>
    </w:p>
    <w:p>
      <w:pPr>
        <w:jc w:val="both"/>
        <w:ind w:firstLine="1613"/>
        <w:spacing w:after="0" w:line="266" w:lineRule="auto"/>
        <w:tabs>
          <w:tab w:leader="none" w:pos="2245" w:val="left"/>
        </w:tabs>
        <w:numPr>
          <w:ilvl w:val="2"/>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“Cash Conversion Amount” </w:t>
      </w:r>
      <w:r>
        <w:rPr>
          <w:rFonts w:ascii="Arial" w:cs="Arial" w:eastAsia="Arial" w:hAnsi="Arial"/>
          <w:sz w:val="18"/>
          <w:szCs w:val="18"/>
          <w:color w:val="auto"/>
        </w:rPr>
        <w:t>means the product of (A) the percentage of the consideration in the Put Triggering Event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all consideration being paid in such Put Triggering Event) being paid in cash multiplied by (B) the Conversion Amount as to which a Put Triggering Event Redemption Notice is being delivered.</w:t>
      </w:r>
    </w:p>
    <w:p>
      <w:pPr>
        <w:spacing w:after="0" w:line="176" w:lineRule="exact"/>
        <w:rPr>
          <w:rFonts w:ascii="Arial" w:cs="Arial" w:eastAsia="Arial" w:hAnsi="Arial"/>
          <w:sz w:val="18"/>
          <w:szCs w:val="18"/>
          <w:color w:val="auto"/>
        </w:rPr>
      </w:pPr>
    </w:p>
    <w:p>
      <w:pPr>
        <w:ind w:left="2240" w:hanging="591"/>
        <w:spacing w:after="0"/>
        <w:tabs>
          <w:tab w:leader="none" w:pos="2240" w:val="left"/>
        </w:tabs>
        <w:numPr>
          <w:ilvl w:val="3"/>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sz w:val="20"/>
          <w:szCs w:val="20"/>
          <w:color w:val="auto"/>
        </w:rPr>
      </w:pPr>
    </w:p>
    <w:p>
      <w:pPr>
        <w:ind w:right="20" w:firstLine="1613"/>
        <w:spacing w:after="0" w:line="282" w:lineRule="auto"/>
        <w:tabs>
          <w:tab w:leader="none" w:pos="230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“Eligible Market” </w:t>
      </w:r>
      <w:r>
        <w:rPr>
          <w:rFonts w:ascii="Arial" w:cs="Arial" w:eastAsia="Arial" w:hAnsi="Arial"/>
          <w:sz w:val="18"/>
          <w:szCs w:val="18"/>
          <w:color w:val="auto"/>
        </w:rPr>
        <w:t>means The New York Stock Exchange, Inc., the NYSE MKT, The NASDAQ Global Select Market,</w:t>
      </w:r>
      <w:r>
        <w:rPr>
          <w:rFonts w:ascii="Arial" w:cs="Arial" w:eastAsia="Arial" w:hAnsi="Arial"/>
          <w:sz w:val="18"/>
          <w:szCs w:val="18"/>
          <w:b w:val="1"/>
          <w:bCs w:val="1"/>
          <w:color w:val="auto"/>
        </w:rPr>
        <w:t xml:space="preserve"> </w:t>
      </w:r>
      <w:r>
        <w:rPr>
          <w:rFonts w:ascii="Arial" w:cs="Arial" w:eastAsia="Arial" w:hAnsi="Arial"/>
          <w:sz w:val="18"/>
          <w:szCs w:val="18"/>
          <w:color w:val="auto"/>
        </w:rPr>
        <w:t>The NASDAQ Global Market or The NASDAQ Capital Market.</w:t>
      </w:r>
    </w:p>
    <w:p>
      <w:pPr>
        <w:spacing w:after="0" w:line="161" w:lineRule="exact"/>
        <w:rPr>
          <w:rFonts w:ascii="Arial" w:cs="Arial" w:eastAsia="Arial" w:hAnsi="Arial"/>
          <w:sz w:val="18"/>
          <w:szCs w:val="18"/>
          <w:color w:val="auto"/>
        </w:rPr>
      </w:pPr>
    </w:p>
    <w:p>
      <w:pPr>
        <w:jc w:val="both"/>
        <w:ind w:firstLine="1613"/>
        <w:spacing w:after="0" w:line="256" w:lineRule="auto"/>
        <w:tabs>
          <w:tab w:leader="none" w:pos="2519"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means any Fundamental Transaction other than (A) any reorganization, recapitalization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187" w:lineRule="exact"/>
        <w:rPr>
          <w:rFonts w:ascii="Arial" w:cs="Arial" w:eastAsia="Arial" w:hAnsi="Arial"/>
          <w:sz w:val="18"/>
          <w:szCs w:val="18"/>
          <w:color w:val="auto"/>
        </w:rPr>
      </w:pPr>
    </w:p>
    <w:p>
      <w:pPr>
        <w:jc w:val="both"/>
        <w:ind w:firstLine="1613"/>
        <w:spacing w:after="0" w:line="261" w:lineRule="auto"/>
        <w:tabs>
          <w:tab w:leader="none" w:pos="230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“Eligible Successor Common Stock” </w:t>
      </w:r>
      <w:r>
        <w:rPr>
          <w:rFonts w:ascii="Arial" w:cs="Arial" w:eastAsia="Arial" w:hAnsi="Arial"/>
          <w:sz w:val="18"/>
          <w:szCs w:val="18"/>
          <w:color w:val="auto"/>
        </w:rPr>
        <w:t>means common stock of a Successor Entity that is a publicly traded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24" w:name="page125"/>
    <w:bookmarkEnd w:id="124"/>
    <w:p>
      <w:pPr>
        <w:jc w:val="both"/>
        <w:ind w:left="8" w:firstLine="1613"/>
        <w:spacing w:after="0" w:line="287" w:lineRule="auto"/>
        <w:tabs>
          <w:tab w:leader="none" w:pos="2307"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“Fundamental Transaction” </w:t>
      </w:r>
      <w:r>
        <w:rPr>
          <w:rFonts w:ascii="Arial" w:cs="Arial" w:eastAsia="Arial" w:hAnsi="Arial"/>
          <w:sz w:val="16"/>
          <w:szCs w:val="16"/>
          <w:color w:val="auto"/>
        </w:rPr>
        <w:t>means that the Corporation shall (or in the case of clause (F) any “person” or “group” (as</w:t>
      </w:r>
      <w:r>
        <w:rPr>
          <w:rFonts w:ascii="Arial" w:cs="Arial" w:eastAsia="Arial" w:hAnsi="Arial"/>
          <w:sz w:val="16"/>
          <w:szCs w:val="16"/>
          <w:b w:val="1"/>
          <w:bCs w:val="1"/>
          <w:color w:val="auto"/>
        </w:rPr>
        <w:t xml:space="preserve"> </w:t>
      </w:r>
      <w:r>
        <w:rPr>
          <w:rFonts w:ascii="Arial" w:cs="Arial" w:eastAsia="Arial" w:hAnsi="Arial"/>
          <w:sz w:val="16"/>
          <w:szCs w:val="16"/>
          <w:color w:val="auto"/>
        </w:rPr>
        <w:t>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168" w:lineRule="exact"/>
        <w:rPr>
          <w:rFonts w:ascii="Arial" w:cs="Arial" w:eastAsia="Arial" w:hAnsi="Arial"/>
          <w:sz w:val="16"/>
          <w:szCs w:val="16"/>
          <w:color w:val="auto"/>
        </w:rPr>
      </w:pPr>
    </w:p>
    <w:p>
      <w:pPr>
        <w:jc w:val="both"/>
        <w:ind w:left="8" w:firstLine="1613"/>
        <w:spacing w:after="0" w:line="289" w:lineRule="auto"/>
        <w:tabs>
          <w:tab w:leader="none" w:pos="2420" w:val="left"/>
        </w:tabs>
        <w:numPr>
          <w:ilvl w:val="1"/>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“Parent Entity” </w:t>
      </w:r>
      <w:r>
        <w:rPr>
          <w:rFonts w:ascii="Arial" w:cs="Arial" w:eastAsia="Arial" w:hAnsi="Arial"/>
          <w:sz w:val="17"/>
          <w:szCs w:val="17"/>
          <w:color w:val="auto"/>
        </w:rPr>
        <w:t>of a Person means an entity that, directly or indirectly, controls the applicable Person and whose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jc w:val="both"/>
        <w:ind w:left="8" w:firstLine="1613"/>
        <w:spacing w:after="0" w:line="261" w:lineRule="auto"/>
        <w:tabs>
          <w:tab w:leader="none" w:pos="2428"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“Put Triggering Event” </w:t>
      </w:r>
      <w:r>
        <w:rPr>
          <w:rFonts w:ascii="Arial" w:cs="Arial" w:eastAsia="Arial" w:hAnsi="Arial"/>
          <w:sz w:val="18"/>
          <w:szCs w:val="18"/>
          <w:color w:val="auto"/>
        </w:rPr>
        <w:t>means any Change of Control other than one in which a Successor Entity that is a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180" w:lineRule="exact"/>
        <w:rPr>
          <w:rFonts w:ascii="Arial" w:cs="Arial" w:eastAsia="Arial" w:hAnsi="Arial"/>
          <w:sz w:val="18"/>
          <w:szCs w:val="18"/>
          <w:color w:val="auto"/>
        </w:rPr>
      </w:pPr>
    </w:p>
    <w:p>
      <w:pPr>
        <w:ind w:left="2288" w:hanging="667"/>
        <w:spacing w:after="0"/>
        <w:tabs>
          <w:tab w:leader="none" w:pos="2288"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“Required Holders” </w:t>
      </w:r>
      <w:r>
        <w:rPr>
          <w:rFonts w:ascii="Arial" w:cs="Arial" w:eastAsia="Arial" w:hAnsi="Arial"/>
          <w:sz w:val="16"/>
          <w:szCs w:val="16"/>
          <w:color w:val="auto"/>
        </w:rPr>
        <w:t>means the holders of record of a majority of the outstanding shares of Series A Preferred Stock.</w:t>
      </w:r>
    </w:p>
    <w:p>
      <w:pPr>
        <w:spacing w:after="0" w:line="248" w:lineRule="exact"/>
        <w:rPr>
          <w:rFonts w:ascii="Arial" w:cs="Arial" w:eastAsia="Arial" w:hAnsi="Arial"/>
          <w:sz w:val="16"/>
          <w:szCs w:val="16"/>
          <w:color w:val="auto"/>
        </w:rPr>
      </w:pPr>
    </w:p>
    <w:p>
      <w:pPr>
        <w:jc w:val="both"/>
        <w:ind w:left="8" w:firstLine="1613"/>
        <w:spacing w:after="0" w:line="289" w:lineRule="auto"/>
        <w:tabs>
          <w:tab w:leader="none" w:pos="2401" w:val="left"/>
        </w:tabs>
        <w:numPr>
          <w:ilvl w:val="1"/>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“Securities Conversion Amount” </w:t>
      </w:r>
      <w:r>
        <w:rPr>
          <w:rFonts w:ascii="Arial" w:cs="Arial" w:eastAsia="Arial" w:hAnsi="Arial"/>
          <w:sz w:val="17"/>
          <w:szCs w:val="17"/>
          <w:color w:val="auto"/>
        </w:rPr>
        <w:t>means the product of (A) the percentage of the consideration in the Put Triggering</w:t>
      </w:r>
      <w:r>
        <w:rPr>
          <w:rFonts w:ascii="Arial" w:cs="Arial" w:eastAsia="Arial" w:hAnsi="Arial"/>
          <w:sz w:val="17"/>
          <w:szCs w:val="17"/>
          <w:b w:val="1"/>
          <w:bCs w:val="1"/>
          <w:color w:val="auto"/>
        </w:rPr>
        <w:t xml:space="preserve"> </w:t>
      </w:r>
      <w:r>
        <w:rPr>
          <w:rFonts w:ascii="Arial" w:cs="Arial" w:eastAsia="Arial" w:hAnsi="Arial"/>
          <w:sz w:val="17"/>
          <w:szCs w:val="17"/>
          <w:color w:val="auto"/>
        </w:rPr>
        <w:t>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158" w:lineRule="exact"/>
        <w:rPr>
          <w:rFonts w:ascii="Arial" w:cs="Arial" w:eastAsia="Arial" w:hAnsi="Arial"/>
          <w:sz w:val="17"/>
          <w:szCs w:val="17"/>
          <w:color w:val="auto"/>
        </w:rPr>
      </w:pPr>
    </w:p>
    <w:p>
      <w:pPr>
        <w:jc w:val="both"/>
        <w:ind w:left="8" w:firstLine="1613"/>
        <w:spacing w:after="0" w:line="261" w:lineRule="auto"/>
        <w:tabs>
          <w:tab w:leader="none" w:pos="2487"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“Successor Entity” </w:t>
      </w:r>
      <w:r>
        <w:rPr>
          <w:rFonts w:ascii="Arial" w:cs="Arial" w:eastAsia="Arial" w:hAnsi="Arial"/>
          <w:sz w:val="18"/>
          <w:szCs w:val="18"/>
          <w:color w:val="auto"/>
        </w:rPr>
        <w:t>means the Person, which may be the Corporation, formed by, resulting from or surviving any</w:t>
      </w:r>
      <w:r>
        <w:rPr>
          <w:rFonts w:ascii="Arial" w:cs="Arial" w:eastAsia="Arial" w:hAnsi="Arial"/>
          <w:sz w:val="18"/>
          <w:szCs w:val="18"/>
          <w:b w:val="1"/>
          <w:bCs w:val="1"/>
          <w:color w:val="auto"/>
        </w:rPr>
        <w:t xml:space="preserve"> </w:t>
      </w:r>
      <w:r>
        <w:rPr>
          <w:rFonts w:ascii="Arial" w:cs="Arial" w:eastAsia="Arial" w:hAnsi="Arial"/>
          <w:sz w:val="18"/>
          <w:szCs w:val="18"/>
          <w:color w:val="auto"/>
        </w:rPr>
        <w:t>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180" w:lineRule="exact"/>
        <w:rPr>
          <w:rFonts w:ascii="Arial" w:cs="Arial" w:eastAsia="Arial" w:hAnsi="Arial"/>
          <w:sz w:val="18"/>
          <w:szCs w:val="18"/>
          <w:color w:val="auto"/>
        </w:rPr>
      </w:pPr>
    </w:p>
    <w:p>
      <w:pPr>
        <w:jc w:val="both"/>
        <w:ind w:left="8" w:firstLine="1613"/>
        <w:spacing w:after="0" w:line="293" w:lineRule="auto"/>
        <w:tabs>
          <w:tab w:leader="none" w:pos="2479"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“Successor Entity Conversion Amount” </w:t>
      </w:r>
      <w:r>
        <w:rPr>
          <w:rFonts w:ascii="Arial" w:cs="Arial" w:eastAsia="Arial" w:hAnsi="Arial"/>
          <w:sz w:val="16"/>
          <w:szCs w:val="16"/>
          <w:color w:val="auto"/>
        </w:rPr>
        <w:t>means the product of (A) the percentage of the consideration in the Put</w:t>
      </w:r>
      <w:r>
        <w:rPr>
          <w:rFonts w:ascii="Arial" w:cs="Arial" w:eastAsia="Arial" w:hAnsi="Arial"/>
          <w:sz w:val="16"/>
          <w:szCs w:val="16"/>
          <w:b w:val="1"/>
          <w:bCs w:val="1"/>
          <w:color w:val="auto"/>
        </w:rPr>
        <w:t xml:space="preserve"> </w:t>
      </w:r>
      <w:r>
        <w:rPr>
          <w:rFonts w:ascii="Arial" w:cs="Arial" w:eastAsia="Arial" w:hAnsi="Arial"/>
          <w:sz w:val="16"/>
          <w:szCs w:val="16"/>
          <w:color w:val="auto"/>
        </w:rPr>
        <w:t>Triggering Event (in relation to all consideration being paid in such Put Triggering Event) being paid in Eligible Successor Common Stock multiplied by</w:t>
      </w:r>
    </w:p>
    <w:p>
      <w:pPr>
        <w:spacing w:after="0" w:line="1" w:lineRule="exact"/>
        <w:rPr>
          <w:rFonts w:ascii="Arial" w:cs="Arial" w:eastAsia="Arial" w:hAnsi="Arial"/>
          <w:sz w:val="16"/>
          <w:szCs w:val="16"/>
          <w:color w:val="auto"/>
        </w:rPr>
      </w:pPr>
    </w:p>
    <w:p>
      <w:pPr>
        <w:ind w:left="288" w:hanging="288"/>
        <w:spacing w:after="0"/>
        <w:tabs>
          <w:tab w:leader="none" w:pos="2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Conversion Amount as to which a Put Triggering Event Redemption Notice is being delivered.</w:t>
      </w: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125" w:name="page126"/>
    <w:bookmarkEnd w:id="125"/>
    <w:p>
      <w:pPr>
        <w:jc w:val="both"/>
        <w:ind w:left="320" w:firstLine="1613"/>
        <w:spacing w:after="0" w:line="256" w:lineRule="auto"/>
        <w:tabs>
          <w:tab w:leader="none" w:pos="2574"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“Trading Day” </w:t>
      </w:r>
      <w:r>
        <w:rPr>
          <w:rFonts w:ascii="Arial" w:cs="Arial" w:eastAsia="Arial" w:hAnsi="Arial"/>
          <w:sz w:val="18"/>
          <w:szCs w:val="18"/>
          <w:color w:val="auto"/>
        </w:rPr>
        <w:t>means any day on which the Common Stock is traded on the Principal Market, or, if the Principal Market</w:t>
      </w:r>
      <w:r>
        <w:rPr>
          <w:rFonts w:ascii="Arial" w:cs="Arial" w:eastAsia="Arial" w:hAnsi="Arial"/>
          <w:sz w:val="18"/>
          <w:szCs w:val="18"/>
          <w:b w:val="1"/>
          <w:bCs w:val="1"/>
          <w:color w:val="auto"/>
        </w:rPr>
        <w:t xml:space="preserve"> </w:t>
      </w:r>
      <w:r>
        <w:rPr>
          <w:rFonts w:ascii="Arial" w:cs="Arial" w:eastAsia="Arial" w:hAnsi="Arial"/>
          <w:sz w:val="18"/>
          <w:szCs w:val="18"/>
          <w:color w:val="auto"/>
        </w:rPr>
        <w:t>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7" w:lineRule="exact"/>
        <w:rPr>
          <w:rFonts w:ascii="Arial" w:cs="Arial" w:eastAsia="Arial" w:hAnsi="Arial"/>
          <w:sz w:val="18"/>
          <w:szCs w:val="18"/>
          <w:color w:val="auto"/>
        </w:rPr>
      </w:pPr>
    </w:p>
    <w:p>
      <w:pPr>
        <w:jc w:val="both"/>
        <w:ind w:left="320" w:firstLine="1613"/>
        <w:spacing w:after="0" w:line="314" w:lineRule="auto"/>
        <w:tabs>
          <w:tab w:leader="none" w:pos="2596" w:val="left"/>
        </w:tabs>
        <w:numPr>
          <w:ilvl w:val="1"/>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“Voting Stock” </w:t>
      </w:r>
      <w:r>
        <w:rPr>
          <w:rFonts w:ascii="Arial" w:cs="Arial" w:eastAsia="Arial" w:hAnsi="Arial"/>
          <w:sz w:val="16"/>
          <w:szCs w:val="16"/>
          <w:color w:val="auto"/>
        </w:rPr>
        <w:t>means capital stock of the class or classes pursuant to which the holders thereof have the general voting</w:t>
      </w:r>
      <w:r>
        <w:rPr>
          <w:rFonts w:ascii="Arial" w:cs="Arial" w:eastAsia="Arial" w:hAnsi="Arial"/>
          <w:sz w:val="16"/>
          <w:szCs w:val="16"/>
          <w:b w:val="1"/>
          <w:bCs w:val="1"/>
          <w:color w:val="auto"/>
        </w:rPr>
        <w:t xml:space="preserve"> </w:t>
      </w:r>
      <w:r>
        <w:rPr>
          <w:rFonts w:ascii="Arial" w:cs="Arial" w:eastAsia="Arial" w:hAnsi="Arial"/>
          <w:sz w:val="16"/>
          <w:szCs w:val="16"/>
          <w:color w:val="auto"/>
        </w:rPr>
        <w:t>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146" w:lineRule="exact"/>
        <w:rPr>
          <w:rFonts w:ascii="Arial" w:cs="Arial" w:eastAsia="Arial" w:hAnsi="Arial"/>
          <w:sz w:val="16"/>
          <w:szCs w:val="16"/>
          <w:color w:val="auto"/>
        </w:rPr>
      </w:pPr>
    </w:p>
    <w:p>
      <w:pPr>
        <w:jc w:val="both"/>
        <w:ind w:left="-20" w:firstLine="1305"/>
        <w:spacing w:after="0" w:line="284" w:lineRule="auto"/>
        <w:tabs>
          <w:tab w:leader="none" w:pos="193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6" w:name="page127"/>
    <w:bookmarkEnd w:id="126"/>
    <w:p>
      <w:pPr>
        <w:jc w:val="both"/>
        <w:ind w:left="-20" w:firstLine="1305"/>
        <w:spacing w:after="0" w:line="283" w:lineRule="auto"/>
        <w:tabs>
          <w:tab w:leader="none" w:pos="210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Put Triggering Event</w:t>
      </w:r>
      <w:r>
        <w:rPr>
          <w:rFonts w:ascii="Arial" w:cs="Arial" w:eastAsia="Arial" w:hAnsi="Arial"/>
          <w:sz w:val="16"/>
          <w:szCs w:val="16"/>
          <w:color w:val="auto"/>
        </w:rPr>
        <w:t xml:space="preserve">.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xml:space="preserve">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6"/>
          <w:szCs w:val="16"/>
          <w:b w:val="1"/>
          <w:bCs w:val="1"/>
          <w:color w:val="auto"/>
        </w:rPr>
        <w:t>“Put Triggering Event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Redemption Notice Date”) </w:t>
      </w:r>
      <w:r>
        <w:rPr>
          <w:rFonts w:ascii="Arial" w:cs="Arial" w:eastAsia="Arial" w:hAnsi="Arial"/>
          <w:sz w:val="16"/>
          <w:szCs w:val="16"/>
          <w:color w:val="auto"/>
        </w:rPr>
        <w:t>written notice thereof</w:t>
      </w:r>
      <w:r>
        <w:rPr>
          <w:rFonts w:ascii="Arial" w:cs="Arial" w:eastAsia="Arial" w:hAnsi="Arial"/>
          <w:sz w:val="16"/>
          <w:szCs w:val="16"/>
          <w:b w:val="1"/>
          <w:bCs w:val="1"/>
          <w:color w:val="auto"/>
        </w:rPr>
        <w:t xml:space="preserve"> (“Put Triggering Event Redemption Notice”) </w:t>
      </w:r>
      <w:r>
        <w:rPr>
          <w:rFonts w:ascii="Arial" w:cs="Arial" w:eastAsia="Arial" w:hAnsi="Arial"/>
          <w:sz w:val="16"/>
          <w:szCs w:val="16"/>
          <w:color w:val="auto"/>
        </w:rPr>
        <w:t>to the Corporation, which Put Triggering Event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Redemption Notice shall indicate the 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w:t>
      </w:r>
      <w:r>
        <w:rPr>
          <w:rFonts w:ascii="Arial" w:cs="Arial" w:eastAsia="Arial" w:hAnsi="Arial"/>
          <w:sz w:val="16"/>
          <w:szCs w:val="16"/>
          <w:b w:val="1"/>
          <w:bCs w:val="1"/>
          <w:color w:val="auto"/>
        </w:rPr>
        <w:t>(</w:t>
      </w:r>
      <w:r>
        <w:rPr>
          <w:rFonts w:ascii="Arial" w:cs="Arial" w:eastAsia="Arial" w:hAnsi="Arial"/>
          <w:sz w:val="16"/>
          <w:szCs w:val="16"/>
          <w:color w:val="auto"/>
        </w:rPr>
        <w:t>II</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6"/>
          <w:szCs w:val="16"/>
          <w:b w:val="1"/>
          <w:bCs w:val="1"/>
          <w:color w:val="auto"/>
        </w:rPr>
        <w:t>“Put Triggering Event Redemption Price’’),</w:t>
      </w:r>
      <w:r>
        <w:rPr>
          <w:rFonts w:ascii="Arial" w:cs="Arial" w:eastAsia="Arial" w:hAnsi="Arial"/>
          <w:sz w:val="16"/>
          <w:szCs w:val="16"/>
          <w:color w:val="auto"/>
        </w:rPr>
        <w:t xml:space="preserve"> and </w:t>
      </w:r>
      <w:r>
        <w:rPr>
          <w:rFonts w:ascii="Arial" w:cs="Arial" w:eastAsia="Arial" w:hAnsi="Arial"/>
          <w:sz w:val="16"/>
          <w:szCs w:val="16"/>
          <w:b w:val="1"/>
          <w:bCs w:val="1"/>
          <w:color w:val="auto"/>
        </w:rPr>
        <w:t>(</w:t>
      </w:r>
      <w:r>
        <w:rPr>
          <w:rFonts w:ascii="Arial" w:cs="Arial" w:eastAsia="Arial" w:hAnsi="Arial"/>
          <w:sz w:val="16"/>
          <w:szCs w:val="16"/>
          <w:color w:val="auto"/>
        </w:rPr>
        <w:t>III</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6"/>
          <w:szCs w:val="16"/>
          <w:b w:val="1"/>
          <w:bCs w:val="1"/>
          <w:color w:val="auto"/>
        </w:rPr>
        <w:t>“Put Triggering</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Event Redemption Date”). </w:t>
      </w:r>
      <w:r>
        <w:rPr>
          <w:rFonts w:ascii="Arial" w:cs="Arial" w:eastAsia="Arial" w:hAnsi="Arial"/>
          <w:sz w:val="16"/>
          <w:szCs w:val="16"/>
          <w:color w:val="auto"/>
        </w:rPr>
        <w:t>To the extent redemptions required by this Section 5(c) are deemed or determined by a court of competent jurisdiction to be</w:t>
      </w:r>
      <w:r>
        <w:rPr>
          <w:rFonts w:ascii="Arial" w:cs="Arial" w:eastAsia="Arial" w:hAnsi="Arial"/>
          <w:sz w:val="16"/>
          <w:szCs w:val="16"/>
          <w:b w:val="1"/>
          <w:bCs w:val="1"/>
          <w:color w:val="auto"/>
        </w:rPr>
        <w:t xml:space="preserve"> </w:t>
      </w:r>
      <w:r>
        <w:rPr>
          <w:rFonts w:ascii="Arial" w:cs="Arial" w:eastAsia="Arial" w:hAnsi="Arial"/>
          <w:sz w:val="16"/>
          <w:szCs w:val="16"/>
          <w:color w:val="auto"/>
        </w:rPr>
        <w:t>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27" w:name="page128"/>
    <w:bookmarkEnd w:id="127"/>
    <w:p>
      <w:pPr>
        <w:jc w:val="both"/>
        <w:ind w:left="-20" w:firstLine="1305"/>
        <w:spacing w:after="0" w:line="269" w:lineRule="auto"/>
        <w:tabs>
          <w:tab w:leader="none" w:pos="1977"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Void Redemption</w:t>
      </w:r>
      <w:r>
        <w:rPr>
          <w:rFonts w:ascii="Arial" w:cs="Arial" w:eastAsia="Arial" w:hAnsi="Arial"/>
          <w:sz w:val="17"/>
          <w:szCs w:val="17"/>
          <w:color w:val="auto"/>
        </w:rPr>
        <w:t xml:space="preserve">.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7"/>
          <w:szCs w:val="17"/>
          <w:b w:val="1"/>
          <w:bCs w:val="1"/>
          <w:color w:val="auto"/>
        </w:rPr>
        <w:t>“Void Redemption Notice”).</w:t>
      </w:r>
      <w:r>
        <w:rPr>
          <w:rFonts w:ascii="Arial" w:cs="Arial" w:eastAsia="Arial" w:hAnsi="Arial"/>
          <w:sz w:val="17"/>
          <w:szCs w:val="17"/>
          <w:color w:val="auto"/>
        </w:rPr>
        <w:t xml:space="preserve">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 (B) 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182" w:lineRule="exact"/>
        <w:rPr>
          <w:rFonts w:ascii="Arial" w:cs="Arial" w:eastAsia="Arial" w:hAnsi="Arial"/>
          <w:sz w:val="17"/>
          <w:szCs w:val="17"/>
          <w:color w:val="auto"/>
        </w:rPr>
      </w:pPr>
    </w:p>
    <w:p>
      <w:pPr>
        <w:jc w:val="both"/>
        <w:ind w:left="-20" w:firstLine="1305"/>
        <w:spacing w:after="0" w:line="259" w:lineRule="auto"/>
        <w:tabs>
          <w:tab w:leader="none" w:pos="202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event of a dispute as to the determination of the arithmetic calculation of the Put Triggering Event Redemption Price, such dispute shall be resolved pursuant to Section 7(e) with the term ’’ Put Triggering Event Redemption Price ”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8" w:name="page129"/>
    <w:bookmarkEnd w:id="128"/>
    <w:p>
      <w:pPr>
        <w:ind w:left="1000" w:hanging="684"/>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hanging="655"/>
        <w:spacing w:after="0"/>
        <w:tabs>
          <w:tab w:leader="none" w:pos="162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jc w:val="both"/>
        <w:ind w:firstLine="1613"/>
        <w:spacing w:after="0" w:line="258" w:lineRule="auto"/>
        <w:tabs>
          <w:tab w:leader="none" w:pos="2267" w:val="left"/>
        </w:tabs>
        <w:numPr>
          <w:ilvl w:val="2"/>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“Contingent Obligation” </w:t>
      </w:r>
      <w:r>
        <w:rPr>
          <w:rFonts w:ascii="Arial" w:cs="Arial" w:eastAsia="Arial" w:hAnsi="Arial"/>
          <w:sz w:val="18"/>
          <w:szCs w:val="18"/>
          <w:color w:val="auto"/>
        </w:rPr>
        <w:t>means, as to any Person, any direct or indirect liability, contingent or otherwise, of that Person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83" w:lineRule="exact"/>
        <w:rPr>
          <w:rFonts w:ascii="Arial" w:cs="Arial" w:eastAsia="Arial" w:hAnsi="Arial"/>
          <w:sz w:val="18"/>
          <w:szCs w:val="18"/>
          <w:color w:val="auto"/>
        </w:rPr>
      </w:pPr>
    </w:p>
    <w:p>
      <w:pPr>
        <w:ind w:left="2240" w:hanging="627"/>
        <w:spacing w:after="0"/>
        <w:tabs>
          <w:tab w:leader="none" w:pos="2240" w:val="left"/>
        </w:tabs>
        <w:numPr>
          <w:ilvl w:val="2"/>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consistently applied.</w:t>
      </w:r>
    </w:p>
    <w:p>
      <w:pPr>
        <w:spacing w:after="0" w:line="225" w:lineRule="exact"/>
        <w:rPr>
          <w:rFonts w:ascii="Arial" w:cs="Arial" w:eastAsia="Arial" w:hAnsi="Arial"/>
          <w:sz w:val="18"/>
          <w:szCs w:val="18"/>
          <w:color w:val="auto"/>
        </w:rPr>
      </w:pPr>
    </w:p>
    <w:p>
      <w:pPr>
        <w:jc w:val="both"/>
        <w:ind w:firstLine="1613"/>
        <w:spacing w:after="0" w:line="287" w:lineRule="auto"/>
        <w:tabs>
          <w:tab w:leader="none" w:pos="2345" w:val="left"/>
        </w:tabs>
        <w:numPr>
          <w:ilvl w:val="2"/>
          <w:numId w:val="53"/>
        </w:numPr>
        <w:rPr>
          <w:rFonts w:ascii="Arial" w:cs="Arial" w:eastAsia="Arial" w:hAnsi="Arial"/>
          <w:sz w:val="16"/>
          <w:szCs w:val="16"/>
          <w:color w:val="auto"/>
        </w:rPr>
      </w:pP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of any Person means, without duplication (i) all indebtedness for borrowed money, (ii) all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164" w:lineRule="exact"/>
        <w:rPr>
          <w:rFonts w:ascii="Arial" w:cs="Arial" w:eastAsia="Arial" w:hAnsi="Arial"/>
          <w:sz w:val="16"/>
          <w:szCs w:val="16"/>
          <w:color w:val="auto"/>
        </w:rPr>
      </w:pPr>
    </w:p>
    <w:p>
      <w:pPr>
        <w:ind w:firstLine="1613"/>
        <w:spacing w:after="0" w:line="282" w:lineRule="auto"/>
        <w:tabs>
          <w:tab w:leader="none" w:pos="2429" w:val="left"/>
        </w:tabs>
        <w:numPr>
          <w:ilvl w:val="2"/>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limited liability company, a partnership, a joint venture, a corporation, a trust, an</w:t>
      </w:r>
      <w:r>
        <w:rPr>
          <w:rFonts w:ascii="Arial" w:cs="Arial" w:eastAsia="Arial" w:hAnsi="Arial"/>
          <w:sz w:val="18"/>
          <w:szCs w:val="18"/>
          <w:b w:val="1"/>
          <w:bCs w:val="1"/>
          <w:color w:val="auto"/>
        </w:rPr>
        <w:t xml:space="preserve"> </w:t>
      </w:r>
      <w:r>
        <w:rPr>
          <w:rFonts w:ascii="Arial" w:cs="Arial" w:eastAsia="Arial" w:hAnsi="Arial"/>
          <w:sz w:val="18"/>
          <w:szCs w:val="18"/>
          <w:color w:val="auto"/>
        </w:rPr>
        <w:t>unincorporated organization, any other entity and a government or any department or agency thereof.</w:t>
      </w: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29" w:name="page130"/>
    <w:bookmarkEnd w:id="129"/>
    <w:p>
      <w:pPr>
        <w:jc w:val="both"/>
        <w:ind w:firstLine="1305"/>
        <w:spacing w:after="0" w:line="284" w:lineRule="auto"/>
        <w:tabs>
          <w:tab w:leader="none" w:pos="2064"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“Twenty Percent Issuance”).</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97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Series A Preferred Stock Protective Provisions</w:t>
      </w:r>
      <w:r>
        <w:rPr>
          <w:rFonts w:ascii="Arial" w:cs="Arial" w:eastAsia="Arial" w:hAnsi="Arial"/>
          <w:sz w:val="18"/>
          <w:szCs w:val="18"/>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A Preferred Stock;</w:t>
      </w:r>
    </w:p>
    <w:p>
      <w:pPr>
        <w:spacing w:after="0" w:line="225" w:lineRule="exact"/>
        <w:rPr>
          <w:rFonts w:ascii="Arial" w:cs="Arial" w:eastAsia="Arial" w:hAnsi="Arial"/>
          <w:sz w:val="18"/>
          <w:szCs w:val="18"/>
          <w:color w:val="auto"/>
        </w:rPr>
      </w:pPr>
    </w:p>
    <w:p>
      <w:pPr>
        <w:ind w:left="340" w:firstLine="1613"/>
        <w:spacing w:after="0" w:line="277" w:lineRule="auto"/>
        <w:tabs>
          <w:tab w:leader="none" w:pos="2766" w:val="left"/>
        </w:tabs>
        <w:numPr>
          <w:ilvl w:val="1"/>
          <w:numId w:val="54"/>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A Preferred Stock so as to affect adversely the Series A Preferred Stock;</w:t>
      </w:r>
    </w:p>
    <w:p>
      <w:pPr>
        <w:spacing w:after="0" w:line="170" w:lineRule="exact"/>
        <w:rPr>
          <w:rFonts w:ascii="Arial" w:cs="Arial" w:eastAsia="Arial" w:hAnsi="Arial"/>
          <w:sz w:val="18"/>
          <w:szCs w:val="18"/>
          <w:color w:val="auto"/>
        </w:rPr>
      </w:pPr>
    </w:p>
    <w:p>
      <w:pPr>
        <w:jc w:val="both"/>
        <w:ind w:left="340" w:firstLine="1613"/>
        <w:spacing w:after="0" w:line="287" w:lineRule="auto"/>
        <w:tabs>
          <w:tab w:leader="none" w:pos="2710"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on or prior to the 18th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then outstanding principal amount of Vringo Notes (as defined in the Agreement and Plan of Merger, dated as of March 12, 2012 (the </w:t>
      </w:r>
      <w:r>
        <w:rPr>
          <w:rFonts w:ascii="Arial" w:cs="Arial" w:eastAsia="Arial" w:hAnsi="Arial"/>
          <w:sz w:val="16"/>
          <w:szCs w:val="16"/>
          <w:b w:val="1"/>
          <w:bCs w:val="1"/>
          <w:color w:val="auto"/>
        </w:rPr>
        <w:t>“Subscription Date”),</w:t>
      </w:r>
      <w:r>
        <w:rPr>
          <w:rFonts w:ascii="Arial" w:cs="Arial" w:eastAsia="Arial" w:hAnsi="Arial"/>
          <w:sz w:val="16"/>
          <w:szCs w:val="16"/>
          <w:color w:val="auto"/>
        </w:rPr>
        <w:t xml:space="preserve">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xml:space="preserve"> VIP Merger Sub, Inc., a Delaware corporation and wholly owned Subsidiary of Parent, and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Corporation and its Subsidiaries shall be permitted to incur Indebtedness, provided,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jc w:val="both"/>
        <w:ind w:left="320" w:firstLine="1613"/>
        <w:spacing w:after="0" w:line="270" w:lineRule="auto"/>
        <w:tabs>
          <w:tab w:leader="none" w:pos="2715" w:val="left"/>
        </w:tabs>
        <w:numPr>
          <w:ilvl w:val="2"/>
          <w:numId w:val="55"/>
        </w:numPr>
        <w:rPr>
          <w:rFonts w:ascii="Arial" w:cs="Arial" w:eastAsia="Arial" w:hAnsi="Arial"/>
          <w:sz w:val="17"/>
          <w:szCs w:val="17"/>
          <w:color w:val="auto"/>
        </w:rPr>
      </w:pPr>
      <w:r>
        <w:rPr>
          <w:rFonts w:ascii="Arial" w:cs="Arial" w:eastAsia="Arial" w:hAnsi="Arial"/>
          <w:sz w:val="17"/>
          <w:szCs w:val="17"/>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 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181" w:lineRule="exact"/>
        <w:rPr>
          <w:rFonts w:ascii="Arial" w:cs="Arial" w:eastAsia="Arial" w:hAnsi="Arial"/>
          <w:sz w:val="17"/>
          <w:szCs w:val="17"/>
          <w:color w:val="auto"/>
        </w:rPr>
      </w:pPr>
    </w:p>
    <w:p>
      <w:pPr>
        <w:jc w:val="both"/>
        <w:ind w:left="-20" w:firstLine="656"/>
        <w:spacing w:after="0" w:line="259" w:lineRule="auto"/>
        <w:tabs>
          <w:tab w:leader="none" w:pos="137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186" w:lineRule="exact"/>
        <w:rPr>
          <w:rFonts w:ascii="Arial" w:cs="Arial" w:eastAsia="Arial" w:hAnsi="Arial"/>
          <w:sz w:val="18"/>
          <w:szCs w:val="18"/>
          <w:color w:val="auto"/>
        </w:rPr>
      </w:pPr>
    </w:p>
    <w:p>
      <w:pPr>
        <w:ind w:left="1940" w:hanging="655"/>
        <w:spacing w:after="0"/>
        <w:tabs>
          <w:tab w:leader="none" w:pos="1940"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left="2560" w:hanging="627"/>
        <w:spacing w:after="0"/>
        <w:tabs>
          <w:tab w:leader="none" w:pos="25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left="2560" w:hanging="627"/>
        <w:spacing w:after="0"/>
        <w:tabs>
          <w:tab w:leader="none" w:pos="25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Stated Value.</w:t>
      </w:r>
    </w:p>
    <w:p>
      <w:pPr>
        <w:spacing w:after="0" w:line="225" w:lineRule="exact"/>
        <w:rPr>
          <w:rFonts w:ascii="Arial" w:cs="Arial" w:eastAsia="Arial" w:hAnsi="Arial"/>
          <w:sz w:val="18"/>
          <w:szCs w:val="18"/>
          <w:color w:val="auto"/>
        </w:rPr>
      </w:pPr>
    </w:p>
    <w:p>
      <w:pPr>
        <w:ind w:left="2560" w:hanging="627"/>
        <w:spacing w:after="0"/>
        <w:tabs>
          <w:tab w:leader="none" w:pos="25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$.33138918, subject to adjustment as provided herein.</w:t>
      </w:r>
    </w:p>
    <w:p>
      <w:pPr>
        <w:spacing w:after="0" w:line="225" w:lineRule="exact"/>
        <w:rPr>
          <w:rFonts w:ascii="Arial" w:cs="Arial" w:eastAsia="Arial" w:hAnsi="Arial"/>
          <w:sz w:val="18"/>
          <w:szCs w:val="18"/>
          <w:color w:val="auto"/>
        </w:rPr>
      </w:pPr>
    </w:p>
    <w:p>
      <w:pPr>
        <w:ind w:left="320" w:firstLine="1613"/>
        <w:spacing w:after="0" w:line="282" w:lineRule="auto"/>
        <w:tabs>
          <w:tab w:leader="none" w:pos="25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Corporation, any entity in which the Corporation, directly or indirectly, owns any of the capital stock or holds an equity or similar interest.</w:t>
      </w:r>
    </w:p>
    <w:p>
      <w:pPr>
        <w:spacing w:after="0" w:line="161" w:lineRule="exact"/>
        <w:rPr>
          <w:rFonts w:ascii="Arial" w:cs="Arial" w:eastAsia="Arial" w:hAnsi="Arial"/>
          <w:sz w:val="18"/>
          <w:szCs w:val="18"/>
          <w:color w:val="auto"/>
        </w:rPr>
      </w:pPr>
    </w:p>
    <w:p>
      <w:pPr>
        <w:jc w:val="both"/>
        <w:ind w:left="320" w:firstLine="1613"/>
        <w:spacing w:after="0" w:line="269" w:lineRule="auto"/>
        <w:tabs>
          <w:tab w:leader="none" w:pos="2677" w:val="left"/>
        </w:tabs>
        <w:numPr>
          <w:ilvl w:val="2"/>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1" w:name="page132"/>
    <w:bookmarkEnd w:id="131"/>
    <w:p>
      <w:pPr>
        <w:ind w:firstLine="1305"/>
        <w:spacing w:after="0" w:line="277" w:lineRule="auto"/>
        <w:tabs>
          <w:tab w:leader="none" w:pos="197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The number of shares of Common Stock issuable upon conversion of each share of Series A Preferred Stock pursuant to this Section 7 shall be determined according to the following formula (the </w:t>
      </w:r>
      <w:r>
        <w:rPr>
          <w:rFonts w:ascii="Arial" w:cs="Arial" w:eastAsia="Arial" w:hAnsi="Arial"/>
          <w:sz w:val="18"/>
          <w:szCs w:val="18"/>
          <w:b w:val="1"/>
          <w:bCs w:val="1"/>
          <w:color w:val="auto"/>
        </w:rPr>
        <w:t>“Conversion Rate”):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Conversion Amount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Conversion Price</w:t>
      </w:r>
    </w:p>
    <w:p>
      <w:pPr>
        <w:spacing w:after="0" w:line="211" w:lineRule="exact"/>
        <w:rPr>
          <w:sz w:val="20"/>
          <w:szCs w:val="20"/>
          <w:color w:val="auto"/>
        </w:rPr>
      </w:pPr>
    </w:p>
    <w:p>
      <w:pPr>
        <w:ind w:left="1320"/>
        <w:spacing w:after="0" w:line="277" w:lineRule="auto"/>
        <w:rPr>
          <w:sz w:val="20"/>
          <w:szCs w:val="20"/>
          <w:color w:val="auto"/>
        </w:rPr>
      </w:pPr>
      <w:r>
        <w:rPr>
          <w:rFonts w:ascii="Arial" w:cs="Arial" w:eastAsia="Arial" w:hAnsi="Arial"/>
          <w:sz w:val="18"/>
          <w:szCs w:val="18"/>
          <w:color w:val="auto"/>
        </w:rPr>
        <w:t>No fractional shares of Common Stock are to be issued upon the conversion of any Series A Preferred Stock, but rather the number of shares of Common Stock to be issued shall be rounded up to the nearest whole number.</w:t>
      </w:r>
    </w:p>
    <w:p>
      <w:pPr>
        <w:spacing w:after="0" w:line="17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applicable Conversion Rate and Conversion Price from time to time in effect is subject to adjustment as hereinafter provided.</w:t>
      </w:r>
    </w:p>
    <w:p>
      <w:pPr>
        <w:spacing w:after="0" w:line="237" w:lineRule="exact"/>
        <w:rPr>
          <w:sz w:val="20"/>
          <w:szCs w:val="20"/>
          <w:color w:val="auto"/>
        </w:rPr>
      </w:pPr>
    </w:p>
    <w:p>
      <w:pPr>
        <w:ind w:left="2000" w:hanging="695"/>
        <w:spacing w:after="0"/>
        <w:tabs>
          <w:tab w:leader="none" w:pos="20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A Preferred Stock shall be conducted in the following manner:</w:t>
      </w:r>
    </w:p>
    <w:p>
      <w:pPr>
        <w:spacing w:after="0" w:line="225" w:lineRule="exact"/>
        <w:rPr>
          <w:rFonts w:ascii="Arial" w:cs="Arial" w:eastAsia="Arial" w:hAnsi="Arial"/>
          <w:sz w:val="18"/>
          <w:szCs w:val="18"/>
          <w:color w:val="auto"/>
        </w:rPr>
      </w:pPr>
    </w:p>
    <w:p>
      <w:pPr>
        <w:jc w:val="both"/>
        <w:ind w:left="680" w:firstLine="1291"/>
        <w:spacing w:after="0" w:line="290" w:lineRule="auto"/>
        <w:tabs>
          <w:tab w:leader="none" w:pos="2799"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Holder’s Delivery Requirements</w:t>
      </w:r>
      <w:r>
        <w:rPr>
          <w:rFonts w:ascii="Arial" w:cs="Arial" w:eastAsia="Arial" w:hAnsi="Arial"/>
          <w:sz w:val="16"/>
          <w:szCs w:val="16"/>
          <w:color w:val="auto"/>
        </w:rPr>
        <w:t xml:space="preserve">. To convert Series A Preferred Stock into shares of Common Stock on any date (a </w:t>
      </w:r>
      <w:r>
        <w:rPr>
          <w:rFonts w:ascii="Arial" w:cs="Arial" w:eastAsia="Arial" w:hAnsi="Arial"/>
          <w:sz w:val="16"/>
          <w:szCs w:val="16"/>
          <w:b w:val="1"/>
          <w:bCs w:val="1"/>
          <w:color w:val="auto"/>
        </w:rPr>
        <w:t xml:space="preserve">“Conversion Date”), </w:t>
      </w:r>
      <w:r>
        <w:rPr>
          <w:rFonts w:ascii="Arial" w:cs="Arial" w:eastAsia="Arial" w:hAnsi="Arial"/>
          <w:sz w:val="16"/>
          <w:szCs w:val="16"/>
          <w:color w:val="auto"/>
        </w:rPr>
        <w:t>the Holder shall (A) transmit by facsimile (or otherwise deliver), for receipt on or prior to 11:59 p.m., New York City time,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date, a copy of a properly completed notice of conversion executed by the registered Holder of the Series A Preferred Stock subject to such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xml:space="preserve"> to the Corporation and if the Corporation has appointed a registered transfer agent, the Corporations registered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xml:space="preserve">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6"/>
          <w:szCs w:val="16"/>
          <w:b w:val="1"/>
          <w:bCs w:val="1"/>
          <w:color w:val="auto"/>
        </w:rPr>
        <w:t>“Preferred Stock Certificates”).</w:t>
      </w:r>
    </w:p>
    <w:p>
      <w:pPr>
        <w:spacing w:after="0" w:line="166" w:lineRule="exact"/>
        <w:rPr>
          <w:rFonts w:ascii="Arial" w:cs="Arial" w:eastAsia="Arial" w:hAnsi="Arial"/>
          <w:sz w:val="16"/>
          <w:szCs w:val="16"/>
          <w:color w:val="auto"/>
        </w:rPr>
      </w:pPr>
    </w:p>
    <w:p>
      <w:pPr>
        <w:jc w:val="both"/>
        <w:ind w:left="680" w:firstLine="1291"/>
        <w:spacing w:after="0" w:line="288" w:lineRule="auto"/>
        <w:tabs>
          <w:tab w:leader="none" w:pos="2642"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two (2) Trading Days, send, via facsimile, a confirmation of receipt of such Conversion Notice to such Holder and the Transfer Agent, if applicable, which confirmation shall constitute an instruction to the Transfer Agent to process such Conversion</w:t>
      </w:r>
    </w:p>
    <w:p>
      <w:pPr>
        <w:jc w:val="both"/>
        <w:ind w:left="680"/>
        <w:spacing w:after="0" w:line="273" w:lineRule="auto"/>
        <w:rPr>
          <w:sz w:val="20"/>
          <w:szCs w:val="20"/>
          <w:color w:val="auto"/>
        </w:rPr>
      </w:pPr>
      <w:r>
        <w:rPr>
          <w:rFonts w:ascii="Arial" w:cs="Arial" w:eastAsia="Arial" w:hAnsi="Arial"/>
          <w:sz w:val="16"/>
          <w:szCs w:val="16"/>
          <w:color w:val="auto"/>
        </w:rPr>
        <w:t>Notice in 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Trading Day following the date of receipt by the Corporation of such Conversion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xml:space="preserv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 (5) Business Days after receipt of the Preferred Stock Certificate(s) (the </w:t>
      </w:r>
      <w:r>
        <w:rPr>
          <w:rFonts w:ascii="Arial" w:cs="Arial" w:eastAsia="Arial" w:hAnsi="Arial"/>
          <w:sz w:val="16"/>
          <w:szCs w:val="16"/>
          <w:b w:val="1"/>
          <w:bCs w:val="1"/>
          <w:color w:val="auto"/>
        </w:rPr>
        <w:t>“Preferred Stock Delivery Date”)</w:t>
      </w:r>
      <w:r>
        <w:rPr>
          <w:rFonts w:ascii="Arial" w:cs="Arial" w:eastAsia="Arial" w:hAnsi="Arial"/>
          <w:sz w:val="16"/>
          <w:szCs w:val="16"/>
          <w:color w:val="auto"/>
        </w:rPr>
        <w:t xml:space="preserve"> and at its own expense, issue and deliver to the Holder a new Preferred Stock Certificate representing the number of shares of Series A Preferred Stock not converted.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2" w:name="page133"/>
    <w:bookmarkEnd w:id="132"/>
    <w:p>
      <w:pPr>
        <w:ind w:left="1400" w:hanging="629"/>
        <w:spacing w:after="0"/>
        <w:tabs>
          <w:tab w:leader="none" w:pos="140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1301"/>
        <w:spacing w:after="0" w:line="283" w:lineRule="auto"/>
        <w:tabs>
          <w:tab w:leader="none" w:pos="2254" w:val="left"/>
        </w:tabs>
        <w:numPr>
          <w:ilvl w:val="2"/>
          <w:numId w:val="59"/>
        </w:numPr>
        <w:rPr>
          <w:rFonts w:ascii="Arial" w:cs="Arial" w:eastAsia="Arial" w:hAnsi="Arial"/>
          <w:sz w:val="16"/>
          <w:szCs w:val="16"/>
          <w:color w:val="auto"/>
        </w:rPr>
      </w:pPr>
      <w:r>
        <w:rPr>
          <w:rFonts w:ascii="Arial" w:cs="Arial" w:eastAsia="Arial" w:hAnsi="Arial"/>
          <w:sz w:val="16"/>
          <w:szCs w:val="16"/>
          <w:u w:val="single" w:color="auto"/>
          <w:color w:val="auto"/>
        </w:rPr>
        <w:t>Cash Damages</w:t>
      </w:r>
      <w:r>
        <w:rPr>
          <w:rFonts w:ascii="Arial" w:cs="Arial" w:eastAsia="Arial" w:hAnsi="Arial"/>
          <w:sz w:val="16"/>
          <w:szCs w:val="16"/>
          <w:color w:val="auto"/>
        </w:rPr>
        <w:t xml:space="preserve">.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6"/>
          <w:szCs w:val="16"/>
          <w:b w:val="1"/>
          <w:bCs w:val="1"/>
          <w:color w:val="auto"/>
        </w:rPr>
        <w:t xml:space="preserve">“Conversion Failure”), </w:t>
      </w:r>
      <w:r>
        <w:rPr>
          <w:rFonts w:ascii="Arial" w:cs="Arial" w:eastAsia="Arial" w:hAnsi="Arial"/>
          <w:sz w:val="16"/>
          <w:szCs w:val="16"/>
          <w:color w:val="auto"/>
        </w:rPr>
        <w:t>and if on or after such Trading Day the Holder purchases (in an open market transaction or otherwise)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b w:val="1"/>
          <w:bCs w:val="1"/>
          <w:color w:val="auto"/>
        </w:rPr>
        <w:t>“Buy-In”),</w:t>
      </w:r>
      <w:r>
        <w:rPr>
          <w:rFonts w:ascii="Arial" w:cs="Arial" w:eastAsia="Arial" w:hAnsi="Arial"/>
          <w:sz w:val="16"/>
          <w:szCs w:val="16"/>
          <w:color w:val="auto"/>
        </w:rPr>
        <w:t xml:space="preserve">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b w:val="1"/>
          <w:bCs w:val="1"/>
          <w:color w:val="auto"/>
        </w:rPr>
        <w:t>“Buy- 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Price”), </w:t>
      </w:r>
      <w:r>
        <w:rPr>
          <w:rFonts w:ascii="Arial" w:cs="Arial" w:eastAsia="Arial" w:hAnsi="Arial"/>
          <w:sz w:val="16"/>
          <w:szCs w:val="16"/>
          <w:color w:val="auto"/>
        </w:rPr>
        <w:t>at which point the Corporation’s obligation to deliver such certificate (and to issue such Common Stock) shall terminate, or (ii)</w:t>
      </w:r>
      <w:r>
        <w:rPr>
          <w:rFonts w:ascii="Arial" w:cs="Arial" w:eastAsia="Arial" w:hAnsi="Arial"/>
          <w:sz w:val="16"/>
          <w:szCs w:val="16"/>
          <w:b w:val="1"/>
          <w:bCs w:val="1"/>
          <w:color w:val="auto"/>
        </w:rPr>
        <w:t xml:space="preserve"> </w:t>
      </w:r>
      <w:r>
        <w:rPr>
          <w:rFonts w:ascii="Arial" w:cs="Arial" w:eastAsia="Arial" w:hAnsi="Arial"/>
          <w:sz w:val="16"/>
          <w:szCs w:val="16"/>
          <w:color w:val="auto"/>
        </w:rPr>
        <w:t>promptly honor its obligation to deliver to the Holder a certificate or certificates representing such Common Stock and pay cash to the Holder in an amount equal to the excess (if any) of the Buy-In Price over the product of (A) such number of shares of Common Stock, times</w:t>
      </w:r>
    </w:p>
    <w:p>
      <w:pPr>
        <w:spacing w:after="0" w:line="4" w:lineRule="exact"/>
        <w:rPr>
          <w:rFonts w:ascii="Arial" w:cs="Arial" w:eastAsia="Arial" w:hAnsi="Arial"/>
          <w:sz w:val="16"/>
          <w:szCs w:val="16"/>
          <w:color w:val="auto"/>
        </w:rPr>
      </w:pPr>
    </w:p>
    <w:p>
      <w:pPr>
        <w:jc w:val="both"/>
        <w:ind w:left="100" w:firstLine="5"/>
        <w:spacing w:after="0" w:line="254" w:lineRule="auto"/>
        <w:tabs>
          <w:tab w:leader="none" w:pos="39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Closing Sale Price 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3" w:name="page134"/>
    <w:bookmarkEnd w:id="133"/>
    <w:p>
      <w:pPr>
        <w:ind w:left="2100" w:hanging="699"/>
        <w:spacing w:after="0"/>
        <w:tabs>
          <w:tab w:leader="none" w:pos="210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Void Conversion Notice: Adjustment of Conversion Price</w:t>
      </w:r>
      <w:r>
        <w:rPr>
          <w:rFonts w:ascii="Arial" w:cs="Arial" w:eastAsia="Arial" w:hAnsi="Arial"/>
          <w:sz w:val="16"/>
          <w:szCs w:val="16"/>
          <w:color w:val="auto"/>
        </w:rPr>
        <w:t>. If for any reason a Holder has not received all of the</w:t>
      </w:r>
    </w:p>
    <w:p>
      <w:pPr>
        <w:spacing w:after="0" w:line="46" w:lineRule="exact"/>
        <w:rPr>
          <w:sz w:val="20"/>
          <w:szCs w:val="20"/>
          <w:color w:val="auto"/>
        </w:rPr>
      </w:pPr>
    </w:p>
    <w:p>
      <w:pPr>
        <w:jc w:val="both"/>
        <w:ind w:left="100"/>
        <w:spacing w:after="0" w:line="232" w:lineRule="auto"/>
        <w:rPr>
          <w:sz w:val="20"/>
          <w:szCs w:val="20"/>
          <w:color w:val="auto"/>
        </w:rPr>
      </w:pPr>
      <w:r>
        <w:rPr>
          <w:rFonts w:ascii="Arial" w:cs="Arial" w:eastAsia="Arial" w:hAnsi="Arial"/>
          <w:sz w:val="18"/>
          <w:szCs w:val="18"/>
          <w:color w:val="auto"/>
        </w:rPr>
        <w:t>shares of Common Stock to which such Holder is entitled prior to the tenth (10</w:t>
      </w:r>
      <w:r>
        <w:rPr>
          <w:rFonts w:ascii="Arial" w:cs="Arial" w:eastAsia="Arial" w:hAnsi="Arial"/>
          <w:sz w:val="30"/>
          <w:szCs w:val="30"/>
          <w:color w:val="auto"/>
          <w:vertAlign w:val="superscript"/>
        </w:rPr>
        <w:t>th</w:t>
      </w:r>
      <w:r>
        <w:rPr>
          <w:rFonts w:ascii="Arial" w:cs="Arial" w:eastAsia="Arial" w:hAnsi="Arial"/>
          <w:sz w:val="18"/>
          <w:szCs w:val="18"/>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205" w:lineRule="exact"/>
        <w:rPr>
          <w:sz w:val="20"/>
          <w:szCs w:val="20"/>
          <w:color w:val="auto"/>
        </w:rPr>
      </w:pPr>
    </w:p>
    <w:p>
      <w:pPr>
        <w:jc w:val="both"/>
        <w:ind w:left="-520" w:firstLine="1291"/>
        <w:spacing w:after="0" w:line="285" w:lineRule="auto"/>
        <w:tabs>
          <w:tab w:leader="none" w:pos="149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175" w:lineRule="exact"/>
        <w:rPr>
          <w:sz w:val="20"/>
          <w:szCs w:val="20"/>
          <w:color w:val="auto"/>
        </w:rPr>
      </w:pPr>
    </w:p>
    <w:p>
      <w:pPr>
        <w:jc w:val="both"/>
        <w:ind w:left="1400"/>
        <w:spacing w:after="0" w:line="255" w:lineRule="auto"/>
        <w:rPr>
          <w:sz w:val="20"/>
          <w:szCs w:val="20"/>
          <w:color w:val="auto"/>
        </w:rPr>
      </w:pPr>
      <w:r>
        <w:rPr>
          <w:rFonts w:ascii="Arial" w:cs="Arial" w:eastAsia="Arial" w:hAnsi="Arial"/>
          <w:sz w:val="18"/>
          <w:szCs w:val="18"/>
          <w:color w:val="auto"/>
        </w:rPr>
        <w:t>ANY TRANSFEREE OF THIS CERTIFICATE SHOULD CAREFULLY REVIEW THE TERMS OF THE CORPORATION’S CERTIFICATE OF DESIGNATIONS RELATING TO THE SERIES A PREFERRED STOCK REPRESENTED BY THIS CERTIFICATE, INCLUDING SECTION 7(c)(iv) 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4" w:name="page135"/>
    <w:bookmarkEnd w:id="134"/>
    <w:p>
      <w:pPr>
        <w:ind w:left="800" w:hanging="660"/>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20" w:firstLine="1291"/>
        <w:spacing w:after="0" w:line="267" w:lineRule="auto"/>
        <w:tabs>
          <w:tab w:leader="none" w:pos="1458" w:val="left"/>
        </w:tabs>
        <w:numPr>
          <w:ilvl w:val="1"/>
          <w:numId w:val="63"/>
        </w:numPr>
        <w:rPr>
          <w:rFonts w:ascii="Arial" w:cs="Arial" w:eastAsia="Arial" w:hAnsi="Arial"/>
          <w:sz w:val="17"/>
          <w:szCs w:val="17"/>
          <w:color w:val="auto"/>
        </w:rPr>
      </w:pPr>
      <w:r>
        <w:rPr>
          <w:rFonts w:ascii="Arial" w:cs="Arial" w:eastAsia="Arial" w:hAnsi="Arial"/>
          <w:sz w:val="17"/>
          <w:szCs w:val="17"/>
          <w:color w:val="auto"/>
        </w:rPr>
        <w:t xml:space="preserve">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xml:space="preserve">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xml:space="preserve">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192" w:lineRule="exact"/>
        <w:rPr>
          <w:rFonts w:ascii="Arial" w:cs="Arial" w:eastAsia="Arial" w:hAnsi="Arial"/>
          <w:sz w:val="17"/>
          <w:szCs w:val="17"/>
          <w:color w:val="auto"/>
        </w:rPr>
      </w:pPr>
    </w:p>
    <w:p>
      <w:pPr>
        <w:jc w:val="both"/>
        <w:ind w:left="-520" w:firstLine="1291"/>
        <w:spacing w:after="0" w:line="288" w:lineRule="auto"/>
        <w:tabs>
          <w:tab w:leader="none" w:pos="1502"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xml:space="preserve">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38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35" w:name="page136"/>
    <w:bookmarkEnd w:id="135"/>
    <w:p>
      <w:pPr>
        <w:jc w:val="both"/>
        <w:ind w:left="-20" w:firstLine="1305"/>
        <w:spacing w:after="0" w:line="270" w:lineRule="auto"/>
        <w:tabs>
          <w:tab w:leader="none" w:pos="2012"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7" w:lineRule="exact"/>
        <w:rPr>
          <w:rFonts w:ascii="Arial" w:cs="Arial" w:eastAsia="Arial" w:hAnsi="Arial"/>
          <w:sz w:val="17"/>
          <w:szCs w:val="17"/>
          <w:color w:val="auto"/>
        </w:rPr>
      </w:pPr>
    </w:p>
    <w:p>
      <w:pPr>
        <w:ind w:left="-20" w:firstLine="1305"/>
        <w:spacing w:after="0" w:line="308" w:lineRule="auto"/>
        <w:tabs>
          <w:tab w:leader="none" w:pos="2073"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Record Holder</w:t>
      </w:r>
      <w:r>
        <w:rPr>
          <w:rFonts w:ascii="Arial" w:cs="Arial" w:eastAsia="Arial" w:hAnsi="Arial"/>
          <w:sz w:val="17"/>
          <w:szCs w:val="17"/>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146" w:lineRule="exact"/>
        <w:rPr>
          <w:rFonts w:ascii="Arial" w:cs="Arial" w:eastAsia="Arial" w:hAnsi="Arial"/>
          <w:sz w:val="17"/>
          <w:szCs w:val="17"/>
          <w:color w:val="auto"/>
        </w:rPr>
      </w:pPr>
    </w:p>
    <w:p>
      <w:pPr>
        <w:jc w:val="both"/>
        <w:ind w:left="-20" w:firstLine="1305"/>
        <w:spacing w:after="0" w:line="255" w:lineRule="auto"/>
        <w:tabs>
          <w:tab w:leader="none" w:pos="19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6" w:name="page137"/>
    <w:bookmarkEnd w:id="136"/>
    <w:p>
      <w:pPr>
        <w:jc w:val="both"/>
        <w:ind w:left="-8" w:firstLine="1305"/>
        <w:spacing w:after="0" w:line="293" w:lineRule="auto"/>
        <w:tabs>
          <w:tab w:leader="none" w:pos="203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64" w:lineRule="exact"/>
        <w:rPr>
          <w:rFonts w:ascii="Arial" w:cs="Arial" w:eastAsia="Arial" w:hAnsi="Arial"/>
          <w:sz w:val="16"/>
          <w:szCs w:val="16"/>
          <w:color w:val="auto"/>
        </w:rPr>
      </w:pPr>
    </w:p>
    <w:p>
      <w:pPr>
        <w:jc w:val="both"/>
        <w:ind w:left="-8" w:firstLine="1305"/>
        <w:spacing w:after="0" w:line="282" w:lineRule="auto"/>
        <w:tabs>
          <w:tab w:leader="none" w:pos="205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Maximum Percentage</w:t>
      </w:r>
      <w:r>
        <w:rPr>
          <w:rFonts w:ascii="Arial" w:cs="Arial" w:eastAsia="Arial" w:hAnsi="Arial"/>
          <w:sz w:val="16"/>
          <w:szCs w:val="16"/>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 (1) the Corporation’s most recent Form 10-K, Form 10-Q, or Form 8-K, as the case may be,</w:t>
      </w:r>
    </w:p>
    <w:p>
      <w:pPr>
        <w:spacing w:after="0" w:line="12" w:lineRule="exact"/>
        <w:rPr>
          <w:rFonts w:ascii="Arial" w:cs="Arial" w:eastAsia="Arial" w:hAnsi="Arial"/>
          <w:sz w:val="16"/>
          <w:szCs w:val="16"/>
          <w:color w:val="auto"/>
        </w:rPr>
      </w:pPr>
    </w:p>
    <w:p>
      <w:pPr>
        <w:jc w:val="both"/>
        <w:ind w:left="-8" w:firstLine="8"/>
        <w:spacing w:after="0" w:line="266" w:lineRule="auto"/>
        <w:tabs>
          <w:tab w:leader="none" w:pos="247"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 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 sixty-first (61st)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7"/>
          <w:szCs w:val="17"/>
          <w:b w:val="1"/>
          <w:bCs w:val="1"/>
          <w:color w:val="auto"/>
        </w:rPr>
        <w:t>“Limited Shares”),</w:t>
      </w:r>
      <w:r>
        <w:rPr>
          <w:rFonts w:ascii="Arial" w:cs="Arial" w:eastAsia="Arial" w:hAnsi="Arial"/>
          <w:sz w:val="17"/>
          <w:szCs w:val="17"/>
          <w:color w:val="auto"/>
        </w:rPr>
        <w:t xml:space="preserve">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37" w:name="page138"/>
    <w:bookmarkEnd w:id="137"/>
    <w:p>
      <w:pPr>
        <w:ind w:left="624" w:hanging="624"/>
        <w:spacing w:after="0"/>
        <w:tabs>
          <w:tab w:leader="none" w:pos="62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Anti-Dilution Provisions</w:t>
      </w:r>
      <w:r>
        <w:rPr>
          <w:rFonts w:ascii="Arial" w:cs="Arial" w:eastAsia="Arial" w:hAnsi="Arial"/>
          <w:sz w:val="17"/>
          <w:szCs w:val="17"/>
          <w:color w:val="auto"/>
        </w:rPr>
        <w:t>. The Conversion Price shall be subject to adjustment from time to time in accordance with this Section 8.</w:t>
      </w:r>
    </w:p>
    <w:p>
      <w:pPr>
        <w:spacing w:after="0" w:line="236" w:lineRule="exact"/>
        <w:rPr>
          <w:rFonts w:ascii="Arial" w:cs="Arial" w:eastAsia="Arial" w:hAnsi="Arial"/>
          <w:sz w:val="17"/>
          <w:szCs w:val="17"/>
          <w:color w:val="auto"/>
        </w:rPr>
      </w:pPr>
    </w:p>
    <w:p>
      <w:pPr>
        <w:ind w:left="1344" w:hanging="695"/>
        <w:spacing w:after="0"/>
        <w:tabs>
          <w:tab w:leader="none" w:pos="1344"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jc w:val="both"/>
        <w:ind w:left="24" w:firstLine="1291"/>
        <w:spacing w:after="0" w:line="287" w:lineRule="auto"/>
        <w:tabs>
          <w:tab w:leader="none" w:pos="1967" w:val="left"/>
        </w:tabs>
        <w:numPr>
          <w:ilvl w:val="2"/>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“Closing Sale Price” </w:t>
      </w:r>
      <w:r>
        <w:rPr>
          <w:rFonts w:ascii="Arial" w:cs="Arial" w:eastAsia="Arial" w:hAnsi="Arial"/>
          <w:sz w:val="16"/>
          <w:szCs w:val="16"/>
          <w:color w:val="auto"/>
        </w:rPr>
        <w:t>means, for any security as of any date, the last closing trade price for such security on the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168" w:lineRule="exact"/>
        <w:rPr>
          <w:rFonts w:ascii="Arial" w:cs="Arial" w:eastAsia="Arial" w:hAnsi="Arial"/>
          <w:sz w:val="16"/>
          <w:szCs w:val="16"/>
          <w:color w:val="auto"/>
        </w:rPr>
      </w:pPr>
    </w:p>
    <w:p>
      <w:pPr>
        <w:ind w:left="24" w:firstLine="1291"/>
        <w:spacing w:after="0" w:line="282" w:lineRule="auto"/>
        <w:tabs>
          <w:tab w:leader="none" w:pos="2080" w:val="left"/>
        </w:tabs>
        <w:numPr>
          <w:ilvl w:val="2"/>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“Convertible Securities” </w:t>
      </w:r>
      <w:r>
        <w:rPr>
          <w:rFonts w:ascii="Arial" w:cs="Arial" w:eastAsia="Arial" w:hAnsi="Arial"/>
          <w:sz w:val="18"/>
          <w:szCs w:val="18"/>
          <w:color w:val="auto"/>
        </w:rPr>
        <w:t>means any stock or securities (other than Options) directly or indirectly convertible into or</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exchangeable or exercisable for Common Stock.</w:t>
      </w:r>
    </w:p>
    <w:p>
      <w:pPr>
        <w:spacing w:after="0" w:line="382"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38" w:name="page139"/>
    <w:bookmarkEnd w:id="138"/>
    <w:p>
      <w:pPr>
        <w:ind w:left="1986" w:hanging="689"/>
        <w:spacing w:after="0"/>
        <w:tabs>
          <w:tab w:leader="none" w:pos="1986" w:val="left"/>
        </w:tabs>
        <w:numPr>
          <w:ilvl w:val="1"/>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“Excluded Securities” </w:t>
      </w:r>
      <w:r>
        <w:rPr>
          <w:rFonts w:ascii="Arial" w:cs="Arial" w:eastAsia="Arial" w:hAnsi="Arial"/>
          <w:sz w:val="16"/>
          <w:szCs w:val="16"/>
          <w:color w:val="auto"/>
        </w:rPr>
        <w:t>means any capital stock issued or issuable: (i) upon conversion of the Series A Preferred Stock;</w:t>
      </w:r>
    </w:p>
    <w:p>
      <w:pPr>
        <w:spacing w:after="0" w:line="50" w:lineRule="exact"/>
        <w:rPr>
          <w:rFonts w:ascii="Arial" w:cs="Arial" w:eastAsia="Arial" w:hAnsi="Arial"/>
          <w:sz w:val="16"/>
          <w:szCs w:val="16"/>
          <w:color w:val="auto"/>
        </w:rPr>
      </w:pPr>
    </w:p>
    <w:p>
      <w:pPr>
        <w:jc w:val="both"/>
        <w:ind w:left="6" w:hanging="6"/>
        <w:spacing w:after="0" w:line="287" w:lineRule="auto"/>
        <w:tabs>
          <w:tab w:leader="none" w:pos="308"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 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162" w:lineRule="exact"/>
        <w:rPr>
          <w:rFonts w:ascii="Arial" w:cs="Arial" w:eastAsia="Arial" w:hAnsi="Arial"/>
          <w:sz w:val="16"/>
          <w:szCs w:val="16"/>
          <w:color w:val="auto"/>
        </w:rPr>
      </w:pPr>
    </w:p>
    <w:p>
      <w:pPr>
        <w:ind w:left="1926" w:hanging="629"/>
        <w:spacing w:after="0"/>
        <w:tabs>
          <w:tab w:leader="none" w:pos="1926"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“Options” </w:t>
      </w:r>
      <w:r>
        <w:rPr>
          <w:rFonts w:ascii="Arial" w:cs="Arial" w:eastAsia="Arial" w:hAnsi="Arial"/>
          <w:sz w:val="16"/>
          <w:szCs w:val="16"/>
          <w:color w:val="auto"/>
        </w:rPr>
        <w:t>means any rights, warrants or options to subscribe for or purchase Common Stock or Convertible Securities.</w:t>
      </w:r>
    </w:p>
    <w:p>
      <w:pPr>
        <w:spacing w:after="0" w:line="248" w:lineRule="exact"/>
        <w:rPr>
          <w:rFonts w:ascii="Arial" w:cs="Arial" w:eastAsia="Arial" w:hAnsi="Arial"/>
          <w:sz w:val="16"/>
          <w:szCs w:val="16"/>
          <w:color w:val="auto"/>
        </w:rPr>
      </w:pPr>
    </w:p>
    <w:p>
      <w:pPr>
        <w:jc w:val="both"/>
        <w:ind w:left="6" w:firstLine="1291"/>
        <w:spacing w:after="0" w:line="271" w:lineRule="auto"/>
        <w:tabs>
          <w:tab w:leader="none" w:pos="1985"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“Option Value” </w:t>
      </w:r>
      <w:r>
        <w:rPr>
          <w:rFonts w:ascii="Arial" w:cs="Arial" w:eastAsia="Arial" w:hAnsi="Arial"/>
          <w:sz w:val="17"/>
          <w:szCs w:val="17"/>
          <w:color w:val="auto"/>
        </w:rPr>
        <w:t>means the value of an Option based on the Black and Scholes Option Pricing model obtained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“OV” function on Bloomberg determined (1) in the event the issuance of such Option is publicly announced, the day prior to the public announcement of the applicable Option for pricing purposes or (2) 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174" w:lineRule="exact"/>
        <w:rPr>
          <w:rFonts w:ascii="Arial" w:cs="Arial" w:eastAsia="Arial" w:hAnsi="Arial"/>
          <w:sz w:val="17"/>
          <w:szCs w:val="17"/>
          <w:color w:val="auto"/>
        </w:rPr>
      </w:pPr>
    </w:p>
    <w:p>
      <w:pPr>
        <w:ind w:left="1926" w:hanging="629"/>
        <w:spacing w:after="0"/>
        <w:tabs>
          <w:tab w:leader="none" w:pos="1926"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“Principal Market” </w:t>
      </w:r>
      <w:r>
        <w:rPr>
          <w:rFonts w:ascii="Arial" w:cs="Arial" w:eastAsia="Arial" w:hAnsi="Arial"/>
          <w:sz w:val="16"/>
          <w:szCs w:val="16"/>
          <w:color w:val="auto"/>
        </w:rPr>
        <w:t>means the Eligible Market that is the principal securities exchange market for the Common Stock.</w:t>
      </w:r>
    </w:p>
    <w:p>
      <w:pPr>
        <w:spacing w:after="0" w:line="200" w:lineRule="exact"/>
        <w:rPr>
          <w:sz w:val="20"/>
          <w:szCs w:val="20"/>
          <w:color w:val="auto"/>
        </w:rPr>
      </w:pPr>
    </w:p>
    <w:p>
      <w:pPr>
        <w:spacing w:after="0" w:line="268" w:lineRule="exact"/>
        <w:rPr>
          <w:sz w:val="20"/>
          <w:szCs w:val="20"/>
          <w:color w:val="auto"/>
        </w:rPr>
      </w:pPr>
    </w:p>
    <w:p>
      <w:pPr>
        <w:ind w:left="4966"/>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6"/>
          </w:cols>
          <w:pgMar w:left="914" w:top="904" w:right="239" w:bottom="1440" w:gutter="0" w:footer="0" w:header="0"/>
        </w:sectPr>
      </w:pPr>
    </w:p>
    <w:bookmarkStart w:id="139" w:name="page140"/>
    <w:bookmarkEnd w:id="139"/>
    <w:p>
      <w:pPr>
        <w:jc w:val="both"/>
        <w:ind w:firstLine="1305"/>
        <w:spacing w:after="0" w:line="284" w:lineRule="auto"/>
        <w:tabs>
          <w:tab w:leader="none" w:pos="214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Adjustment of Series A Conversion Price Upon Issuance of Additional Shares of Common Stock</w:t>
      </w:r>
      <w:r>
        <w:rPr>
          <w:rFonts w:ascii="Arial" w:cs="Arial" w:eastAsia="Arial" w:hAnsi="Arial"/>
          <w:sz w:val="16"/>
          <w:szCs w:val="16"/>
          <w:color w:val="auto"/>
        </w:rPr>
        <w:t xml:space="preserve">.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xml:space="preserve"> less than a price (the </w:t>
      </w:r>
      <w:r>
        <w:rPr>
          <w:rFonts w:ascii="Arial" w:cs="Arial" w:eastAsia="Arial" w:hAnsi="Arial"/>
          <w:sz w:val="16"/>
          <w:szCs w:val="16"/>
          <w:b w:val="1"/>
          <w:bCs w:val="1"/>
          <w:color w:val="auto"/>
        </w:rPr>
        <w:t>“Applicable Price”)</w:t>
      </w:r>
      <w:r>
        <w:rPr>
          <w:rFonts w:ascii="Arial" w:cs="Arial" w:eastAsia="Arial" w:hAnsi="Arial"/>
          <w:sz w:val="16"/>
          <w:szCs w:val="16"/>
          <w:color w:val="auto"/>
        </w:rPr>
        <w:t xml:space="preserve"> equal to the Conversion Price in effect immediately prior to such issue or sale or deemed issuance or sale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xml:space="preserve">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8(b) shall no longer be applicable. For purposes of determining the adjusted Conversion Price under this Section 8(b), the following shall be applicable:</w:t>
      </w:r>
    </w:p>
    <w:p>
      <w:pPr>
        <w:spacing w:after="0" w:line="222" w:lineRule="exact"/>
        <w:rPr>
          <w:rFonts w:ascii="Arial" w:cs="Arial" w:eastAsia="Arial" w:hAnsi="Arial"/>
          <w:sz w:val="16"/>
          <w:szCs w:val="16"/>
          <w:color w:val="auto"/>
        </w:rPr>
      </w:pPr>
    </w:p>
    <w:p>
      <w:pPr>
        <w:jc w:val="both"/>
        <w:ind w:left="680" w:firstLine="1291"/>
        <w:spacing w:after="0" w:line="268" w:lineRule="auto"/>
        <w:tabs>
          <w:tab w:leader="none" w:pos="261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 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187" w:lineRule="exact"/>
        <w:rPr>
          <w:rFonts w:ascii="Arial" w:cs="Arial" w:eastAsia="Arial" w:hAnsi="Arial"/>
          <w:sz w:val="17"/>
          <w:szCs w:val="17"/>
          <w:color w:val="auto"/>
        </w:rPr>
      </w:pPr>
    </w:p>
    <w:p>
      <w:pPr>
        <w:jc w:val="both"/>
        <w:ind w:left="680" w:firstLine="1291"/>
        <w:spacing w:after="0" w:line="287" w:lineRule="auto"/>
        <w:tabs>
          <w:tab w:leader="none" w:pos="2709"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Issuance of Convertible Securities</w:t>
      </w:r>
      <w:r>
        <w:rPr>
          <w:rFonts w:ascii="Arial" w:cs="Arial" w:eastAsia="Arial" w:hAnsi="Arial"/>
          <w:sz w:val="16"/>
          <w:szCs w:val="16"/>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jc w:val="both"/>
        <w:ind w:firstLine="1291"/>
        <w:spacing w:after="0" w:line="289" w:lineRule="auto"/>
        <w:tabs>
          <w:tab w:leader="none" w:pos="2143"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166" w:lineRule="exact"/>
        <w:rPr>
          <w:rFonts w:ascii="Arial" w:cs="Arial" w:eastAsia="Arial" w:hAnsi="Arial"/>
          <w:sz w:val="16"/>
          <w:szCs w:val="16"/>
          <w:color w:val="auto"/>
        </w:rPr>
      </w:pPr>
    </w:p>
    <w:p>
      <w:pPr>
        <w:jc w:val="both"/>
        <w:ind w:firstLine="1291"/>
        <w:spacing w:after="0" w:line="283" w:lineRule="auto"/>
        <w:tabs>
          <w:tab w:leader="none" w:pos="191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xml:space="preserve">.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 fair value of any consideration other than cash or marketable securities will be determined jointly by the Corporation and the Required Holders.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xml:space="preserve"> the fair value of such consideration will be</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determined within five (5) Business Days after the tenth (10</w:t>
      </w:r>
      <w:r>
        <w:rPr>
          <w:rFonts w:ascii="Arial" w:cs="Arial" w:eastAsia="Arial" w:hAnsi="Arial"/>
          <w:sz w:val="30"/>
          <w:szCs w:val="30"/>
          <w:color w:val="auto"/>
          <w:vertAlign w:val="superscript"/>
        </w:rPr>
        <w:t>th</w:t>
      </w:r>
      <w:r>
        <w:rPr>
          <w:rFonts w:ascii="Arial" w:cs="Arial" w:eastAsia="Arial" w:hAnsi="Arial"/>
          <w:sz w:val="18"/>
          <w:szCs w:val="18"/>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200" w:lineRule="exact"/>
        <w:rPr>
          <w:sz w:val="20"/>
          <w:szCs w:val="20"/>
          <w:color w:val="auto"/>
        </w:rPr>
      </w:pP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20" w:top="908" w:right="239" w:bottom="1440" w:gutter="0" w:footer="0" w:header="0"/>
        </w:sectPr>
      </w:pPr>
    </w:p>
    <w:bookmarkStart w:id="141" w:name="page142"/>
    <w:bookmarkEnd w:id="141"/>
    <w:p>
      <w:pPr>
        <w:jc w:val="both"/>
        <w:ind w:left="-20" w:firstLine="1305"/>
        <w:spacing w:after="0" w:line="276" w:lineRule="auto"/>
        <w:tabs>
          <w:tab w:leader="none" w:pos="2061"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172" w:lineRule="exact"/>
        <w:rPr>
          <w:rFonts w:ascii="Arial" w:cs="Arial" w:eastAsia="Arial" w:hAnsi="Arial"/>
          <w:sz w:val="17"/>
          <w:szCs w:val="17"/>
          <w:color w:val="auto"/>
        </w:rPr>
      </w:pPr>
    </w:p>
    <w:p>
      <w:pPr>
        <w:jc w:val="both"/>
        <w:ind w:left="-20" w:firstLine="1305"/>
        <w:spacing w:after="0" w:line="257" w:lineRule="auto"/>
        <w:tabs>
          <w:tab w:leader="none" w:pos="201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188" w:lineRule="exact"/>
        <w:rPr>
          <w:rFonts w:ascii="Arial" w:cs="Arial" w:eastAsia="Arial" w:hAnsi="Arial"/>
          <w:sz w:val="18"/>
          <w:szCs w:val="18"/>
          <w:color w:val="auto"/>
        </w:rPr>
      </w:pPr>
    </w:p>
    <w:p>
      <w:pPr>
        <w:ind w:left="-20" w:right="20" w:firstLine="1305"/>
        <w:spacing w:after="0" w:line="277" w:lineRule="auto"/>
        <w:tabs>
          <w:tab w:leader="none" w:pos="201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Corporation</w:t>
      </w:r>
      <w:r>
        <w:rPr>
          <w:rFonts w:ascii="Arial" w:cs="Arial" w:eastAsia="Arial" w:hAnsi="Arial"/>
          <w:sz w:val="18"/>
          <w:szCs w:val="18"/>
          <w:color w:val="auto"/>
        </w:rPr>
        <w:t>. The Corporation may at any time reduce the then current Conversion Price to any amount and for any period of time deemed appropriate and approved by the Board of Directors in accordance with Delaware law.</w:t>
      </w:r>
    </w:p>
    <w:p>
      <w:pPr>
        <w:spacing w:after="0" w:line="170" w:lineRule="exact"/>
        <w:rPr>
          <w:rFonts w:ascii="Arial" w:cs="Arial" w:eastAsia="Arial" w:hAnsi="Arial"/>
          <w:sz w:val="18"/>
          <w:szCs w:val="18"/>
          <w:color w:val="auto"/>
        </w:rPr>
      </w:pPr>
    </w:p>
    <w:p>
      <w:pPr>
        <w:jc w:val="both"/>
        <w:ind w:left="-20" w:firstLine="1305"/>
        <w:spacing w:after="0" w:line="269" w:lineRule="auto"/>
        <w:tabs>
          <w:tab w:leader="none" w:pos="2104"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xml:space="preserve">.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xml:space="preserve">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182" w:lineRule="exact"/>
        <w:rPr>
          <w:rFonts w:ascii="Arial" w:cs="Arial" w:eastAsia="Arial" w:hAnsi="Arial"/>
          <w:sz w:val="17"/>
          <w:szCs w:val="17"/>
          <w:color w:val="auto"/>
        </w:rPr>
      </w:pPr>
    </w:p>
    <w:p>
      <w:pPr>
        <w:ind w:left="1980" w:hanging="695"/>
        <w:spacing w:after="0"/>
        <w:tabs>
          <w:tab w:leader="none" w:pos="19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1"/>
        <w:spacing w:after="0" w:line="259" w:lineRule="auto"/>
        <w:tabs>
          <w:tab w:leader="none" w:pos="2836" w:val="left"/>
        </w:tabs>
        <w:numPr>
          <w:ilvl w:val="1"/>
          <w:numId w:val="72"/>
        </w:numPr>
        <w:rPr>
          <w:rFonts w:ascii="Arial" w:cs="Arial" w:eastAsia="Arial" w:hAnsi="Arial"/>
          <w:sz w:val="18"/>
          <w:szCs w:val="18"/>
          <w:color w:val="auto"/>
        </w:rPr>
      </w:pPr>
      <w:r>
        <w:rPr>
          <w:rFonts w:ascii="Arial" w:cs="Arial" w:eastAsia="Arial" w:hAnsi="Arial"/>
          <w:sz w:val="18"/>
          <w:szCs w:val="18"/>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42" w:name="page143"/>
    <w:bookmarkEnd w:id="142"/>
    <w:p>
      <w:pPr>
        <w:jc w:val="both"/>
        <w:ind w:left="660" w:firstLine="1291"/>
        <w:spacing w:after="0" w:line="279" w:lineRule="auto"/>
        <w:tabs>
          <w:tab w:leader="none" w:pos="2686" w:val="left"/>
        </w:tabs>
        <w:numPr>
          <w:ilvl w:val="1"/>
          <w:numId w:val="73"/>
        </w:numPr>
        <w:rPr>
          <w:rFonts w:ascii="Arial" w:cs="Arial" w:eastAsia="Arial" w:hAnsi="Arial"/>
          <w:sz w:val="17"/>
          <w:szCs w:val="17"/>
          <w:color w:val="auto"/>
        </w:rPr>
      </w:pPr>
      <w:r>
        <w:rPr>
          <w:rFonts w:ascii="Arial" w:cs="Arial" w:eastAsia="Arial" w:hAnsi="Arial"/>
          <w:sz w:val="17"/>
          <w:szCs w:val="17"/>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 (III) for determining rights to vote with respect to any Change of Control, any Twenty Percent Issuance, any Fundamental Transaction or any Liquidation Event.</w:t>
      </w:r>
    </w:p>
    <w:p>
      <w:pPr>
        <w:spacing w:after="0" w:line="171" w:lineRule="exact"/>
        <w:rPr>
          <w:rFonts w:ascii="Arial" w:cs="Arial" w:eastAsia="Arial" w:hAnsi="Arial"/>
          <w:sz w:val="17"/>
          <w:szCs w:val="17"/>
          <w:color w:val="auto"/>
        </w:rPr>
      </w:pPr>
    </w:p>
    <w:p>
      <w:pPr>
        <w:ind w:left="660" w:firstLine="1291"/>
        <w:spacing w:after="0" w:line="277" w:lineRule="auto"/>
        <w:tabs>
          <w:tab w:leader="none" w:pos="258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170" w:lineRule="exact"/>
        <w:rPr>
          <w:rFonts w:ascii="Arial" w:cs="Arial" w:eastAsia="Arial" w:hAnsi="Arial"/>
          <w:sz w:val="18"/>
          <w:szCs w:val="18"/>
          <w:color w:val="auto"/>
        </w:rPr>
      </w:pPr>
    </w:p>
    <w:p>
      <w:pPr>
        <w:jc w:val="both"/>
        <w:ind w:left="-20" w:firstLine="656"/>
        <w:spacing w:after="0" w:line="285" w:lineRule="auto"/>
        <w:tabs>
          <w:tab w:leader="none" w:pos="1398"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Suspension from Trading</w:t>
      </w:r>
      <w:r>
        <w:rPr>
          <w:rFonts w:ascii="Arial" w:cs="Arial" w:eastAsia="Arial" w:hAnsi="Arial"/>
          <w:sz w:val="16"/>
          <w:szCs w:val="16"/>
          <w:color w:val="auto"/>
        </w:rPr>
        <w:t xml:space="preserve">. If on any day after the Initial Issuance Date, the sale of any of the shares of Common Stock issued or issuable upon the conversion of any shares of Series A Preferred Stock (the </w:t>
      </w:r>
      <w:r>
        <w:rPr>
          <w:rFonts w:ascii="Arial" w:cs="Arial" w:eastAsia="Arial" w:hAnsi="Arial"/>
          <w:sz w:val="16"/>
          <w:szCs w:val="16"/>
          <w:b w:val="1"/>
          <w:bCs w:val="1"/>
          <w:color w:val="auto"/>
        </w:rPr>
        <w:t>“Conversion Shares”)</w:t>
      </w:r>
      <w:r>
        <w:rPr>
          <w:rFonts w:ascii="Arial" w:cs="Arial" w:eastAsia="Arial" w:hAnsi="Arial"/>
          <w:sz w:val="16"/>
          <w:szCs w:val="16"/>
          <w:color w:val="auto"/>
        </w:rPr>
        <w:t xml:space="preserve">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6"/>
          <w:szCs w:val="16"/>
          <w:b w:val="1"/>
          <w:bCs w:val="1"/>
          <w:color w:val="auto"/>
        </w:rPr>
        <w:t>“Maintenance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Failure”), </w:t>
      </w:r>
      <w:r>
        <w:rPr>
          <w:rFonts w:ascii="Arial" w:cs="Arial" w:eastAsia="Arial" w:hAnsi="Arial"/>
          <w:sz w:val="16"/>
          <w:szCs w:val="16"/>
          <w:color w:val="auto"/>
        </w:rPr>
        <w:t>then, as partial relief for the damages to any Holder by reason of any such delay in or reduction of its ability to sell the Conversion Shares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6"/>
          <w:szCs w:val="16"/>
          <w:b w:val="1"/>
          <w:bCs w:val="1"/>
          <w:color w:val="auto"/>
        </w:rPr>
        <w:t>“Delisting Maintenance Failure”),</w:t>
      </w:r>
      <w:r>
        <w:rPr>
          <w:rFonts w:ascii="Arial" w:cs="Arial" w:eastAsia="Arial" w:hAnsi="Arial"/>
          <w:sz w:val="16"/>
          <w:szCs w:val="16"/>
          <w:color w:val="auto"/>
        </w:rPr>
        <w:t xml:space="preserve">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6"/>
          <w:szCs w:val="16"/>
          <w:b w:val="1"/>
          <w:bCs w:val="1"/>
          <w:color w:val="auto"/>
        </w:rPr>
        <w:t>“Suspension Payments”.</w:t>
      </w:r>
      <w:r>
        <w:rPr>
          <w:rFonts w:ascii="Arial" w:cs="Arial" w:eastAsia="Arial" w:hAnsi="Arial"/>
          <w:sz w:val="16"/>
          <w:szCs w:val="16"/>
          <w:color w:val="auto"/>
        </w:rPr>
        <w:t xml:space="preserve"> Suspension Payments shall be paid on the third Business Day after each full fifteen (15) day period during which there is a Maintenance Failure or a Delisting Maintenance Failure, as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3" w:name="page144"/>
    <w:bookmarkEnd w:id="143"/>
    <w:p>
      <w:pPr>
        <w:ind w:left="-20" w:firstLine="656"/>
        <w:spacing w:after="0" w:line="277" w:lineRule="auto"/>
        <w:tabs>
          <w:tab w:leader="none" w:pos="130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A Preferred Stock shall be converted pursuant to Section 7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20" w:firstLine="656"/>
        <w:spacing w:after="0" w:line="255" w:lineRule="auto"/>
        <w:tabs>
          <w:tab w:leader="none" w:pos="148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Corporation shall not be obligated to re-issue preferred stock certificates if the holder contemporaneously requests the Corporation to convert such Series A Preferred Stock into Common Stock.</w:t>
      </w:r>
    </w:p>
    <w:p>
      <w:pPr>
        <w:spacing w:after="0" w:line="193" w:lineRule="exact"/>
        <w:rPr>
          <w:rFonts w:ascii="Arial" w:cs="Arial" w:eastAsia="Arial" w:hAnsi="Arial"/>
          <w:sz w:val="18"/>
          <w:szCs w:val="18"/>
          <w:color w:val="auto"/>
        </w:rPr>
      </w:pPr>
    </w:p>
    <w:p>
      <w:pPr>
        <w:jc w:val="both"/>
        <w:ind w:left="-20" w:firstLine="656"/>
        <w:spacing w:after="0" w:line="269" w:lineRule="auto"/>
        <w:tabs>
          <w:tab w:leader="none" w:pos="1344"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179" w:lineRule="exact"/>
        <w:rPr>
          <w:rFonts w:ascii="Arial" w:cs="Arial" w:eastAsia="Arial" w:hAnsi="Arial"/>
          <w:sz w:val="17"/>
          <w:szCs w:val="17"/>
          <w:color w:val="auto"/>
        </w:rPr>
      </w:pPr>
    </w:p>
    <w:p>
      <w:pPr>
        <w:jc w:val="both"/>
        <w:ind w:left="-20" w:firstLine="656"/>
        <w:spacing w:after="0" w:line="264" w:lineRule="auto"/>
        <w:tabs>
          <w:tab w:leader="none" w:pos="135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181" w:lineRule="exact"/>
        <w:rPr>
          <w:rFonts w:ascii="Arial" w:cs="Arial" w:eastAsia="Arial" w:hAnsi="Arial"/>
          <w:sz w:val="18"/>
          <w:szCs w:val="18"/>
          <w:color w:val="auto"/>
        </w:rPr>
      </w:pPr>
    </w:p>
    <w:p>
      <w:pPr>
        <w:jc w:val="both"/>
        <w:ind w:left="-20" w:firstLine="656"/>
        <w:spacing w:after="0" w:line="264" w:lineRule="auto"/>
        <w:tabs>
          <w:tab w:leader="none" w:pos="137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ind w:left="-20" w:right="20" w:firstLine="656"/>
        <w:spacing w:after="0" w:line="308" w:lineRule="auto"/>
        <w:tabs>
          <w:tab w:leader="none" w:pos="1479"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Transfer of Series A Preferred Stock</w:t>
      </w:r>
      <w:r>
        <w:rPr>
          <w:rFonts w:ascii="Arial" w:cs="Arial" w:eastAsia="Arial" w:hAnsi="Arial"/>
          <w:sz w:val="17"/>
          <w:szCs w:val="17"/>
          <w:color w:val="auto"/>
        </w:rPr>
        <w:t xml:space="preserve">. A Holder may assign some or all of the Series A Preferred Stock and the accompanying rights hereunder held by such Holder without the consent of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assignment is in compliance with applicable securities laws.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44" w:name="page145"/>
    <w:bookmarkEnd w:id="144"/>
    <w:p>
      <w:pPr>
        <w:jc w:val="both"/>
        <w:ind w:left="-20" w:firstLine="656"/>
        <w:spacing w:after="0" w:line="276" w:lineRule="auto"/>
        <w:tabs>
          <w:tab w:leader="none" w:pos="1384"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Series A Preferred Stock Register</w:t>
      </w:r>
      <w:r>
        <w:rPr>
          <w:rFonts w:ascii="Arial" w:cs="Arial" w:eastAsia="Arial" w:hAnsi="Arial"/>
          <w:sz w:val="17"/>
          <w:szCs w:val="17"/>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172" w:lineRule="exact"/>
        <w:rPr>
          <w:rFonts w:ascii="Arial" w:cs="Arial" w:eastAsia="Arial" w:hAnsi="Arial"/>
          <w:sz w:val="17"/>
          <w:szCs w:val="17"/>
          <w:color w:val="auto"/>
        </w:rPr>
      </w:pPr>
    </w:p>
    <w:p>
      <w:pPr>
        <w:jc w:val="both"/>
        <w:ind w:left="-20" w:firstLine="656"/>
        <w:spacing w:after="0" w:line="257" w:lineRule="auto"/>
        <w:tabs>
          <w:tab w:leader="none" w:pos="133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188" w:lineRule="exact"/>
        <w:rPr>
          <w:rFonts w:ascii="Arial" w:cs="Arial" w:eastAsia="Arial" w:hAnsi="Arial"/>
          <w:sz w:val="18"/>
          <w:szCs w:val="18"/>
          <w:color w:val="auto"/>
        </w:rPr>
      </w:pPr>
    </w:p>
    <w:p>
      <w:pPr>
        <w:jc w:val="both"/>
        <w:ind w:left="-20" w:firstLine="656"/>
        <w:spacing w:after="0" w:line="264" w:lineRule="auto"/>
        <w:tabs>
          <w:tab w:leader="none" w:pos="141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181" w:lineRule="exact"/>
        <w:rPr>
          <w:rFonts w:ascii="Arial" w:cs="Arial" w:eastAsia="Arial" w:hAnsi="Arial"/>
          <w:sz w:val="18"/>
          <w:szCs w:val="18"/>
          <w:color w:val="auto"/>
        </w:rPr>
      </w:pPr>
    </w:p>
    <w:p>
      <w:pPr>
        <w:jc w:val="both"/>
        <w:ind w:left="-20" w:firstLine="656"/>
        <w:spacing w:after="0" w:line="255" w:lineRule="auto"/>
        <w:tabs>
          <w:tab w:leader="none" w:pos="143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5" w:name="page146"/>
    <w:bookmarkEnd w:id="145"/>
    <w:p>
      <w:pPr>
        <w:ind w:right="20" w:firstLine="972"/>
        <w:spacing w:after="0" w:line="277" w:lineRule="auto"/>
        <w:rPr>
          <w:sz w:val="20"/>
          <w:szCs w:val="20"/>
          <w:color w:val="auto"/>
        </w:rPr>
      </w:pPr>
      <w:r>
        <w:rPr>
          <w:rFonts w:ascii="Arial" w:cs="Arial" w:eastAsia="Arial" w:hAnsi="Arial"/>
          <w:sz w:val="18"/>
          <w:szCs w:val="18"/>
          <w:color w:val="auto"/>
        </w:rPr>
        <w:t>IN WITNESS WHEREOF, the undersigned has signed this Certificate of Designation on the 19th day of July 2012, and affirms the statements contained therein as true under the penalties of perjury.</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8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2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74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648"/>
        </w:trPr>
        <w:tc>
          <w:tcPr>
            <w:tcW w:w="6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6"/>
          <w:szCs w:val="16"/>
          <w:color w:val="auto"/>
        </w:rPr>
        <w:t xml:space="preserve">Reference is made to the Certificate of Designations, Preferences and Rights of Series A Convertible Preferred Stock of Vringo, Inc. (the </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In accordance with and pursuant to the Certificate of Designations, the undersigned hereby elects to convert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Series A Convertible Preferred Stock, par value $0.01 per share (the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xml:space="preserve">), of Vringo, Inc., a Delaware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indicated below into shares of Common Stock, par value $0.01 per share (the</w:t>
      </w:r>
      <w:r>
        <w:rPr>
          <w:rFonts w:ascii="Arial" w:cs="Arial" w:eastAsia="Arial" w:hAnsi="Arial"/>
          <w:sz w:val="16"/>
          <w:szCs w:val="16"/>
          <w:b w:val="1"/>
          <w:bCs w:val="1"/>
          <w:color w:val="auto"/>
        </w:rPr>
        <w:t xml:space="preserve"> “Common Stock”</w:t>
      </w:r>
      <w:r>
        <w:rPr>
          <w:rFonts w:ascii="Arial" w:cs="Arial" w:eastAsia="Arial" w:hAnsi="Arial"/>
          <w:sz w:val="16"/>
          <w:szCs w:val="16"/>
          <w:color w:val="auto"/>
        </w:rPr>
        <w:t>), of the Corporation, as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specified below. The undersigned represents and warrants that such conversion is not prohibited by Section 7(i) of the Certificate of Designations.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55143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0956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8213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49136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14605</wp:posOffset>
            </wp:positionV>
            <wp:extent cx="46310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14605</wp:posOffset>
            </wp:positionV>
            <wp:extent cx="5651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38334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Please issue the Common Stock into which the Series A Preferred Stock are being converted in the following name and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160655</wp:posOffset>
            </wp:positionV>
            <wp:extent cx="37820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378206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37820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37388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31299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31730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14605</wp:posOffset>
            </wp:positionV>
            <wp:extent cx="34302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-130810</wp:posOffset>
            </wp:positionV>
            <wp:extent cx="40817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14605</wp:posOffset>
            </wp:positionV>
            <wp:extent cx="39960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14605</wp:posOffset>
            </wp:positionV>
            <wp:extent cx="36963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1559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Corporation hereby acknowledges this Conversion Notice and hereby directs American Stock Transfer &amp; Trust Company, LLC to issue the above indicated number of shares of Common Stock.</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1861185" cy="5918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861185" cy="5918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STATE OF DELAWARE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 OF CHANGE</w:t>
      </w:r>
    </w:p>
    <w:p>
      <w:pPr>
        <w:jc w:val="center"/>
        <w:spacing w:after="0" w:line="230" w:lineRule="auto"/>
        <w:rPr>
          <w:sz w:val="20"/>
          <w:szCs w:val="20"/>
          <w:color w:val="auto"/>
        </w:rPr>
      </w:pPr>
      <w:r>
        <w:rPr>
          <w:rFonts w:ascii="Arial" w:cs="Arial" w:eastAsia="Arial" w:hAnsi="Arial"/>
          <w:sz w:val="22"/>
          <w:szCs w:val="22"/>
          <w:b w:val="1"/>
          <w:bCs w:val="1"/>
          <w:color w:val="auto"/>
        </w:rPr>
        <w:t>OF REGISTERED AGENT AND/OR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REGISTERED OFFICE</w:t>
      </w:r>
    </w:p>
    <w:p>
      <w:pPr>
        <w:spacing w:after="0" w:line="19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Board of Directors of Vringo, Inc., a Corporation of Delaware, on June 21, 2013 do hereby resolve and order that the location of the Registered Office of this Corporation within this State be, and the same hereby is, 1811 Silverside Road, in the City of Wilmington, County of New Castle, Zip Code 19810.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Registered Agent therein and in charge thereof upon whom process against this Corporation may be served is Vcorp Services, LLC.</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Vringo, Inc., a Corporation of Delaware, does hereby certify that the foregoing is a true copy of a resolution adopted by the Board of Directors at a meeting held as herein stated.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said Corporation has caused this certificate to be signed by an authorized officer on June 21, 2013</w:t>
      </w:r>
    </w:p>
    <w:p>
      <w:pPr>
        <w:spacing w:after="0" w:line="225" w:lineRule="exact"/>
        <w:rPr>
          <w:sz w:val="20"/>
          <w:szCs w:val="20"/>
          <w:color w:val="auto"/>
        </w:rPr>
      </w:pPr>
    </w:p>
    <w:p>
      <w:pPr>
        <w:ind w:left="7720"/>
        <w:spacing w:after="0"/>
        <w:rPr>
          <w:sz w:val="20"/>
          <w:szCs w:val="20"/>
          <w:color w:val="auto"/>
        </w:rPr>
      </w:pPr>
      <w:r>
        <w:rPr>
          <w:rFonts w:ascii="Arial" w:cs="Arial" w:eastAsia="Arial" w:hAnsi="Arial"/>
          <w:sz w:val="18"/>
          <w:szCs w:val="18"/>
          <w:i w:val="1"/>
          <w:iCs w:val="1"/>
          <w:color w:val="auto"/>
        </w:rPr>
        <w:t>/s/ Alexander R. Berger</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5594350</wp:posOffset>
            </wp:positionH>
            <wp:positionV relativeFrom="page">
              <wp:posOffset>586105</wp:posOffset>
            </wp:positionV>
            <wp:extent cx="1783715" cy="8661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178371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Amended and Restated Certificate of Incorporation of Vringo,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provides for a class of its authorized stock known, as preferred stock, comprised of 5,000,000 shares, issuable from, time to time in one or more series;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WHEREAS, the Board of Directors of the Corporation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WHEREAS, it is the desire of the Board of Directors of the Corporation, pursuant to its authority as aforesaid, to fix the rights, preferences, restrictions and other matters relating to a series of the preferred stock, which shall consist of ONE MILLION SIX HUNDRED NINE THOUSAND ONE HUNDRED SIXTY SEVEN (1,609,167) shares of the preferred stock which the Corporation has the authority to issue, classified as Series B Convertible Preferred Stock, as follows: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NOW, THEREFORE, BE IT RESOLVED, that the Board of Directors of the Corporation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firstLine="1305"/>
        <w:spacing w:after="0" w:line="302" w:lineRule="auto"/>
        <w:tabs>
          <w:tab w:leader="none" w:pos="2034"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Designation and Amount</w:t>
      </w:r>
      <w:r>
        <w:rPr>
          <w:rFonts w:ascii="Arial" w:cs="Arial" w:eastAsia="Arial" w:hAnsi="Arial"/>
          <w:sz w:val="16"/>
          <w:szCs w:val="16"/>
          <w:color w:val="auto"/>
        </w:rPr>
        <w:t>. The class of preferred stock hereby classified shall be designated the “Series B Convertible Preferred Stock”. The initial number of authorized shares of the Series B Convertible Preferred Stock shall be ONE MILLION SIX HUNDRED NINE THOUSAND ONE HUNDRED SIXTY SEVEN (1,609,167), which shall not be subject to increase without the consent of the holders of a majority of the then outstanding shares of Series B Convertible Preferred Stock. Each share of the Series B Convertible Preferred Stock shall have a par value of $0.01.</w:t>
      </w:r>
    </w:p>
    <w:p>
      <w:pPr>
        <w:spacing w:after="0" w:line="150" w:lineRule="exact"/>
        <w:rPr>
          <w:rFonts w:ascii="Arial" w:cs="Arial" w:eastAsia="Arial" w:hAnsi="Arial"/>
          <w:sz w:val="16"/>
          <w:szCs w:val="16"/>
          <w:color w:val="auto"/>
        </w:rPr>
      </w:pPr>
    </w:p>
    <w:p>
      <w:pPr>
        <w:jc w:val="both"/>
        <w:ind w:firstLine="1305"/>
        <w:spacing w:after="0" w:line="274" w:lineRule="auto"/>
        <w:tabs>
          <w:tab w:leader="none" w:pos="2007"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xml:space="preserve">. From and after the first date of issuance of any shares of Series B Convertible Preferred Stock (the </w:t>
      </w:r>
      <w:r>
        <w:rPr>
          <w:rFonts w:ascii="Arial" w:cs="Arial" w:eastAsia="Arial" w:hAnsi="Arial"/>
          <w:sz w:val="17"/>
          <w:szCs w:val="17"/>
          <w:b w:val="1"/>
          <w:bCs w:val="1"/>
          <w:color w:val="auto"/>
        </w:rPr>
        <w:t>“Initial Issuance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holders of Series B Convertible Preferred Stock (each, a</w:t>
      </w:r>
      <w:r>
        <w:rPr>
          <w:rFonts w:ascii="Arial" w:cs="Arial" w:eastAsia="Arial" w:hAnsi="Arial"/>
          <w:sz w:val="17"/>
          <w:szCs w:val="17"/>
          <w:b w:val="1"/>
          <w:bCs w:val="1"/>
          <w:color w:val="auto"/>
        </w:rPr>
        <w:t xml:space="preserve"> “Holder” </w:t>
      </w:r>
      <w:r>
        <w:rPr>
          <w:rFonts w:ascii="Arial" w:cs="Arial" w:eastAsia="Arial" w:hAnsi="Arial"/>
          <w:sz w:val="17"/>
          <w:szCs w:val="17"/>
          <w:color w:val="auto"/>
        </w:rPr>
        <w:t>and collectively, the</w:t>
      </w:r>
      <w:r>
        <w:rPr>
          <w:rFonts w:ascii="Arial" w:cs="Arial" w:eastAsia="Arial" w:hAnsi="Arial"/>
          <w:sz w:val="17"/>
          <w:szCs w:val="17"/>
          <w:b w:val="1"/>
          <w:bCs w:val="1"/>
          <w:color w:val="auto"/>
        </w:rPr>
        <w:t xml:space="preserve"> “Holders”) </w:t>
      </w:r>
      <w:r>
        <w:rPr>
          <w:rFonts w:ascii="Arial" w:cs="Arial" w:eastAsia="Arial" w:hAnsi="Arial"/>
          <w:sz w:val="17"/>
          <w:szCs w:val="17"/>
          <w:color w:val="auto"/>
        </w:rPr>
        <w:t>shall be entitled to receive such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paid and distributions made to the holders of common stock, par value $0.01 per share ( the “</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the holders of Common Stock to the same extent as if such Holders had converted the Series B Convertible Preferred Stock into Common Stock (without regard to any limitations on conversion herein or elsewhere) and had held such shares of Common Stock on the record date for such dividends and distributions. Payments under the preceding sentence shall be made concurrently with the dividend or distribution to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0" w:name="page151"/>
    <w:bookmarkEnd w:id="150"/>
    <w:p>
      <w:pPr>
        <w:jc w:val="both"/>
        <w:ind w:left="-20" w:firstLine="1305"/>
        <w:spacing w:after="0" w:line="273" w:lineRule="auto"/>
        <w:tabs>
          <w:tab w:leader="none" w:pos="197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Upon any Liquidation Event (as defined below), after provision for payment of all debts and liabilities of the Corporation, any remaining assets of the Corporation shall be distributed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the holders of Common Stock and the holders of Series B Convertible Preferred Stock as if the Series B Convertible Preferred Stock had been converted into shares of Common Stock pursuant to the provisions of Section 6 hereof immediately prior to such distribution. For purposes of this Certificate of Designation, a </w:t>
      </w:r>
      <w:r>
        <w:rPr>
          <w:rFonts w:ascii="Arial" w:cs="Arial" w:eastAsia="Arial" w:hAnsi="Arial"/>
          <w:sz w:val="17"/>
          <w:szCs w:val="17"/>
          <w:b w:val="1"/>
          <w:bCs w:val="1"/>
          <w:color w:val="auto"/>
        </w:rPr>
        <w:t>“Liquidation Event”</w:t>
      </w:r>
      <w:r>
        <w:rPr>
          <w:rFonts w:ascii="Arial" w:cs="Arial" w:eastAsia="Arial" w:hAnsi="Arial"/>
          <w:sz w:val="17"/>
          <w:szCs w:val="17"/>
          <w:color w:val="auto"/>
        </w:rPr>
        <w:t xml:space="preserve"> means the voluntary or involuntary liquidation, dissolution or winding up of the Corporation or its subsidiaries or the sale of assets of which constitute all or substantially all of the assets of the business of the Corporation and its Subsidiaries taken as a whole, in a single transaction or series of transactions.</w:t>
      </w:r>
    </w:p>
    <w:p>
      <w:pPr>
        <w:spacing w:after="0" w:line="178" w:lineRule="exact"/>
        <w:rPr>
          <w:rFonts w:ascii="Arial" w:cs="Arial" w:eastAsia="Arial" w:hAnsi="Arial"/>
          <w:sz w:val="17"/>
          <w:szCs w:val="17"/>
          <w:color w:val="auto"/>
        </w:rPr>
      </w:pPr>
    </w:p>
    <w:p>
      <w:pPr>
        <w:ind w:left="1960" w:hanging="675"/>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580" w:hanging="647"/>
        <w:spacing w:after="0"/>
        <w:tabs>
          <w:tab w:leader="none" w:pos="258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1" w:lineRule="exact"/>
        <w:rPr>
          <w:rFonts w:ascii="Arial" w:cs="Arial" w:eastAsia="Arial" w:hAnsi="Arial"/>
          <w:sz w:val="18"/>
          <w:szCs w:val="18"/>
          <w:color w:val="auto"/>
        </w:rPr>
      </w:pPr>
    </w:p>
    <w:p>
      <w:pPr>
        <w:ind w:left="640" w:right="20" w:firstLine="1941"/>
        <w:spacing w:after="0" w:line="282" w:lineRule="auto"/>
        <w:tabs>
          <w:tab w:leader="none" w:pos="3313" w:val="left"/>
        </w:tabs>
        <w:numPr>
          <w:ilvl w:val="2"/>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other than Saturday, Sunday or other day on which commercial banks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New York are authorized or required by law to remain closed.</w:t>
      </w:r>
    </w:p>
    <w:p>
      <w:pPr>
        <w:spacing w:after="0" w:line="161" w:lineRule="exact"/>
        <w:rPr>
          <w:rFonts w:ascii="Arial" w:cs="Arial" w:eastAsia="Arial" w:hAnsi="Arial"/>
          <w:sz w:val="18"/>
          <w:szCs w:val="18"/>
          <w:color w:val="auto"/>
        </w:rPr>
      </w:pPr>
    </w:p>
    <w:p>
      <w:pPr>
        <w:ind w:left="3200" w:hanging="619"/>
        <w:spacing w:after="0"/>
        <w:tabs>
          <w:tab w:leader="none" w:pos="3200" w:val="left"/>
        </w:tabs>
        <w:numPr>
          <w:ilvl w:val="2"/>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amended.</w:t>
      </w:r>
    </w:p>
    <w:p>
      <w:pPr>
        <w:spacing w:after="0" w:line="225" w:lineRule="exact"/>
        <w:rPr>
          <w:rFonts w:ascii="Arial" w:cs="Arial" w:eastAsia="Arial" w:hAnsi="Arial"/>
          <w:sz w:val="18"/>
          <w:szCs w:val="18"/>
          <w:color w:val="auto"/>
        </w:rPr>
      </w:pPr>
    </w:p>
    <w:p>
      <w:pPr>
        <w:ind w:left="640" w:firstLine="1941"/>
        <w:spacing w:after="0" w:line="282" w:lineRule="auto"/>
        <w:tabs>
          <w:tab w:leader="none" w:pos="3309" w:val="left"/>
        </w:tabs>
        <w:numPr>
          <w:ilvl w:val="2"/>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“Eligible Market” </w:t>
      </w:r>
      <w:r>
        <w:rPr>
          <w:rFonts w:ascii="Arial" w:cs="Arial" w:eastAsia="Arial" w:hAnsi="Arial"/>
          <w:sz w:val="18"/>
          <w:szCs w:val="18"/>
          <w:color w:val="auto"/>
        </w:rPr>
        <w:t>means the New York Stock Exchange, Inc., the NYSE MKT, the NASDAQ Global Select</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the NASDAQ Global Market, the NASDAQ Capital Market and the Over-the-Counter Bulletin Board.</w:t>
      </w:r>
    </w:p>
    <w:p>
      <w:pPr>
        <w:spacing w:after="0" w:line="161" w:lineRule="exact"/>
        <w:rPr>
          <w:rFonts w:ascii="Arial" w:cs="Arial" w:eastAsia="Arial" w:hAnsi="Arial"/>
          <w:sz w:val="18"/>
          <w:szCs w:val="18"/>
          <w:color w:val="auto"/>
        </w:rPr>
      </w:pPr>
    </w:p>
    <w:p>
      <w:pPr>
        <w:jc w:val="both"/>
        <w:ind w:left="640" w:firstLine="1941"/>
        <w:spacing w:after="0" w:line="269" w:lineRule="auto"/>
        <w:tabs>
          <w:tab w:leader="none" w:pos="3340" w:val="left"/>
        </w:tabs>
        <w:numPr>
          <w:ilvl w:val="2"/>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“Fundamental Transaction” </w:t>
      </w:r>
      <w:r>
        <w:rPr>
          <w:rFonts w:ascii="Arial" w:cs="Arial" w:eastAsia="Arial" w:hAnsi="Arial"/>
          <w:sz w:val="17"/>
          <w:szCs w:val="17"/>
          <w:color w:val="auto"/>
        </w:rPr>
        <w:t>means that the Corporation shall (or in the case of clause (F) any “person” or</w:t>
      </w:r>
      <w:r>
        <w:rPr>
          <w:rFonts w:ascii="Arial" w:cs="Arial" w:eastAsia="Arial" w:hAnsi="Arial"/>
          <w:sz w:val="17"/>
          <w:szCs w:val="17"/>
          <w:b w:val="1"/>
          <w:bCs w:val="1"/>
          <w:color w:val="auto"/>
        </w:rPr>
        <w:t xml:space="preserve"> </w:t>
      </w:r>
      <w:r>
        <w:rPr>
          <w:rFonts w:ascii="Arial" w:cs="Arial" w:eastAsia="Arial" w:hAnsi="Arial"/>
          <w:sz w:val="17"/>
          <w:szCs w:val="17"/>
          <w:color w:val="auto"/>
        </w:rPr>
        <w:t>“group”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1" w:name="page152"/>
    <w:bookmarkEnd w:id="151"/>
    <w:p>
      <w:pPr>
        <w:jc w:val="both"/>
        <w:ind w:firstLine="1941"/>
        <w:spacing w:after="0" w:line="289" w:lineRule="auto"/>
        <w:tabs>
          <w:tab w:leader="none" w:pos="2735"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“Parent Entity’’ </w:t>
      </w:r>
      <w:r>
        <w:rPr>
          <w:rFonts w:ascii="Arial" w:cs="Arial" w:eastAsia="Arial" w:hAnsi="Arial"/>
          <w:sz w:val="17"/>
          <w:szCs w:val="17"/>
          <w:color w:val="auto"/>
        </w:rPr>
        <w:t>of a Person means an entity that, directly or indirectly, controls the applicable Person and</w:t>
      </w:r>
      <w:r>
        <w:rPr>
          <w:rFonts w:ascii="Arial" w:cs="Arial" w:eastAsia="Arial" w:hAnsi="Arial"/>
          <w:sz w:val="17"/>
          <w:szCs w:val="17"/>
          <w:b w:val="1"/>
          <w:bCs w:val="1"/>
          <w:color w:val="auto"/>
        </w:rPr>
        <w:t xml:space="preserve"> </w:t>
      </w:r>
      <w:r>
        <w:rPr>
          <w:rFonts w:ascii="Arial" w:cs="Arial" w:eastAsia="Arial" w:hAnsi="Arial"/>
          <w:sz w:val="17"/>
          <w:szCs w:val="17"/>
          <w:color w:val="auto"/>
        </w:rPr>
        <w:t>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ind w:firstLine="1941"/>
        <w:spacing w:after="0" w:line="282" w:lineRule="auto"/>
        <w:tabs>
          <w:tab w:leader="none" w:pos="2619"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 individual, a limited liability company, a partnership, a joint venture, a corporation, a trust,</w:t>
      </w:r>
      <w:r>
        <w:rPr>
          <w:rFonts w:ascii="Arial" w:cs="Arial" w:eastAsia="Arial" w:hAnsi="Arial"/>
          <w:sz w:val="18"/>
          <w:szCs w:val="18"/>
          <w:b w:val="1"/>
          <w:bCs w:val="1"/>
          <w:color w:val="auto"/>
        </w:rPr>
        <w:t xml:space="preserve"> </w:t>
      </w:r>
      <w:r>
        <w:rPr>
          <w:rFonts w:ascii="Arial" w:cs="Arial" w:eastAsia="Arial" w:hAnsi="Arial"/>
          <w:sz w:val="18"/>
          <w:szCs w:val="18"/>
          <w:color w:val="auto"/>
        </w:rPr>
        <w:t>an unincorporated organization, any other entity and a government or any department or agency thereof.</w:t>
      </w:r>
    </w:p>
    <w:p>
      <w:pPr>
        <w:spacing w:after="0" w:line="161" w:lineRule="exact"/>
        <w:rPr>
          <w:rFonts w:ascii="Arial" w:cs="Arial" w:eastAsia="Arial" w:hAnsi="Arial"/>
          <w:sz w:val="18"/>
          <w:szCs w:val="18"/>
          <w:color w:val="auto"/>
        </w:rPr>
      </w:pPr>
    </w:p>
    <w:p>
      <w:pPr>
        <w:ind w:left="2720" w:hanging="779"/>
        <w:spacing w:after="0"/>
        <w:tabs>
          <w:tab w:leader="none" w:pos="272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“Required Holders” </w:t>
      </w:r>
      <w:r>
        <w:rPr>
          <w:rFonts w:ascii="Arial" w:cs="Arial" w:eastAsia="Arial" w:hAnsi="Arial"/>
          <w:sz w:val="17"/>
          <w:szCs w:val="17"/>
          <w:color w:val="auto"/>
        </w:rPr>
        <w:t>means the holders of record of a majority of the then outstanding shares of Series B</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Convertible Preferred Stock.</w:t>
      </w:r>
    </w:p>
    <w:p>
      <w:pPr>
        <w:spacing w:after="0" w:line="206" w:lineRule="exact"/>
        <w:rPr>
          <w:rFonts w:ascii="Arial" w:cs="Arial" w:eastAsia="Arial" w:hAnsi="Arial"/>
          <w:sz w:val="17"/>
          <w:szCs w:val="17"/>
          <w:color w:val="auto"/>
        </w:rPr>
      </w:pPr>
    </w:p>
    <w:p>
      <w:pPr>
        <w:jc w:val="both"/>
        <w:ind w:firstLine="1941"/>
        <w:spacing w:after="0" w:line="266" w:lineRule="auto"/>
        <w:tabs>
          <w:tab w:leader="none" w:pos="2899"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“Stated Value” </w:t>
      </w:r>
      <w:r>
        <w:rPr>
          <w:rFonts w:ascii="Arial" w:cs="Arial" w:eastAsia="Arial" w:hAnsi="Arial"/>
          <w:sz w:val="18"/>
          <w:szCs w:val="18"/>
          <w:color w:val="auto"/>
        </w:rPr>
        <w:t>shall mean $6.00 per share, subject to adjustment for stock splits, stock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recapitalizations, reorganizations, reclassifications, combinations, reverse stock splits or other similar events relating to the Series B Convertible Preferred Stock after the Initial issuance Date.</w:t>
      </w:r>
    </w:p>
    <w:p>
      <w:pPr>
        <w:spacing w:after="0" w:line="176" w:lineRule="exact"/>
        <w:rPr>
          <w:rFonts w:ascii="Arial" w:cs="Arial" w:eastAsia="Arial" w:hAnsi="Arial"/>
          <w:sz w:val="18"/>
          <w:szCs w:val="18"/>
          <w:color w:val="auto"/>
        </w:rPr>
      </w:pPr>
    </w:p>
    <w:p>
      <w:pPr>
        <w:jc w:val="both"/>
        <w:ind w:firstLine="1941"/>
        <w:spacing w:after="0" w:line="261" w:lineRule="auto"/>
        <w:tabs>
          <w:tab w:leader="none" w:pos="270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“Successor Entity” </w:t>
      </w:r>
      <w:r>
        <w:rPr>
          <w:rFonts w:ascii="Arial" w:cs="Arial" w:eastAsia="Arial" w:hAnsi="Arial"/>
          <w:sz w:val="18"/>
          <w:szCs w:val="18"/>
          <w:color w:val="auto"/>
        </w:rPr>
        <w:t>means the Person, which may be the Corporation, formed by, resulting from or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180" w:lineRule="exact"/>
        <w:rPr>
          <w:rFonts w:ascii="Arial" w:cs="Arial" w:eastAsia="Arial" w:hAnsi="Arial"/>
          <w:sz w:val="18"/>
          <w:szCs w:val="18"/>
          <w:color w:val="auto"/>
        </w:rPr>
      </w:pPr>
    </w:p>
    <w:p>
      <w:pPr>
        <w:jc w:val="both"/>
        <w:ind w:firstLine="1941"/>
        <w:spacing w:after="0" w:line="274" w:lineRule="auto"/>
        <w:tabs>
          <w:tab w:leader="none" w:pos="2821"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“Trading Day” </w:t>
      </w:r>
      <w:r>
        <w:rPr>
          <w:rFonts w:ascii="Arial" w:cs="Arial" w:eastAsia="Arial" w:hAnsi="Arial"/>
          <w:sz w:val="17"/>
          <w:szCs w:val="17"/>
          <w:color w:val="auto"/>
        </w:rPr>
        <w:t>means any day on which the Common Stock is traded on the Principal Market, or, if the</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3" w:lineRule="exact"/>
        <w:rPr>
          <w:rFonts w:ascii="Arial" w:cs="Arial" w:eastAsia="Arial" w:hAnsi="Arial"/>
          <w:sz w:val="17"/>
          <w:szCs w:val="17"/>
          <w:color w:val="auto"/>
        </w:rPr>
      </w:pPr>
    </w:p>
    <w:p>
      <w:pPr>
        <w:jc w:val="both"/>
        <w:ind w:firstLine="1941"/>
        <w:spacing w:after="0" w:line="261" w:lineRule="auto"/>
        <w:tabs>
          <w:tab w:leader="none" w:pos="2799"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“Voting Stock” </w:t>
      </w:r>
      <w:r>
        <w:rPr>
          <w:rFonts w:ascii="Arial" w:cs="Arial" w:eastAsia="Arial" w:hAnsi="Arial"/>
          <w:sz w:val="18"/>
          <w:szCs w:val="18"/>
          <w:color w:val="auto"/>
        </w:rPr>
        <w:t>means capital stock of the class or classes pursuant to which the holders thereof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40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152" w:name="page153"/>
    <w:bookmarkEnd w:id="152"/>
    <w:p>
      <w:pPr>
        <w:jc w:val="both"/>
        <w:ind w:left="-20" w:firstLine="1953"/>
        <w:spacing w:after="0" w:line="267" w:lineRule="auto"/>
        <w:tabs>
          <w:tab w:leader="none" w:pos="2585"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Assumption</w:t>
      </w:r>
      <w:r>
        <w:rPr>
          <w:rFonts w:ascii="Arial" w:cs="Arial" w:eastAsia="Arial" w:hAnsi="Arial"/>
          <w:sz w:val="17"/>
          <w:szCs w:val="17"/>
          <w:color w:val="auto"/>
        </w:rPr>
        <w:t>. The Corporation shall not enter into or be party to a Fundamental Transaction unless (i) the Successor Entity assumes in writing all of the obligations of the Corporation under this Certificate of Designation in accordance with the provisions of this Section 4 pursuant to written agreements in form and substance reasonably satisfactory to the Required Holders and approved by the Required Holders prior to such Fundamental Transaction, including agreements to deliver to each Holder of Series B Convertible Preferred Stock in exchange for such Series B Convertible Preferred Stock a security of the Successor Entity evidenced by a written instrument substantially similar in form and substance to this Certificate of Designation including, without limitation, having a stated value equal to the Stated Value of the Series B Convertible Preferred Stock held by such Holder and having similar ranking to the Series B Convertible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 referring to the “Corporation” shall refer instead to the Successor Entity), and may exercise every right and power of the Corporation and shall assume all of the obligations of the Corporation under this Certificate of Designation with the same effect as if such Successor Entity had been named as the Corporation herein. Upon consummation of the Fundamental Transaction, the Successor Entity shall deliver to the Holder confirmation that there shall be issued upon conversion of the Series B Convertible Preferred Stock at any time after the consummation of the Fundamental Transaction, in lieu of the shares of Common Stock (or other securities, cash, assets or other property) issuable upon the conversion of the Series B Convertible Preferred Stock prior to such Fundamental Transaction (without regard to any limitations on the conversion of the Series B Convertible Preferred Stock), such shares of publicly traded common stock (or their equivalent) of the Successor Entity, as adjusted in accordance with the provisions of this Certificate of Designation, which the Holder would have been entitled to receive had such Holder converted the Series B Convertible Preferred Stock in full (without regard to any limitations on conversion) immediately prior to such Fundamental Transaction. The provisions of this Section shall apply similarly and equally to successive Fundamental Transactions and shall be applied without regard to any limitations on the conversion of the Series B Convertible Preferred Stock.</w:t>
      </w:r>
    </w:p>
    <w:p>
      <w:pPr>
        <w:spacing w:after="0" w:line="188" w:lineRule="exact"/>
        <w:rPr>
          <w:rFonts w:ascii="Arial" w:cs="Arial" w:eastAsia="Arial" w:hAnsi="Arial"/>
          <w:sz w:val="17"/>
          <w:szCs w:val="17"/>
          <w:color w:val="auto"/>
        </w:rPr>
      </w:pPr>
    </w:p>
    <w:p>
      <w:pPr>
        <w:ind w:left="1920" w:hanging="635"/>
        <w:spacing w:after="0"/>
        <w:tabs>
          <w:tab w:leader="none" w:pos="19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right="20" w:firstLine="1953"/>
        <w:spacing w:after="0" w:line="264" w:lineRule="auto"/>
        <w:tabs>
          <w:tab w:leader="none" w:pos="275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issued and outstanding share of share of Series B Convertible Preferred Stock shall be entitled to the number of votes equal to the number of shares of Common Stock into which each such share of Series B Convertible Preferred Stock is convertible (as adjusted from time to time pursuant to Section 4 hereof).</w:t>
      </w:r>
    </w:p>
    <w:p>
      <w:pPr>
        <w:spacing w:after="0" w:line="181" w:lineRule="exact"/>
        <w:rPr>
          <w:rFonts w:ascii="Arial" w:cs="Arial" w:eastAsia="Arial" w:hAnsi="Arial"/>
          <w:sz w:val="18"/>
          <w:szCs w:val="18"/>
          <w:color w:val="auto"/>
        </w:rPr>
      </w:pPr>
    </w:p>
    <w:p>
      <w:pPr>
        <w:jc w:val="both"/>
        <w:ind w:left="-20" w:firstLine="1953"/>
        <w:spacing w:after="0" w:line="264" w:lineRule="auto"/>
        <w:tabs>
          <w:tab w:leader="none" w:pos="2895"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Series B Convertible Preferred Stock Protective Provisions</w:t>
      </w:r>
      <w:r>
        <w:rPr>
          <w:rFonts w:ascii="Arial" w:cs="Arial" w:eastAsia="Arial" w:hAnsi="Arial"/>
          <w:sz w:val="18"/>
          <w:szCs w:val="18"/>
          <w:color w:val="auto"/>
        </w:rPr>
        <w:t>. In addition to any other rights provided by law, the Corporation shall not and shall not permit any direct or indirect Subsidiary (as defined below) of the Corporation to, without first obtaining the affirmative vote or written consent of the holders of a majority of the outstanding shares of Series B Convertible Preferred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3" w:name="page154"/>
    <w:bookmarkEnd w:id="153"/>
    <w:p>
      <w:pPr>
        <w:ind w:left="3200" w:hanging="619"/>
        <w:spacing w:after="0"/>
        <w:tabs>
          <w:tab w:leader="none" w:pos="32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B Convertible Preferred Stock; or</w:t>
      </w:r>
    </w:p>
    <w:p>
      <w:pPr>
        <w:spacing w:after="0" w:line="225" w:lineRule="exact"/>
        <w:rPr>
          <w:rFonts w:ascii="Arial" w:cs="Arial" w:eastAsia="Arial" w:hAnsi="Arial"/>
          <w:sz w:val="18"/>
          <w:szCs w:val="18"/>
          <w:color w:val="auto"/>
        </w:rPr>
      </w:pPr>
    </w:p>
    <w:p>
      <w:pPr>
        <w:ind w:left="640" w:right="20" w:firstLine="1941"/>
        <w:spacing w:after="0" w:line="277" w:lineRule="auto"/>
        <w:tabs>
          <w:tab w:leader="none" w:pos="3237" w:val="left"/>
        </w:tabs>
        <w:numPr>
          <w:ilvl w:val="2"/>
          <w:numId w:val="82"/>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B Convertible Preferred Stock so as to affect adversely the Series B Convertible Preferred Stock.</w:t>
      </w:r>
    </w:p>
    <w:p>
      <w:pPr>
        <w:spacing w:after="0" w:line="170" w:lineRule="exact"/>
        <w:rPr>
          <w:rFonts w:ascii="Arial" w:cs="Arial" w:eastAsia="Arial" w:hAnsi="Arial"/>
          <w:sz w:val="18"/>
          <w:szCs w:val="18"/>
          <w:color w:val="auto"/>
        </w:rPr>
      </w:pPr>
    </w:p>
    <w:p>
      <w:pPr>
        <w:jc w:val="both"/>
        <w:ind w:left="-20" w:firstLine="1305"/>
        <w:spacing w:after="0" w:line="286" w:lineRule="auto"/>
        <w:tabs>
          <w:tab w:leader="none" w:pos="1983"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Each share of Series B Convertible Preferred Stock shall automatically be converted into shares of Common Stock immediately upon (i) the Corporation’s authorized shares of Common Stock being increased to an amount sufficient to allow the Corporation to convert all shares of Series B Convertible Preferred Stock then outstanding into shares of Common Stock or (ii) the number of issued and outstanding shares of Common Stock and shares reserved for issuance being reduced to an amount sufficient to allow the Corporation to convert all shares of Series B Convertible Preferred Stock then outstanding into shares of Common Stock (each, a </w:t>
      </w:r>
      <w:r>
        <w:rPr>
          <w:rFonts w:ascii="Arial" w:cs="Arial" w:eastAsia="Arial" w:hAnsi="Arial"/>
          <w:sz w:val="16"/>
          <w:szCs w:val="16"/>
          <w:b w:val="1"/>
          <w:bCs w:val="1"/>
          <w:color w:val="auto"/>
        </w:rPr>
        <w:t>“Series B Automatic Conversion Event”)</w:t>
      </w:r>
      <w:r>
        <w:rPr>
          <w:rFonts w:ascii="Arial" w:cs="Arial" w:eastAsia="Arial" w:hAnsi="Arial"/>
          <w:sz w:val="16"/>
          <w:szCs w:val="16"/>
          <w:color w:val="auto"/>
        </w:rPr>
        <w:t xml:space="preserve">. If a Series B Automatic Conversion Event does not occur following the Corporation’s Annual Meeting scheduled to be held on November 16, 2015 (as such date may be extended pursuant to any adjournments of such meeting), then each share of Series B Convertible Preferred Stock shall automatically be converted into shares of Common Stock, up to and to the extent that the Corporation has authorized shares that are not reserved for other issuances (the </w:t>
      </w:r>
      <w:r>
        <w:rPr>
          <w:rFonts w:ascii="Arial" w:cs="Arial" w:eastAsia="Arial" w:hAnsi="Arial"/>
          <w:sz w:val="16"/>
          <w:szCs w:val="16"/>
          <w:b w:val="1"/>
          <w:bCs w:val="1"/>
          <w:color w:val="auto"/>
        </w:rPr>
        <w:t>“Partial Conversion Event”)</w:t>
      </w:r>
      <w:r>
        <w:rPr>
          <w:rFonts w:ascii="Arial" w:cs="Arial" w:eastAsia="Arial" w:hAnsi="Arial"/>
          <w:sz w:val="16"/>
          <w:szCs w:val="16"/>
          <w:color w:val="auto"/>
        </w:rPr>
        <w:t>. The number of shares to be converted pursuant to the Partial Conversion Event shall be allocated pro rata among the Holders based on the number of shares of Series B Convertible Preferred Stock held by each Holder at the time of the Partial Conversion Event. Upon the occurrence of a Series B Automatic Conversion Event or Partial Conversion Event, the applicable shares of Series B Preferred Stock shall be automatically converted into the number of shares of Common Stock into which such shares of Series B Convertible Preferred Stock are then convertible pursuant to this Section 6 without any further action by any holder of such shares and whether or not the certificate(s) representing such shares are surrendered to the Corporation or its transfer agent.</w:t>
      </w:r>
    </w:p>
    <w:p>
      <w:pPr>
        <w:spacing w:after="0" w:line="174" w:lineRule="exact"/>
        <w:rPr>
          <w:rFonts w:ascii="Arial" w:cs="Arial" w:eastAsia="Arial" w:hAnsi="Arial"/>
          <w:sz w:val="16"/>
          <w:szCs w:val="16"/>
          <w:color w:val="auto"/>
        </w:rPr>
      </w:pPr>
    </w:p>
    <w:p>
      <w:pPr>
        <w:ind w:left="2580" w:hanging="647"/>
        <w:spacing w:after="0"/>
        <w:tabs>
          <w:tab w:leader="none" w:pos="258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1" w:lineRule="exact"/>
        <w:rPr>
          <w:rFonts w:ascii="Arial" w:cs="Arial" w:eastAsia="Arial" w:hAnsi="Arial"/>
          <w:sz w:val="18"/>
          <w:szCs w:val="18"/>
          <w:color w:val="auto"/>
        </w:rPr>
      </w:pPr>
    </w:p>
    <w:p>
      <w:pPr>
        <w:ind w:left="3200" w:hanging="619"/>
        <w:spacing w:after="0"/>
        <w:tabs>
          <w:tab w:leader="none" w:pos="3200" w:val="left"/>
        </w:tabs>
        <w:numPr>
          <w:ilvl w:val="2"/>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“Bloomberg” </w:t>
      </w:r>
      <w:r>
        <w:rPr>
          <w:rFonts w:ascii="Arial" w:cs="Arial" w:eastAsia="Arial" w:hAnsi="Arial"/>
          <w:sz w:val="18"/>
          <w:szCs w:val="18"/>
          <w:color w:val="auto"/>
        </w:rPr>
        <w:t>means Bloomberg Financial Markets.</w:t>
      </w:r>
    </w:p>
    <w:p>
      <w:pPr>
        <w:spacing w:after="0" w:line="225" w:lineRule="exact"/>
        <w:rPr>
          <w:rFonts w:ascii="Arial" w:cs="Arial" w:eastAsia="Arial" w:hAnsi="Arial"/>
          <w:sz w:val="18"/>
          <w:szCs w:val="18"/>
          <w:color w:val="auto"/>
        </w:rPr>
      </w:pPr>
    </w:p>
    <w:p>
      <w:pPr>
        <w:ind w:left="3200" w:hanging="619"/>
        <w:spacing w:after="0"/>
        <w:tabs>
          <w:tab w:leader="none" w:pos="3200" w:val="left"/>
        </w:tabs>
        <w:numPr>
          <w:ilvl w:val="2"/>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“Conversion Amount” </w:t>
      </w:r>
      <w:r>
        <w:rPr>
          <w:rFonts w:ascii="Arial" w:cs="Arial" w:eastAsia="Arial" w:hAnsi="Arial"/>
          <w:sz w:val="18"/>
          <w:szCs w:val="18"/>
          <w:color w:val="auto"/>
        </w:rPr>
        <w:t>means the Stated Value.</w:t>
      </w:r>
    </w:p>
    <w:p>
      <w:pPr>
        <w:spacing w:after="0" w:line="225" w:lineRule="exact"/>
        <w:rPr>
          <w:rFonts w:ascii="Arial" w:cs="Arial" w:eastAsia="Arial" w:hAnsi="Arial"/>
          <w:sz w:val="18"/>
          <w:szCs w:val="18"/>
          <w:color w:val="auto"/>
        </w:rPr>
      </w:pPr>
    </w:p>
    <w:p>
      <w:pPr>
        <w:ind w:left="3220" w:hanging="639"/>
        <w:spacing w:after="0"/>
        <w:tabs>
          <w:tab w:leader="none" w:pos="3220" w:val="left"/>
        </w:tabs>
        <w:numPr>
          <w:ilvl w:val="2"/>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“Conversion Price” </w:t>
      </w:r>
      <w:r>
        <w:rPr>
          <w:rFonts w:ascii="Arial" w:cs="Arial" w:eastAsia="Arial" w:hAnsi="Arial"/>
          <w:sz w:val="18"/>
          <w:szCs w:val="18"/>
          <w:color w:val="auto"/>
        </w:rPr>
        <w:t>means $0.60, subject to adjustment as provided herein.</w:t>
      </w:r>
    </w:p>
    <w:p>
      <w:pPr>
        <w:spacing w:after="0" w:line="225" w:lineRule="exact"/>
        <w:rPr>
          <w:rFonts w:ascii="Arial" w:cs="Arial" w:eastAsia="Arial" w:hAnsi="Arial"/>
          <w:sz w:val="18"/>
          <w:szCs w:val="18"/>
          <w:color w:val="auto"/>
        </w:rPr>
      </w:pPr>
    </w:p>
    <w:p>
      <w:pPr>
        <w:ind w:left="640" w:firstLine="1941"/>
        <w:spacing w:after="0" w:line="282" w:lineRule="auto"/>
        <w:tabs>
          <w:tab w:leader="none" w:pos="3232" w:val="left"/>
        </w:tabs>
        <w:numPr>
          <w:ilvl w:val="2"/>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with respect to the Corporation, any entity in which the Corporation,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owns any of the capital stock or holds an equity or similar interest.</w:t>
      </w:r>
    </w:p>
    <w:p>
      <w:pPr>
        <w:spacing w:after="0" w:line="165" w:lineRule="exact"/>
        <w:rPr>
          <w:rFonts w:ascii="Arial" w:cs="Arial" w:eastAsia="Arial" w:hAnsi="Arial"/>
          <w:sz w:val="18"/>
          <w:szCs w:val="18"/>
          <w:color w:val="auto"/>
        </w:rPr>
      </w:pPr>
    </w:p>
    <w:p>
      <w:pPr>
        <w:jc w:val="both"/>
        <w:ind w:left="-20" w:firstLine="1953"/>
        <w:spacing w:after="0" w:line="264" w:lineRule="auto"/>
        <w:tabs>
          <w:tab w:leader="none" w:pos="270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The number of shares of Common Stock issuable upon conversion of each share of Series B Convertible Preferred Stock pursuant to this Section 6 shall be determined by multiplying each such share of Series B Convertible Preferred Stock by the fraction set forth below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u w:val="single" w:color="auto"/>
          <w:color w:val="auto"/>
        </w:rPr>
        <w:t>Conversion Amount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Conversion Price</w:t>
      </w:r>
    </w:p>
    <w:p>
      <w:pPr>
        <w:spacing w:after="0" w:line="21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No fractional shares of Common Stock are to be issued upon the conversion of any Series B Convertible Preferred Stock, but rather the number of shares of Common Stock to be issued shall be rounded up to the nearest whole number.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applicable Conversion Rate and Conversion Price from time to time in effect is subject to adjustment as hereinafter provided.</w:t>
      </w:r>
    </w:p>
    <w:p>
      <w:pPr>
        <w:spacing w:after="0" w:line="237" w:lineRule="exact"/>
        <w:rPr>
          <w:sz w:val="20"/>
          <w:szCs w:val="20"/>
          <w:color w:val="auto"/>
        </w:rPr>
      </w:pPr>
    </w:p>
    <w:p>
      <w:pPr>
        <w:ind w:left="2700" w:hanging="747"/>
        <w:spacing w:after="0"/>
        <w:tabs>
          <w:tab w:leader="none" w:pos="270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The conversion of Series B Convertible Preferred Stock shall be conducted in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manner:</w:t>
      </w:r>
    </w:p>
    <w:p>
      <w:pPr>
        <w:spacing w:after="0" w:line="211" w:lineRule="exact"/>
        <w:rPr>
          <w:sz w:val="20"/>
          <w:szCs w:val="20"/>
          <w:color w:val="auto"/>
        </w:rPr>
      </w:pPr>
    </w:p>
    <w:p>
      <w:pPr>
        <w:jc w:val="both"/>
        <w:ind w:left="660" w:firstLine="1941"/>
        <w:spacing w:after="0" w:line="289" w:lineRule="auto"/>
        <w:tabs>
          <w:tab w:leader="none" w:pos="326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Upon the occurrence of a Series B Automatic Conversion Event or if a Partial Conversion Event is to occur and in any event within ten (10) days after receipt of notice, by mail, postage prepaid from the Corporation of the occurrence of such event, each holder of record of shares of Series B Convertible Preferred Stock being converted shall (A) transmit by facsimile (or otherwise deliver) a copy of a properly completed notice of conversion executed by the registered Holder of the Series B Convertible Preferred Stock subject to such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xml:space="preserve">) to the Corporation and if the Corporation has appointed a registered transfer agent, the Corporation’s registered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xml:space="preserve">) (if the Corporation does not have a registered transfer agent, references hereto to the “Transfer Agent” shall be deemed to be references to the Corporation) and (B) if required by Section 6(c)(iv), surrender to a common carrier for delivery to the Corporation as soon as practicable following such date the original certificates representing the Series B Convertible Preferred Stock being converted (or compliance with the procedures set forth in Section 9) (the </w:t>
      </w:r>
      <w:r>
        <w:rPr>
          <w:rFonts w:ascii="Arial" w:cs="Arial" w:eastAsia="Arial" w:hAnsi="Arial"/>
          <w:sz w:val="16"/>
          <w:szCs w:val="16"/>
          <w:b w:val="1"/>
          <w:bCs w:val="1"/>
          <w:color w:val="auto"/>
        </w:rPr>
        <w:t>“Preferred Stock Certificates”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660" w:firstLine="1941"/>
        <w:spacing w:after="0" w:line="288" w:lineRule="auto"/>
        <w:tabs>
          <w:tab w:leader="none" w:pos="336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three (3) Trading Days, send, via facsimile, a confirmation of receipt of such Conversion Notice to such Holder and the Transfer Agent, if applicable, which confirmation shall constitute an instruction to the Transfer Agent to process such</w:t>
      </w:r>
    </w:p>
    <w:p>
      <w:pPr>
        <w:jc w:val="both"/>
        <w:ind w:left="660"/>
        <w:spacing w:after="0" w:line="274" w:lineRule="auto"/>
        <w:rPr>
          <w:sz w:val="20"/>
          <w:szCs w:val="20"/>
          <w:color w:val="auto"/>
        </w:rPr>
      </w:pPr>
      <w:r>
        <w:rPr>
          <w:rFonts w:ascii="Arial" w:cs="Arial" w:eastAsia="Arial" w:hAnsi="Arial"/>
          <w:sz w:val="16"/>
          <w:szCs w:val="16"/>
          <w:color w:val="auto"/>
        </w:rPr>
        <w:t>Conversion Notice in accordance with the terms herein and (B)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Trading Day following the date of receipt by the Corporation of such Conversion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xml:space="preserv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B Convertible Preferred Stock represented by the Preferred Stock Certificate(s) submitted for conversion pursuant to a Partial Conversion Event, as may be required pursuant to Section 6(c)(iv), is greater than the number of shares of Series B Convertible Preferred Stock being converted, then the Corporation shall or shall direct the Transfer Agent, as soon as practicable and in no event later than three (3) Business Days after receipt of the Preferred Stock Certificate(s) (the </w:t>
      </w:r>
      <w:r>
        <w:rPr>
          <w:rFonts w:ascii="Arial" w:cs="Arial" w:eastAsia="Arial" w:hAnsi="Arial"/>
          <w:sz w:val="16"/>
          <w:szCs w:val="16"/>
          <w:b w:val="1"/>
          <w:bCs w:val="1"/>
          <w:color w:val="auto"/>
        </w:rPr>
        <w:t>“Preferred Stock Delivery Date”)</w:t>
      </w:r>
      <w:r>
        <w:rPr>
          <w:rFonts w:ascii="Arial" w:cs="Arial" w:eastAsia="Arial" w:hAnsi="Arial"/>
          <w:sz w:val="16"/>
          <w:szCs w:val="16"/>
          <w:color w:val="auto"/>
        </w:rPr>
        <w:t xml:space="preserve"> and at its own expense, issue and deliver to the Holder a new Preferred Stock Certificate representing the number of shares of Series B Convertible Preferred Stock not converted or it shall direct the Transfer Agent to update the Holder’s account to reflect the number of shares of Series B Convertible Preferred Stock not converted.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5" w:name="page156"/>
    <w:bookmarkEnd w:id="155"/>
    <w:p>
      <w:pPr>
        <w:ind w:left="2040" w:hanging="639"/>
        <w:spacing w:after="0"/>
        <w:tabs>
          <w:tab w:leader="none" w:pos="20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1289"/>
        <w:spacing w:after="0" w:line="285" w:lineRule="auto"/>
        <w:tabs>
          <w:tab w:leader="none" w:pos="2738"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Cash Damages</w:t>
      </w:r>
      <w:r>
        <w:rPr>
          <w:rFonts w:ascii="Arial" w:cs="Arial" w:eastAsia="Arial" w:hAnsi="Arial"/>
          <w:sz w:val="16"/>
          <w:szCs w:val="16"/>
          <w:color w:val="auto"/>
        </w:rPr>
        <w:t xml:space="preserve">.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B Convertible Preferred Stock (a </w:t>
      </w:r>
      <w:r>
        <w:rPr>
          <w:rFonts w:ascii="Arial" w:cs="Arial" w:eastAsia="Arial" w:hAnsi="Arial"/>
          <w:sz w:val="16"/>
          <w:szCs w:val="16"/>
          <w:b w:val="1"/>
          <w:bCs w:val="1"/>
          <w:color w:val="auto"/>
        </w:rPr>
        <w:t>“Conversion Failure”</w:t>
      </w:r>
      <w:r>
        <w:rPr>
          <w:rFonts w:ascii="Arial" w:cs="Arial" w:eastAsia="Arial" w:hAnsi="Arial"/>
          <w:sz w:val="16"/>
          <w:szCs w:val="16"/>
          <w:color w:val="auto"/>
        </w:rPr>
        <w:t xml:space="preserve">),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b w:val="1"/>
          <w:bCs w:val="1"/>
          <w:color w:val="auto"/>
        </w:rPr>
        <w:t>“Buy-In”</w:t>
      </w:r>
      <w:r>
        <w:rPr>
          <w:rFonts w:ascii="Arial" w:cs="Arial" w:eastAsia="Arial" w:hAnsi="Arial"/>
          <w:sz w:val="16"/>
          <w:szCs w:val="16"/>
          <w:color w:val="auto"/>
        </w:rPr>
        <w:t xml:space="preserve">),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Sale Price 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B Convertible Preferred Stock as required pursuant to the terms hereof.</w:t>
      </w:r>
    </w:p>
    <w:p>
      <w:pPr>
        <w:spacing w:after="0" w:line="177" w:lineRule="exact"/>
        <w:rPr>
          <w:rFonts w:ascii="Arial" w:cs="Arial" w:eastAsia="Arial" w:hAnsi="Arial"/>
          <w:sz w:val="16"/>
          <w:szCs w:val="16"/>
          <w:color w:val="auto"/>
        </w:rPr>
      </w:pPr>
    </w:p>
    <w:p>
      <w:pPr>
        <w:jc w:val="both"/>
        <w:ind w:left="-540" w:firstLine="1941"/>
        <w:spacing w:after="0" w:line="285" w:lineRule="auto"/>
        <w:tabs>
          <w:tab w:leader="none" w:pos="206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B Convertible Preferred Stock in accordance with the terms hereof, the Holder thereof shall not be required to physically surrender the Preferred Stock Certificate unless (A) the full or remaining number of shares of Series B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B Convertible Preferred Stock upon physical surrender of any Series B Convertible Preferred Stock. The Holder and the Corporation shall maintain records showing the number of shares of Series B Convertible Preferred Stock so converted and the dates of such conversions or shall use such other method, reasonably satisfactory to the Holder and the Corporation, so as not to require physical surrender of the certificate representing the Series B Convertible Preferred Stock upon each such conversion. In the event of any dispute or discrepancy, such records of the Corporation establishing the number of shares of Series B Convertible Preferred Stock to which the record holder is entitled shall be controlling and determinative in the absence of manifest error, Notwithstanding the foregoing, if Series B Convertible Preferred Stock represented by a certificate are converted as aforesaid, a Holder may not transfer the certificate representing the Series B Convertible Preferred Stock unless such Holder first physically surrenders the certificate representing the Series B Convertible Preferred Stock to the Corporation, whereupon the Corporation will forthwith issue and deliver upon the order of such Holder a new certificate of like tenor, registered as such Holder may request, representing in the aggregate the remaining number of shares of Series B Convertible Preferred Stock represented by such certificate. A Holder and any assignee, by acceptance of a certificate, acknowledge and agree that, by reason of the provisions of this paragraph, following conversion of any Series B Convertible Preferred Stock, the number of shares of Series B Convertible Preferred Stock represented by such certificate may be less than the number of shares of Series B Convertible Preferred Stock stated on the face thereof. Each certificate for Series B Convertible Preferred Stock shall bear the following legend:</w:t>
      </w:r>
    </w:p>
    <w:p>
      <w:pPr>
        <w:spacing w:after="0" w:line="38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156" w:name="page157"/>
    <w:bookmarkEnd w:id="156"/>
    <w:p>
      <w:pPr>
        <w:jc w:val="both"/>
        <w:ind w:left="1400"/>
        <w:spacing w:after="0" w:line="257" w:lineRule="auto"/>
        <w:rPr>
          <w:sz w:val="20"/>
          <w:szCs w:val="20"/>
          <w:color w:val="auto"/>
        </w:rPr>
      </w:pPr>
      <w:r>
        <w:rPr>
          <w:rFonts w:ascii="Arial" w:cs="Arial" w:eastAsia="Arial" w:hAnsi="Arial"/>
          <w:sz w:val="18"/>
          <w:szCs w:val="18"/>
          <w:color w:val="auto"/>
        </w:rPr>
        <w:t>THIS SECURITY HAS NOT BEEN REGISTERED UNDER THE UNITED STATES SECURITIES ACT OF 1933, AS AMENDED (THE “SECURITIES ACT”) OR THE SECURITIES LAWS OF ANY U.S. STATE, NOR IS ANY SUCH REGISTRATION CONTEMPLATED. THIS SECURITY MAY NOT BE OFFERED, SOLD OR OTHERWISE TRANSFERRED IN THE ABSENCE OF SUCH REGISTRATION OR AN APPLICABLE EXEMPTION THEREFROM.</w:t>
      </w:r>
    </w:p>
    <w:p>
      <w:pPr>
        <w:spacing w:after="0" w:line="188" w:lineRule="exact"/>
        <w:rPr>
          <w:sz w:val="20"/>
          <w:szCs w:val="20"/>
          <w:color w:val="auto"/>
        </w:rPr>
      </w:pPr>
    </w:p>
    <w:p>
      <w:pPr>
        <w:ind w:left="1420" w:hanging="667"/>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540" w:firstLine="1941"/>
        <w:spacing w:after="0" w:line="286" w:lineRule="auto"/>
        <w:tabs>
          <w:tab w:leader="none" w:pos="2241"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The Corporation shall, upon the happening of the Series B Automatic Conversion Event, reserve and keep available out of its authorized but unissued stock, for the purposes of effecting the conversion of the Series B Convertible Preferred Stock, such number of its duly authorized and unissued shares of Common Stock as shall from time to time be sufficient to effect the conversion of all outstanding Series B Convertible Preferred Stock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xml:space="preserve">). The initial number of shares of Common Stock reserved for conversions of the Series B Convertible Preferred Stock and each increase in the number of shares so reserved shall be allocated pro rata among the Holders based on the number of shares of Series B Convertible Preferred Stock held by each Holder at the time of issuance of the Series B Convertible Preferred Stock or increase in the number of reserved shares, as the case may be (the </w:t>
      </w:r>
      <w:r>
        <w:rPr>
          <w:rFonts w:ascii="Arial" w:cs="Arial" w:eastAsia="Arial" w:hAnsi="Arial"/>
          <w:sz w:val="16"/>
          <w:szCs w:val="16"/>
          <w:b w:val="1"/>
          <w:bCs w:val="1"/>
          <w:color w:val="auto"/>
        </w:rPr>
        <w:t>“Authorized Share Allocation”)</w:t>
      </w:r>
      <w:r>
        <w:rPr>
          <w:rFonts w:ascii="Arial" w:cs="Arial" w:eastAsia="Arial" w:hAnsi="Arial"/>
          <w:sz w:val="16"/>
          <w:szCs w:val="16"/>
          <w:color w:val="auto"/>
        </w:rPr>
        <w:t>. In the event a Holder shall sell or otherwise transfer any of such Holder’s Series B Convertible Preferred Stock, each transferee shall be allocated a pro rata portion of the number of reserved shares of Common Stock reserved for such transferor. Any shares of Common Stock reserved and allocated to any Person which ceases to hold any Series B Convertible Preferred Stock (other than pursuant to a transfer of Series B Convertible Preferred Stock in accordance with the immediately preceding sentence) shall be allocated to the remaining Holders of Series B Convertible Preferred Stock, pro rata based on the number of shares of Series B Convertible Preferred Stock then held by such Holders. Before taking any action that would cause an adjustment reducing the Conversion Price below the then par value of the shares of Common Stock issuable upon conversion of the Series B Convertible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38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57" w:name="page158"/>
    <w:bookmarkEnd w:id="157"/>
    <w:p>
      <w:pPr>
        <w:jc w:val="both"/>
        <w:ind w:left="-20" w:firstLine="1953"/>
        <w:spacing w:after="0" w:line="270" w:lineRule="auto"/>
        <w:tabs>
          <w:tab w:leader="none" w:pos="2602"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7" w:lineRule="exact"/>
        <w:rPr>
          <w:rFonts w:ascii="Arial" w:cs="Arial" w:eastAsia="Arial" w:hAnsi="Arial"/>
          <w:sz w:val="17"/>
          <w:szCs w:val="17"/>
          <w:color w:val="auto"/>
        </w:rPr>
      </w:pPr>
    </w:p>
    <w:p>
      <w:pPr>
        <w:jc w:val="both"/>
        <w:ind w:left="-20" w:firstLine="1953"/>
        <w:spacing w:after="0" w:line="264" w:lineRule="auto"/>
        <w:tabs>
          <w:tab w:leader="none" w:pos="2703"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Record Holder</w:t>
      </w:r>
      <w:r>
        <w:rPr>
          <w:rFonts w:ascii="Arial" w:cs="Arial" w:eastAsia="Arial" w:hAnsi="Arial"/>
          <w:sz w:val="18"/>
          <w:szCs w:val="18"/>
          <w:color w:val="auto"/>
        </w:rPr>
        <w:t>. The Person or Persons entitled to receive the shares of Common Stock issuable upon a conversion of Series B Convertible Preferred Stock shall be treated for all purposes as the record holder or holders of such shares of Common Stock on the Conversion Date.</w:t>
      </w:r>
    </w:p>
    <w:p>
      <w:pPr>
        <w:spacing w:after="0" w:line="181" w:lineRule="exact"/>
        <w:rPr>
          <w:rFonts w:ascii="Arial" w:cs="Arial" w:eastAsia="Arial" w:hAnsi="Arial"/>
          <w:sz w:val="18"/>
          <w:szCs w:val="18"/>
          <w:color w:val="auto"/>
        </w:rPr>
      </w:pPr>
    </w:p>
    <w:p>
      <w:pPr>
        <w:jc w:val="both"/>
        <w:ind w:left="-20" w:firstLine="1953"/>
        <w:spacing w:after="0" w:line="273" w:lineRule="auto"/>
        <w:tabs>
          <w:tab w:leader="none" w:pos="2882"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Series B Convertible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6(c)(iii)(B), any shares of Series B Convertible Preferred Stock so converted shall be retired and canceled and shall not be reissued, and the Corporation may from time to time take such appropriate action as may be necessary to reduce the authorized Series B Convertible Preferred Stock accordingly.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8" w:name="page159"/>
    <w:bookmarkEnd w:id="158"/>
    <w:p>
      <w:pPr>
        <w:jc w:val="both"/>
        <w:ind w:left="-20" w:firstLine="1953"/>
        <w:spacing w:after="0" w:line="293" w:lineRule="auto"/>
        <w:tabs>
          <w:tab w:leader="none" w:pos="2652"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for shares of the Common Stock on conversion of this Series B Convertible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B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64" w:lineRule="exact"/>
        <w:rPr>
          <w:rFonts w:ascii="Arial" w:cs="Arial" w:eastAsia="Arial" w:hAnsi="Arial"/>
          <w:sz w:val="16"/>
          <w:szCs w:val="16"/>
          <w:color w:val="auto"/>
        </w:rPr>
      </w:pPr>
    </w:p>
    <w:p>
      <w:pPr>
        <w:ind w:left="1960" w:hanging="675"/>
        <w:spacing w:after="0"/>
        <w:tabs>
          <w:tab w:leader="none" w:pos="196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Anti-Dilution Provisions</w:t>
      </w:r>
      <w:r>
        <w:rPr>
          <w:rFonts w:ascii="Arial" w:cs="Arial" w:eastAsia="Arial" w:hAnsi="Arial"/>
          <w:sz w:val="16"/>
          <w:szCs w:val="16"/>
          <w:color w:val="auto"/>
        </w:rPr>
        <w:t>. The Conversion Price shall be subject to adjustment from time to time in accordance with this Section 7.</w:t>
      </w:r>
    </w:p>
    <w:p>
      <w:pPr>
        <w:spacing w:after="0" w:line="248" w:lineRule="exact"/>
        <w:rPr>
          <w:rFonts w:ascii="Arial" w:cs="Arial" w:eastAsia="Arial" w:hAnsi="Arial"/>
          <w:sz w:val="16"/>
          <w:szCs w:val="16"/>
          <w:color w:val="auto"/>
        </w:rPr>
      </w:pPr>
    </w:p>
    <w:p>
      <w:pPr>
        <w:ind w:left="2580" w:hanging="647"/>
        <w:spacing w:after="0"/>
        <w:tabs>
          <w:tab w:leader="none" w:pos="258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left="640" w:firstLine="1941"/>
        <w:spacing w:after="0" w:line="282" w:lineRule="auto"/>
        <w:tabs>
          <w:tab w:leader="none" w:pos="3313" w:val="left"/>
        </w:tabs>
        <w:numPr>
          <w:ilvl w:val="2"/>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“Convertible Securities” </w:t>
      </w:r>
      <w:r>
        <w:rPr>
          <w:rFonts w:ascii="Arial" w:cs="Arial" w:eastAsia="Arial" w:hAnsi="Arial"/>
          <w:sz w:val="18"/>
          <w:szCs w:val="18"/>
          <w:color w:val="auto"/>
        </w:rPr>
        <w:t>means any stock or securities (other than Options) directly or indirectly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into or exchangeable or exercisable for Common Stock.</w:t>
      </w:r>
    </w:p>
    <w:p>
      <w:pPr>
        <w:spacing w:after="0" w:line="161" w:lineRule="exact"/>
        <w:rPr>
          <w:rFonts w:ascii="Arial" w:cs="Arial" w:eastAsia="Arial" w:hAnsi="Arial"/>
          <w:sz w:val="18"/>
          <w:szCs w:val="18"/>
          <w:color w:val="auto"/>
        </w:rPr>
      </w:pPr>
    </w:p>
    <w:p>
      <w:pPr>
        <w:ind w:left="3320" w:hanging="739"/>
        <w:spacing w:after="0"/>
        <w:tabs>
          <w:tab w:leader="none" w:pos="3320" w:val="left"/>
        </w:tabs>
        <w:numPr>
          <w:ilvl w:val="2"/>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“Options” </w:t>
      </w:r>
      <w:r>
        <w:rPr>
          <w:rFonts w:ascii="Arial" w:cs="Arial" w:eastAsia="Arial" w:hAnsi="Arial"/>
          <w:sz w:val="16"/>
          <w:szCs w:val="16"/>
          <w:color w:val="auto"/>
        </w:rPr>
        <w:t>means any rights, warrants or options to subscribe for or purchase Common Stock or Convertible</w:t>
      </w:r>
    </w:p>
    <w:p>
      <w:pPr>
        <w:spacing w:after="0" w:line="5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06" w:lineRule="exact"/>
        <w:rPr>
          <w:rFonts w:ascii="Arial" w:cs="Arial" w:eastAsia="Arial" w:hAnsi="Arial"/>
          <w:sz w:val="16"/>
          <w:szCs w:val="16"/>
          <w:color w:val="auto"/>
        </w:rPr>
      </w:pPr>
    </w:p>
    <w:p>
      <w:pPr>
        <w:ind w:left="3220" w:hanging="639"/>
        <w:spacing w:after="0"/>
        <w:tabs>
          <w:tab w:leader="none" w:pos="3220" w:val="left"/>
        </w:tabs>
        <w:numPr>
          <w:ilvl w:val="2"/>
          <w:numId w:val="90"/>
        </w:numPr>
        <w:rPr>
          <w:rFonts w:ascii="Arial" w:cs="Arial" w:eastAsia="Arial" w:hAnsi="Arial"/>
          <w:sz w:val="16"/>
          <w:szCs w:val="16"/>
          <w:color w:val="auto"/>
        </w:rPr>
      </w:pPr>
      <w:r>
        <w:rPr>
          <w:rFonts w:ascii="Arial" w:cs="Arial" w:eastAsia="Arial" w:hAnsi="Arial"/>
          <w:sz w:val="16"/>
          <w:szCs w:val="16"/>
          <w:b w:val="1"/>
          <w:bCs w:val="1"/>
          <w:color w:val="auto"/>
        </w:rPr>
        <w:t xml:space="preserve">“Principal Market” </w:t>
      </w:r>
      <w:r>
        <w:rPr>
          <w:rFonts w:ascii="Arial" w:cs="Arial" w:eastAsia="Arial" w:hAnsi="Arial"/>
          <w:sz w:val="16"/>
          <w:szCs w:val="16"/>
          <w:color w:val="auto"/>
        </w:rPr>
        <w:t>means the Eligible Market that is the principal securities exchange market for the Common</w:t>
      </w:r>
    </w:p>
    <w:p>
      <w:pPr>
        <w:spacing w:after="0" w:line="5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210" w:lineRule="exact"/>
        <w:rPr>
          <w:rFonts w:ascii="Arial" w:cs="Arial" w:eastAsia="Arial" w:hAnsi="Arial"/>
          <w:sz w:val="16"/>
          <w:szCs w:val="16"/>
          <w:color w:val="auto"/>
        </w:rPr>
      </w:pPr>
    </w:p>
    <w:p>
      <w:pPr>
        <w:jc w:val="both"/>
        <w:ind w:left="-20" w:firstLine="1953"/>
        <w:spacing w:after="0" w:line="276" w:lineRule="auto"/>
        <w:tabs>
          <w:tab w:leader="none" w:pos="2585"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172" w:lineRule="exact"/>
        <w:rPr>
          <w:rFonts w:ascii="Arial" w:cs="Arial" w:eastAsia="Arial" w:hAnsi="Arial"/>
          <w:sz w:val="17"/>
          <w:szCs w:val="17"/>
          <w:color w:val="auto"/>
        </w:rPr>
      </w:pPr>
    </w:p>
    <w:p>
      <w:pPr>
        <w:ind w:left="2580" w:hanging="647"/>
        <w:spacing w:after="0"/>
        <w:tabs>
          <w:tab w:leader="none" w:pos="258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1941"/>
        <w:spacing w:after="0" w:line="259" w:lineRule="auto"/>
        <w:tabs>
          <w:tab w:leader="none" w:pos="3218" w:val="left"/>
        </w:tabs>
        <w:numPr>
          <w:ilvl w:val="2"/>
          <w:numId w:val="90"/>
        </w:numPr>
        <w:rPr>
          <w:rFonts w:ascii="Arial" w:cs="Arial" w:eastAsia="Arial" w:hAnsi="Arial"/>
          <w:sz w:val="18"/>
          <w:szCs w:val="18"/>
          <w:color w:val="auto"/>
        </w:rPr>
      </w:pPr>
      <w:r>
        <w:rPr>
          <w:rFonts w:ascii="Arial" w:cs="Arial" w:eastAsia="Arial" w:hAnsi="Arial"/>
          <w:sz w:val="18"/>
          <w:szCs w:val="18"/>
          <w:color w:val="auto"/>
        </w:rPr>
        <w:t>Immediately upon any adjustment of the Conversion Rate and Conversion Price pursuant to Section 7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6(e).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59" w:name="page160"/>
    <w:bookmarkEnd w:id="159"/>
    <w:p>
      <w:pPr>
        <w:jc w:val="both"/>
        <w:ind w:left="640" w:firstLine="1941"/>
        <w:spacing w:after="0" w:line="259" w:lineRule="auto"/>
        <w:tabs>
          <w:tab w:leader="none" w:pos="3331"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 (III) for determining rights to vote with respect to any Twenty Percent Issuance, any Fundamental Transaction or any Liquidation Event.</w:t>
      </w:r>
    </w:p>
    <w:p>
      <w:pPr>
        <w:spacing w:after="0" w:line="186" w:lineRule="exact"/>
        <w:rPr>
          <w:rFonts w:ascii="Arial" w:cs="Arial" w:eastAsia="Arial" w:hAnsi="Arial"/>
          <w:sz w:val="18"/>
          <w:szCs w:val="18"/>
          <w:color w:val="auto"/>
        </w:rPr>
      </w:pPr>
    </w:p>
    <w:p>
      <w:pPr>
        <w:ind w:left="640" w:right="20" w:firstLine="1941"/>
        <w:spacing w:after="0" w:line="277" w:lineRule="auto"/>
        <w:tabs>
          <w:tab w:leader="none" w:pos="32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Corporation will also give written notice to each Holder at least ten (10) Business Days prior to the date on which any Twenty Percent Issuance, any Fundamental Transaction or any Liquidation Event will take place.</w:t>
      </w:r>
    </w:p>
    <w:p>
      <w:pPr>
        <w:spacing w:after="0" w:line="170" w:lineRule="exact"/>
        <w:rPr>
          <w:rFonts w:ascii="Arial" w:cs="Arial" w:eastAsia="Arial" w:hAnsi="Arial"/>
          <w:sz w:val="18"/>
          <w:szCs w:val="18"/>
          <w:color w:val="auto"/>
        </w:rPr>
      </w:pPr>
    </w:p>
    <w:p>
      <w:pPr>
        <w:ind w:left="-20" w:firstLine="1305"/>
        <w:spacing w:after="0" w:line="277" w:lineRule="auto"/>
        <w:tabs>
          <w:tab w:leader="none" w:pos="190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B Convertible Preferred Stock shall be converted pursuant to Section 6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20" w:firstLine="1305"/>
        <w:spacing w:after="0" w:line="255" w:lineRule="auto"/>
        <w:tabs>
          <w:tab w:leader="none" w:pos="2041"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B Convertible Preferred Stock Certificates representing the Series B Convertible Preferred Stock, and, in the case of loss, theft or destruction, of an indemnification undertaking (with surety, if reasonably requested by the Corporation) by the holder thereof to the Corporation in customary form and, in the case of mutilation, upon surrender and cancellation of the Series B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B Convertible Preferred Stock into Common Stock.</w:t>
      </w:r>
    </w:p>
    <w:p>
      <w:pPr>
        <w:spacing w:after="0" w:line="189" w:lineRule="exact"/>
        <w:rPr>
          <w:rFonts w:ascii="Arial" w:cs="Arial" w:eastAsia="Arial" w:hAnsi="Arial"/>
          <w:sz w:val="18"/>
          <w:szCs w:val="18"/>
          <w:color w:val="auto"/>
        </w:rPr>
      </w:pPr>
    </w:p>
    <w:p>
      <w:pPr>
        <w:jc w:val="both"/>
        <w:ind w:left="-20" w:firstLine="1305"/>
        <w:spacing w:after="0" w:line="287" w:lineRule="auto"/>
        <w:tabs>
          <w:tab w:leader="none" w:pos="209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B Convertible Preferred Stock’s right to pursue actual damages for any failure by the Corporation to comply with the terms of this Certificate of Designation. The Corporation covenants to each holder of Series B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B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B Convertible Preferred Stock and that the remedy at law for any such breach may be inadequate. The Corporation therefore agrees that, in the event of any such breach or threatened breach, the holders of Series B Convertible Preferred Stock shall be entitled, in addition to all other available remedies, to an injunction restraining any breach, without the necessity of showing economic loss and without any bond or other security being required.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0" w:name="page161"/>
    <w:bookmarkEnd w:id="160"/>
    <w:p>
      <w:pPr>
        <w:jc w:val="both"/>
        <w:ind w:left="-20" w:right="20" w:firstLine="1305"/>
        <w:spacing w:after="0" w:line="264" w:lineRule="auto"/>
        <w:tabs>
          <w:tab w:leader="none" w:pos="19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hereunder, unless otherwise provided herein, such notice shall be given in accordance with contact information provided by each Holder to the Corporation and set forth in the register for the Series B Convertible Preferred Stock maintained by the Corporation as set forth in Section 14.</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202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B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90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Transfer of Series B Convertible Preferred Stock</w:t>
      </w:r>
      <w:r>
        <w:rPr>
          <w:rFonts w:ascii="Arial" w:cs="Arial" w:eastAsia="Arial" w:hAnsi="Arial"/>
          <w:sz w:val="18"/>
          <w:szCs w:val="18"/>
          <w:color w:val="auto"/>
        </w:rPr>
        <w:t xml:space="preserve">. A Holder may assign some or all of the Series B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1" w:lineRule="exact"/>
        <w:rPr>
          <w:rFonts w:ascii="Arial" w:cs="Arial" w:eastAsia="Arial" w:hAnsi="Arial"/>
          <w:sz w:val="18"/>
          <w:szCs w:val="18"/>
          <w:color w:val="auto"/>
        </w:rPr>
      </w:pPr>
    </w:p>
    <w:p>
      <w:pPr>
        <w:jc w:val="both"/>
        <w:ind w:left="-20" w:firstLine="1305"/>
        <w:spacing w:after="0" w:line="297" w:lineRule="auto"/>
        <w:tabs>
          <w:tab w:leader="none" w:pos="205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Series B Convertible Preferred Stock Register</w:t>
      </w:r>
      <w:r>
        <w:rPr>
          <w:rFonts w:ascii="Arial" w:cs="Arial" w:eastAsia="Arial" w:hAnsi="Arial"/>
          <w:sz w:val="16"/>
          <w:szCs w:val="16"/>
          <w:color w:val="auto"/>
        </w:rPr>
        <w:t>. The Corporation shall maintain at its principal executive offices (or such other office or agency of the Corporation as it may designate by notice to the Holders), a register for the Series B Convertible Preferred Stock, in which the Corporation shall record the name and address of the persons in whose name the Series B Convertible Preferred Stock have been issued, as well as the name and address of each transferee. The Corporation may treat the person in whose name any Series B Convertible Preferred Stock is registered on the register as the owner and holder thereof for all purposes, notwithstanding any notice to the contrary, but in all events recognizing any properly made transfers.</w:t>
      </w:r>
    </w:p>
    <w:p>
      <w:pPr>
        <w:spacing w:after="0" w:line="158" w:lineRule="exact"/>
        <w:rPr>
          <w:rFonts w:ascii="Arial" w:cs="Arial" w:eastAsia="Arial" w:hAnsi="Arial"/>
          <w:sz w:val="16"/>
          <w:szCs w:val="16"/>
          <w:color w:val="auto"/>
        </w:rPr>
      </w:pPr>
    </w:p>
    <w:p>
      <w:pPr>
        <w:jc w:val="both"/>
        <w:ind w:left="-20" w:firstLine="1305"/>
        <w:spacing w:after="0" w:line="255" w:lineRule="auto"/>
        <w:tabs>
          <w:tab w:leader="none" w:pos="213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 Any stockholder action, approval or consent required, desired or otherwise sought by the Corporation pursuant to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 this Certificate of Designation or otherwise with respect to the issuance of the Series B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193" w:lineRule="exact"/>
        <w:rPr>
          <w:rFonts w:ascii="Arial" w:cs="Arial" w:eastAsia="Arial" w:hAnsi="Arial"/>
          <w:sz w:val="18"/>
          <w:szCs w:val="18"/>
          <w:color w:val="auto"/>
        </w:rPr>
      </w:pPr>
    </w:p>
    <w:p>
      <w:pPr>
        <w:jc w:val="both"/>
        <w:ind w:left="-20" w:firstLine="1305"/>
        <w:spacing w:after="0" w:line="264" w:lineRule="auto"/>
        <w:tabs>
          <w:tab w:leader="none" w:pos="2109"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B Convertible Preferred Stock, such Series B Convertible Preferred Stock shall be subject to and be entitled to the benefit of the provisions set forth in the Certificate of Incorporation of the Corporation with respect to preferred stock of the Corporation generally.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1" w:name="page162"/>
    <w:bookmarkEnd w:id="161"/>
    <w:p>
      <w:pPr>
        <w:jc w:val="both"/>
        <w:ind w:firstLine="1305"/>
        <w:spacing w:after="0" w:line="255" w:lineRule="auto"/>
        <w:tabs>
          <w:tab w:leader="none" w:pos="219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Corporation of any notice in accordance with the terms of this Certificate of Designation,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7"/>
          <w:szCs w:val="17"/>
          <w:color w:val="auto"/>
        </w:rPr>
        <w:t>IN WITNESS WHEREOF, the Corporation has caused this Certificate of Designation to be signed by the undersigned this 15th day of October,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The undersigned hereby elects to convert the number of shares of Series B Convertible Preferred Stock, par value $0.01 per share (the </w:t>
      </w:r>
      <w:r>
        <w:rPr>
          <w:rFonts w:ascii="Arial" w:cs="Arial" w:eastAsia="Arial" w:hAnsi="Arial"/>
          <w:sz w:val="18"/>
          <w:szCs w:val="18"/>
          <w:b w:val="1"/>
          <w:bCs w:val="1"/>
          <w:color w:val="auto"/>
        </w:rPr>
        <w:t>“Series B Convertible Preferred Stock”</w:t>
      </w:r>
      <w:r>
        <w:rPr>
          <w:rFonts w:ascii="Arial" w:cs="Arial" w:eastAsia="Arial" w:hAnsi="Arial"/>
          <w:sz w:val="18"/>
          <w:szCs w:val="18"/>
          <w:color w:val="auto"/>
        </w:rPr>
        <w:t>), of Vringo, Inc., a Delaware corporation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 indicated below into shares of Common Stock, par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551434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B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6930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B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6930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49136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14605</wp:posOffset>
            </wp:positionV>
            <wp:extent cx="46310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14605</wp:posOffset>
            </wp:positionV>
            <wp:extent cx="5651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4">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38334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1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Please issue the Common Stock into which the Series B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160655</wp:posOffset>
            </wp:positionV>
            <wp:extent cx="37820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extLst>
                        <a:ext uri="{28A0092B-C50C-407E-A947-70E740481C1C}"/>
                      </a:extLst>
                    </a:blip>
                    <a:srcRect/>
                    <a:stretch>
                      <a:fillRect/>
                    </a:stretch>
                  </pic:blipFill>
                  <pic:spPr bwMode="auto">
                    <a:xfrm>
                      <a:off x="0" y="0"/>
                      <a:ext cx="378206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37820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37388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31299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31730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14605</wp:posOffset>
            </wp:positionV>
            <wp:extent cx="34302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-130810</wp:posOffset>
            </wp:positionV>
            <wp:extent cx="40817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14605</wp:posOffset>
            </wp:positionV>
            <wp:extent cx="39960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14605</wp:posOffset>
            </wp:positionV>
            <wp:extent cx="36963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1559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 (the “Corporation”), does hereby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VRINGO, INC.</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original Certificate of Incorporation of the Corporation was filed with the Secretary of State of the State of Delaware on January 9, 2006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 “Board”), acting in accordance with the provisions of Sections 141 and 242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of the State of Delaware (the “DGCL”), adopted resolutions amending the Corporation’s Amended and Restated Certificate of Incorporation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Article Fourth of the Corporation’s Amended and Restated Certificate of Incorporation is hereby amended by adding the following Sections (3), (4) and (5):</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“(3) Reverse Stock Split. Upon the effectiveness of this Certificate of Amendment of the Amended and Restated Certificate of Incorporation of the Corporation,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ten (10) shares of the Corporation’s issued and outstanding Common Stock immediately prior to the Effective Time are reclassified into one (1)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78" w:lineRule="exact"/>
        <w:rPr>
          <w:sz w:val="20"/>
          <w:szCs w:val="20"/>
          <w:color w:val="auto"/>
        </w:rPr>
      </w:pPr>
    </w:p>
    <w:p>
      <w:pPr>
        <w:jc w:val="both"/>
        <w:ind w:firstLine="8"/>
        <w:spacing w:after="0" w:line="271" w:lineRule="auto"/>
        <w:tabs>
          <w:tab w:leader="none" w:pos="255" w:val="left"/>
        </w:tabs>
        <w:numPr>
          <w:ilvl w:val="0"/>
          <w:numId w:val="95"/>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122555</wp:posOffset>
            </wp:positionV>
            <wp:extent cx="1749425" cy="8578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174942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 xml:space="preserve">(5) This Certificate of Amendment shall be effective on November 27, 2015 at 05:00 p.m., Eastern time (the </w:t>
      </w:r>
      <w:r>
        <w:rPr>
          <w:rFonts w:ascii="Arial" w:cs="Arial" w:eastAsia="Arial" w:hAnsi="Arial"/>
          <w:sz w:val="18"/>
          <w:szCs w:val="18"/>
          <w:b w:val="1"/>
          <w:bCs w:val="1"/>
          <w:color w:val="auto"/>
        </w:rPr>
        <w:t>“Effective Time”).”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 of the Corporation for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and was duly adopted in accordance with the provisions of Sections 222 and 242 of the DGCL.</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Anastasia Nyrkovskaya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Treasurer as of the 24th day of November, 2015.</w:t>
      </w:r>
    </w:p>
    <w:p>
      <w:pPr>
        <w:spacing w:after="0" w:line="16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5620385</wp:posOffset>
            </wp:positionH>
            <wp:positionV relativeFrom="page">
              <wp:posOffset>586105</wp:posOffset>
            </wp:positionV>
            <wp:extent cx="1758315" cy="8661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75831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do hereby certify that the following resolution was duly adopted by the Board of Directors of Vringo, Inc., a Delaware corporation (the “Company”), on March 18, 2016:</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RESOLVED, that pursuant to the authority vested in the board of directors of the Company (the “Board of Directors”) by the Company’s Amended and Restated Certificate of Incorporation, as amended (the “Certificate of Incorporation”), the Board of Directors does hereby create, authorize and provide for the issue of a series of Preferred Stock, par value $0.01 per share, of the Company, to be designated “Series C Junior Participating Preferred Stock”, initially consisting of 300,000 shares, and to the extent that the designations, powers, preferences and relative and other special rights and the qualifications, limitations or restrictions of the Series C Junior Participating Preferred Stock are not stated and expressed in the Certificate of Incorporation, does hereby fix and herein state and express such designations, powers, preferences and relative and other special rights and the qualifications, limitations and restrictions thereof, as follows (all terms used herein which are defined in the Certificate of Incorporation shall be deemed to have the meanings provided therein):</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There shall be a series of Preferred Stock that shall be designated as “Series C Junior Participating Preferred Stock,” and the number of shares constituting such series shall be 300,000. Such number of shares may be increased or decreased by resolution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no decrease shall reduce the number of shares of Series C Junior Participating Preferred Stock to less than the number of shares then issued and outstanding plus the number of shares issuable upon exercise of outstanding rights, options or warrants or upon conversion of outstanding securities issued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7" w:name="page168"/>
    <w:bookmarkEnd w:id="167"/>
    <w:p>
      <w:pPr>
        <w:jc w:val="both"/>
        <w:ind w:firstLine="648"/>
        <w:spacing w:after="0" w:line="284" w:lineRule="auto"/>
        <w:rPr>
          <w:sz w:val="20"/>
          <w:szCs w:val="20"/>
          <w:color w:val="auto"/>
        </w:rPr>
      </w:pPr>
      <w:r>
        <w:rPr>
          <w:rFonts w:ascii="Arial" w:cs="Arial" w:eastAsia="Arial" w:hAnsi="Arial"/>
          <w:sz w:val="16"/>
          <w:szCs w:val="16"/>
          <w:color w:val="auto"/>
        </w:rPr>
        <w:t>SECTION 2</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Dividends or Distributions.</w:t>
      </w:r>
      <w:r>
        <w:rPr>
          <w:rFonts w:ascii="Arial" w:cs="Arial" w:eastAsia="Arial" w:hAnsi="Arial"/>
          <w:sz w:val="16"/>
          <w:szCs w:val="16"/>
          <w:color w:val="auto"/>
        </w:rPr>
        <w:t xml:space="preserve"> (a) Subject to the superior rights of the holders of shares of any other series of preferred stock of the Company or other class of capital stock of the Company ranking superior to the shares of Series C Junior Participating Preferred Stock with respect to dividends, the holders of shares of Series C Junior Participating Preferred Stock shall be entitled to receive, when, as and if declared by the Board, out of the assets of the Company legally available therefor, (1) quarterly dividends payable in cash on the last day of each fiscal quarter in each year, or such other dates as the Board shall approve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a fraction of a share of Series C Junior Participating Preferred Stock, in the amount of $10.00 per whole share (rounded to the nearest cent) less the amount of all cash dividends declared on the Series C Junior Participating Preferred Stock pursuant to the following clause (2) since the immediately preceding Quarterly Dividend Payment Date or, with respect to the first Quarterly Dividend Payment Date, since the first issuance of any share or fraction of a share of Series C Junior Participating Preferred Stock (the total of which shall not, in any event, be less than zero) and (2) dividends payable in cash on the payment date for each cash dividend declared on the shares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in an amount per whole share (rounded to the nearest cent) equal to the Formula Number (as hereinafter defined) then in effect times the cash dividends then to be paid on each share of Common Stock. In addition, if the Company shall pay any dividend or make any distribution on the Common Stock payable in assets, securities or other forms of noncash consideration (other than dividends or distributions solely in shares of Common Stock), then, in each such case, the Company shall simultaneously pay or make on each outstanding whole share of Series C Junior Participating Preferred Stock a dividend or distribution in like kind equal to the Formula Number then in effect times such dividend or distribution on each share of Common Stock. As used herein, the “</w:t>
      </w:r>
      <w:r>
        <w:rPr>
          <w:rFonts w:ascii="Arial" w:cs="Arial" w:eastAsia="Arial" w:hAnsi="Arial"/>
          <w:sz w:val="16"/>
          <w:szCs w:val="16"/>
          <w:u w:val="single" w:color="auto"/>
          <w:color w:val="auto"/>
        </w:rPr>
        <w:t>Formula Number</w:t>
      </w:r>
      <w:r>
        <w:rPr>
          <w:rFonts w:ascii="Arial" w:cs="Arial" w:eastAsia="Arial" w:hAnsi="Arial"/>
          <w:sz w:val="16"/>
          <w:szCs w:val="16"/>
          <w:color w:val="auto"/>
        </w:rPr>
        <w:t xml:space="preserve">” shall be 1,000;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at any time after March 18, 2016, the Company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at any time after March 18, 2016, the Company shall issue any shares of its capital stock in a merger, reclassification, or change of the outstanding shares of Common Stock, then in each such event the Formula Number shall be appropriately adjusted to reflect such merger, reclassification or change so that each share of Series C Junior Participating Preferred Stock continues to be the economic equivalent of a Formula Number of shares of Common Stock prior to such merger, reclassification or change.</w:t>
      </w:r>
    </w:p>
    <w:p>
      <w:pPr>
        <w:spacing w:after="0" w:line="391" w:lineRule="exact"/>
        <w:rPr>
          <w:sz w:val="20"/>
          <w:szCs w:val="20"/>
          <w:color w:val="auto"/>
        </w:rPr>
      </w:pPr>
    </w:p>
    <w:p>
      <w:pPr>
        <w:jc w:val="both"/>
        <w:ind w:firstLine="1305"/>
        <w:spacing w:after="0" w:line="290" w:lineRule="auto"/>
        <w:tabs>
          <w:tab w:leader="none" w:pos="2073"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The Company shall declare a cash dividend on the Series C Junior Participating Preferred Stock as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Section 2(a)(2) immediately prior to or at the same time it declares a cash dividend on the Common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in the event no cash dividend shall have been declared on the Common Stock during the period between any Quarterly Dividend Payment Date and the next subsequent Quarterly Dividend Payment Date or, with respect to the first Quarterly Dividend Payment Date, during the period between the first issuance of any share or fraction of a share of Series C Junior Participating Preferred Stock, a dividend of $10.00 per whole share on the Series C Junior Participating Preferred Stock shall nevertheless accrue on such subsequent Quarterly Dividend Payment Date or the first Quarterly Dividend Payment Date, as the case may be. The Board may fix a record date for the determination of holders of shares of Series C Junior Participating Preferred Stock entitled to receive a dividend or distribution declared thereon, which record date shall be the same as the record date for any corresponding dividend or distribution on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jc w:val="both"/>
        <w:ind w:firstLine="1305"/>
        <w:spacing w:after="0" w:line="253" w:lineRule="auto"/>
        <w:tabs>
          <w:tab w:leader="none" w:pos="198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Whether or not declared, dividends shall begin to accrue and be cumulative on outstanding shares of Series C Junior Participating Preferred Stock from and after the Quarterly Dividend Payment Date next preceding the date of issue of such shares, unless the date of issue of such shares is prior to the record date for the first Quarterly Dividend Payment Date, in which case dividends on such shares shall begin to accrue and be cumulative from and after the date of issue of such shares, or unless the date of issue is a Quarterly Dividend Payment Date or is a date after the record date for the determination of holders of shares of Series C Junior Participating Preferred Stock entitled to receive a quarterly dividend and before such Quarterly Dividend Payment Date, in either of which events such dividends shall begin to accrue and be cumulative from and after such Quarterly Dividend Payment Date. Accrued but unpaid dividends shall not bear interest. Dividends paid on the shares of Series C Junior Participating Preferred Stock in an amount less than the total amount of such dividends at the time accrued and payable on such shares shall be allocated pro rata on a share-by-share basis among all such shares at the time outstanding.</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983"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 long as any shares of Series C Junior Participating Preferred Stock are outstanding, no dividends or other distributions shall be declared, paid or distributed, or set aside for payment or distribution, on the Common Stock unless, in each case, the dividend required by this Section 2 to be declared on the Series C Junior Participating Preferred Stock shall have been declared and set aside.</w:t>
      </w:r>
    </w:p>
    <w:p>
      <w:pPr>
        <w:spacing w:after="0" w:line="181" w:lineRule="exact"/>
        <w:rPr>
          <w:rFonts w:ascii="Arial" w:cs="Arial" w:eastAsia="Arial" w:hAnsi="Arial"/>
          <w:sz w:val="18"/>
          <w:szCs w:val="18"/>
          <w:color w:val="auto"/>
        </w:rPr>
      </w:pPr>
    </w:p>
    <w:p>
      <w:pPr>
        <w:ind w:right="20" w:firstLine="1305"/>
        <w:spacing w:after="0" w:line="277" w:lineRule="auto"/>
        <w:tabs>
          <w:tab w:leader="none" w:pos="213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holders of shares of Series C Junior Participating Preferred Stock shall not be entitled to receive any dividends or other distributions except as herein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The holders of shares of Series C Junior Participating Preferred Stock, in addition to the voting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by law, shall have the following voting rights:</w:t>
      </w:r>
    </w:p>
    <w:p>
      <w:pPr>
        <w:spacing w:after="0" w:line="170" w:lineRule="exact"/>
        <w:rPr>
          <w:sz w:val="20"/>
          <w:szCs w:val="20"/>
          <w:color w:val="auto"/>
        </w:rPr>
      </w:pPr>
    </w:p>
    <w:p>
      <w:pPr>
        <w:jc w:val="both"/>
        <w:ind w:firstLine="1305"/>
        <w:spacing w:after="0" w:line="302" w:lineRule="auto"/>
        <w:tabs>
          <w:tab w:leader="none" w:pos="1946"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holder of Series C Junior Participating Preferred Stock shall be entitled to a number of votes on each matter on which holders of the Common Stock or stockholders generally are entitled to vote equal to the Formula Number then in effect, for each share of Series C Junior Participating Preferred Stock held of record, multiplied by the maximum number of votes per share which any holder of Common Stock or stockholders generally then have with respect to such matter (assuming, if applicable, any holding period or other requirement to exercise such maximum voting rights is satisfied).</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2051"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Except as otherwise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or by applicable law, the holders of shares of Series C Junior Participating Preferred Stock and the holders of shares of Common Stock shall vote together as one class for the election of directors of the Company and on all other matters submitted to a vote of stockholders of the Company.</w:t>
      </w:r>
    </w:p>
    <w:p>
      <w:pPr>
        <w:spacing w:after="0" w:line="181" w:lineRule="exact"/>
        <w:rPr>
          <w:rFonts w:ascii="Arial" w:cs="Arial" w:eastAsia="Arial" w:hAnsi="Arial"/>
          <w:sz w:val="18"/>
          <w:szCs w:val="18"/>
          <w:color w:val="auto"/>
        </w:rPr>
      </w:pPr>
    </w:p>
    <w:p>
      <w:pPr>
        <w:ind w:left="2040" w:hanging="735"/>
        <w:spacing w:after="0"/>
        <w:tabs>
          <w:tab w:leader="none" w:pos="20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Except as otherwise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or by applicable law, holders of Series C Junior Participating Preferred Stock shall have no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voting rights.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Certain Restrictions.</w:t>
      </w:r>
      <w:r>
        <w:rPr>
          <w:rFonts w:ascii="Arial" w:cs="Arial" w:eastAsia="Arial" w:hAnsi="Arial"/>
          <w:sz w:val="17"/>
          <w:szCs w:val="17"/>
          <w:color w:val="auto"/>
        </w:rPr>
        <w:t xml:space="preserve"> (a) Whenever quarterly dividends or other dividends or distributions on the Series C Junior Participating Preferred Stock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Section 2 are in arrears, thereafter and until all accrued and unpaid dividends and distributions, whether or not declared, on shares of Series C Junior Participating Preferred Stock outstanding shall have been paid in full, the Company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9" w:name="page170"/>
    <w:bookmarkEnd w:id="169"/>
    <w:p>
      <w:pPr>
        <w:ind w:firstLine="1305"/>
        <w:spacing w:after="0" w:line="342" w:lineRule="auto"/>
        <w:tabs>
          <w:tab w:leader="none" w:pos="2038" w:val="left"/>
        </w:tabs>
        <w:numPr>
          <w:ilvl w:val="0"/>
          <w:numId w:val="99"/>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C Junior Participating Preferred Stock:</w:t>
      </w:r>
    </w:p>
    <w:p>
      <w:pPr>
        <w:spacing w:after="0" w:line="123" w:lineRule="exact"/>
        <w:rPr>
          <w:rFonts w:ascii="Arial" w:cs="Arial" w:eastAsia="Arial" w:hAnsi="Arial"/>
          <w:sz w:val="16"/>
          <w:szCs w:val="16"/>
          <w:color w:val="auto"/>
        </w:rPr>
      </w:pPr>
    </w:p>
    <w:p>
      <w:pPr>
        <w:jc w:val="both"/>
        <w:ind w:firstLine="1305"/>
        <w:spacing w:after="0" w:line="259" w:lineRule="auto"/>
        <w:tabs>
          <w:tab w:leader="none" w:pos="2002"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C Junior Participating Preferred Stock, except dividends paid ratably on the Series C Junior Participating. Preferred Stock and all such parity stock on which dividends are payable or in arrears in proportion to the total amounts to which the holders of all such shares are then entitled;</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1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redeem or purchase or otherwise acquire for consideration shares of any stock ranking on a parity (either as to dividends or upon liquidation, dissolution or winding up) with the Series C Junior Participating Preferred Stock;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may at any time redeem, purchase or otherwise acquire shares of any such parity stock in exchange for shares of any stock of the Company ranking junior (either as to dividends or upon dissolution, liquidation or winding up) to the Series C Junior Participating Preferred Stock; or</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1957" w:val="left"/>
        </w:tabs>
        <w:numPr>
          <w:ilvl w:val="0"/>
          <w:numId w:val="99"/>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C Junior Participating Preferred Stock, or any shares of stock ranking on a parity with the Series C Junior Participating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8" w:lineRule="exact"/>
        <w:rPr>
          <w:sz w:val="20"/>
          <w:szCs w:val="20"/>
          <w:color w:val="auto"/>
        </w:rPr>
      </w:pPr>
    </w:p>
    <w:p>
      <w:pPr>
        <w:ind w:right="20" w:firstLine="1305"/>
        <w:spacing w:after="0" w:line="308" w:lineRule="auto"/>
        <w:tabs>
          <w:tab w:leader="none" w:pos="202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the Company, whether voluntary or involuntary, no distribution shall be made (1) to the holders of any shares of stock ranking junior (either as to dividends or upon liquidation, dissolution or winding up) to the Series C Junior Participating Preferred Stock unless, prior thereto, the holders of shares of Series C Junior Participating Preferred Stock shall have received an amount equal to the accrued and unpaid dividends and distributions thereon, whether or not declared, to the date of such payment, plus an amount equal to the greater of (x) $1,000 per whole share or (y) an aggregate amount per share equal to the Formula Number then in effect times the aggregate amount to be distributed per share to holders of Common Stock or (2) to the holders of any shares of stock ranking on a parity (either as to dividends or upon liquidation, dissolution or winding up) with the Series C Junior Participating Preferred Stock, except distributions made ratably on the Series C Junior Participating Preferred Stock and all other such parity stock in proportion to the total amounts to which the holders of all such shares are entitled upon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0" w:name="page171"/>
    <w:bookmarkEnd w:id="170"/>
    <w:p>
      <w:pPr>
        <w:jc w:val="both"/>
        <w:ind w:firstLine="64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Consolidation, Merger, etc</w:t>
      </w:r>
      <w:r>
        <w:rPr>
          <w:rFonts w:ascii="Arial" w:cs="Arial" w:eastAsia="Arial" w:hAnsi="Arial"/>
          <w:sz w:val="18"/>
          <w:szCs w:val="18"/>
          <w:color w:val="auto"/>
        </w:rPr>
        <w:t>. In case the Company shall enter into any consolidation, merger, combination or other transaction in which the shares of Common Stock are exchanged for or changed into other stock or securities, cash or any other property, then in any such case the then outstanding shares of Series C Junior Participating Preferred Stock shall at the same time be similarly exchanged or changed into an amount per share equal to the Formula Number then in effect times the aggregate amount of stock, securities, cash or any other property (payable in kind), as the case may be, into which or for which each share of Common Stock is exchanged or changed. In the event both this Section 6 and Section 2 appear to apply to a transaction, this Section 6 will control.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 Redemption; No Sinking Fund</w:t>
      </w:r>
      <w:r>
        <w:rPr>
          <w:rFonts w:ascii="Arial" w:cs="Arial" w:eastAsia="Arial" w:hAnsi="Arial"/>
          <w:sz w:val="18"/>
          <w:szCs w:val="18"/>
          <w:color w:val="auto"/>
        </w:rPr>
        <w:t xml:space="preserve">, (a) The shares of Series C Junior Participating Preferred Stock shall not be subject to redemption by the Company or at the option of any holder of Series C Junior Participating Preferred Stock;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subject to Section 4(a) (iv), the Company may purchase or otherwise acquire outstanding shares of Series C Junior Participating Preferred Stock in the open market or by offer to any holder or holders of shares of Series C Junior Participating Preferred Stock.</w:t>
      </w:r>
    </w:p>
    <w:p>
      <w:pPr>
        <w:spacing w:after="0" w:line="187" w:lineRule="exact"/>
        <w:rPr>
          <w:sz w:val="20"/>
          <w:szCs w:val="20"/>
          <w:color w:val="auto"/>
        </w:rPr>
      </w:pPr>
    </w:p>
    <w:p>
      <w:pPr>
        <w:ind w:left="2100" w:hanging="795"/>
        <w:spacing w:after="0"/>
        <w:tabs>
          <w:tab w:leader="none" w:pos="21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shares of Series C Junior Participating Preferred Stock shall not be subject to or entitled to the operation of a retirement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sinking fund.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 Purchase Fund</w:t>
      </w:r>
      <w:r>
        <w:rPr>
          <w:rFonts w:ascii="Arial" w:cs="Arial" w:eastAsia="Arial" w:hAnsi="Arial"/>
          <w:sz w:val="18"/>
          <w:szCs w:val="18"/>
          <w:color w:val="auto"/>
        </w:rPr>
        <w:t>. The shares of Series C Junior Participating Preferred Stock shall not be subject to or entitled to the operation of a purchase fund.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Conversion; No Exchange</w:t>
      </w:r>
      <w:r>
        <w:rPr>
          <w:rFonts w:ascii="Arial" w:cs="Arial" w:eastAsia="Arial" w:hAnsi="Arial"/>
          <w:sz w:val="18"/>
          <w:szCs w:val="18"/>
          <w:color w:val="auto"/>
        </w:rPr>
        <w:t>. The shares of Series C Junior Participating Preferred Stock shall not be convertible into, or exchangeable for, shares of any other class or series.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Ranking</w:t>
      </w:r>
      <w:r>
        <w:rPr>
          <w:rFonts w:ascii="Arial" w:cs="Arial" w:eastAsia="Arial" w:hAnsi="Arial"/>
          <w:sz w:val="18"/>
          <w:szCs w:val="18"/>
          <w:color w:val="auto"/>
        </w:rPr>
        <w:t>. The Series C Junior Participating Preferred Stock shall rank junior to all other series of preferred stock of the Company unless the Board shall specifically determine otherwise in fixing the powers, preferences and relative, participating, optional and other special rights of the shares of such series and the qualifications, limitations and restrictions thereof.</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Fractional Shares</w:t>
      </w:r>
      <w:r>
        <w:rPr>
          <w:rFonts w:ascii="Arial" w:cs="Arial" w:eastAsia="Arial" w:hAnsi="Arial"/>
          <w:sz w:val="17"/>
          <w:szCs w:val="17"/>
          <w:color w:val="auto"/>
        </w:rPr>
        <w:t xml:space="preserve">. The Series C Junior Participating Preferred Stock shall be issuable upon exercise of the Rights issued pursuant to the Rights Agreement in whole shares or in any fraction of a share that is one one-thousandth of a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of such fraction which shall entitle the holder, in proportion to such holder’s fractional shares, to receive dividends, participate in distributions and to have the benefit of all other rights of holders of Series C Junior Participating Preferred Stock. In lieu of any fractional shares, the Company may elect (a) to make a cash payment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for fractions of a share, other than those one one-thousandths (1/1,000ths) of a Preferred Share (as such fraction may be adjusted as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the Rights Agreement), or any integral multiple thereof represented by one or more whole Rights immediately prior to such exercise, or (b) to issue depositary receipts evidencing fractional shares of Series C Junior Participating Preferred Stock pursuant to an appropriate agreement between the Company and a depository selected by the Company;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such agreement shall provide that the holders of such depositary receipts shall have all the rights, privileges and preferences to which they are entitled as holders of the Series C Junior Participating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1" w:name="page172"/>
    <w:bookmarkEnd w:id="171"/>
    <w:p>
      <w:pPr>
        <w:jc w:val="both"/>
        <w:ind w:firstLine="648"/>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C Junior Participating Preferred Stock purchased or otherwise acquired by the Company in any manner whatsoever shall be retired and canceled promptly after the acquisition thereof. All such shares shall upon their cancelation become authorized but unissued shares of Preferred Stock, without designation as to series until such shares are once more designated as part of a particular series by the Board pursuant to the provisions of the Articles.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So long as any shares of Series C Junior Participating Preferred Stock shall be outstanding, (i) none of the voting power, the designations, the relative preferences, powers, participating, optional or other special rights and the qualifications, limitations and restrictions of the Series C Junior Participating Preferred Stock as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shall be amended in any manner which would alter or change the powers, preferences, rights or privileges of the holders of Series C Junior Participating Preferred Stock so as to affect them adversely and (ii) no amendment, alteration or repeal of the Articles or of the Amended and Restated By-laws of the Company shall be effected so as to affect adversely any of such powers, preferences, rights or privileges.</w:t>
      </w:r>
    </w:p>
    <w:p>
      <w:pPr>
        <w:spacing w:after="0" w:line="19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IN WITNESS WHEREOF, the Company has caused this Certificate of Designations to be signed by Andrew D. Perlman its Chief Executive Officer, as of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2016.</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 Perlman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5628640</wp:posOffset>
            </wp:positionH>
            <wp:positionV relativeFrom="page">
              <wp:posOffset>586740</wp:posOffset>
            </wp:positionV>
            <wp:extent cx="1749425" cy="823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74942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 (the “Corporation”), does hereby certify that: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VRINGO, INC.</w:t>
      </w:r>
    </w:p>
    <w:p>
      <w:pPr>
        <w:spacing w:after="0" w:line="225"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and on November 24, 2015.</w:t>
      </w:r>
    </w:p>
    <w:p>
      <w:pPr>
        <w:spacing w:after="0" w:line="187" w:lineRule="exact"/>
        <w:rPr>
          <w:sz w:val="20"/>
          <w:szCs w:val="20"/>
          <w:color w:val="auto"/>
        </w:rPr>
      </w:pPr>
    </w:p>
    <w:p>
      <w:pPr>
        <w:jc w:val="both"/>
        <w:ind w:left="1300" w:hanging="1299"/>
        <w:spacing w:after="0" w:line="264" w:lineRule="auto"/>
        <w:tabs>
          <w:tab w:leader="none" w:pos="12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 242 of the General Corporation Law of the State of Delaware (the “DGCL”), adopted resolutions amending the Corporation’s Amended and Restated Certificate of Incorporation as follows:</w:t>
      </w:r>
    </w:p>
    <w:p>
      <w:pPr>
        <w:spacing w:after="0" w:line="18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Article First of the Corporation’s Amended and Restated Certificate of Incorporation is hereby deleted in its entirety and replaced with the following: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name of the Corporation (hereinafter the “Corporation”) is FORM Holdings Corp.”</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This Certificate of Amendment shall be effective on Friday, May 6, 2016 at 5:00 PM, Eastern Daylight Time.</w:t>
      </w:r>
    </w:p>
    <w:p>
      <w:pPr>
        <w:spacing w:after="0" w:line="171" w:lineRule="exact"/>
        <w:rPr>
          <w:sz w:val="20"/>
          <w:szCs w:val="20"/>
          <w:color w:val="auto"/>
        </w:rPr>
      </w:pPr>
    </w:p>
    <w:p>
      <w:pPr>
        <w:spacing w:after="0" w:line="283"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Anastasia Nyrkovskaya, its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Treasurer, as of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2016.</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HOLDINGS CORP., </w:t>
      </w:r>
      <w:r>
        <w:rPr>
          <w:rFonts w:ascii="Arial" w:cs="Arial" w:eastAsia="Arial" w:hAnsi="Arial"/>
          <w:sz w:val="18"/>
          <w:szCs w:val="18"/>
          <w:color w:val="auto"/>
        </w:rPr>
        <w:t>a Delaware corporation (the “Corporation’’), does hereby certify that: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FORM HOLDINGS CORP.</w:t>
      </w:r>
    </w:p>
    <w:p>
      <w:pPr>
        <w:spacing w:after="0" w:line="225"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on November 24, 2015 and on May 5, 2016.</w:t>
      </w:r>
    </w:p>
    <w:p>
      <w:pPr>
        <w:spacing w:after="0" w:line="187" w:lineRule="exact"/>
        <w:rPr>
          <w:sz w:val="20"/>
          <w:szCs w:val="20"/>
          <w:color w:val="auto"/>
        </w:rPr>
      </w:pPr>
    </w:p>
    <w:p>
      <w:pPr>
        <w:jc w:val="both"/>
        <w:ind w:left="1300" w:hanging="1299"/>
        <w:spacing w:after="0" w:line="264" w:lineRule="auto"/>
        <w:tabs>
          <w:tab w:leader="none" w:pos="12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185" w:lineRule="exact"/>
        <w:rPr>
          <w:sz w:val="20"/>
          <w:szCs w:val="20"/>
          <w:color w:val="auto"/>
        </w:rPr>
      </w:pPr>
    </w:p>
    <w:p>
      <w:pPr>
        <w:ind w:left="1300" w:right="540"/>
        <w:spacing w:after="0" w:line="277" w:lineRule="auto"/>
        <w:rPr>
          <w:sz w:val="20"/>
          <w:szCs w:val="20"/>
          <w:color w:val="auto"/>
        </w:rPr>
      </w:pPr>
      <w:r>
        <w:rPr>
          <w:rFonts w:ascii="Arial" w:cs="Arial" w:eastAsia="Arial" w:hAnsi="Arial"/>
          <w:sz w:val="18"/>
          <w:szCs w:val="18"/>
          <w:color w:val="auto"/>
        </w:rPr>
        <w:t>Article Fifth, Section (2) of the Corporation’s Amended and Restated Certificate of Incorporation is hereby deleted in its entirety and replaced with the following:</w:t>
      </w:r>
    </w:p>
    <w:p>
      <w:pPr>
        <w:spacing w:after="0" w:line="17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“(2) Subject to the rights of the holders of any series of Preferred Stock then outstanding, any directors, or the entire Board of Directors, may be removed from office, with or without cause, by the affirmative vote of the holders of at least a majority of the total voting power of all of the then-outstanding shares of capital stock of the Corporation entitled to vote generally in the election of directors, voting together as a single class.”</w:t>
      </w:r>
    </w:p>
    <w:p>
      <w:pPr>
        <w:spacing w:after="0" w:line="183" w:lineRule="exact"/>
        <w:rPr>
          <w:sz w:val="20"/>
          <w:szCs w:val="20"/>
          <w:color w:val="auto"/>
        </w:rPr>
      </w:pPr>
    </w:p>
    <w:p>
      <w:pPr>
        <w:ind w:left="1300" w:hanging="1299"/>
        <w:spacing w:after="0" w:line="277" w:lineRule="auto"/>
        <w:tabs>
          <w:tab w:leader="none" w:pos="12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Thereafter, pursuant to a resolution of the Board, this Certificate of Amendment was submitted to the stockholders of the Corporation for their approval, and was duly adopted in accordance with the provisions of Sections 222 and 242 of the DGCL.</w:t>
      </w:r>
    </w:p>
    <w:p>
      <w:pPr>
        <w:spacing w:after="0" w:line="170" w:lineRule="exact"/>
        <w:rPr>
          <w:sz w:val="20"/>
          <w:szCs w:val="20"/>
          <w:color w:val="auto"/>
        </w:rPr>
      </w:pPr>
    </w:p>
    <w:p>
      <w:pPr>
        <w:spacing w:after="0" w:line="283"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Anastasia Nyrkovskaya, its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as of the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2016.</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Anastasia Nyrkovskaya</w:t>
            </w:r>
          </w:p>
        </w:tc>
      </w:tr>
      <w:tr>
        <w:trPr>
          <w:trHeight w:val="195"/>
        </w:trPr>
        <w:tc>
          <w:tcPr>
            <w:tcW w:w="62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Anastasia Nyrkovskaya</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9"/>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-1337310</wp:posOffset>
            </wp:positionV>
            <wp:extent cx="1741170" cy="8832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2">
                      <a:extLst>
                        <a:ext uri="{28A0092B-C50C-407E-A947-70E740481C1C}"/>
                      </a:extLst>
                    </a:blip>
                    <a:srcRect/>
                    <a:stretch>
                      <a:fillRect/>
                    </a:stretch>
                  </pic:blipFill>
                  <pic:spPr bwMode="auto">
                    <a:xfrm>
                      <a:off x="0" y="0"/>
                      <a:ext cx="1741170" cy="88328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1741170" cy="8921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74117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CONVERTIBLE PREFERRED STOCK</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Amended and Restated Certificate of Incorporation of Form Holdings Corp.,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provides for a class of its authorized stock known as preferred stock, comprised of 5,000,000 shares, issuable from time to time in one or more series;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500,000 shares of the preferred stock which the Corporation has the authority to issue, classified as Series D Convertible Preferred Stock, as follows: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NOW, THEREFORE, BE IT RESOLVED, that the Board of Directors does hereby provide for the issuance of a series of preferred stock in exchange for other securities, rights, or property and does hereby fix and determine the rights, preferences, restrictions and other matters relating to such series of preferred stock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left="340" w:hanging="332"/>
        <w:spacing w:after="0" w:line="259"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“Series D Convertible Preferred Stock”, The initial number of authorized shares of the Series D Convertible Preferred Stock shall be 500,000, which, except as provided herein, shall not be subject to increase without the consent of the holders of a majority of the then outstanding shares of Series D Convertible Preferred Stock. Each share of the Series D Convertible Preferred Stock shall have a par value of $0.01.</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4"/>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Dividends and Distributions to the Holders of Common Stock</w:t>
      </w:r>
      <w:r>
        <w:rPr>
          <w:rFonts w:ascii="Arial" w:cs="Arial" w:eastAsia="Arial" w:hAnsi="Arial"/>
          <w:sz w:val="17"/>
          <w:szCs w:val="17"/>
          <w:color w:val="auto"/>
        </w:rPr>
        <w:t>, From and after the first date of issuance of any shares of Series D Convertible Preferred Stock (the “</w:t>
      </w:r>
      <w:r>
        <w:rPr>
          <w:rFonts w:ascii="Arial" w:cs="Arial" w:eastAsia="Arial" w:hAnsi="Arial"/>
          <w:sz w:val="17"/>
          <w:szCs w:val="17"/>
          <w:u w:val="single" w:color="auto"/>
          <w:color w:val="auto"/>
        </w:rPr>
        <w:t>Initial Issuance Date</w:t>
      </w:r>
      <w:r>
        <w:rPr>
          <w:rFonts w:ascii="Arial" w:cs="Arial" w:eastAsia="Arial" w:hAnsi="Arial"/>
          <w:sz w:val="17"/>
          <w:szCs w:val="17"/>
          <w:color w:val="auto"/>
        </w:rPr>
        <w:t>”), the holders of Series D Convertible Preferred Stock (each, a “Holder” and collectively, the “</w:t>
      </w:r>
      <w:r>
        <w:rPr>
          <w:rFonts w:ascii="Arial" w:cs="Arial" w:eastAsia="Arial" w:hAnsi="Arial"/>
          <w:sz w:val="17"/>
          <w:szCs w:val="17"/>
          <w:u w:val="single" w:color="auto"/>
          <w:color w:val="auto"/>
        </w:rPr>
        <w:t>Holders</w:t>
      </w:r>
      <w:r>
        <w:rPr>
          <w:rFonts w:ascii="Arial" w:cs="Arial" w:eastAsia="Arial" w:hAnsi="Arial"/>
          <w:sz w:val="17"/>
          <w:szCs w:val="17"/>
          <w:color w:val="auto"/>
        </w:rPr>
        <w:t>”) shall be entitled to receive such dividends paid and distributions made to the holders of common stock, par value $0.01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pro rata to the holders of Common Stock to the same extent as if such Holders had converted the Series D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5" w:name="page176"/>
    <w:bookmarkEnd w:id="175"/>
    <w:p>
      <w:pPr>
        <w:jc w:val="both"/>
        <w:ind w:left="652" w:hanging="323"/>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In addition to the dividends described in Section 2.1, from and after the date of the issuance of any shares of Series D Convertible Preferred Stock, dividends at the rate per annum of $4.32 per share shall accrue on such shares of Series D Convertible Preferred Stock (subject to appropriate adjustment in the event of any stock dividend, stock split, combination or other similar recapitalization with respect to the Series D Convertible Preferred Stock) (the “</w:t>
      </w:r>
      <w:r>
        <w:rPr>
          <w:rFonts w:ascii="Arial" w:cs="Arial" w:eastAsia="Arial" w:hAnsi="Arial"/>
          <w:sz w:val="16"/>
          <w:szCs w:val="16"/>
          <w:u w:val="single" w:color="auto"/>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except as set forth in the following sentence of this </w:t>
      </w:r>
      <w:r>
        <w:rPr>
          <w:rFonts w:ascii="Arial" w:cs="Arial" w:eastAsia="Arial" w:hAnsi="Arial"/>
          <w:sz w:val="16"/>
          <w:szCs w:val="16"/>
          <w:u w:val="single" w:color="auto"/>
          <w:color w:val="auto"/>
        </w:rPr>
        <w:t>Section 2.2</w:t>
      </w:r>
      <w:r>
        <w:rPr>
          <w:rFonts w:ascii="Arial" w:cs="Arial" w:eastAsia="Arial" w:hAnsi="Arial"/>
          <w:sz w:val="16"/>
          <w:szCs w:val="16"/>
          <w:color w:val="auto"/>
        </w:rPr>
        <w:t>. in Section 4, or in Section 7,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unless the holders of the Series D Convertible Preferred Stock then outstanding shall first receive, or simultaneously receive, a dividend on each outstanding share of Series D Convertible Preferred Stock in an amount at least equal to (i) the amount of the aggregate Accruing Dividends then accrued on such share of Series D Convertible Preferred Stock and not previously paid and (ii) the amount required to be paid pursuant to Section 2.1.</w:t>
      </w:r>
    </w:p>
    <w:p>
      <w:pPr>
        <w:spacing w:after="0" w:line="173" w:lineRule="exact"/>
        <w:rPr>
          <w:sz w:val="20"/>
          <w:szCs w:val="20"/>
          <w:color w:val="auto"/>
        </w:rPr>
      </w:pPr>
    </w:p>
    <w:p>
      <w:pPr>
        <w:ind w:left="332" w:hanging="332"/>
        <w:spacing w:after="0"/>
        <w:tabs>
          <w:tab w:leader="none" w:pos="33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Preferential Payments to Holders of Series D Convertible Preferred Stock</w:t>
      </w:r>
      <w:r>
        <w:rPr>
          <w:rFonts w:ascii="Arial" w:cs="Arial" w:eastAsia="Arial" w:hAnsi="Arial"/>
          <w:sz w:val="17"/>
          <w:szCs w:val="17"/>
          <w:color w:val="auto"/>
        </w:rPr>
        <w:t>. In the event of any voluntary or involuntary liquidation, dissolution or winding up of the Corporation or a Deemed Liquidation Event, subject to the rights of the holders of any other class of preferred stock, the holders of shares of Series D Convertible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greater of (i) the Stated Value (defined below) plus any Accruing Dividends accrued but unpaid thereon, whether or not declared, together with any other dividends declared but unpaid thereon, or (ii) such amount per share as would have been payable had all shares of Series D Convertible Preferred Stock been converted into Common Stock pursuant to Section 6 immediately prior to such liquidation, dissolution or winding up of the Corporation or a Deemed Liquidation Event (the amount payable pursuant to this sentence is hereinafter referred to as the “</w:t>
      </w:r>
      <w:r>
        <w:rPr>
          <w:rFonts w:ascii="Arial" w:cs="Arial" w:eastAsia="Arial" w:hAnsi="Arial"/>
          <w:sz w:val="17"/>
          <w:szCs w:val="17"/>
          <w:u w:val="single" w:color="auto"/>
          <w:color w:val="auto"/>
        </w:rPr>
        <w:t>Series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D Liquidation Preference Amount</w:t>
      </w:r>
      <w:r>
        <w:rPr>
          <w:rFonts w:ascii="Arial" w:cs="Arial" w:eastAsia="Arial" w:hAnsi="Arial"/>
          <w:sz w:val="17"/>
          <w:szCs w:val="17"/>
          <w:color w:val="auto"/>
        </w:rPr>
        <w:t>”). If upon any such liquidation, dissolution or winding up of the Corporation or a Deemed Liquidation Event, the assets of the Corporation available for distribution to its stockholders shall be insufficient to pay the Holders the full amount to which they shall be entitled under this Section 3.1,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76" w:name="page177"/>
    <w:bookmarkEnd w:id="176"/>
    <w:p>
      <w:pPr>
        <w:jc w:val="both"/>
        <w:ind w:left="652" w:hanging="323"/>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In the event of any voluntary or involuntary liquidation, dissolution or winding up of the Corporation, after the payment of all preferential amounts required to be paid to the holders of shares of Series D Convertible Preferred Stock (subject to the rights of the holders of any other class of preferred stock), the remaining assets of the Corporation available for distribution to its stockholders shall be distributed among the holders of shares of Common Stock, pro rata based on the number of shares held by each such holder.</w:t>
      </w:r>
    </w:p>
    <w:p>
      <w:pPr>
        <w:spacing w:after="0" w:line="171" w:lineRule="exact"/>
        <w:rPr>
          <w:sz w:val="20"/>
          <w:szCs w:val="20"/>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5" w:lineRule="exact"/>
        <w:rPr>
          <w:sz w:val="20"/>
          <w:szCs w:val="20"/>
          <w:color w:val="auto"/>
        </w:rPr>
      </w:pPr>
    </w:p>
    <w:p>
      <w:pPr>
        <w:jc w:val="both"/>
        <w:ind w:left="1232" w:hanging="580"/>
        <w:spacing w:after="0" w:line="277" w:lineRule="auto"/>
        <w:tabs>
          <w:tab w:leader="none" w:pos="1212" w:val="left"/>
        </w:tabs>
        <w:rPr>
          <w:sz w:val="20"/>
          <w:szCs w:val="20"/>
          <w:color w:val="auto"/>
        </w:rPr>
      </w:pPr>
      <w:r>
        <w:rPr>
          <w:rFonts w:ascii="Arial" w:cs="Arial" w:eastAsia="Arial" w:hAnsi="Arial"/>
          <w:sz w:val="18"/>
          <w:szCs w:val="18"/>
          <w:color w:val="auto"/>
        </w:rPr>
        <w:t>4.1.1.</w:t>
        <w:tab/>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70" w:lineRule="exact"/>
        <w:rPr>
          <w:sz w:val="20"/>
          <w:szCs w:val="20"/>
          <w:color w:val="auto"/>
        </w:rPr>
      </w:pPr>
    </w:p>
    <w:p>
      <w:pPr>
        <w:jc w:val="both"/>
        <w:ind w:left="1232" w:hanging="580"/>
        <w:spacing w:after="0" w:line="285" w:lineRule="auto"/>
        <w:tabs>
          <w:tab w:leader="none" w:pos="121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Deemed Liquidation Event</w:t>
      </w:r>
      <w:r>
        <w:rPr>
          <w:rFonts w:ascii="Arial" w:cs="Arial" w:eastAsia="Arial" w:hAnsi="Arial"/>
          <w:sz w:val="16"/>
          <w:szCs w:val="16"/>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77" w:name="page178"/>
    <w:bookmarkEnd w:id="177"/>
    <w:p>
      <w:pPr>
        <w:ind w:left="320"/>
        <w:spacing w:after="0"/>
        <w:tabs>
          <w:tab w:leader="none" w:pos="8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jc w:val="both"/>
        <w:ind w:left="900" w:hanging="580"/>
        <w:spacing w:after="0" w:line="277" w:lineRule="auto"/>
        <w:tabs>
          <w:tab w:leader="none" w:pos="880" w:val="left"/>
        </w:tabs>
        <w:rPr>
          <w:sz w:val="20"/>
          <w:szCs w:val="20"/>
          <w:color w:val="auto"/>
        </w:rPr>
      </w:pPr>
      <w:r>
        <w:rPr>
          <w:rFonts w:ascii="Arial" w:cs="Arial" w:eastAsia="Arial" w:hAnsi="Arial"/>
          <w:sz w:val="18"/>
          <w:szCs w:val="18"/>
          <w:color w:val="auto"/>
        </w:rPr>
        <w:t>4.1.4.</w:t>
        <w:tab/>
        <w:t>“</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jc w:val="both"/>
        <w:ind w:left="900" w:hanging="580"/>
        <w:spacing w:after="0" w:line="277" w:lineRule="auto"/>
        <w:tabs>
          <w:tab w:leader="none" w:pos="880" w:val="left"/>
        </w:tabs>
        <w:rPr>
          <w:sz w:val="20"/>
          <w:szCs w:val="20"/>
          <w:color w:val="auto"/>
        </w:rPr>
      </w:pPr>
      <w:r>
        <w:rPr>
          <w:rFonts w:ascii="Arial" w:cs="Arial" w:eastAsia="Arial" w:hAnsi="Arial"/>
          <w:sz w:val="18"/>
          <w:szCs w:val="18"/>
          <w:color w:val="auto"/>
        </w:rPr>
        <w:t>4.1.5.</w:t>
        <w:tab/>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Required Holders</w:t>
      </w:r>
      <w:r>
        <w:rPr>
          <w:rFonts w:ascii="Arial" w:cs="Arial" w:eastAsia="Arial" w:hAnsi="Arial"/>
          <w:sz w:val="16"/>
          <w:szCs w:val="16"/>
          <w:color w:val="auto"/>
        </w:rPr>
        <w:t>” means the holders of record of a majority of the then outstanding shares of Series D Convertible Preferred Stock.</w:t>
      </w:r>
    </w:p>
    <w:p>
      <w:pPr>
        <w:spacing w:after="0" w:line="225" w:lineRule="exact"/>
        <w:rPr>
          <w:sz w:val="20"/>
          <w:szCs w:val="20"/>
          <w:color w:val="auto"/>
        </w:rPr>
      </w:pPr>
    </w:p>
    <w:p>
      <w:pPr>
        <w:jc w:val="both"/>
        <w:ind w:left="900" w:hanging="580"/>
        <w:spacing w:after="0" w:line="264" w:lineRule="auto"/>
        <w:tabs>
          <w:tab w:leader="none" w:pos="880" w:val="left"/>
        </w:tabs>
        <w:rPr>
          <w:sz w:val="20"/>
          <w:szCs w:val="20"/>
          <w:color w:val="auto"/>
        </w:rPr>
      </w:pPr>
      <w:r>
        <w:rPr>
          <w:rFonts w:ascii="Arial" w:cs="Arial" w:eastAsia="Arial" w:hAnsi="Arial"/>
          <w:sz w:val="18"/>
          <w:szCs w:val="18"/>
          <w:color w:val="auto"/>
        </w:rPr>
        <w:t>4.1.7.</w:t>
        <w:tab/>
        <w:t>“</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$48 per share, subject to adjustment for stock splits, stock dividends, recapitalizations, reorganizations, reclassifications, combinations, reverse stock splits or other similar events relating to the Series D Convertible Preferred Stock after the Initial Issuance Date,</w:t>
      </w:r>
    </w:p>
    <w:p>
      <w:pPr>
        <w:spacing w:after="0" w:line="181" w:lineRule="exact"/>
        <w:rPr>
          <w:sz w:val="20"/>
          <w:szCs w:val="20"/>
          <w:color w:val="auto"/>
        </w:rPr>
      </w:pPr>
    </w:p>
    <w:p>
      <w:pPr>
        <w:jc w:val="both"/>
        <w:ind w:left="900" w:hanging="580"/>
        <w:spacing w:after="0" w:line="273" w:lineRule="auto"/>
        <w:tabs>
          <w:tab w:leader="none" w:pos="8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8" w:lineRule="exact"/>
        <w:rPr>
          <w:sz w:val="20"/>
          <w:szCs w:val="20"/>
          <w:color w:val="auto"/>
        </w:rPr>
      </w:pPr>
    </w:p>
    <w:p>
      <w:pPr>
        <w:jc w:val="both"/>
        <w:ind w:left="900" w:hanging="580"/>
        <w:spacing w:after="0" w:line="259" w:lineRule="auto"/>
        <w:tabs>
          <w:tab w:leader="none" w:pos="880" w:val="left"/>
        </w:tabs>
        <w:rPr>
          <w:sz w:val="20"/>
          <w:szCs w:val="20"/>
          <w:color w:val="auto"/>
        </w:rPr>
      </w:pPr>
      <w:r>
        <w:rPr>
          <w:rFonts w:ascii="Arial" w:cs="Arial" w:eastAsia="Arial" w:hAnsi="Arial"/>
          <w:sz w:val="18"/>
          <w:szCs w:val="18"/>
          <w:color w:val="auto"/>
        </w:rPr>
        <w:t>4.1.9.</w:t>
        <w:tab/>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jc w:val="both"/>
        <w:ind w:left="900" w:hanging="580"/>
        <w:spacing w:after="0" w:line="259" w:lineRule="auto"/>
        <w:tabs>
          <w:tab w:leader="none" w:pos="880" w:val="left"/>
        </w:tabs>
        <w:rPr>
          <w:sz w:val="20"/>
          <w:szCs w:val="20"/>
          <w:color w:val="auto"/>
        </w:rPr>
      </w:pPr>
      <w:r>
        <w:rPr>
          <w:rFonts w:ascii="Arial" w:cs="Arial" w:eastAsia="Arial" w:hAnsi="Arial"/>
          <w:sz w:val="18"/>
          <w:szCs w:val="18"/>
          <w:color w:val="auto"/>
        </w:rPr>
        <w:t>4.2.1.</w:t>
        <w:tab/>
        <w:t>The Corporation shall not have the power to effect a Deemed Liquidation Event referred to in clause (A) of the definition of “Deemed Liquidation Event” unless the agreement or plan of merger or consolidation for such transaction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Section 3.</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178" w:name="page179"/>
    <w:bookmarkEnd w:id="178"/>
    <w:p>
      <w:pPr>
        <w:jc w:val="both"/>
        <w:ind w:left="900" w:hanging="580"/>
        <w:spacing w:after="0" w:line="285" w:lineRule="auto"/>
        <w:tabs>
          <w:tab w:leader="none" w:pos="8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In the event of a Deemed Liquidation Event, if the Corporation does not effect a dissolution of the Corporation under the Delaware General Corporation Law (“</w:t>
      </w:r>
      <w:r>
        <w:rPr>
          <w:rFonts w:ascii="Arial" w:cs="Arial" w:eastAsia="Arial" w:hAnsi="Arial"/>
          <w:sz w:val="16"/>
          <w:szCs w:val="16"/>
          <w:u w:val="single" w:color="auto"/>
          <w:color w:val="auto"/>
        </w:rPr>
        <w:t>DGCL</w:t>
      </w:r>
      <w:r>
        <w:rPr>
          <w:rFonts w:ascii="Arial" w:cs="Arial" w:eastAsia="Arial" w:hAnsi="Arial"/>
          <w:sz w:val="16"/>
          <w:szCs w:val="16"/>
          <w:color w:val="auto"/>
        </w:rPr>
        <w:t>”) within ninety (90) days after such Deemed Liquidation Event, then (i) the Corporation shall send a written notice to each holder of Series D Convertible Preferred Stock no later than the ninetieth (90th) day after the Deemed Liquidation Event advising such holders of their right (and the requirements to be met to secure such right) pursuant to the terms of the following clause; (ii) to require the repayment and cancellation of such shares of Series D Convertible Preferred Stock, and (iii) if the holders of at least 50% of the then outstanding shares of Series D Convertible Preferred Stock so request in a written instrument delivered to the Corporation not later than 30 days after receipt of the notice described in clause (i),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subject to the rights of any other existing class of preferred stock, all to the extent permitted by Delaware law governing distributions to stockholders (the “</w:t>
      </w:r>
      <w:r>
        <w:rPr>
          <w:rFonts w:ascii="Arial" w:cs="Arial" w:eastAsia="Arial" w:hAnsi="Arial"/>
          <w:sz w:val="16"/>
          <w:szCs w:val="16"/>
          <w:u w:val="single" w:color="auto"/>
          <w:color w:val="auto"/>
        </w:rPr>
        <w:t>Available Proceeds</w:t>
      </w:r>
      <w:r>
        <w:rPr>
          <w:rFonts w:ascii="Arial" w:cs="Arial" w:eastAsia="Arial" w:hAnsi="Arial"/>
          <w:sz w:val="16"/>
          <w:szCs w:val="16"/>
          <w:color w:val="auto"/>
        </w:rPr>
        <w:t>”), on the one hundred fiftieth (150th) day after such Deemed Liquidation Event, to repay and cancel all outstanding shares of Series D Convertible Preferred Stock at a price per share equal to the Series D Liquidation Preference Amount, Notwithstanding the foregoing, in the event of a repayment pursuant to the preceding sentence, if the Available Proceeds are not sufficient to repay all outstanding shares of Series D Convertible Preferred Stock, the Corporation shall ratably repay each Holder’s shares of Series D Convertible Preferred Stock to the fullest extent of such Available Proceeds, and shall repay the remaining shares as soon as it may lawfully do so under Delaware law governing distributions to stockholders. Prior to the distribution or repayment provided for in this Section 4.2.2, the Corporation shall not expend or dissipate the consideration received for such Deemed Liquidation Event, except to discharge expenses incurred in connection with such Deemed Liquidation Event or in the ordinary course of business.</w:t>
      </w:r>
    </w:p>
    <w:p>
      <w:pPr>
        <w:spacing w:after="0" w:line="173" w:lineRule="exact"/>
        <w:rPr>
          <w:sz w:val="20"/>
          <w:szCs w:val="20"/>
          <w:color w:val="auto"/>
        </w:rPr>
      </w:pPr>
    </w:p>
    <w:p>
      <w:pPr>
        <w:jc w:val="both"/>
        <w:ind w:left="320" w:hanging="32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187" w:lineRule="exact"/>
        <w:rPr>
          <w:sz w:val="20"/>
          <w:szCs w:val="20"/>
          <w:color w:val="auto"/>
        </w:rPr>
      </w:pPr>
    </w:p>
    <w:p>
      <w:pPr>
        <w:jc w:val="both"/>
        <w:ind w:left="320" w:hanging="323"/>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the transaction agreement shall provide that (a) the portion of such consideration that is not Additional Consideration (such portion, the “</w:t>
      </w:r>
      <w:r>
        <w:rPr>
          <w:rFonts w:ascii="Arial" w:cs="Arial" w:eastAsia="Arial" w:hAnsi="Arial"/>
          <w:sz w:val="16"/>
          <w:szCs w:val="16"/>
          <w:u w:val="single" w:color="auto"/>
          <w:color w:val="auto"/>
        </w:rPr>
        <w:t>Initial Consideration</w:t>
      </w:r>
      <w:r>
        <w:rPr>
          <w:rFonts w:ascii="Arial" w:cs="Arial" w:eastAsia="Arial" w:hAnsi="Arial"/>
          <w:sz w:val="16"/>
          <w:szCs w:val="16"/>
          <w:color w:val="auto"/>
        </w:rPr>
        <w:t>”) shall be allocated among the holders of capital stock of the Corporation in accordance with Sections 3.1 and 3.2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Sections 3.1 and 3.2 after taking into account the previous payment of the Initial Consideration as part of the same transaction. For the purposes of this Subsection 4.4, consideration placed into escrow or retained as holdback to be available for satisfaction of indemnification or similar obligations in connection with such Deemed Liquidation Event shall be deemed to be Additional Consideration.</w:t>
      </w:r>
    </w:p>
    <w:p>
      <w:pPr>
        <w:spacing w:after="0" w:line="38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179" w:name="page180"/>
    <w:bookmarkEnd w:id="179"/>
    <w:p>
      <w:pPr>
        <w:ind w:left="332" w:hanging="332"/>
        <w:spacing w:after="0"/>
        <w:tabs>
          <w:tab w:leader="none" w:pos="33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D Convertible Preferred Stock held by such holder are convertible as of the record date for determining stockholders entitled to vote on such matter. Except as provided by law or by the other provisions of the Amended and Restated Certificate of Incorporation, the holders of Series D Convertible Preferred Stock shall vote together with the holders of Common Stock as a single class,</w:t>
      </w:r>
    </w:p>
    <w:p>
      <w:pPr>
        <w:spacing w:after="0" w:line="193" w:lineRule="exact"/>
        <w:rPr>
          <w:rFonts w:ascii="Arial" w:cs="Arial" w:eastAsia="Arial" w:hAnsi="Arial"/>
          <w:sz w:val="18"/>
          <w:szCs w:val="18"/>
          <w:color w:val="auto"/>
        </w:rPr>
      </w:pPr>
    </w:p>
    <w:p>
      <w:pPr>
        <w:jc w:val="right"/>
        <w:ind w:left="652" w:hanging="324"/>
        <w:spacing w:after="0" w:line="283" w:lineRule="auto"/>
        <w:rPr>
          <w:rFonts w:ascii="Arial" w:cs="Arial" w:eastAsia="Arial" w:hAnsi="Arial"/>
          <w:sz w:val="18"/>
          <w:szCs w:val="18"/>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D Convertible Preferred Stock, exclusively and as a separate class, shall be entitled to elect one (1) director of the Corporation (the “</w:t>
      </w:r>
      <w:r>
        <w:rPr>
          <w:rFonts w:ascii="Arial" w:cs="Arial" w:eastAsia="Arial" w:hAnsi="Arial"/>
          <w:sz w:val="16"/>
          <w:szCs w:val="16"/>
          <w:u w:val="single" w:color="auto"/>
          <w:color w:val="auto"/>
        </w:rPr>
        <w:t>Series D Director</w:t>
      </w:r>
      <w:r>
        <w:rPr>
          <w:rFonts w:ascii="Arial" w:cs="Arial" w:eastAsia="Arial" w:hAnsi="Arial"/>
          <w:sz w:val="16"/>
          <w:szCs w:val="16"/>
          <w:color w:val="auto"/>
        </w:rPr>
        <w:t xml:space="preserve">”). If the holders of shares of Series D Convertible Preferred Stock fail to elect a director to fill the directorship for which they are entitled to elect a director, voting exclusively and as a separate class, pursuant to the first sentence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then the directorship not so filled shall remain vacant until such time as the holders of the Series D Convertible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D Convertible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Section 5.2</w:t>
      </w:r>
      <w:r>
        <w:rPr>
          <w:rFonts w:ascii="Arial" w:cs="Arial" w:eastAsia="Arial" w:hAnsi="Arial"/>
          <w:sz w:val="16"/>
          <w:szCs w:val="16"/>
          <w:color w:val="auto"/>
        </w:rPr>
        <w:t>. The initial Series D Director shall be Mr. Andrew Heyer, C/O FORM Holdings Corp., 780 Third</w:t>
      </w:r>
    </w:p>
    <w:p>
      <w:pPr>
        <w:spacing w:after="0" w:line="3" w:lineRule="exact"/>
        <w:rPr>
          <w:sz w:val="20"/>
          <w:szCs w:val="20"/>
          <w:color w:val="auto"/>
        </w:rPr>
      </w:pPr>
    </w:p>
    <w:p>
      <w:pPr>
        <w:jc w:val="both"/>
        <w:ind w:left="652"/>
        <w:spacing w:after="0" w:line="239" w:lineRule="auto"/>
        <w:rPr>
          <w:sz w:val="20"/>
          <w:szCs w:val="20"/>
          <w:color w:val="auto"/>
        </w:rPr>
      </w:pPr>
      <w:r>
        <w:rPr>
          <w:rFonts w:ascii="Arial" w:cs="Arial" w:eastAsia="Arial" w:hAnsi="Arial"/>
          <w:sz w:val="17"/>
          <w:szCs w:val="17"/>
          <w:color w:val="auto"/>
        </w:rPr>
        <w:t>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10017. The rights of the holders of the Series D Convertible Preferred Stock to elect a Series D Director shall terminate on the first date following the Initial Issuance Date on which the shares of Common Stock underlying the Series D Convertible Preferred Stock represent beneficial ownership (as such term is defined in Rule 13d-3 under the Exchange Act), in the aggregate, of less than five percent (5%) of the Corporation’s issued and outstanding shares of Common Stock on an as-converted basis.</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80" w:name="page181"/>
    <w:bookmarkEnd w:id="180"/>
    <w:p>
      <w:pPr>
        <w:ind w:left="332" w:hanging="332"/>
        <w:spacing w:after="0"/>
        <w:tabs>
          <w:tab w:leader="none" w:pos="332"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color w:val="auto"/>
        </w:rPr>
        <w:t>.</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holders of the Series D Convertible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left="652"/>
        <w:spacing w:after="0"/>
        <w:tabs>
          <w:tab w:leader="none" w:pos="1212"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jc w:val="both"/>
        <w:ind w:left="1552" w:hanging="580"/>
        <w:spacing w:after="0" w:line="27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D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D Conversion Price (as defined below) in effect at the time of conversion (the result of such fraction, the “</w:t>
      </w:r>
      <w:r>
        <w:rPr>
          <w:rFonts w:ascii="Arial" w:cs="Arial" w:eastAsia="Arial" w:hAnsi="Arial"/>
          <w:sz w:val="17"/>
          <w:szCs w:val="17"/>
          <w:u w:val="single" w:color="auto"/>
          <w:color w:val="auto"/>
        </w:rPr>
        <w:t>Series 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Conversion Rate”</w:t>
      </w:r>
      <w:r>
        <w:rPr>
          <w:rFonts w:ascii="Arial" w:cs="Arial" w:eastAsia="Arial" w:hAnsi="Arial"/>
          <w:sz w:val="17"/>
          <w:szCs w:val="17"/>
          <w:color w:val="auto"/>
        </w:rPr>
        <w:t>). The “</w:t>
      </w:r>
      <w:r>
        <w:rPr>
          <w:rFonts w:ascii="Arial" w:cs="Arial" w:eastAsia="Arial" w:hAnsi="Arial"/>
          <w:sz w:val="17"/>
          <w:szCs w:val="17"/>
          <w:u w:val="single" w:color="auto"/>
          <w:color w:val="auto"/>
        </w:rPr>
        <w:t>Series D Conversion Price</w:t>
      </w:r>
      <w:r>
        <w:rPr>
          <w:rFonts w:ascii="Arial" w:cs="Arial" w:eastAsia="Arial" w:hAnsi="Arial"/>
          <w:sz w:val="17"/>
          <w:szCs w:val="17"/>
          <w:color w:val="auto"/>
        </w:rPr>
        <w:t>” shall initially be equal to $6.00. Such initial Series D Conversion Price, and the rate at which shares of Series D Convertible Preferred Stock may be converted into shares of Common Stock, shall be subject to adjustment as provided below. On the Initial Issuance Date, the Series D Conversion Rate shall be equal to 8 shares of Common Stock for each share of Series D Convertible Preferred Stock.</w:t>
      </w:r>
    </w:p>
    <w:p>
      <w:pPr>
        <w:spacing w:after="0" w:line="179" w:lineRule="exact"/>
        <w:rPr>
          <w:sz w:val="20"/>
          <w:szCs w:val="20"/>
          <w:color w:val="auto"/>
        </w:rPr>
      </w:pPr>
    </w:p>
    <w:p>
      <w:pPr>
        <w:jc w:val="both"/>
        <w:ind w:left="1552" w:hanging="580"/>
        <w:spacing w:after="0" w:line="264"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D Convertible Preferred Stock.</w:t>
      </w:r>
    </w:p>
    <w:p>
      <w:pPr>
        <w:spacing w:after="0" w:line="181" w:lineRule="exact"/>
        <w:rPr>
          <w:sz w:val="20"/>
          <w:szCs w:val="20"/>
          <w:color w:val="auto"/>
        </w:rPr>
      </w:pPr>
    </w:p>
    <w:p>
      <w:pPr>
        <w:jc w:val="both"/>
        <w:ind w:left="1232" w:hanging="580"/>
        <w:spacing w:after="0" w:line="255" w:lineRule="auto"/>
        <w:tabs>
          <w:tab w:leader="none" w:pos="121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D Convertible Preferred Stock.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D Convertible Preferred Stock the Holder is at the time converting into Common Stock and the aggregate number of shares of Common Stock issuable upon such conversion.</w:t>
      </w:r>
    </w:p>
    <w:p>
      <w:pPr>
        <w:spacing w:after="0" w:line="19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D Convertible Preferred Stock shall be conducted in the following manner:</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81" w:name="page182"/>
    <w:bookmarkEnd w:id="181"/>
    <w:p>
      <w:pPr>
        <w:jc w:val="both"/>
        <w:ind w:left="40" w:hanging="580"/>
        <w:spacing w:after="0" w:line="285" w:lineRule="auto"/>
        <w:tabs>
          <w:tab w:leader="none" w:pos="2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u w:val="single" w:color="auto"/>
          <w:color w:val="auto"/>
        </w:rPr>
        <w:t>Conversion Notice</w:t>
      </w:r>
      <w:r>
        <w:rPr>
          <w:rFonts w:ascii="Arial" w:cs="Arial" w:eastAsia="Arial" w:hAnsi="Arial"/>
          <w:sz w:val="16"/>
          <w:szCs w:val="16"/>
          <w:color w:val="auto"/>
        </w:rPr>
        <w:t>. The Holder of record of shares of Series D Convertible Preferred Stock being converted shall (A) transmit by email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otherwise deliver) a copy of a properly completed notice of conversion executed by the registered Holder of the Series D Convertible Preferred Stock subject to such conversion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Conversion Notice</w:t>
      </w:r>
      <w:r>
        <w:rPr>
          <w:rFonts w:ascii="Arial" w:cs="Arial" w:eastAsia="Arial" w:hAnsi="Arial"/>
          <w:sz w:val="16"/>
          <w:szCs w:val="16"/>
          <w:color w:val="auto"/>
        </w:rPr>
        <w:t>”) to the Corporation and if the Corporation has appointed a registered transfer agent, the Corporation’s registered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(if the Corporation does not have a registered transfer agent, references hereto to the “Transfer Agent” shall be deemed to be references to the Corporation) and</w:t>
      </w:r>
    </w:p>
    <w:p>
      <w:pPr>
        <w:spacing w:after="0" w:line="2" w:lineRule="exact"/>
        <w:rPr>
          <w:sz w:val="20"/>
          <w:szCs w:val="20"/>
          <w:color w:val="auto"/>
        </w:rPr>
      </w:pPr>
    </w:p>
    <w:p>
      <w:pPr>
        <w:jc w:val="both"/>
        <w:ind w:left="40" w:hanging="3"/>
        <w:spacing w:after="0" w:line="255" w:lineRule="auto"/>
        <w:tabs>
          <w:tab w:leader="none" w:pos="32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if required by </w:t>
      </w:r>
      <w:r>
        <w:rPr>
          <w:rFonts w:ascii="Arial" w:cs="Arial" w:eastAsia="Arial" w:hAnsi="Arial"/>
          <w:sz w:val="18"/>
          <w:szCs w:val="18"/>
          <w:u w:val="single" w:color="auto"/>
          <w:color w:val="auto"/>
        </w:rPr>
        <w:t>Section 6.2.3,</w:t>
      </w:r>
      <w:r>
        <w:rPr>
          <w:rFonts w:ascii="Arial" w:cs="Arial" w:eastAsia="Arial" w:hAnsi="Arial"/>
          <w:sz w:val="18"/>
          <w:szCs w:val="18"/>
          <w:color w:val="auto"/>
        </w:rPr>
        <w:t xml:space="preserve"> surrender to a common carrier for delivery to the Corporation as soon as practicable following such date the original certificates, if any, representing the Series D Convertible Preferred Stock being converted (or compliance with the procedures set forth in </w:t>
      </w:r>
      <w:r>
        <w:rPr>
          <w:rFonts w:ascii="Arial" w:cs="Arial" w:eastAsia="Arial" w:hAnsi="Arial"/>
          <w:sz w:val="18"/>
          <w:szCs w:val="18"/>
          <w:u w:val="single" w:color="auto"/>
          <w:color w:val="auto"/>
        </w:rPr>
        <w:t>Section 10</w:t>
      </w:r>
      <w:r>
        <w:rPr>
          <w:rFonts w:ascii="Arial" w:cs="Arial" w:eastAsia="Arial" w:hAnsi="Arial"/>
          <w:sz w:val="18"/>
          <w:szCs w:val="18"/>
          <w:color w:val="auto"/>
        </w:rPr>
        <w:t>) (the “</w:t>
      </w:r>
      <w:r>
        <w:rPr>
          <w:rFonts w:ascii="Arial" w:cs="Arial" w:eastAsia="Arial" w:hAnsi="Arial"/>
          <w:sz w:val="18"/>
          <w:szCs w:val="18"/>
          <w:u w:val="single" w:color="auto"/>
          <w:color w:val="auto"/>
        </w:rPr>
        <w:t>Preferred Stock Certificates</w:t>
      </w:r>
      <w:r>
        <w:rPr>
          <w:rFonts w:ascii="Arial" w:cs="Arial" w:eastAsia="Arial" w:hAnsi="Arial"/>
          <w:sz w:val="18"/>
          <w:szCs w:val="18"/>
          <w:color w:val="auto"/>
        </w:rPr>
        <w:t>”).</w:t>
      </w:r>
    </w:p>
    <w:p>
      <w:pPr>
        <w:spacing w:after="0" w:line="190" w:lineRule="exact"/>
        <w:rPr>
          <w:sz w:val="20"/>
          <w:szCs w:val="20"/>
          <w:color w:val="auto"/>
        </w:rPr>
      </w:pPr>
    </w:p>
    <w:p>
      <w:pPr>
        <w:jc w:val="both"/>
        <w:ind w:left="40" w:hanging="580"/>
        <w:spacing w:after="0" w:line="288" w:lineRule="auto"/>
        <w:tabs>
          <w:tab w:leader="none" w:pos="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but in any event within three (3) Trading Days, send, via email, a confirmation of receipt of such Conversion Notice to such Holder and the Transfer Agent, if applicable, which confirmation shall constitute an instruction to the Transfer Agent to process such Conversion Notice in</w:t>
      </w:r>
    </w:p>
    <w:p>
      <w:pPr>
        <w:jc w:val="both"/>
        <w:ind w:left="40"/>
        <w:spacing w:after="0" w:line="257" w:lineRule="auto"/>
        <w:rPr>
          <w:sz w:val="20"/>
          <w:szCs w:val="20"/>
          <w:color w:val="auto"/>
        </w:rPr>
      </w:pPr>
      <w:r>
        <w:rPr>
          <w:rFonts w:ascii="Arial" w:cs="Arial" w:eastAsia="Arial" w:hAnsi="Arial"/>
          <w:sz w:val="17"/>
          <w:szCs w:val="17"/>
          <w:color w:val="auto"/>
        </w:rPr>
        <w:t>accordance with the terms herein and (B) on or before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D Convertible Preferred Stock represented by the Preferred Stock Certificate(s) submitted for conversion is greater than the number of shares of Series D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D Convertible Preferred Stock not converted or it shall direct the Transfer Agent to update the Holder’s account to reflect the number of shares of Series D Convertible Preferred Stock not converted.</w:t>
      </w:r>
    </w:p>
    <w:p>
      <w:pPr>
        <w:spacing w:after="0" w:line="200" w:lineRule="exact"/>
        <w:rPr>
          <w:sz w:val="20"/>
          <w:szCs w:val="20"/>
          <w:color w:val="auto"/>
        </w:rPr>
      </w:pP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82" w:name="page183"/>
    <w:bookmarkEnd w:id="182"/>
    <w:p>
      <w:pPr>
        <w:jc w:val="both"/>
        <w:ind w:left="40" w:hanging="580"/>
        <w:spacing w:after="0" w:line="285" w:lineRule="auto"/>
        <w:tabs>
          <w:tab w:leader="none" w:pos="2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D Convertible Preferred Stock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the terms hereof, the Holder thereof shall not be required to physically surrender the Preferred Stock Certificate, if any, unless (A) the full or remaining number of shares of Series D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D Convertible Preferred Stock upon physical surrender of any Series D Convertible Preferred Stock. The Holder and the Corporation shall maintain records showing the number of shares of Series D Convertible Preferred Stock so converted and the dates of such conversions or shall use such other method, reasonably satisfactory to the Holder and the Corporation, so as not to require physical surrender of the certificate representing the Series D Convertible Preferred Stock upon each such conversion. In the event of any dispute or discrepancy, such records of the Corporation establishing the number of shares of Series D Convertible Preferred Stock to which the record holder is entitled shall be controlling and determinative in the absence of manifest error. Notwithstanding the foregoing, if Series D Convertible Preferred Stock represented by a certificate are converted as aforesaid, a Holder may not transfer the certificate representing the Series D Convertible Preferred Stock unless such Holder first physically surrenders the certificate representing the Series D Convertible Preferred Stock to the Corporation, whereupon the Corporation will forthwith issue and deliver upon the order of such Holder a new certificate of like tenor, registered as such Holder may request, representing in the aggregate the remaining number of shares of Series D Convertible Preferred Stock represented by such certificate. A Holder and any assignee, by acceptance of a certificate, acknowledge and agree that, by reason of the provisions of this paragraph, following conversion of any Series D Convertible Preferred Stock, the number of shares of Series D Convertible Preferred Stock represented by such certificate may be less than the number of shares of Series D Convertible Preferred Stock stated on the face thereof.</w:t>
      </w:r>
    </w:p>
    <w:p>
      <w:pPr>
        <w:spacing w:after="0" w:line="171" w:lineRule="exact"/>
        <w:rPr>
          <w:sz w:val="20"/>
          <w:szCs w:val="20"/>
          <w:color w:val="auto"/>
        </w:rPr>
      </w:pPr>
    </w:p>
    <w:p>
      <w:pPr>
        <w:jc w:val="both"/>
        <w:ind w:left="40" w:hanging="580"/>
        <w:spacing w:after="0" w:line="269" w:lineRule="auto"/>
        <w:tabs>
          <w:tab w:leader="none" w:pos="2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so long as any shares of Series D Convertible Preferred Stock are outstanding, reserve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keep available out of its authorized and unissued Common Stock, solely for the purpose of effecting the conversion of the Series D Convertible Preferred Stock according to the terms hereof, such number of shares of Common Stock as shall from time to time be sufficient to effect the conversion of all of the Series D Convertible Preferred Stock then outstanding; and if at any time the number of authorized but unissued shares of Common Stock shall not be sufficient to effect the conversion of all then outstanding shares of the Series D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Certificate of Incorporation. Before taking any action which would cause an adjustment reducing the Series D Conversion Price below the then par value of the shares of Common Stock issuable upon conversion of the Series D Convertible Preferred Stock, the Corporation will take any corporate action which may, in the opinion of its counsel, be necessary in order that the Corporation may validly and legally issue fully paid and non-assessable shares of Common Stock at such adjusted Series D Convertible Conversion Price.</w:t>
      </w:r>
    </w:p>
    <w:p>
      <w:pPr>
        <w:spacing w:after="0" w:line="39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83" w:name="page184"/>
    <w:bookmarkEnd w:id="183"/>
    <w:p>
      <w:pPr>
        <w:jc w:val="both"/>
        <w:ind w:left="40" w:hanging="580"/>
        <w:spacing w:after="0" w:line="287" w:lineRule="auto"/>
        <w:tabs>
          <w:tab w:leader="none" w:pos="2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Series D Conversion Rate, the Corporation shall issue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D Conversion Rate within two (2) Business Days of such disputed determination or arithmetic calculation being transmitted to the Holder, then the Corporation shall within one (1) Business Day submit via email the disputed arithmetic calculation of the Series D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3" w:lineRule="exact"/>
        <w:rPr>
          <w:sz w:val="20"/>
          <w:szCs w:val="20"/>
          <w:color w:val="auto"/>
        </w:rPr>
      </w:pPr>
    </w:p>
    <w:p>
      <w:pPr>
        <w:jc w:val="both"/>
        <w:ind w:left="40" w:right="20" w:hanging="580"/>
        <w:spacing w:after="0" w:line="342" w:lineRule="auto"/>
        <w:tabs>
          <w:tab w:leader="none" w:pos="2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D Convertible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Preferred Stock shall be treated for all purposes as the record holder or holders of such shares of Common Stock on the date of conversion,</w:t>
      </w:r>
    </w:p>
    <w:p>
      <w:pPr>
        <w:spacing w:after="0" w:line="124" w:lineRule="exact"/>
        <w:rPr>
          <w:sz w:val="20"/>
          <w:szCs w:val="20"/>
          <w:color w:val="auto"/>
        </w:rPr>
      </w:pPr>
    </w:p>
    <w:p>
      <w:pPr>
        <w:jc w:val="both"/>
        <w:ind w:left="40" w:hanging="580"/>
        <w:spacing w:after="0" w:line="291" w:lineRule="auto"/>
        <w:tabs>
          <w:tab w:leader="none" w:pos="20"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D Convertible Preferred Stock which shall have been surrendered for conversion as herein</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Section6.1.2, and payment of any accrued but unpaid dividends thereon (whether or not declared). Any shares of Series D Convertible Preferred Stock so converted shall be retired and canceled and shall not be reissued, and the Corporation may from time to time take such appropriate action as may be necessary to reduce the authorized Series D Convertible Preferred Stock accordingly.</w:t>
      </w:r>
    </w:p>
    <w:p>
      <w:pPr>
        <w:spacing w:after="0" w:line="167" w:lineRule="exact"/>
        <w:rPr>
          <w:sz w:val="20"/>
          <w:szCs w:val="20"/>
          <w:color w:val="auto"/>
        </w:rPr>
      </w:pPr>
    </w:p>
    <w:p>
      <w:pPr>
        <w:jc w:val="both"/>
        <w:ind w:left="40" w:hanging="580"/>
        <w:spacing w:after="0" w:line="272" w:lineRule="auto"/>
        <w:tabs>
          <w:tab w:leader="none" w:pos="20" w:val="left"/>
        </w:tabs>
        <w:rPr>
          <w:sz w:val="20"/>
          <w:szCs w:val="20"/>
          <w:color w:val="auto"/>
        </w:rPr>
      </w:pPr>
      <w:r>
        <w:rPr>
          <w:rFonts w:ascii="Arial" w:cs="Arial" w:eastAsia="Arial" w:hAnsi="Arial"/>
          <w:sz w:val="18"/>
          <w:szCs w:val="18"/>
          <w:color w:val="auto"/>
        </w:rPr>
        <w:t>6.2.8.</w:t>
      </w:r>
      <w:r>
        <w:rPr>
          <w:sz w:val="20"/>
          <w:szCs w:val="20"/>
          <w:color w:val="auto"/>
        </w:rPr>
        <w:tab/>
      </w:r>
      <w:r>
        <w:rPr>
          <w:rFonts w:ascii="Arial" w:cs="Arial" w:eastAsia="Arial" w:hAnsi="Arial"/>
          <w:sz w:val="17"/>
          <w:szCs w:val="17"/>
          <w:u w:val="single" w:color="auto"/>
          <w:color w:val="auto"/>
        </w:rPr>
        <w:t>Transfer Taxes</w:t>
      </w:r>
      <w:r>
        <w:rPr>
          <w:rFonts w:ascii="Arial" w:cs="Arial" w:eastAsia="Arial" w:hAnsi="Arial"/>
          <w:sz w:val="17"/>
          <w:szCs w:val="17"/>
          <w:color w:val="auto"/>
        </w:rPr>
        <w:t>. The issuance of certificates, if any, for shares of the Common Stock on conversion of this Series D Convertible Preferred</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D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84" w:name="page185"/>
    <w:bookmarkEnd w:id="184"/>
    <w:p>
      <w:pPr>
        <w:jc w:val="both"/>
        <w:ind w:left="900" w:hanging="580"/>
        <w:spacing w:after="0" w:line="288" w:lineRule="auto"/>
        <w:tabs>
          <w:tab w:leader="none" w:pos="880" w:val="left"/>
        </w:tabs>
        <w:rPr>
          <w:sz w:val="20"/>
          <w:szCs w:val="20"/>
          <w:color w:val="auto"/>
        </w:rPr>
      </w:pPr>
      <w:r>
        <w:rPr>
          <w:rFonts w:ascii="Arial" w:cs="Arial" w:eastAsia="Arial" w:hAnsi="Arial"/>
          <w:sz w:val="18"/>
          <w:szCs w:val="18"/>
          <w:color w:val="auto"/>
        </w:rPr>
        <w:t>6.2.9.</w:t>
      </w:r>
      <w:r>
        <w:rPr>
          <w:sz w:val="20"/>
          <w:szCs w:val="20"/>
          <w:color w:val="auto"/>
        </w:rPr>
        <w:tab/>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three (3) Trading Days after the Corporation’s receipt of the copy of a Conversion Notice,</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Corporation shall fail to credit a Holder’s balance account with DTC or issue and deliver a certificate to such Holder for the number of shares of Common Stock to which such Holder is entitled upon such Holder’s conversion of Series D Convertible Preferred Stock (a</w:t>
      </w:r>
    </w:p>
    <w:p>
      <w:pPr>
        <w:jc w:val="both"/>
        <w:ind w:left="900"/>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Failure</w:t>
      </w:r>
      <w:r>
        <w:rPr>
          <w:rFonts w:ascii="Arial" w:cs="Arial" w:eastAsia="Arial" w:hAnsi="Arial"/>
          <w:sz w:val="16"/>
          <w:szCs w:val="16"/>
          <w:color w:val="auto"/>
        </w:rPr>
        <w:t>”), and if on or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u w:val="single" w:color="auto"/>
          <w:color w:val="auto"/>
        </w:rPr>
        <w:t>Buy-In</w:t>
      </w:r>
      <w:r>
        <w:rPr>
          <w:rFonts w:ascii="Arial" w:cs="Arial" w:eastAsia="Arial" w:hAnsi="Arial"/>
          <w:sz w:val="16"/>
          <w:szCs w:val="16"/>
          <w:color w:val="auto"/>
        </w:rPr>
        <w:t>”), then, in addition to all other remedies available to the Holder, the Corporation shall, within three (3)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u w:val="single" w:color="auto"/>
          <w:color w:val="auto"/>
        </w:rPr>
        <w:t>Buy-In Price”</w:t>
      </w:r>
      <w:r>
        <w:rPr>
          <w:rFonts w:ascii="Arial" w:cs="Arial" w:eastAsia="Arial" w:hAnsi="Arial"/>
          <w:sz w:val="16"/>
          <w:szCs w:val="16"/>
          <w:color w:val="auto"/>
        </w:rPr>
        <w:t>), at which point the Corporation's obligation to deliver such certificate (and to issue such Common Stock) shall terminate. “</w:t>
      </w:r>
      <w:r>
        <w:rPr>
          <w:rFonts w:ascii="Arial" w:cs="Arial" w:eastAsia="Arial" w:hAnsi="Arial"/>
          <w:sz w:val="16"/>
          <w:szCs w:val="16"/>
          <w:u w:val="single" w:color="auto"/>
          <w:color w:val="auto"/>
        </w:rPr>
        <w:t>Closing Sale Price</w:t>
      </w:r>
      <w:r>
        <w:rPr>
          <w:rFonts w:ascii="Arial" w:cs="Arial" w:eastAsia="Arial" w:hAnsi="Arial"/>
          <w:sz w:val="16"/>
          <w:szCs w:val="16"/>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color w:val="auto"/>
        </w:rPr>
        <w:t>.</w:t>
      </w:r>
    </w:p>
    <w:p>
      <w:pPr>
        <w:spacing w:after="0" w:line="225" w:lineRule="exact"/>
        <w:rPr>
          <w:sz w:val="20"/>
          <w:szCs w:val="20"/>
          <w:color w:val="auto"/>
        </w:rPr>
      </w:pPr>
    </w:p>
    <w:p>
      <w:pPr>
        <w:jc w:val="both"/>
        <w:ind w:left="900" w:hanging="580"/>
        <w:spacing w:after="0" w:line="271" w:lineRule="auto"/>
        <w:tabs>
          <w:tab w:leader="none" w:pos="88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7"/>
          <w:szCs w:val="17"/>
          <w:color w:val="auto"/>
        </w:rPr>
        <w:t>At any time or from time to time after the Initial Issuance Date of the Series D Convertible Preferred Stock, if the volume weighted average price per share, as published by Bloomberg L.P, (or if Bloomberg L.P, does not then exist, a comparable publication) (“VWAP”) of the shares of Common Stock of the Corporation on its principal trading market that is an Eligible Market (the “</w:t>
      </w:r>
      <w:r>
        <w:rPr>
          <w:rFonts w:ascii="Arial" w:cs="Arial" w:eastAsia="Arial" w:hAnsi="Arial"/>
          <w:sz w:val="17"/>
          <w:szCs w:val="17"/>
          <w:u w:val="single" w:color="auto"/>
          <w:color w:val="auto"/>
        </w:rPr>
        <w:t>Principal Market</w:t>
      </w:r>
      <w:r>
        <w:rPr>
          <w:rFonts w:ascii="Arial" w:cs="Arial" w:eastAsia="Arial" w:hAnsi="Arial"/>
          <w:sz w:val="17"/>
          <w:szCs w:val="17"/>
          <w:color w:val="auto"/>
        </w:rPr>
        <w:t>”) over any twenty (20) of the thirty (30) consecutive Trading Days exceeds $9.00 (subject to appropriate adjustment in the event of any stock dividend, stock split, combination or other similar recapitalization) (the “</w:t>
      </w:r>
      <w:r>
        <w:rPr>
          <w:rFonts w:ascii="Arial" w:cs="Arial" w:eastAsia="Arial" w:hAnsi="Arial"/>
          <w:sz w:val="17"/>
          <w:szCs w:val="17"/>
          <w:u w:val="single" w:color="auto"/>
          <w:color w:val="auto"/>
        </w:rPr>
        <w:t>Corporation Conversion Right Event</w:t>
      </w:r>
      <w:r>
        <w:rPr>
          <w:rFonts w:ascii="Arial" w:cs="Arial" w:eastAsia="Arial" w:hAnsi="Arial"/>
          <w:sz w:val="17"/>
          <w:szCs w:val="17"/>
          <w:color w:val="auto"/>
        </w:rPr>
        <w:t>”), the Corporation will have the right, but not the obligation, by notice given no more than ten (10) Trading Days after the occurrence of such Corporation Conversion Right Event, to convert each outstanding share of Series D Convertible Preferred Stock into a number of fully paid and nonassessable shares of Common Stock calculated based on the then applicable Series D Conversion Rate.</w:t>
      </w:r>
    </w:p>
    <w:p>
      <w:pPr>
        <w:spacing w:after="0" w:line="179" w:lineRule="exact"/>
        <w:rPr>
          <w:sz w:val="20"/>
          <w:szCs w:val="20"/>
          <w:color w:val="auto"/>
        </w:rPr>
      </w:pPr>
    </w:p>
    <w:p>
      <w:pPr>
        <w:jc w:val="both"/>
        <w:ind w:left="900" w:hanging="580"/>
        <w:spacing w:after="0" w:line="279" w:lineRule="auto"/>
        <w:tabs>
          <w:tab w:leader="none" w:pos="88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To exercise the Corporation’s right set forth in Section 6.3.1, the Corporation shall deliver to each Holder of record of Series D Convertible Preferred Stock an irrevocable written notice (a “</w:t>
      </w:r>
      <w:r>
        <w:rPr>
          <w:rFonts w:ascii="Arial" w:cs="Arial" w:eastAsia="Arial" w:hAnsi="Arial"/>
          <w:sz w:val="17"/>
          <w:szCs w:val="17"/>
          <w:u w:val="single" w:color="auto"/>
          <w:color w:val="auto"/>
        </w:rPr>
        <w:t>Corporation Conversion Notice</w:t>
      </w:r>
      <w:r>
        <w:rPr>
          <w:rFonts w:ascii="Arial" w:cs="Arial" w:eastAsia="Arial" w:hAnsi="Arial"/>
          <w:sz w:val="17"/>
          <w:szCs w:val="17"/>
          <w:color w:val="auto"/>
        </w:rPr>
        <w:t>”) during the ten (10) Trading Day period referenced above indicating the effective date of the conversion (the “</w:t>
      </w:r>
      <w:r>
        <w:rPr>
          <w:rFonts w:ascii="Arial" w:cs="Arial" w:eastAsia="Arial" w:hAnsi="Arial"/>
          <w:sz w:val="17"/>
          <w:szCs w:val="17"/>
          <w:u w:val="single" w:color="auto"/>
          <w:color w:val="auto"/>
        </w:rPr>
        <w:t>Corporation Conversion Date</w:t>
      </w:r>
      <w:r>
        <w:rPr>
          <w:rFonts w:ascii="Arial" w:cs="Arial" w:eastAsia="Arial" w:hAnsi="Arial"/>
          <w:sz w:val="17"/>
          <w:szCs w:val="17"/>
          <w:color w:val="auto"/>
        </w:rPr>
        <w:t>”), which Corporation Conversion Date shall be not more than sixty (60), nor less than five (5), days following delivery of the Corporation Conversion Notice.</w:t>
      </w:r>
    </w:p>
    <w:p>
      <w:pPr>
        <w:spacing w:after="0" w:line="38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185" w:name="page186"/>
    <w:bookmarkEnd w:id="185"/>
    <w:p>
      <w:pPr>
        <w:jc w:val="both"/>
        <w:ind w:left="1232" w:hanging="580"/>
        <w:spacing w:after="0" w:line="287" w:lineRule="auto"/>
        <w:tabs>
          <w:tab w:leader="none" w:pos="1212"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6"/>
          <w:szCs w:val="16"/>
          <w:color w:val="auto"/>
        </w:rPr>
        <w:t xml:space="preserve">On the Corporation Conversion Date, the outstanding shares of Series D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D Convertible Preferred shall represent only the shares of Common Stock into which the shares of Series D Convertible Preferred previously represented thereby have been converted pursuant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Corporation shall not be obligated to issue the shares of Common Stock issuable upon such conversion of any shares of Series D Convertible Preferred unless certificates evidencing such shares of Series D Convertible Preferred,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D Convertible Preferred pursuant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the Holders of shares of Series D Convertible Preferred shall surrender the certificates representing such shares to the Corporation and the Corporation shall cause its Transfer Agent to deliver the shares of Common Stock issuable upon such conversion (in the same manner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6.2.2</w:t>
      </w:r>
      <w:r>
        <w:rPr>
          <w:rFonts w:ascii="Arial" w:cs="Arial" w:eastAsia="Arial" w:hAnsi="Arial"/>
          <w:sz w:val="16"/>
          <w:szCs w:val="16"/>
          <w:color w:val="auto"/>
        </w:rPr>
        <w:t>) to the Holder within three (3) Business Days of the Holder’s delivery of the applicable Series D Convertible Preferred certificates,</w:t>
      </w:r>
    </w:p>
    <w:p>
      <w:pPr>
        <w:spacing w:after="0" w:line="169" w:lineRule="exact"/>
        <w:rPr>
          <w:sz w:val="20"/>
          <w:szCs w:val="20"/>
          <w:color w:val="auto"/>
        </w:rPr>
      </w:pPr>
    </w:p>
    <w:p>
      <w:pPr>
        <w:ind w:left="332" w:hanging="332"/>
        <w:spacing w:after="0"/>
        <w:tabs>
          <w:tab w:leader="none" w:pos="33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Repayment of Series D Convertible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On the date that is the seven (7) year anniversary after the Initial Issuance Date of the Series D Convertible Preferred (the “</w:t>
      </w:r>
      <w:r>
        <w:rPr>
          <w:rFonts w:ascii="Arial" w:cs="Arial" w:eastAsia="Arial" w:hAnsi="Arial"/>
          <w:sz w:val="18"/>
          <w:szCs w:val="18"/>
          <w:u w:val="single" w:color="auto"/>
          <w:color w:val="auto"/>
        </w:rPr>
        <w:t>Maturity Date</w:t>
      </w:r>
      <w:r>
        <w:rPr>
          <w:rFonts w:ascii="Arial" w:cs="Arial" w:eastAsia="Arial" w:hAnsi="Arial"/>
          <w:sz w:val="18"/>
          <w:szCs w:val="18"/>
          <w:color w:val="auto"/>
        </w:rPr>
        <w:t>”), the Corporation shall, in accordance with Section 7.2 hereof, repay and cancel each share of Series D Convertible Preferred, at a price per share of the Series D Convertible Preferred equal to the Series D Liquidation Preference Amount, plus an amount equal to any accrued but unpaid dividends payable thereon until the Maturity Date.</w:t>
      </w:r>
    </w:p>
    <w:p>
      <w:pPr>
        <w:spacing w:after="0" w:line="18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Share Issuance</w:t>
      </w:r>
      <w:r>
        <w:rPr>
          <w:rFonts w:ascii="Arial" w:cs="Arial" w:eastAsia="Arial" w:hAnsi="Arial"/>
          <w:sz w:val="18"/>
          <w:szCs w:val="18"/>
          <w:color w:val="auto"/>
        </w:rPr>
        <w:t>.</w:t>
      </w:r>
    </w:p>
    <w:p>
      <w:pPr>
        <w:spacing w:after="0" w:line="225" w:lineRule="exact"/>
        <w:rPr>
          <w:sz w:val="20"/>
          <w:szCs w:val="20"/>
          <w:color w:val="auto"/>
        </w:rPr>
      </w:pPr>
    </w:p>
    <w:p>
      <w:pPr>
        <w:jc w:val="both"/>
        <w:ind w:left="1232" w:hanging="580"/>
        <w:spacing w:after="0" w:line="264" w:lineRule="auto"/>
        <w:tabs>
          <w:tab w:leader="none" w:pos="1212" w:val="left"/>
        </w:tabs>
        <w:rPr>
          <w:sz w:val="20"/>
          <w:szCs w:val="20"/>
          <w:color w:val="auto"/>
        </w:rPr>
      </w:pPr>
      <w:r>
        <w:rPr>
          <w:rFonts w:ascii="Arial" w:cs="Arial" w:eastAsia="Arial" w:hAnsi="Arial"/>
          <w:sz w:val="18"/>
          <w:szCs w:val="18"/>
          <w:color w:val="auto"/>
        </w:rPr>
        <w:t>7.2.1.</w:t>
        <w:tab/>
        <w:t xml:space="preserve">On the Maturity Date, the Corporation, at its sole option, may elect to pay to the Holders the Series D Liquidation Preference Amount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(i) in cash; (ii) by delivery of shares of Common Stock; or (iii) through any combination of cash and/or Common Stock.</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86" w:name="page187"/>
    <w:bookmarkEnd w:id="186"/>
    <w:p>
      <w:pPr>
        <w:jc w:val="both"/>
        <w:ind w:left="1232" w:hanging="580"/>
        <w:spacing w:after="0" w:line="268" w:lineRule="auto"/>
        <w:tabs>
          <w:tab w:leader="none" w:pos="1212"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7"/>
          <w:szCs w:val="17"/>
          <w:color w:val="auto"/>
        </w:rPr>
        <w:t xml:space="preserve">If the Corporation elects to make a payment, or any portion thereof, pursuant to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in shares of Common Stock, the number of shares deliverable shall be determined by (A) dividing (x) the cash amount of such payment that would apply if no payment were to be made in Common Stock, or such portion, </w:t>
      </w:r>
      <w:r>
        <w:rPr>
          <w:rFonts w:ascii="Arial" w:cs="Arial" w:eastAsia="Arial" w:hAnsi="Arial"/>
          <w:sz w:val="17"/>
          <w:szCs w:val="17"/>
          <w:i w:val="1"/>
          <w:iCs w:val="1"/>
          <w:color w:val="auto"/>
        </w:rPr>
        <w:t>by</w:t>
      </w:r>
      <w:r>
        <w:rPr>
          <w:rFonts w:ascii="Arial" w:cs="Arial" w:eastAsia="Arial" w:hAnsi="Arial"/>
          <w:sz w:val="17"/>
          <w:szCs w:val="17"/>
          <w:color w:val="auto"/>
        </w:rPr>
        <w:t xml:space="preserve"> (y)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of the Common Stock for the period of thirty (30) consecutive Trading Days ending on the Trading Day immediately preceding the Maturity Date (subject to appropriate adjustment in the event of any stock dividend, stock split, combination or other similar recapitalization during such period) (the “</w:t>
      </w:r>
      <w:r>
        <w:rPr>
          <w:rFonts w:ascii="Arial" w:cs="Arial" w:eastAsia="Arial" w:hAnsi="Arial"/>
          <w:sz w:val="17"/>
          <w:szCs w:val="17"/>
          <w:u w:val="single" w:color="auto"/>
          <w:color w:val="auto"/>
        </w:rPr>
        <w:t>Base Price</w:t>
      </w:r>
      <w:r>
        <w:rPr>
          <w:rFonts w:ascii="Arial" w:cs="Arial" w:eastAsia="Arial" w:hAnsi="Arial"/>
          <w:sz w:val="17"/>
          <w:szCs w:val="17"/>
          <w:color w:val="auto"/>
        </w:rPr>
        <w:t>”) and adding to the number of shares determined in accordance with clause (A), (B) an additional number of shares of Common Stock (the “</w:t>
      </w:r>
      <w:r>
        <w:rPr>
          <w:rFonts w:ascii="Arial" w:cs="Arial" w:eastAsia="Arial" w:hAnsi="Arial"/>
          <w:sz w:val="17"/>
          <w:szCs w:val="17"/>
          <w:u w:val="single" w:color="auto"/>
          <w:color w:val="auto"/>
        </w:rPr>
        <w:t>Premium Shares</w:t>
      </w:r>
      <w:r>
        <w:rPr>
          <w:rFonts w:ascii="Arial" w:cs="Arial" w:eastAsia="Arial" w:hAnsi="Arial"/>
          <w:sz w:val="17"/>
          <w:szCs w:val="17"/>
          <w:color w:val="auto"/>
        </w:rPr>
        <w:t xml:space="preserve">”), calculated as follows: (i) if the Base Price as calculated pursuant to clause (A) above is greater than $9.00, no Premium Shares shall be issued, (ii) if the Base Price as calculated pursuant to clause (A) above is greater than $7.00 and equal to or less than $9.00, a number of shares equal to 5%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(iii) if the Base Price as calculated pursuant to clause (A) above is greater than $6.00 and equal to or less than $7.00, a number of shares equal to 10%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(iv) if the Base Price as calculated pursuant to clause (A) above is greater than $5.00 and equal to or less than $6.00, a number of shares equal to 20% of the shares to be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xml:space="preserve"> and (v) if the Base Price as calculated pursuant to clause (A) above is less than or equal to $5.00, a number of shares equal to 25% of the shares to issued pursuant to </w:t>
      </w:r>
      <w:r>
        <w:rPr>
          <w:rFonts w:ascii="Arial" w:cs="Arial" w:eastAsia="Arial" w:hAnsi="Arial"/>
          <w:sz w:val="17"/>
          <w:szCs w:val="17"/>
          <w:u w:val="single" w:color="auto"/>
          <w:color w:val="auto"/>
        </w:rPr>
        <w:t>Section 7.2.2(A)</w:t>
      </w:r>
      <w:r>
        <w:rPr>
          <w:rFonts w:ascii="Arial" w:cs="Arial" w:eastAsia="Arial" w:hAnsi="Arial"/>
          <w:sz w:val="17"/>
          <w:szCs w:val="17"/>
          <w:color w:val="auto"/>
        </w:rPr>
        <w:t>. All per share prices set forth in Section 7.2.2 shall be subject to appropriate adjustment in the event of any stock dividend, stock split, combination or other similar recapitalization after the Initial Issuance Date.</w:t>
      </w:r>
    </w:p>
    <w:p>
      <w:pPr>
        <w:spacing w:after="0" w:line="183" w:lineRule="exact"/>
        <w:rPr>
          <w:sz w:val="20"/>
          <w:szCs w:val="20"/>
          <w:color w:val="auto"/>
        </w:rPr>
      </w:pPr>
    </w:p>
    <w:p>
      <w:pPr>
        <w:ind w:left="332" w:hanging="332"/>
        <w:spacing w:after="0"/>
        <w:tabs>
          <w:tab w:leader="none" w:pos="33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Adjustment of Series D Conversion Price.</w:t>
      </w:r>
    </w:p>
    <w:p>
      <w:pPr>
        <w:spacing w:after="0" w:line="225" w:lineRule="exact"/>
        <w:rPr>
          <w:sz w:val="20"/>
          <w:szCs w:val="20"/>
          <w:color w:val="auto"/>
        </w:rPr>
      </w:pPr>
    </w:p>
    <w:p>
      <w:pPr>
        <w:jc w:val="both"/>
        <w:ind w:left="1232" w:hanging="580"/>
        <w:spacing w:after="0" w:line="255" w:lineRule="auto"/>
        <w:tabs>
          <w:tab w:leader="none" w:pos="1212"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Adjustment of Series D Conversion Price upon Subdivision or Combination of Common Stock</w:t>
      </w:r>
      <w:r>
        <w:rPr>
          <w:rFonts w:ascii="Arial" w:cs="Arial" w:eastAsia="Arial" w:hAnsi="Arial"/>
          <w:sz w:val="18"/>
          <w:szCs w:val="18"/>
          <w:color w:val="auto"/>
        </w:rPr>
        <w:t>. The Series D Conversion Price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subject to adjustment from time to time in accordance with this </w:t>
      </w:r>
      <w:r>
        <w:rPr>
          <w:rFonts w:ascii="Arial" w:cs="Arial" w:eastAsia="Arial" w:hAnsi="Arial"/>
          <w:sz w:val="18"/>
          <w:szCs w:val="18"/>
          <w:u w:val="single" w:color="auto"/>
          <w:color w:val="auto"/>
        </w:rPr>
        <w:t>Section 8</w:t>
      </w:r>
      <w:r>
        <w:rPr>
          <w:rFonts w:ascii="Arial" w:cs="Arial" w:eastAsia="Arial" w:hAnsi="Arial"/>
          <w:sz w:val="18"/>
          <w:szCs w:val="18"/>
          <w:color w:val="auto"/>
        </w:rPr>
        <w:t>. If the Corporation at any time after the Initial Issuance Date subdivides (by any stock split, stock dividend, recapitalization or otherwise) its outstanding shares of Common Stock into a greater number of shares, the Series D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D Conversion Price in effect immediately prior to such combination will be proportionately increased.</w:t>
      </w:r>
    </w:p>
    <w:p>
      <w:pPr>
        <w:spacing w:after="0" w:line="189" w:lineRule="exact"/>
        <w:rPr>
          <w:sz w:val="20"/>
          <w:szCs w:val="20"/>
          <w:color w:val="auto"/>
        </w:rPr>
      </w:pPr>
    </w:p>
    <w:p>
      <w:pPr>
        <w:jc w:val="both"/>
        <w:ind w:left="1232" w:hanging="580"/>
        <w:spacing w:after="0" w:line="287" w:lineRule="auto"/>
        <w:tabs>
          <w:tab w:leader="none" w:pos="1212"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w:t>
      </w:r>
      <w:r>
        <w:rPr>
          <w:rFonts w:ascii="Arial" w:cs="Arial" w:eastAsia="Arial" w:hAnsi="Arial"/>
          <w:sz w:val="16"/>
          <w:szCs w:val="16"/>
          <w:u w:val="single" w:color="auto"/>
          <w:color w:val="auto"/>
        </w:rPr>
        <w:t xml:space="preserve"> Section 4</w:t>
      </w:r>
      <w:r>
        <w:rPr>
          <w:rFonts w:ascii="Arial" w:cs="Arial" w:eastAsia="Arial" w:hAnsi="Arial"/>
          <w:sz w:val="16"/>
          <w:szCs w:val="16"/>
          <w:color w:val="auto"/>
        </w:rPr>
        <w:t>, if there shall occur any reorganization, recapitalization,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reclassification, consolidation or merger involving the Corporation in which the Common Stock (but not the Series D Convertible Preferred Stock) is converted into or exchanged for securities, cash or other property, then, following any such reorganization, recapitalization, reclassification, consolidation or merger, each share of Series D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D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8 with respect to the rights and interests thereafter of the holders of the Series D Convertible Preferred Stock, to the end that the provisions set forth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the provisions with respect to changes in and other adjustments of the Series D Conversion Price) shall thereafter be applicable, as nearly as reasonably may be, in relation to any securities or other property thereafter deliverable upon the conversion of the Series A Preferred Stock.</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87" w:name="page188"/>
    <w:bookmarkEnd w:id="187"/>
    <w:p>
      <w:pPr>
        <w:ind w:left="332"/>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1232" w:hanging="580"/>
        <w:spacing w:after="0" w:line="279" w:lineRule="auto"/>
        <w:tabs>
          <w:tab w:leader="none" w:pos="1212"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color w:val="auto"/>
        </w:rPr>
        <w:t xml:space="preserve">Immediately upon any adjustment of the Series D Conversion Rate and Series D Conversion Price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w:t>
      </w:r>
      <w:r>
        <w:rPr>
          <w:rFonts w:ascii="Arial" w:cs="Arial" w:eastAsia="Arial" w:hAnsi="Arial"/>
          <w:sz w:val="17"/>
          <w:szCs w:val="17"/>
          <w:u w:val="single" w:color="auto"/>
          <w:color w:val="auto"/>
        </w:rPr>
        <w:t>Section 6.2.5</w:t>
      </w:r>
      <w:r>
        <w:rPr>
          <w:rFonts w:ascii="Arial" w:cs="Arial" w:eastAsia="Arial" w:hAnsi="Arial"/>
          <w:sz w:val="17"/>
          <w:szCs w:val="17"/>
          <w:color w:val="auto"/>
        </w:rPr>
        <w:t>.</w:t>
      </w:r>
    </w:p>
    <w:p>
      <w:pPr>
        <w:spacing w:after="0" w:line="171" w:lineRule="exact"/>
        <w:rPr>
          <w:sz w:val="20"/>
          <w:szCs w:val="20"/>
          <w:color w:val="auto"/>
        </w:rPr>
      </w:pPr>
    </w:p>
    <w:p>
      <w:pPr>
        <w:jc w:val="both"/>
        <w:ind w:left="1232" w:hanging="580"/>
        <w:spacing w:after="0" w:line="264" w:lineRule="auto"/>
        <w:tabs>
          <w:tab w:leader="none" w:pos="1212" w:val="left"/>
        </w:tabs>
        <w:rPr>
          <w:sz w:val="20"/>
          <w:szCs w:val="20"/>
          <w:color w:val="auto"/>
        </w:rPr>
      </w:pPr>
      <w:r>
        <w:rPr>
          <w:rFonts w:ascii="Arial" w:cs="Arial" w:eastAsia="Arial" w:hAnsi="Arial"/>
          <w:sz w:val="18"/>
          <w:szCs w:val="18"/>
          <w:color w:val="auto"/>
        </w:rPr>
        <w:t>8.2.2.</w:t>
        <w:tab/>
        <w:t>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1" w:lineRule="exact"/>
        <w:rPr>
          <w:sz w:val="20"/>
          <w:szCs w:val="20"/>
          <w:color w:val="auto"/>
        </w:rPr>
      </w:pPr>
    </w:p>
    <w:p>
      <w:pPr>
        <w:jc w:val="both"/>
        <w:ind w:left="1232" w:hanging="580"/>
        <w:spacing w:after="0" w:line="277" w:lineRule="auto"/>
        <w:tabs>
          <w:tab w:leader="none" w:pos="1212" w:val="left"/>
        </w:tabs>
        <w:rPr>
          <w:sz w:val="20"/>
          <w:szCs w:val="20"/>
          <w:color w:val="auto"/>
        </w:rPr>
      </w:pPr>
      <w:r>
        <w:rPr>
          <w:rFonts w:ascii="Arial" w:cs="Arial" w:eastAsia="Arial" w:hAnsi="Arial"/>
          <w:sz w:val="18"/>
          <w:szCs w:val="18"/>
          <w:color w:val="auto"/>
        </w:rPr>
        <w:t>8.2.3.</w:t>
        <w:tab/>
        <w:t>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left="332" w:hanging="332"/>
        <w:spacing w:after="0" w:line="277" w:lineRule="auto"/>
        <w:tabs>
          <w:tab w:leader="none" w:pos="3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xml:space="preserve">. In the event any shares of Series D Convertible Preferred Stock shall be converted pursuant to </w:t>
      </w:r>
      <w:r>
        <w:rPr>
          <w:rFonts w:ascii="Arial" w:cs="Arial" w:eastAsia="Arial" w:hAnsi="Arial"/>
          <w:sz w:val="18"/>
          <w:szCs w:val="18"/>
          <w:u w:val="single" w:color="auto"/>
          <w:color w:val="auto"/>
        </w:rPr>
        <w:t>Sections 6 or 7</w:t>
      </w:r>
      <w:r>
        <w:rPr>
          <w:rFonts w:ascii="Arial" w:cs="Arial" w:eastAsia="Arial" w:hAnsi="Arial"/>
          <w:sz w:val="18"/>
          <w:szCs w:val="18"/>
          <w:color w:val="auto"/>
        </w:rPr>
        <w:t xml:space="preserve">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332" w:hanging="332"/>
        <w:spacing w:after="0" w:line="255" w:lineRule="auto"/>
        <w:tabs>
          <w:tab w:leader="none" w:pos="33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D Convertible Preferred Stock Certificates representing the Series D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D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Corporation shall not be obligated to re-issue preferred stock certificates if the holder contemporaneously requests the Corporation to convert such Series D Convertible Preferred Stock into Common Stock.</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88" w:name="page189"/>
    <w:bookmarkEnd w:id="188"/>
    <w:p>
      <w:pPr>
        <w:jc w:val="both"/>
        <w:ind w:left="332" w:hanging="332"/>
        <w:spacing w:after="0" w:line="287"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D Convertible Preferred Stock’s right to pursue actual damages for any failure by the Corporation to comply with the terms of this Certificate of Designation. The Corporation covenants to each holder of Series D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D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D Convertible Preferred Stock and that the remedy at law for any such breach may be inadequate. The Corporation therefore agrees that, in the event of any such breach or threatened breach, the holders of Series D Convertible Preferred Stock shall be entitled, in addition to all other available remedies, to an injunction restraining any breach, without the necessity of showing economic loss and without any bond or other security being required,</w:t>
      </w:r>
    </w:p>
    <w:p>
      <w:pPr>
        <w:spacing w:after="0" w:line="168" w:lineRule="exact"/>
        <w:rPr>
          <w:rFonts w:ascii="Arial" w:cs="Arial" w:eastAsia="Arial" w:hAnsi="Arial"/>
          <w:sz w:val="16"/>
          <w:szCs w:val="16"/>
          <w:color w:val="auto"/>
        </w:rPr>
      </w:pPr>
    </w:p>
    <w:p>
      <w:pPr>
        <w:jc w:val="both"/>
        <w:ind w:left="332" w:hanging="332"/>
        <w:spacing w:after="0" w:line="264" w:lineRule="auto"/>
        <w:tabs>
          <w:tab w:leader="none" w:pos="33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Whenever notice or other communication is required to be given hereunder, unless otherwise provided herein, such notice shall be given in accordance with contact information provided by each Holder to the Corporation and set forth in the register for the Series D Convertible Preferred Stock maintained by the Corporation as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D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Transfer of Series D Convertible Preferred Stock</w:t>
      </w:r>
      <w:r>
        <w:rPr>
          <w:rFonts w:ascii="Arial" w:cs="Arial" w:eastAsia="Arial" w:hAnsi="Arial"/>
          <w:sz w:val="18"/>
          <w:szCs w:val="18"/>
          <w:color w:val="auto"/>
        </w:rPr>
        <w:t xml:space="preserve">. A Holder may assign some or all of the Series D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1" w:lineRule="exact"/>
        <w:rPr>
          <w:rFonts w:ascii="Arial" w:cs="Arial" w:eastAsia="Arial" w:hAnsi="Arial"/>
          <w:sz w:val="18"/>
          <w:szCs w:val="18"/>
          <w:color w:val="auto"/>
        </w:rPr>
      </w:pPr>
    </w:p>
    <w:p>
      <w:pPr>
        <w:jc w:val="both"/>
        <w:ind w:left="332" w:hanging="332"/>
        <w:spacing w:after="0" w:line="255" w:lineRule="auto"/>
        <w:tabs>
          <w:tab w:leader="none" w:pos="33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Series D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D Convertible Preferred Stock, in which the Corporation shall record the name, address and email address of the persons in whose name the Series D Convertible Preferred Stock have been issued, as well as the name, address and email address of each transferee. The Corporation may treat the person in whose name any Series D Convertible Preferred Stock is registered on the register as the owner and holder thereof for all purposes, notwithstanding any notice to the contrary, but in all events recognizing any properly made transfers.</w:t>
      </w:r>
    </w:p>
    <w:p>
      <w:pPr>
        <w:spacing w:after="0" w:line="193" w:lineRule="exact"/>
        <w:rPr>
          <w:rFonts w:ascii="Arial" w:cs="Arial" w:eastAsia="Arial" w:hAnsi="Arial"/>
          <w:sz w:val="18"/>
          <w:szCs w:val="18"/>
          <w:color w:val="auto"/>
        </w:rPr>
      </w:pPr>
    </w:p>
    <w:p>
      <w:pPr>
        <w:jc w:val="both"/>
        <w:ind w:left="332" w:hanging="332"/>
        <w:spacing w:after="0" w:line="297"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D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89" w:name="page190"/>
    <w:bookmarkEnd w:id="189"/>
    <w:p>
      <w:pPr>
        <w:jc w:val="both"/>
        <w:ind w:left="332" w:hanging="332"/>
        <w:spacing w:after="0" w:line="264" w:lineRule="auto"/>
        <w:tabs>
          <w:tab w:leader="none" w:pos="33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D Convertible Preferred Stock, such Series D Convertible Preferred Stock shall be subject to and be entitled to the benefit of the provisions set forth in the Amended and Restated Certificate of Incorporation of the Corporation with respect to preferred stock of the Corporation generally.</w:t>
      </w:r>
    </w:p>
    <w:p>
      <w:pPr>
        <w:spacing w:after="0" w:line="181"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D Convertible Preferred Stock set forth herein may be waived or amended on behalf of all holders of Series D Convertible Preferred Stock by the affirmative written consent or vote of the holders of at least 50 % of the shares of Series D Convertible Preferred Stock then outstanding.</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90" w:name="page191"/>
    <w:bookmarkEnd w:id="190"/>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day of December,</w:t>
      </w:r>
    </w:p>
    <w:p>
      <w:pPr>
        <w:spacing w:after="0"/>
        <w:rPr>
          <w:sz w:val="20"/>
          <w:szCs w:val="20"/>
          <w:color w:val="auto"/>
        </w:rPr>
      </w:pPr>
      <w:r>
        <w:rPr>
          <w:rFonts w:ascii="Arial" w:cs="Arial" w:eastAsia="Arial" w:hAnsi="Arial"/>
          <w:sz w:val="18"/>
          <w:szCs w:val="18"/>
          <w:color w:val="auto"/>
        </w:rPr>
        <w:t>2016.</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2"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The undersigned hereby elects to convert the number of shares of Series D Convertible Preferred Stock, par value $0.01 per share (the </w:t>
      </w:r>
      <w:r>
        <w:rPr>
          <w:rFonts w:ascii="Arial" w:cs="Arial" w:eastAsia="Arial" w:hAnsi="Arial"/>
          <w:sz w:val="18"/>
          <w:szCs w:val="18"/>
          <w:b w:val="1"/>
          <w:bCs w:val="1"/>
          <w:color w:val="auto"/>
        </w:rPr>
        <w:t xml:space="preserve">“Series D Convertible Preferred Stock”), </w:t>
      </w:r>
      <w:r>
        <w:rPr>
          <w:rFonts w:ascii="Arial" w:cs="Arial" w:eastAsia="Arial" w:hAnsi="Arial"/>
          <w:sz w:val="18"/>
          <w:szCs w:val="18"/>
          <w:color w:val="auto"/>
        </w:rPr>
        <w:t>of Form Holdings Corp., a Delaware corporation (the</w:t>
      </w:r>
      <w:r>
        <w:rPr>
          <w:rFonts w:ascii="Arial" w:cs="Arial" w:eastAsia="Arial" w:hAnsi="Arial"/>
          <w:sz w:val="18"/>
          <w:szCs w:val="18"/>
          <w:b w:val="1"/>
          <w:bCs w:val="1"/>
          <w:color w:val="auto"/>
        </w:rPr>
        <w:t xml:space="preserve"> “Corporation”), </w:t>
      </w:r>
      <w:r>
        <w:rPr>
          <w:rFonts w:ascii="Arial" w:cs="Arial" w:eastAsia="Arial" w:hAnsi="Arial"/>
          <w:sz w:val="18"/>
          <w:szCs w:val="18"/>
          <w:color w:val="auto"/>
        </w:rPr>
        <w:t>indicated below into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of the Corporation, as of the date specified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551434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D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6930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D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6930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49136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14605</wp:posOffset>
            </wp:positionV>
            <wp:extent cx="46310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D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14605</wp:posOffset>
            </wp:positionV>
            <wp:extent cx="40392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38334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1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Please issue the Common Stock into which the Series D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160655</wp:posOffset>
            </wp:positionV>
            <wp:extent cx="37820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378206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37820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37388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31299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31730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14605</wp:posOffset>
            </wp:positionV>
            <wp:extent cx="34302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-130810</wp:posOffset>
            </wp:positionV>
            <wp:extent cx="40817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14605</wp:posOffset>
            </wp:positionV>
            <wp:extent cx="39960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14605</wp:posOffset>
            </wp:positionV>
            <wp:extent cx="36963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1559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6">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5637530</wp:posOffset>
            </wp:positionH>
            <wp:positionV relativeFrom="page">
              <wp:posOffset>586105</wp:posOffset>
            </wp:positionV>
            <wp:extent cx="1741170" cy="857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174117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HOLDINGS CORP., </w:t>
      </w:r>
      <w:r>
        <w:rPr>
          <w:rFonts w:ascii="Arial" w:cs="Arial" w:eastAsia="Arial" w:hAnsi="Arial"/>
          <w:sz w:val="18"/>
          <w:szCs w:val="18"/>
          <w:color w:val="auto"/>
        </w:rPr>
        <w:t>a Delaware corporation (the “Corporation”), does hereby certify that: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FORM HOLDINGS CORP.</w:t>
      </w:r>
    </w:p>
    <w:p>
      <w:pPr>
        <w:spacing w:after="0" w:line="225" w:lineRule="exact"/>
        <w:rPr>
          <w:sz w:val="20"/>
          <w:szCs w:val="20"/>
          <w:color w:val="auto"/>
        </w:rPr>
      </w:pPr>
    </w:p>
    <w:p>
      <w:pPr>
        <w:jc w:val="both"/>
        <w:ind w:left="1300" w:hanging="1299"/>
        <w:spacing w:after="0" w:line="279" w:lineRule="auto"/>
        <w:tabs>
          <w:tab w:leader="none" w:pos="1280" w:val="left"/>
        </w:tabs>
        <w:rPr>
          <w:sz w:val="20"/>
          <w:szCs w:val="20"/>
          <w:color w:val="auto"/>
        </w:rPr>
      </w:pPr>
      <w:r>
        <w:rPr>
          <w:rFonts w:ascii="Arial" w:cs="Arial" w:eastAsia="Arial" w:hAnsi="Arial"/>
          <w:sz w:val="17"/>
          <w:szCs w:val="17"/>
          <w:b w:val="1"/>
          <w:bCs w:val="1"/>
          <w:color w:val="auto"/>
        </w:rPr>
        <w:t>SECOND:</w:t>
      </w:r>
      <w:r>
        <w:rPr>
          <w:sz w:val="20"/>
          <w:szCs w:val="20"/>
          <w:color w:val="auto"/>
        </w:rPr>
        <w:tab/>
      </w:r>
      <w:r>
        <w:rPr>
          <w:rFonts w:ascii="Arial" w:cs="Arial" w:eastAsia="Arial" w:hAnsi="Arial"/>
          <w:sz w:val="17"/>
          <w:szCs w:val="17"/>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on November 24, 2015, on November 28, 2016, and on May 5, 2016.</w:t>
      </w:r>
    </w:p>
    <w:p>
      <w:pPr>
        <w:spacing w:after="0" w:line="171" w:lineRule="exact"/>
        <w:rPr>
          <w:sz w:val="20"/>
          <w:szCs w:val="20"/>
          <w:color w:val="auto"/>
        </w:rPr>
      </w:pPr>
    </w:p>
    <w:p>
      <w:pPr>
        <w:jc w:val="both"/>
        <w:ind w:left="1300" w:hanging="1299"/>
        <w:spacing w:after="0" w:line="264" w:lineRule="auto"/>
        <w:tabs>
          <w:tab w:leader="none" w:pos="12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18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Article First of the Corporation’s Amended and Restated Certificate of Incorporation is hereby deleted in its entirety and replaced with the following: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name of the Corporation (hereinafter the “Corporation”) is XpresSpa Group, Inc.”</w:t>
      </w:r>
    </w:p>
    <w:p>
      <w:pPr>
        <w:spacing w:after="0" w:line="221" w:lineRule="exact"/>
        <w:rPr>
          <w:sz w:val="20"/>
          <w:szCs w:val="20"/>
          <w:color w:val="auto"/>
        </w:rPr>
      </w:pPr>
    </w:p>
    <w:p>
      <w:pPr>
        <w:ind w:left="1300" w:hanging="1299"/>
        <w:spacing w:after="0" w:line="277" w:lineRule="auto"/>
        <w:tabs>
          <w:tab w:leader="none" w:pos="12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Thereafter, pursuant to a resolution of the Board, this Certificate of Amendment was duly adopted in accordance with the provisions of Sections 222 and 242 of the DGCL.</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FIFTH:</w:t>
      </w:r>
      <w:r>
        <w:rPr>
          <w:sz w:val="20"/>
          <w:szCs w:val="20"/>
          <w:color w:val="auto"/>
        </w:rPr>
        <w:tab/>
      </w:r>
      <w:r>
        <w:rPr>
          <w:rFonts w:ascii="Arial" w:cs="Arial" w:eastAsia="Arial" w:hAnsi="Arial"/>
          <w:sz w:val="18"/>
          <w:szCs w:val="18"/>
          <w:color w:val="auto"/>
        </w:rPr>
        <w:t>This Certificate of Amendment shall be effective on January 5, 2018 at 4:01 P.M., Eastern Standard Time.</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Andrew Perlman,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as of the 5th day of January, 2018.</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Perlman</w:t>
            </w:r>
          </w:p>
        </w:tc>
      </w:tr>
      <w:tr>
        <w:trPr>
          <w:trHeight w:val="195"/>
        </w:trPr>
        <w:tc>
          <w:tcPr>
            <w:tcW w:w="6280" w:type="dxa"/>
            <w:vAlign w:val="bottom"/>
          </w:tcPr>
          <w:p>
            <w:pPr>
              <w:ind w:left="570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Andrew Perlman</w:t>
            </w:r>
          </w:p>
        </w:tc>
      </w:tr>
      <w:tr>
        <w:trPr>
          <w:trHeight w:val="230"/>
        </w:trPr>
        <w:tc>
          <w:tcPr>
            <w:tcW w:w="6280" w:type="dxa"/>
            <w:vAlign w:val="bottom"/>
          </w:tcPr>
          <w:p>
            <w:pPr>
              <w:ind w:left="570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5637530</wp:posOffset>
            </wp:positionH>
            <wp:positionV relativeFrom="page">
              <wp:posOffset>586740</wp:posOffset>
            </wp:positionV>
            <wp:extent cx="1741170" cy="8661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174117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E CONVERTIBLE PREFERRED STOCK</w:t>
      </w:r>
    </w:p>
    <w:p>
      <w:pPr>
        <w:spacing w:after="0" w:line="211" w:lineRule="exact"/>
        <w:rPr>
          <w:sz w:val="20"/>
          <w:szCs w:val="20"/>
          <w:color w:val="auto"/>
        </w:rPr>
      </w:pPr>
    </w:p>
    <w:p>
      <w:pPr>
        <w:jc w:val="both"/>
        <w:ind w:left="20" w:right="20" w:firstLine="342"/>
        <w:spacing w:after="0" w:line="264" w:lineRule="auto"/>
        <w:rPr>
          <w:sz w:val="20"/>
          <w:szCs w:val="20"/>
          <w:color w:val="auto"/>
        </w:rPr>
      </w:pPr>
      <w:r>
        <w:rPr>
          <w:rFonts w:ascii="Arial" w:cs="Arial" w:eastAsia="Arial" w:hAnsi="Arial"/>
          <w:sz w:val="18"/>
          <w:szCs w:val="18"/>
          <w:color w:val="auto"/>
        </w:rPr>
        <w:t>WHEREAS, the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xml:space="preserve">) of XpresSpa Group,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provides for a class of its authorized stock known as preferred stock, comprised of 5,000,000 shares, issuable from time to time in one or more series;</w:t>
      </w:r>
    </w:p>
    <w:p>
      <w:pPr>
        <w:spacing w:after="0" w:line="181" w:lineRule="exact"/>
        <w:rPr>
          <w:sz w:val="20"/>
          <w:szCs w:val="20"/>
          <w:color w:val="auto"/>
        </w:rPr>
      </w:pPr>
    </w:p>
    <w:p>
      <w:pPr>
        <w:jc w:val="both"/>
        <w:ind w:left="20" w:firstLine="342"/>
        <w:spacing w:after="0" w:line="264"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jc w:val="both"/>
        <w:ind w:left="20" w:firstLine="342"/>
        <w:spacing w:after="0" w:line="264" w:lineRule="auto"/>
        <w:rPr>
          <w:sz w:val="20"/>
          <w:szCs w:val="20"/>
          <w:color w:val="auto"/>
        </w:rPr>
      </w:pPr>
      <w:r>
        <w:rPr>
          <w:rFonts w:ascii="Arial" w:cs="Arial" w:eastAsia="Arial" w:hAnsi="Arial"/>
          <w:sz w:val="18"/>
          <w:szCs w:val="18"/>
          <w:color w:val="auto"/>
        </w:rPr>
        <w:t>WHEREAS, it is the desire of the Board of Directors, pursuant to its authority as aforesaid, to fix the rights, preferences, restrictions and other matters relating to a series of the preferred stock, which shall consist of 1,473,300 shares of the preferred stock which the Corporation has the authority to issue, classified as Series E Convertible Preferred Stock, as follows:</w:t>
      </w:r>
    </w:p>
    <w:p>
      <w:pPr>
        <w:spacing w:after="0" w:line="181" w:lineRule="exact"/>
        <w:rPr>
          <w:sz w:val="20"/>
          <w:szCs w:val="20"/>
          <w:color w:val="auto"/>
        </w:rPr>
      </w:pPr>
    </w:p>
    <w:p>
      <w:pPr>
        <w:jc w:val="both"/>
        <w:ind w:left="20" w:firstLine="702"/>
        <w:spacing w:after="0" w:line="259" w:lineRule="auto"/>
        <w:rPr>
          <w:sz w:val="20"/>
          <w:szCs w:val="20"/>
          <w:color w:val="auto"/>
        </w:rPr>
      </w:pPr>
      <w:r>
        <w:rPr>
          <w:rFonts w:ascii="Arial" w:cs="Arial" w:eastAsia="Arial" w:hAnsi="Arial"/>
          <w:sz w:val="18"/>
          <w:szCs w:val="18"/>
          <w:color w:val="auto"/>
        </w:rPr>
        <w:t xml:space="preserve">NOW, THEREFORE, BE IT RESOLVED, that the Board of Directors does hereby provide for the issuance of a series of preferred stock in exchange for other securities, rights, or property and does hereby fix and determine in this Certificate of Designation of Preferences, Rights and Limitations of the Series E Convertible Preferred Stock (this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the rights, preferences, restrictions and other matters relating to such series of preferred stock as follows:</w:t>
      </w:r>
    </w:p>
    <w:p>
      <w:pPr>
        <w:spacing w:after="0" w:line="18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left="340" w:right="20" w:hanging="332"/>
        <w:spacing w:after="0" w:line="259"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class of preferred stock hereby classified shall be designated the “</w:t>
      </w:r>
      <w:r>
        <w:rPr>
          <w:rFonts w:ascii="Arial" w:cs="Arial" w:eastAsia="Arial" w:hAnsi="Arial"/>
          <w:sz w:val="18"/>
          <w:szCs w:val="18"/>
          <w:u w:val="single" w:color="auto"/>
          <w:color w:val="auto"/>
        </w:rPr>
        <w:t>Series E Convertible Preferred Stock</w:t>
      </w:r>
      <w:r>
        <w:rPr>
          <w:rFonts w:ascii="Arial" w:cs="Arial" w:eastAsia="Arial" w:hAnsi="Arial"/>
          <w:sz w:val="18"/>
          <w:szCs w:val="18"/>
          <w:color w:val="auto"/>
        </w:rPr>
        <w:t>”. The initial number of authorized shares of the Series E Convertible Preferred Stock shall be 1,473,300, which, except as provided herein, shall not be subject to increase without the consent of the holders of a majority of the then outstanding shares of Series E Convertible Preferred Stock. Each share of the Series E Convertible Preferred Stock shall have a par value of $0.01.</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4"/>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Dividends and Distributions to the Holders of Common Stock</w:t>
      </w:r>
      <w:r>
        <w:rPr>
          <w:rFonts w:ascii="Arial" w:cs="Arial" w:eastAsia="Arial" w:hAnsi="Arial"/>
          <w:sz w:val="17"/>
          <w:szCs w:val="17"/>
          <w:color w:val="auto"/>
        </w:rPr>
        <w:t xml:space="preserve">. From and after the first date of issuance of any shares of Series E Convertible Preferred Stock (the </w:t>
      </w:r>
      <w:r>
        <w:rPr>
          <w:rFonts w:ascii="Arial" w:cs="Arial" w:eastAsia="Arial" w:hAnsi="Arial"/>
          <w:sz w:val="17"/>
          <w:szCs w:val="17"/>
          <w:u w:val="single" w:color="auto"/>
          <w:color w:val="auto"/>
        </w:rPr>
        <w:t>“Initial Issuance Date</w:t>
      </w:r>
      <w:r>
        <w:rPr>
          <w:rFonts w:ascii="Arial" w:cs="Arial" w:eastAsia="Arial" w:hAnsi="Arial"/>
          <w:sz w:val="17"/>
          <w:szCs w:val="17"/>
          <w:color w:val="auto"/>
        </w:rPr>
        <w:t xml:space="preserve">”), the holders of Series E Convertible Preferred Stock (each, a “Holder” and collectively, the </w:t>
      </w:r>
      <w:r>
        <w:rPr>
          <w:rFonts w:ascii="Arial" w:cs="Arial" w:eastAsia="Arial" w:hAnsi="Arial"/>
          <w:sz w:val="17"/>
          <w:szCs w:val="17"/>
          <w:u w:val="single" w:color="auto"/>
          <w:color w:val="auto"/>
        </w:rPr>
        <w:t>“Holders</w:t>
      </w:r>
      <w:r>
        <w:rPr>
          <w:rFonts w:ascii="Arial" w:cs="Arial" w:eastAsia="Arial" w:hAnsi="Arial"/>
          <w:sz w:val="17"/>
          <w:szCs w:val="17"/>
          <w:color w:val="auto"/>
        </w:rPr>
        <w:t>”) shall be entitled to receive such dividends paid and distributions made to the holders of common stock, par value $0.01 per share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pro rata to the holders of Common Stock to the same extent as if such Holders had converted the Series E Convertible Preferred Stock into Common Stock and had held such shares of Common Stock on the record date for such dividends and distributions. Payments under the preceding sentence shall be made concurrently with the dividend or distribution to the holders of Common Stock.</w:t>
      </w:r>
    </w:p>
    <w:p>
      <w:pPr>
        <w:spacing w:after="0" w:line="178" w:lineRule="exact"/>
        <w:rPr>
          <w:rFonts w:ascii="Arial" w:cs="Arial" w:eastAsia="Arial" w:hAnsi="Arial"/>
          <w:sz w:val="18"/>
          <w:szCs w:val="18"/>
          <w:color w:val="auto"/>
        </w:rPr>
      </w:pPr>
    </w:p>
    <w:p>
      <w:pPr>
        <w:ind w:left="660" w:hanging="324"/>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Payment of Dividends</w:t>
      </w:r>
      <w:r>
        <w:rPr>
          <w:rFonts w:ascii="Arial" w:cs="Arial" w:eastAsia="Arial" w:hAnsi="Arial"/>
          <w:sz w:val="16"/>
          <w:szCs w:val="16"/>
          <w:color w:val="auto"/>
        </w:rPr>
        <w:t>. In addition to the dividends described in Section 2.1, from and after the date of the issuance of any shares of Series E Convertible Preferred Stock, dividends at the rate per annum of $0.186 per share shall accrue on such shares of Series E Convertible Preferred Stock (subject to appropriate adjustment in the event of any stock dividend, stock split, combination or other similar recapitalization with respect to the Series E Convertible Preferred Stock) (the “</w:t>
      </w:r>
      <w:r>
        <w:rPr>
          <w:rFonts w:ascii="Arial" w:cs="Arial" w:eastAsia="Arial" w:hAnsi="Arial"/>
          <w:sz w:val="16"/>
          <w:szCs w:val="16"/>
          <w:u w:val="single" w:color="auto"/>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in the following sentence of this Section 2.2, in Section 4, or in Section 7,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(including the Series D Convertible Preferred Stock and other than dividends on shares of Common Stock payable in shares of Common Stock) unless the holders of the Series E Convertible Preferred Stock then outstanding shall first receive, or simultaneously receive, a dividend on each outstanding share of Series E Convertible Preferred Stock in an amount at least equal to (i) the amount of the aggregate Accruing Dividends then accrued on such share of Series E Convertible Preferred Stock and not previously paid and (ii) the amount required to be paid pursuant to Section 2.1. The dividends described in this Section 2.2 may be paid in shares of Series E Convertible Preferred Stock valued at $3.10 per share (provided that any accrued and unpaid dividend payable at maturity may be paid in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4" w:name="page195"/>
    <w:bookmarkEnd w:id="194"/>
    <w:p>
      <w:pPr>
        <w:ind w:left="332" w:hanging="332"/>
        <w:spacing w:after="0"/>
        <w:tabs>
          <w:tab w:leader="none" w:pos="33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Preferential Payments to Holders of Series E Convertible Preferred Stock</w:t>
      </w:r>
      <w:r>
        <w:rPr>
          <w:rFonts w:ascii="Arial" w:cs="Arial" w:eastAsia="Arial" w:hAnsi="Arial"/>
          <w:sz w:val="16"/>
          <w:szCs w:val="16"/>
          <w:color w:val="auto"/>
        </w:rPr>
        <w:t>. In the event of any voluntary or involuntary liquidation, dissolution or winding up of the Corporation or a Deemed Liquidation Event, subject to the rights of the holders of any other class of preferred stock, the holders of shares of Series E Convertible Preferred Stock then outstanding shall be entitled to be paid out of the assets of the Corporation available for distribution to its stockholders before any payment shall be made to the holders of Series D Convertible Preferred Stock by reason of their ownership thereof or to the holders of Common Stock by reason of their ownership thereof, an amount per share equal to the greater of (i) the Stated Value (defined below) plus any Accruing Dividends accrued but unpaid thereon, whether or not declared, together with any other dividends declared but unpaid thereon, or (ii) such amount per share as would have been payable had all shares of Series E Convertible Preferred Stock been converted into Common Stock pursuant to Section 6 immediately prior to such liquidation, dissolution or winding up of the Corporation or a Deemed Liquidation Event (the amount payable pursuant to this sentence is hereinafter referred to as the “</w:t>
      </w:r>
      <w:r>
        <w:rPr>
          <w:rFonts w:ascii="Arial" w:cs="Arial" w:eastAsia="Arial" w:hAnsi="Arial"/>
          <w:sz w:val="16"/>
          <w:szCs w:val="16"/>
          <w:u w:val="single" w:color="auto"/>
          <w:color w:val="auto"/>
        </w:rPr>
        <w:t>Series E Liquidation Preference Amount</w:t>
      </w:r>
      <w:r>
        <w:rPr>
          <w:rFonts w:ascii="Arial" w:cs="Arial" w:eastAsia="Arial" w:hAnsi="Arial"/>
          <w:sz w:val="16"/>
          <w:szCs w:val="16"/>
          <w:color w:val="auto"/>
        </w:rPr>
        <w:t>”). If upon any such liquidation, dissolution or winding up of the Corporation or a Deemed Liquidation Event, the assets of the Corporation available for distribution to its stockholders shall be insufficient to pay the Holders the full amount to which they shall be entitled under this Section 3.1, the Holders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4" w:lineRule="exact"/>
        <w:rPr>
          <w:rFonts w:ascii="Arial" w:cs="Arial" w:eastAsia="Arial" w:hAnsi="Arial"/>
          <w:sz w:val="18"/>
          <w:szCs w:val="18"/>
          <w:color w:val="auto"/>
        </w:rPr>
      </w:pPr>
    </w:p>
    <w:p>
      <w:pPr>
        <w:ind w:left="652" w:hanging="324"/>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Payments to Holders of Series D Convertible Preferred Stock and Common Stock</w:t>
      </w:r>
      <w:r>
        <w:rPr>
          <w:rFonts w:ascii="Arial" w:cs="Arial" w:eastAsia="Arial" w:hAnsi="Arial"/>
          <w:sz w:val="17"/>
          <w:szCs w:val="17"/>
          <w:color w:val="auto"/>
        </w:rPr>
        <w:t>. In the event of any voluntary or involuntary liquidation, dissolution or winding up of the Corporation, after the payment of all preferential amounts required to be paid to the holders of shares of Series E Convertible Preferred Stock (subject to the rights of the holders of any other class of preferred stock), the remaining assets of the Corporation available for distribution to its stockholders shall be distributed in accordance with the other provisions of the Charter, including as set forth in the Certificate of Designation of Preferences, Rights and Limitations of the Series D Convertible Preferred Stock (the “</w:t>
      </w:r>
      <w:r>
        <w:rPr>
          <w:rFonts w:ascii="Arial" w:cs="Arial" w:eastAsia="Arial" w:hAnsi="Arial"/>
          <w:sz w:val="17"/>
          <w:szCs w:val="17"/>
          <w:u w:val="single" w:color="auto"/>
          <w:color w:val="auto"/>
        </w:rPr>
        <w:t>Series D 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Designation</w:t>
      </w:r>
      <w:r>
        <w:rPr>
          <w:rFonts w:ascii="Arial" w:cs="Arial" w:eastAsia="Arial" w:hAnsi="Arial"/>
          <w:sz w:val="17"/>
          <w:szCs w:val="17"/>
          <w:color w:val="auto"/>
        </w:rPr>
        <w:t>”). For the avoidance of doubt, this Certificate of Designation shall be deemed to amend the Series D Certificate of Designation so as to effect the senior ranking of the Series E Preferred Stock and the liquidation preference set forth in this Section 3.</w:t>
      </w:r>
    </w:p>
    <w:p>
      <w:pPr>
        <w:spacing w:after="0" w:line="177" w:lineRule="exact"/>
        <w:rPr>
          <w:rFonts w:ascii="Arial" w:cs="Arial" w:eastAsia="Arial" w:hAnsi="Arial"/>
          <w:sz w:val="18"/>
          <w:szCs w:val="18"/>
          <w:color w:val="auto"/>
        </w:rPr>
      </w:pPr>
    </w:p>
    <w:p>
      <w:pPr>
        <w:ind w:left="332" w:hanging="332"/>
        <w:spacing w:after="0"/>
        <w:tabs>
          <w:tab w:leader="none" w:pos="33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5" w:lineRule="exact"/>
        <w:rPr>
          <w:sz w:val="20"/>
          <w:szCs w:val="20"/>
          <w:color w:val="auto"/>
        </w:rPr>
      </w:pPr>
    </w:p>
    <w:p>
      <w:pPr>
        <w:ind w:left="1232" w:hanging="580"/>
        <w:spacing w:after="0" w:line="277" w:lineRule="auto"/>
        <w:tabs>
          <w:tab w:leader="none" w:pos="1212" w:val="left"/>
        </w:tabs>
        <w:rPr>
          <w:sz w:val="20"/>
          <w:szCs w:val="20"/>
          <w:color w:val="auto"/>
        </w:rPr>
      </w:pPr>
      <w:r>
        <w:rPr>
          <w:rFonts w:ascii="Arial" w:cs="Arial" w:eastAsia="Arial" w:hAnsi="Arial"/>
          <w:sz w:val="18"/>
          <w:szCs w:val="18"/>
          <w:color w:val="auto"/>
        </w:rPr>
        <w:t>4.1.1.</w:t>
        <w:tab/>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95" w:name="page196"/>
    <w:bookmarkEnd w:id="195"/>
    <w:p>
      <w:pPr>
        <w:jc w:val="both"/>
        <w:ind w:left="580" w:hanging="580"/>
        <w:spacing w:after="0" w:line="285" w:lineRule="auto"/>
        <w:tabs>
          <w:tab w:leader="none" w:pos="5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Deemed Liquidation Event</w:t>
      </w:r>
      <w:r>
        <w:rPr>
          <w:rFonts w:ascii="Arial" w:cs="Arial" w:eastAsia="Arial" w:hAnsi="Arial"/>
          <w:sz w:val="16"/>
          <w:szCs w:val="16"/>
          <w:color w:val="auto"/>
        </w:rPr>
        <w:t>” means that the Corporation shall, directly or indirectly, in one or more related transactions, (A) (i) consolidate or merge with or into (whether or not the Corporation is the surviving corporation) another Person or (ii) permit any subsidiary of the Corporation to merge or consolidate with or into (whether or not the subsidiary of the Corporation is the surviving corporation) another Person, if the Corporation issues shares of its capital stock pursuant to such merger or consolidation (in either (i) or (ii) of this clause (A)), other than a consolidation or merger involving the Corporation or a subsidiary of the Corporation in which the shares of capital stock of the Corporation outstanding immediately prior to such consolidation or merger continue to represent, or are converted into or exchanged for shares of capital stock that represent, immediately following such consolidation or merger, at least a majority of the Voting Stock of (1) the surviving or resulting corporation; or (2) if the surviving or resulting corporation is a wholly-owned subsidiary of another corporation immediately following such consolidation or merger, the parent corporation of such surviving or resulting corporation), or (B) sell, assign, transfer, convey or otherwise dispose of all or substantially all of the properties or assets of the Corporation on a consolidated basis to another entity, or (C) allow another Person(s)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Person(s) making or party to, or associated or affiliated with the other Person(s) making or party to, such stock purchase agreement or other business combination).</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jc w:val="both"/>
        <w:ind w:left="580" w:hanging="580"/>
        <w:spacing w:after="0" w:line="277" w:lineRule="auto"/>
        <w:tabs>
          <w:tab w:leader="none" w:pos="560" w:val="left"/>
        </w:tabs>
        <w:rPr>
          <w:sz w:val="20"/>
          <w:szCs w:val="20"/>
          <w:color w:val="auto"/>
        </w:rPr>
      </w:pPr>
      <w:r>
        <w:rPr>
          <w:rFonts w:ascii="Arial" w:cs="Arial" w:eastAsia="Arial" w:hAnsi="Arial"/>
          <w:sz w:val="18"/>
          <w:szCs w:val="18"/>
          <w:color w:val="auto"/>
        </w:rPr>
        <w:t>4.1.4.</w:t>
        <w:tab/>
        <w:t>“</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the New York Stock Exchange, Inc., the NYSE MKT, the Nasdaq Global Select Market, the Nasdaq Global Market, and the Nasdaq Capital Market, and any successor to any of the foregoing.</w:t>
      </w:r>
    </w:p>
    <w:p>
      <w:pPr>
        <w:spacing w:after="0" w:line="170" w:lineRule="exact"/>
        <w:rPr>
          <w:sz w:val="20"/>
          <w:szCs w:val="20"/>
          <w:color w:val="auto"/>
        </w:rPr>
      </w:pPr>
    </w:p>
    <w:p>
      <w:pPr>
        <w:jc w:val="both"/>
        <w:ind w:left="580" w:hanging="580"/>
        <w:spacing w:after="0" w:line="277" w:lineRule="auto"/>
        <w:tabs>
          <w:tab w:leader="none" w:pos="560" w:val="left"/>
        </w:tabs>
        <w:rPr>
          <w:sz w:val="20"/>
          <w:szCs w:val="20"/>
          <w:color w:val="auto"/>
        </w:rPr>
      </w:pPr>
      <w:r>
        <w:rPr>
          <w:rFonts w:ascii="Arial" w:cs="Arial" w:eastAsia="Arial" w:hAnsi="Arial"/>
          <w:sz w:val="18"/>
          <w:szCs w:val="18"/>
          <w:color w:val="auto"/>
        </w:rPr>
        <w:t>4.1.5.</w:t>
        <w:tab/>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Required Holders</w:t>
      </w:r>
      <w:r>
        <w:rPr>
          <w:rFonts w:ascii="Arial" w:cs="Arial" w:eastAsia="Arial" w:hAnsi="Arial"/>
          <w:sz w:val="16"/>
          <w:szCs w:val="16"/>
          <w:color w:val="auto"/>
        </w:rPr>
        <w:t>” means the holders of record of a majority of the then outstanding shares of Series E Convertible Preferred Stock.</w:t>
      </w:r>
    </w:p>
    <w:p>
      <w:pPr>
        <w:spacing w:after="0" w:line="225" w:lineRule="exact"/>
        <w:rPr>
          <w:sz w:val="20"/>
          <w:szCs w:val="20"/>
          <w:color w:val="auto"/>
        </w:rPr>
      </w:pPr>
    </w:p>
    <w:p>
      <w:pPr>
        <w:jc w:val="both"/>
        <w:ind w:left="580" w:right="20" w:hanging="580"/>
        <w:spacing w:after="0" w:line="264" w:lineRule="auto"/>
        <w:tabs>
          <w:tab w:leader="none" w:pos="560" w:val="left"/>
        </w:tabs>
        <w:rPr>
          <w:sz w:val="20"/>
          <w:szCs w:val="20"/>
          <w:color w:val="auto"/>
        </w:rPr>
      </w:pPr>
      <w:r>
        <w:rPr>
          <w:rFonts w:ascii="Arial" w:cs="Arial" w:eastAsia="Arial" w:hAnsi="Arial"/>
          <w:sz w:val="18"/>
          <w:szCs w:val="18"/>
          <w:color w:val="auto"/>
        </w:rPr>
        <w:t>4.1.7.</w:t>
        <w:tab/>
        <w:t>“</w:t>
      </w:r>
      <w:r>
        <w:rPr>
          <w:rFonts w:ascii="Arial" w:cs="Arial" w:eastAsia="Arial" w:hAnsi="Arial"/>
          <w:sz w:val="18"/>
          <w:szCs w:val="18"/>
          <w:u w:val="single" w:color="auto"/>
          <w:color w:val="auto"/>
        </w:rPr>
        <w:t>Stated Value</w:t>
      </w:r>
      <w:r>
        <w:rPr>
          <w:rFonts w:ascii="Arial" w:cs="Arial" w:eastAsia="Arial" w:hAnsi="Arial"/>
          <w:sz w:val="18"/>
          <w:szCs w:val="18"/>
          <w:color w:val="auto"/>
        </w:rPr>
        <w:t>” shall mean $3.10 per share, subject to adjustment for stock splits, stock dividends, recapitalizations, reorganizations, reclassifications, combinations, reverse stock splits or other similar events relating to the Series E Convertible Preferred Stock after the Initial Issuance Date.</w:t>
      </w:r>
    </w:p>
    <w:p>
      <w:pPr>
        <w:spacing w:after="0" w:line="181" w:lineRule="exact"/>
        <w:rPr>
          <w:sz w:val="20"/>
          <w:szCs w:val="20"/>
          <w:color w:val="auto"/>
        </w:rPr>
      </w:pPr>
    </w:p>
    <w:p>
      <w:pPr>
        <w:jc w:val="both"/>
        <w:ind w:left="580" w:hanging="580"/>
        <w:spacing w:after="0" w:line="273" w:lineRule="auto"/>
        <w:tabs>
          <w:tab w:leader="none" w:pos="56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78"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4.1.9.</w:t>
        <w:tab/>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 that has not occurred at the time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401955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jc w:val="both"/>
        <w:ind w:left="900" w:hanging="580"/>
        <w:spacing w:after="0" w:line="259" w:lineRule="auto"/>
        <w:tabs>
          <w:tab w:leader="none" w:pos="880" w:val="left"/>
        </w:tabs>
        <w:rPr>
          <w:sz w:val="20"/>
          <w:szCs w:val="20"/>
          <w:color w:val="auto"/>
        </w:rPr>
      </w:pPr>
      <w:r>
        <w:rPr>
          <w:rFonts w:ascii="Arial" w:cs="Arial" w:eastAsia="Arial" w:hAnsi="Arial"/>
          <w:sz w:val="18"/>
          <w:szCs w:val="18"/>
          <w:color w:val="auto"/>
        </w:rPr>
        <w:t>4.2.1.</w:t>
        <w:tab/>
        <w:t>The Corporation shall not have the power to effect a Deemed Liquidation Event referred to in clause (A) of the definition of “Deemed Liquidation Event” unless the agreement or plan of merger or consolidation for such transaction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provides that the consideration payable to the stockholders of the Corporation shall be allocated among the holders of capital stock of the Corporation in accordance with Section 3.</w:t>
      </w:r>
    </w:p>
    <w:p>
      <w:pPr>
        <w:spacing w:after="0" w:line="187" w:lineRule="exact"/>
        <w:rPr>
          <w:sz w:val="20"/>
          <w:szCs w:val="20"/>
          <w:color w:val="auto"/>
        </w:rPr>
      </w:pPr>
    </w:p>
    <w:p>
      <w:pPr>
        <w:jc w:val="both"/>
        <w:ind w:left="900" w:hanging="580"/>
        <w:spacing w:after="0" w:line="285" w:lineRule="auto"/>
        <w:tabs>
          <w:tab w:leader="none" w:pos="8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In the event of a Deemed Liquidation Event, if the Corporation does not effect a dissolution of the Corporation under the Delaware General Corporation Law (“DGCL”) within ninety (90) days after such Deemed Liquidation Event, then (i) the Corporation shall send a written notice to each holder of Series E Convertible Preferred Stock no later than the ninetieth (90th) day after the Deemed Liquidation Event advising such holders of their right (and the requirements to be met to secure such right) pursuant to the terms of the following clause; (ii) to require the repayment and cancellation of such shares of Series E Convertible Preferred Stock, and (iii) if the holders of at least 50% of the then outstanding shares of Series E Convertible Preferred Stock so request in a written instrument delivered to the Corporation not later than 30 days after receipt of the notice described in clause (i), the Corporation shall use the consideration received by the Corporation for such Deemed Liquidation Event (net of any retained liabilities associated with the assets sold or technology licensed, as determined in good faith by the Board of Directors), together with any other assets of the Corporation available for distribution to its stockholders, subject to the rights of any other existing class of preferred stock, all to the extent permitted by Delaware law governing distributions to stockholders (the “</w:t>
      </w:r>
      <w:r>
        <w:rPr>
          <w:rFonts w:ascii="Arial" w:cs="Arial" w:eastAsia="Arial" w:hAnsi="Arial"/>
          <w:sz w:val="16"/>
          <w:szCs w:val="16"/>
          <w:u w:val="single" w:color="auto"/>
          <w:color w:val="auto"/>
        </w:rPr>
        <w:t>Available Proceeds</w:t>
      </w:r>
      <w:r>
        <w:rPr>
          <w:rFonts w:ascii="Arial" w:cs="Arial" w:eastAsia="Arial" w:hAnsi="Arial"/>
          <w:sz w:val="16"/>
          <w:szCs w:val="16"/>
          <w:color w:val="auto"/>
        </w:rPr>
        <w:t>”), on the one hundred fiftieth (150th) day after such Deemed Liquidation Event, to repay and cancel all outstanding shares of Series E Convertible Preferred Stock at a price per share equal to the Series E Liquidation Preference Amount. Notwithstanding the foregoing, in the event of a repayment pursuant to the preceding sentence, if the Available Proceeds are not sufficient to repay all outstanding shares of Series E Convertible Preferred Stock, the Corporation shall ratably repay each Holder’s shares of Series E Convertible Preferred Stock to the fullest extent of such Available Proceeds, and shall repay the remaining shares as soon as it may lawfully do so under Delaware law governing distributions to stockholders. Prior to the distribution or repayment provided for in this Section 4.2.2, the Corporation shall not expend or dissipate the consideration received for such Deemed Liquidation Event, except to discharge expenses incurred in connection with such Deemed Liquidation Event or in the ordinary course of business.</w:t>
      </w:r>
    </w:p>
    <w:p>
      <w:pPr>
        <w:spacing w:after="0" w:line="173" w:lineRule="exact"/>
        <w:rPr>
          <w:sz w:val="20"/>
          <w:szCs w:val="20"/>
          <w:color w:val="auto"/>
        </w:rPr>
      </w:pPr>
    </w:p>
    <w:p>
      <w:pPr>
        <w:jc w:val="both"/>
        <w:ind w:left="320" w:hanging="32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the occurrence of a Deemed Liquidation Event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spacing w:after="0" w:line="187" w:lineRule="exact"/>
        <w:rPr>
          <w:sz w:val="20"/>
          <w:szCs w:val="20"/>
          <w:color w:val="auto"/>
        </w:rPr>
      </w:pPr>
    </w:p>
    <w:p>
      <w:pPr>
        <w:jc w:val="both"/>
        <w:ind w:left="320" w:hanging="323"/>
        <w:spacing w:after="0" w:line="289"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clause (A)(i) of the definition thereof, if any portion of the consideration payable to the stockholders of the Corporation is payable only upon satisfaction of contingencies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the transaction agreement shall provide that (a) the portion of such consideration that is not Additional Consideration (such portion, the “</w:t>
      </w:r>
      <w:r>
        <w:rPr>
          <w:rFonts w:ascii="Arial" w:cs="Arial" w:eastAsia="Arial" w:hAnsi="Arial"/>
          <w:sz w:val="16"/>
          <w:szCs w:val="16"/>
          <w:u w:val="single" w:color="auto"/>
          <w:color w:val="auto"/>
        </w:rPr>
        <w:t>Initial Consideration</w:t>
      </w:r>
      <w:r>
        <w:rPr>
          <w:rFonts w:ascii="Arial" w:cs="Arial" w:eastAsia="Arial" w:hAnsi="Arial"/>
          <w:sz w:val="16"/>
          <w:szCs w:val="16"/>
          <w:color w:val="auto"/>
        </w:rPr>
        <w:t>”) shall be allocated among the holders of capital stock of the Corporation in accordance with Sections 3.1 and 3.2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Sections 3.1 and 3.2 after taking into account the previous payment of the Initial Consideration as part of the same transaction. For the purposes of this Subsection 4.4, consideration placed into escrow or retained as holdback to be available for satisfaction of indemnification or similar obligations in connection with such Deemed Liquidation Event shall be deemed to be Additional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389255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97" w:name="page198"/>
    <w:bookmarkEnd w:id="197"/>
    <w:p>
      <w:pPr>
        <w:jc w:val="both"/>
        <w:ind w:left="332" w:hanging="332"/>
        <w:spacing w:after="0" w:line="276" w:lineRule="auto"/>
        <w:tabs>
          <w:tab w:leader="none" w:pos="332"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On any matter presented to the stockholders of the Corporation for their action or consideration at any meeting of stockholders of the Corporation (or by written consent of stockholders in lieu of meeting), each Holder shall be entitled to cast the number of votes equal to the number of whole shares of Common Stock into which the shares of Series E Convertible Preferred Stock held by such holder are convertible as of the record date for determining stockholders entitled to vote on such matter. Except as provided by law or by the other provisions of the Charter, the holders of Series E Convertible Preferred Stock shall vote together with the holders of Common Stock as a single class.</w:t>
      </w:r>
    </w:p>
    <w:p>
      <w:pPr>
        <w:spacing w:after="0" w:line="172" w:lineRule="exact"/>
        <w:rPr>
          <w:rFonts w:ascii="Arial" w:cs="Arial" w:eastAsia="Arial" w:hAnsi="Arial"/>
          <w:sz w:val="17"/>
          <w:szCs w:val="17"/>
          <w:color w:val="auto"/>
        </w:rPr>
      </w:pPr>
    </w:p>
    <w:p>
      <w:pPr>
        <w:ind w:left="332" w:hanging="332"/>
        <w:spacing w:after="0"/>
        <w:tabs>
          <w:tab w:leader="none" w:pos="33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left="652" w:hanging="323"/>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Holder’s Right to Convert</w:t>
      </w:r>
      <w:r>
        <w:rPr>
          <w:rFonts w:ascii="Arial" w:cs="Arial" w:eastAsia="Arial" w:hAnsi="Arial"/>
          <w:sz w:val="18"/>
          <w:szCs w:val="18"/>
          <w:color w:val="auto"/>
        </w:rPr>
        <w:t>. The holders of the Series E Convertible Preferred Stock shall have conversion rights as follows (the “</w:t>
      </w:r>
      <w:r>
        <w:rPr>
          <w:rFonts w:ascii="Arial" w:cs="Arial" w:eastAsia="Arial" w:hAnsi="Arial"/>
          <w:sz w:val="18"/>
          <w:szCs w:val="18"/>
          <w:u w:val="single" w:color="auto"/>
          <w:color w:val="auto"/>
        </w:rPr>
        <w:t>Conversion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w:t>
      </w:r>
      <w:r>
        <w:rPr>
          <w:rFonts w:ascii="Arial" w:cs="Arial" w:eastAsia="Arial" w:hAnsi="Arial"/>
          <w:sz w:val="18"/>
          <w:szCs w:val="18"/>
          <w:color w:val="auto"/>
        </w:rPr>
        <w:t>”):</w:t>
      </w:r>
    </w:p>
    <w:p>
      <w:pPr>
        <w:spacing w:after="0" w:line="170" w:lineRule="exact"/>
        <w:rPr>
          <w:sz w:val="20"/>
          <w:szCs w:val="20"/>
          <w:color w:val="auto"/>
        </w:rPr>
      </w:pPr>
    </w:p>
    <w:p>
      <w:pPr>
        <w:ind w:left="652"/>
        <w:spacing w:after="0"/>
        <w:tabs>
          <w:tab w:leader="none" w:pos="1212"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jc w:val="both"/>
        <w:ind w:left="1552" w:hanging="580"/>
        <w:spacing w:after="0" w:line="271" w:lineRule="auto"/>
        <w:rPr>
          <w:sz w:val="20"/>
          <w:szCs w:val="20"/>
          <w:color w:val="auto"/>
        </w:rPr>
      </w:pPr>
      <w:r>
        <w:rPr>
          <w:rFonts w:ascii="Arial" w:cs="Arial" w:eastAsia="Arial" w:hAnsi="Arial"/>
          <w:sz w:val="17"/>
          <w:szCs w:val="17"/>
          <w:color w:val="auto"/>
        </w:rPr>
        <w:t xml:space="preserve">6.1.1.1.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Series E Convertible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Stated Value (plus any accrued but unpaid dividends) by the Series E Conversion Price (as defined below) in effect at the time of conversion (the result of such fraction, the “</w:t>
      </w:r>
      <w:r>
        <w:rPr>
          <w:rFonts w:ascii="Arial" w:cs="Arial" w:eastAsia="Arial" w:hAnsi="Arial"/>
          <w:sz w:val="17"/>
          <w:szCs w:val="17"/>
          <w:u w:val="single" w:color="auto"/>
          <w:color w:val="auto"/>
        </w:rPr>
        <w:t>Series E 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Rate</w:t>
      </w:r>
      <w:r>
        <w:rPr>
          <w:rFonts w:ascii="Arial" w:cs="Arial" w:eastAsia="Arial" w:hAnsi="Arial"/>
          <w:sz w:val="17"/>
          <w:szCs w:val="17"/>
          <w:color w:val="auto"/>
        </w:rPr>
        <w:t>”). The “</w:t>
      </w:r>
      <w:r>
        <w:rPr>
          <w:rFonts w:ascii="Arial" w:cs="Arial" w:eastAsia="Arial" w:hAnsi="Arial"/>
          <w:sz w:val="17"/>
          <w:szCs w:val="17"/>
          <w:u w:val="single" w:color="auto"/>
          <w:color w:val="auto"/>
        </w:rPr>
        <w:t>Series E Conversion Price</w:t>
      </w:r>
      <w:r>
        <w:rPr>
          <w:rFonts w:ascii="Arial" w:cs="Arial" w:eastAsia="Arial" w:hAnsi="Arial"/>
          <w:sz w:val="17"/>
          <w:szCs w:val="17"/>
          <w:color w:val="auto"/>
        </w:rPr>
        <w:t>” shall initially be equal to $0.62. Such initial Series E Conversion Price, and the rate at which shares of Series E Convertible Preferred Stock may be converted into shares of Common Stock, shall be subject to adjustment as provided below. On the Initial Issuance Date, the Series E Conversion Rate shall be equal to 5 shares of Common Stock for each share of Series E Convertible Preferred Stock.</w:t>
      </w:r>
    </w:p>
    <w:p>
      <w:pPr>
        <w:spacing w:after="0" w:line="179" w:lineRule="exact"/>
        <w:rPr>
          <w:sz w:val="20"/>
          <w:szCs w:val="20"/>
          <w:color w:val="auto"/>
        </w:rPr>
      </w:pPr>
    </w:p>
    <w:p>
      <w:pPr>
        <w:jc w:val="both"/>
        <w:ind w:left="1552" w:hanging="580"/>
        <w:spacing w:after="0" w:line="264" w:lineRule="auto"/>
        <w:rPr>
          <w:sz w:val="20"/>
          <w:szCs w:val="20"/>
          <w:color w:val="auto"/>
        </w:rPr>
      </w:pPr>
      <w:r>
        <w:rPr>
          <w:rFonts w:ascii="Arial" w:cs="Arial" w:eastAsia="Arial" w:hAnsi="Arial"/>
          <w:sz w:val="18"/>
          <w:szCs w:val="18"/>
          <w:color w:val="auto"/>
        </w:rPr>
        <w:t xml:space="preserve">6.1.1.2.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the Conversion Rights shall terminate at the close of business on the last full day preceding the date fixed for the payment of any such amounts distributable on such event to the holders of Series E Convertible Preferred Stock.</w:t>
      </w:r>
    </w:p>
    <w:p>
      <w:pPr>
        <w:spacing w:after="0" w:line="181" w:lineRule="exact"/>
        <w:rPr>
          <w:sz w:val="20"/>
          <w:szCs w:val="20"/>
          <w:color w:val="auto"/>
        </w:rPr>
      </w:pPr>
    </w:p>
    <w:p>
      <w:pPr>
        <w:jc w:val="both"/>
        <w:ind w:left="1232" w:hanging="580"/>
        <w:spacing w:after="0" w:line="255" w:lineRule="auto"/>
        <w:tabs>
          <w:tab w:leader="none" w:pos="1212"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shall be issued upon conversion of the Series E Convertible Preferred Stock.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Series E Convertible Preferred Stock the Holder is at the time converting into Common Stock and the aggregate number of shares of Common Stock issuable upon such conversion.</w:t>
      </w:r>
    </w:p>
    <w:p>
      <w:pPr>
        <w:spacing w:after="0" w:line="19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The conversion of Series E Convertible Preferred Stock shall be conducted in the following manner:</w:t>
      </w:r>
    </w:p>
    <w:p>
      <w:pPr>
        <w:spacing w:after="0" w:line="225" w:lineRule="exact"/>
        <w:rPr>
          <w:sz w:val="20"/>
          <w:szCs w:val="20"/>
          <w:color w:val="auto"/>
        </w:rPr>
      </w:pPr>
    </w:p>
    <w:p>
      <w:pPr>
        <w:jc w:val="both"/>
        <w:ind w:left="1232" w:hanging="580"/>
        <w:spacing w:after="0" w:line="285" w:lineRule="auto"/>
        <w:tabs>
          <w:tab w:leader="none" w:pos="1212"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u w:val="single" w:color="auto"/>
          <w:color w:val="auto"/>
        </w:rPr>
        <w:t>Conversion Notice</w:t>
      </w:r>
      <w:r>
        <w:rPr>
          <w:rFonts w:ascii="Arial" w:cs="Arial" w:eastAsia="Arial" w:hAnsi="Arial"/>
          <w:sz w:val="16"/>
          <w:szCs w:val="16"/>
          <w:color w:val="auto"/>
        </w:rPr>
        <w:t>. The Holder of record of shares of Series E Convertible Preferred Stock being converted shall (A) transmit by email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otherwise deliver) a copy of a properly completed notice of conversion executed by the registered Holder of the Series E Convertible Preferred Stock subject to such conversion in the form attached hereto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A (the “</w:t>
      </w:r>
      <w:r>
        <w:rPr>
          <w:rFonts w:ascii="Arial" w:cs="Arial" w:eastAsia="Arial" w:hAnsi="Arial"/>
          <w:sz w:val="16"/>
          <w:szCs w:val="16"/>
          <w:u w:val="single" w:color="auto"/>
          <w:color w:val="auto"/>
        </w:rPr>
        <w:t>Conversion Notice</w:t>
      </w:r>
      <w:r>
        <w:rPr>
          <w:rFonts w:ascii="Arial" w:cs="Arial" w:eastAsia="Arial" w:hAnsi="Arial"/>
          <w:sz w:val="16"/>
          <w:szCs w:val="16"/>
          <w:color w:val="auto"/>
        </w:rPr>
        <w:t>”) to the Corporation and if the Corporation has appointed a registered transfer agent, the Corporation’s registered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(if the Corporation does not have a registered transfer agent, references hereto to the "Transfer Agent” shall be deemed to be references to the Corporation) and</w:t>
      </w:r>
    </w:p>
    <w:p>
      <w:pPr>
        <w:spacing w:after="0" w:line="2" w:lineRule="exact"/>
        <w:rPr>
          <w:sz w:val="20"/>
          <w:szCs w:val="20"/>
          <w:color w:val="auto"/>
        </w:rPr>
      </w:pPr>
    </w:p>
    <w:p>
      <w:pPr>
        <w:jc w:val="both"/>
        <w:ind w:left="1232" w:right="20" w:hanging="3"/>
        <w:spacing w:after="0" w:line="255" w:lineRule="auto"/>
        <w:tabs>
          <w:tab w:leader="none" w:pos="151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required by Section 6.2.3, surrender to a common carrier for delivery to the Corporation as soon as practicable following such date the original certificates, if any, representing the Series E Convertible Preferred Stock being converted (or compliance with the procedures set forth in Section 11) (the “</w:t>
      </w:r>
      <w:r>
        <w:rPr>
          <w:rFonts w:ascii="Arial" w:cs="Arial" w:eastAsia="Arial" w:hAnsi="Arial"/>
          <w:sz w:val="18"/>
          <w:szCs w:val="18"/>
          <w:u w:val="single" w:color="auto"/>
          <w:color w:val="auto"/>
        </w:rPr>
        <w:t>Preferred Stock Certificates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404495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98" w:name="page199"/>
    <w:bookmarkEnd w:id="198"/>
    <w:p>
      <w:pPr>
        <w:jc w:val="both"/>
        <w:ind w:left="40" w:hanging="580"/>
        <w:spacing w:after="0" w:line="288" w:lineRule="auto"/>
        <w:tabs>
          <w:tab w:leader="none" w:pos="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but in any event within three (3) Trading Days, send, via email, a confirmation of receipt of such Conversion Notice to such Holder and the Transfer Agent, if applicable, which confirmation shall constitute an instruction to the Transfer Agent to process such Conversion Notice in</w:t>
      </w:r>
    </w:p>
    <w:p>
      <w:pPr>
        <w:jc w:val="both"/>
        <w:ind w:left="40"/>
        <w:spacing w:after="0" w:line="257" w:lineRule="auto"/>
        <w:rPr>
          <w:sz w:val="20"/>
          <w:szCs w:val="20"/>
          <w:color w:val="auto"/>
        </w:rPr>
      </w:pPr>
      <w:r>
        <w:rPr>
          <w:rFonts w:ascii="Arial" w:cs="Arial" w:eastAsia="Arial" w:hAnsi="Arial"/>
          <w:sz w:val="17"/>
          <w:szCs w:val="17"/>
          <w:color w:val="auto"/>
        </w:rPr>
        <w:t>accordance with the terms herein and (B) on or before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date of receipt by the Corporation of such Conversion Notice,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E Convertible Preferred Stock represented by the Preferred Stock Certificate(s) submitted for conversion is greater than the number of shares of Series E Convertible Preferred Stock being converted, then the Corporation shall or shall direct the Transfer Agent, as soon as practicable and in no event later than three (3) Business Days after receipt of the Preferred Stock Certificate(s) and at its own expense, issue and deliver to the Holder a new Preferred Stock Certificate representing the number of shares of Series E Convertible Preferred Stock not converted or it shall direct the Transfer Agent to update the Holder’s account to reflect the number of shares of Series E Convertible Preferred Stock not converted.</w:t>
      </w:r>
    </w:p>
    <w:p>
      <w:pPr>
        <w:spacing w:after="0" w:line="188" w:lineRule="exact"/>
        <w:rPr>
          <w:sz w:val="20"/>
          <w:szCs w:val="20"/>
          <w:color w:val="auto"/>
        </w:rPr>
      </w:pPr>
    </w:p>
    <w:p>
      <w:pPr>
        <w:jc w:val="both"/>
        <w:ind w:left="40" w:hanging="580"/>
        <w:spacing w:after="0" w:line="285" w:lineRule="auto"/>
        <w:tabs>
          <w:tab w:leader="none" w:pos="20" w:val="left"/>
        </w:tabs>
        <w:rPr>
          <w:sz w:val="20"/>
          <w:szCs w:val="20"/>
          <w:color w:val="auto"/>
        </w:rPr>
      </w:pPr>
      <w:r>
        <w:rPr>
          <w:rFonts w:ascii="Arial" w:cs="Arial" w:eastAsia="Arial" w:hAnsi="Arial"/>
          <w:sz w:val="18"/>
          <w:szCs w:val="18"/>
          <w:color w:val="auto"/>
        </w:rPr>
        <w:t>6.2.3.</w:t>
      </w:r>
      <w:r>
        <w:rPr>
          <w:sz w:val="20"/>
          <w:szCs w:val="20"/>
          <w:color w:val="auto"/>
        </w:rPr>
        <w:tab/>
      </w: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E Convertible Preferred Stock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accordance with the terms hereof, the Holder thereof shall not be required to physically surrender the Preferred Stock Certificate, if any, unless (A) the full or remaining number of shares of Series E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E Convertible Preferred Stock upon physical surrender of any Series E Convertible Preferred Stock. The Holder and the Corporation shall maintain records showing the number of shares of Series E Convertible Preferred Stock so converted and the dates of such conversions or shall use such other method, reasonably satisfactory to the Holder and the Corporation, so as not to require physical surrender of the certificate representing the Series E Convertible Preferred Stock upon each such conversion. In the event of any dispute or discrepancy, such records of the Corporation establishing the number of shares of Series E Convertible Preferred Stock to which the record holder is entitled shall be controlling and determinative in the absence of manifest error. Notwithstanding the foregoing, if Series E Convertible Preferred Stock represented by a certificate are converted as aforesaid, a Holder may not transfer the certificate representing the Series E Convertible Preferred Stock unless such Holder first physically surrenders the certificate representing the Series E Convertible Preferred Stock to the Corporation, whereupon the Corporation will forthwith issue and deliver upon the order of such Holder a new certificate of like tenor, registered as such Holder may request, representing in the aggregate the remaining number of shares of Series E Convertible Preferred Stock represented by such certificate. A Holder and any assignee, by acceptance of a certificate, acknowledge and agree that, by reason of the provisions of this paragraph, following conversion of any Series E Convertible Preferred Stock, the number of shares of Series E Convertible Preferred Stock represented by such certificate may be less than the number of shares of Series E Convertible Preferred Stock stated on the face thereof.</w:t>
      </w:r>
    </w:p>
    <w:p>
      <w:pPr>
        <w:spacing w:after="0" w:line="389" w:lineRule="exact"/>
        <w:rPr>
          <w:sz w:val="20"/>
          <w:szCs w:val="20"/>
          <w:color w:val="auto"/>
        </w:rPr>
      </w:pPr>
    </w:p>
    <w:p>
      <w:pPr>
        <w:jc w:val="both"/>
        <w:ind w:left="40" w:hanging="580"/>
        <w:spacing w:after="0" w:line="269" w:lineRule="auto"/>
        <w:tabs>
          <w:tab w:leader="none" w:pos="20" w:val="left"/>
        </w:tabs>
        <w:rPr>
          <w:sz w:val="20"/>
          <w:szCs w:val="20"/>
          <w:color w:val="auto"/>
        </w:rPr>
      </w:pPr>
      <w:r>
        <w:rPr>
          <w:rFonts w:ascii="Arial" w:cs="Arial" w:eastAsia="Arial" w:hAnsi="Arial"/>
          <w:sz w:val="18"/>
          <w:szCs w:val="18"/>
          <w:color w:val="auto"/>
        </w:rPr>
        <w:t>6.2.4.</w:t>
      </w:r>
      <w:r>
        <w:rPr>
          <w:sz w:val="20"/>
          <w:szCs w:val="20"/>
          <w:color w:val="auto"/>
        </w:rPr>
        <w:tab/>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so long as any shares of Series E Convertible Preferred Stock are outstanding, reserve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keep available out of its authorized and unissued Common Stock, solely for the purpose of effecting the conversion of the Series E Convertible Preferred Stock according to the terms hereof, such number of shares of Common Stock as shall from time to time be sufficient to effect the conversion of all of the Series E Convertible Preferred Stock then outstanding; and if at any time the number of authorized but unissued shares of Common Stock shall not be sufficient to effect the conversion of all then outstanding shares of the Series E Convertible Preferred Stock, the Corporation shall take such corporate action as may be necessary to increase its authorized but unissued shares of Common Stock to such number of shares as shall be sufficient for such purposes, including, without limitation, engaging in all reasonable efforts to obtain the requisite stockholder approval of any necessary amendment to the Charter. Before taking any action which would cause an adjustment reducing the Series E Conversion Price below the then par value of the shares of Common Stock issuable upon conversion of the Series E Convertible Preferred Stock, the Corporation will take any corporate action which may, in the opinion of its counsel, be necessary in order that the Corporation may validly and legally issue fully paid and non-assessable shares of Common Stock at such adjusted Series E Convertible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397510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99" w:name="page200"/>
    <w:bookmarkEnd w:id="199"/>
    <w:p>
      <w:pPr>
        <w:jc w:val="both"/>
        <w:ind w:left="40" w:hanging="580"/>
        <w:spacing w:after="0" w:line="287" w:lineRule="auto"/>
        <w:tabs>
          <w:tab w:leader="none" w:pos="2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arithmetic calculation of the Series E Conversion Rate, the Corporation shall issue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Holder the number of shares of Common Stock that is not disputed and shall transmit an explanation of the disputed determinations or arithmetic calculations to the Holder via email within one (1) Business Day of receipt of such Holder’s Conversion Notice or other date of determination. If such Holder and the Corporation are unable to agree upon the determination of the arithmetic calculation of the Series E Conversion Rate within two (2) Business Days of such disputed determination or arithmetic calculation being transmitted to the Holder, then the Corporation shall within one (1) Business Day submit via email the disputed arithmetic calculation of the Series E Conversion Rate to any “big four” international accounting firm that is reasonably acceptable to the Corporation and the Holder.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3" w:lineRule="exact"/>
        <w:rPr>
          <w:sz w:val="20"/>
          <w:szCs w:val="20"/>
          <w:color w:val="auto"/>
        </w:rPr>
      </w:pPr>
    </w:p>
    <w:p>
      <w:pPr>
        <w:jc w:val="both"/>
        <w:ind w:left="40" w:hanging="580"/>
        <w:spacing w:after="0" w:line="342" w:lineRule="auto"/>
        <w:tabs>
          <w:tab w:leader="none" w:pos="20" w:val="left"/>
        </w:tabs>
        <w:rPr>
          <w:sz w:val="20"/>
          <w:szCs w:val="20"/>
          <w:color w:val="auto"/>
        </w:rPr>
      </w:pPr>
      <w:r>
        <w:rPr>
          <w:rFonts w:ascii="Arial" w:cs="Arial" w:eastAsia="Arial" w:hAnsi="Arial"/>
          <w:sz w:val="18"/>
          <w:szCs w:val="18"/>
          <w:color w:val="auto"/>
        </w:rPr>
        <w:t>6.2.6.</w:t>
      </w:r>
      <w:r>
        <w:rPr>
          <w:sz w:val="20"/>
          <w:szCs w:val="20"/>
          <w:color w:val="auto"/>
        </w:rPr>
        <w:tab/>
      </w: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E Convertible</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Preferred Stock shall be treated for all purposes as the record holder or holders of such shares of Common Stock on the date of conversion.</w:t>
      </w:r>
    </w:p>
    <w:p>
      <w:pPr>
        <w:spacing w:after="0" w:line="124" w:lineRule="exact"/>
        <w:rPr>
          <w:sz w:val="20"/>
          <w:szCs w:val="20"/>
          <w:color w:val="auto"/>
        </w:rPr>
      </w:pPr>
    </w:p>
    <w:p>
      <w:pPr>
        <w:jc w:val="both"/>
        <w:ind w:left="40" w:hanging="580"/>
        <w:spacing w:after="0" w:line="291" w:lineRule="auto"/>
        <w:tabs>
          <w:tab w:leader="none" w:pos="20"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16"/>
          <w:szCs w:val="16"/>
          <w:u w:val="single" w:color="auto"/>
          <w:color w:val="auto"/>
        </w:rPr>
        <w:t>Effect of Conversion</w:t>
      </w:r>
      <w:r>
        <w:rPr>
          <w:rFonts w:ascii="Arial" w:cs="Arial" w:eastAsia="Arial" w:hAnsi="Arial"/>
          <w:sz w:val="16"/>
          <w:szCs w:val="16"/>
          <w:color w:val="auto"/>
        </w:rPr>
        <w:t>. All shares of Series E Convertible Preferred Stock which shall have been surrendered for conversion as herein</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provided shall no longer be deemed to be outstanding and all rights with respect to such shares, including the rights, if any, to receive notices and to vote in the capacity of a Holder, shall forthwith cease and terminate except only the right of the holder thereof to receive shares of Common Stock in exchange therefor, to receive payment in lieu of any fraction of a share otherwise issuable upon such conversation as provided in Section 6.1.2, and payment of any accrued but unpaid dividends thereon (whether or not declared). Any shares of Series E Convertible Preferred Stock so converted shall be retired and canceled and shall not be reissued, and the Corporation may from time to time take such appropriate action as may be necessary to reduce the authorized Series E Convertible Preferred Stock accordingly.</w:t>
      </w:r>
    </w:p>
    <w:p>
      <w:pPr>
        <w:spacing w:after="0" w:line="167" w:lineRule="exact"/>
        <w:rPr>
          <w:sz w:val="20"/>
          <w:szCs w:val="20"/>
          <w:color w:val="auto"/>
        </w:rPr>
      </w:pPr>
    </w:p>
    <w:p>
      <w:pPr>
        <w:jc w:val="both"/>
        <w:ind w:left="40" w:hanging="580"/>
        <w:spacing w:after="0" w:line="272" w:lineRule="auto"/>
        <w:tabs>
          <w:tab w:leader="none" w:pos="20" w:val="left"/>
        </w:tabs>
        <w:rPr>
          <w:sz w:val="20"/>
          <w:szCs w:val="20"/>
          <w:color w:val="auto"/>
        </w:rPr>
      </w:pPr>
      <w:r>
        <w:rPr>
          <w:rFonts w:ascii="Arial" w:cs="Arial" w:eastAsia="Arial" w:hAnsi="Arial"/>
          <w:sz w:val="18"/>
          <w:szCs w:val="18"/>
          <w:color w:val="auto"/>
        </w:rPr>
        <w:t>6.2.8.</w:t>
      </w:r>
      <w:r>
        <w:rPr>
          <w:sz w:val="20"/>
          <w:szCs w:val="20"/>
          <w:color w:val="auto"/>
        </w:rPr>
        <w:tab/>
      </w:r>
      <w:r>
        <w:rPr>
          <w:rFonts w:ascii="Arial" w:cs="Arial" w:eastAsia="Arial" w:hAnsi="Arial"/>
          <w:sz w:val="17"/>
          <w:szCs w:val="17"/>
          <w:u w:val="single" w:color="auto"/>
          <w:color w:val="auto"/>
        </w:rPr>
        <w:t>Transfer Taxes</w:t>
      </w:r>
      <w:r>
        <w:rPr>
          <w:rFonts w:ascii="Arial" w:cs="Arial" w:eastAsia="Arial" w:hAnsi="Arial"/>
          <w:sz w:val="17"/>
          <w:szCs w:val="17"/>
          <w:color w:val="auto"/>
        </w:rPr>
        <w:t>. The issuance of certificates, if any, for shares of the Common Stock on conversion of this Series E Convertible Preferred</w:t>
      </w:r>
      <w:r>
        <w:rPr>
          <w:rFonts w:ascii="Arial" w:cs="Arial" w:eastAsia="Arial" w:hAnsi="Arial"/>
          <w:sz w:val="17"/>
          <w:szCs w:val="17"/>
          <w:u w:val="single" w:color="auto"/>
          <w:color w:val="auto"/>
        </w:rPr>
        <w:t xml:space="preserve"> </w:t>
      </w:r>
      <w:r>
        <w:rPr>
          <w:rFonts w:ascii="Arial" w:cs="Arial" w:eastAsia="Arial" w:hAnsi="Arial"/>
          <w:sz w:val="17"/>
          <w:szCs w:val="17"/>
          <w:color w:val="auto"/>
        </w:rPr>
        <w:t>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E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396240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00" w:name="page201"/>
    <w:bookmarkEnd w:id="200"/>
    <w:p>
      <w:pPr>
        <w:jc w:val="both"/>
        <w:ind w:left="900" w:hanging="580"/>
        <w:spacing w:after="0" w:line="288" w:lineRule="auto"/>
        <w:tabs>
          <w:tab w:leader="none" w:pos="880" w:val="left"/>
        </w:tabs>
        <w:rPr>
          <w:sz w:val="20"/>
          <w:szCs w:val="20"/>
          <w:color w:val="auto"/>
        </w:rPr>
      </w:pPr>
      <w:r>
        <w:rPr>
          <w:rFonts w:ascii="Arial" w:cs="Arial" w:eastAsia="Arial" w:hAnsi="Arial"/>
          <w:sz w:val="18"/>
          <w:szCs w:val="18"/>
          <w:color w:val="auto"/>
        </w:rPr>
        <w:t>6.2.9.</w:t>
      </w:r>
      <w:r>
        <w:rPr>
          <w:sz w:val="20"/>
          <w:szCs w:val="20"/>
          <w:color w:val="auto"/>
        </w:rPr>
        <w:tab/>
      </w:r>
      <w:r>
        <w:rPr>
          <w:rFonts w:ascii="Arial" w:cs="Arial" w:eastAsia="Arial" w:hAnsi="Arial"/>
          <w:sz w:val="16"/>
          <w:szCs w:val="16"/>
          <w:u w:val="single" w:color="auto"/>
          <w:color w:val="auto"/>
        </w:rPr>
        <w:t>Corporation's Failure to Timely Convert</w:t>
      </w:r>
      <w:r>
        <w:rPr>
          <w:rFonts w:ascii="Arial" w:cs="Arial" w:eastAsia="Arial" w:hAnsi="Arial"/>
          <w:sz w:val="16"/>
          <w:szCs w:val="16"/>
          <w:color w:val="auto"/>
        </w:rPr>
        <w:t>. If within three (3) Trading Days after the Corporation’s receipt of the copy of a Conversion Notice,</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Corporation shall fail to credit a Holder’s balance account with DTC or issue and deliver a certificate to such Holder for the number of shares of Common Stock to which such Holder is entitled upon such Holder's conversion of Series E Convertible Preferred Stock (a</w:t>
      </w:r>
    </w:p>
    <w:p>
      <w:pPr>
        <w:jc w:val="both"/>
        <w:ind w:left="900"/>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Failure"),</w:t>
      </w:r>
      <w:r>
        <w:rPr>
          <w:rFonts w:ascii="Arial" w:cs="Arial" w:eastAsia="Arial" w:hAnsi="Arial"/>
          <w:sz w:val="16"/>
          <w:szCs w:val="16"/>
          <w:color w:val="auto"/>
        </w:rPr>
        <w:t xml:space="preserve"> and if on or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u w:val="single" w:color="auto"/>
          <w:color w:val="auto"/>
        </w:rPr>
        <w:t>Buy-In</w:t>
      </w:r>
      <w:r>
        <w:rPr>
          <w:rFonts w:ascii="Arial" w:cs="Arial" w:eastAsia="Arial" w:hAnsi="Arial"/>
          <w:sz w:val="16"/>
          <w:szCs w:val="16"/>
          <w:color w:val="auto"/>
        </w:rPr>
        <w:t>"), then, in addition to all other remedies available to the Holder, the Corporation shall, within three (3) Trading Days after the Holder's request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u w:val="single" w:color="auto"/>
          <w:color w:val="auto"/>
        </w:rPr>
        <w:t>Buy-In Price</w:t>
      </w:r>
      <w:r>
        <w:rPr>
          <w:rFonts w:ascii="Arial" w:cs="Arial" w:eastAsia="Arial" w:hAnsi="Arial"/>
          <w:sz w:val="16"/>
          <w:szCs w:val="16"/>
          <w:color w:val="auto"/>
        </w:rPr>
        <w:t>”), at which point the Corporation's obligation to deliver such certificate (and to issue such Common Stock) shall terminate. “</w:t>
      </w:r>
      <w:r>
        <w:rPr>
          <w:rFonts w:ascii="Arial" w:cs="Arial" w:eastAsia="Arial" w:hAnsi="Arial"/>
          <w:sz w:val="16"/>
          <w:szCs w:val="16"/>
          <w:u w:val="single" w:color="auto"/>
          <w:color w:val="auto"/>
        </w:rPr>
        <w:t>Closing Sale Price</w:t>
      </w:r>
      <w:r>
        <w:rPr>
          <w:rFonts w:ascii="Arial" w:cs="Arial" w:eastAsia="Arial" w:hAnsi="Arial"/>
          <w:sz w:val="16"/>
          <w:szCs w:val="16"/>
          <w:color w:val="auto"/>
        </w:rPr>
        <w:t>” means, for the shares of Common Stock as of any date, the last closing price for such security on the principal market on which such security is traded, as reported by Bloomberg L.P., or if the foregoing does not apply, the last closing price of such security in the over-the-counter market on the electronic bulletin board for such security as reported by Bloomberg L.P., or, if no closing price is reported for such security by Bloomberg L.P., the average of the bid prices, or the ask prices, respectively, of any market makers for such security as reported in the “pink sheets” by OTC Markets Group Inc. (formerly Pink Sheets LLC).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Corporation’s Right to Convert</w:t>
      </w:r>
      <w:r>
        <w:rPr>
          <w:rFonts w:ascii="Arial" w:cs="Arial" w:eastAsia="Arial" w:hAnsi="Arial"/>
          <w:sz w:val="18"/>
          <w:szCs w:val="18"/>
          <w:color w:val="auto"/>
        </w:rPr>
        <w:t>.</w:t>
      </w:r>
    </w:p>
    <w:p>
      <w:pPr>
        <w:spacing w:after="0" w:line="225" w:lineRule="exact"/>
        <w:rPr>
          <w:sz w:val="20"/>
          <w:szCs w:val="20"/>
          <w:color w:val="auto"/>
        </w:rPr>
      </w:pPr>
    </w:p>
    <w:p>
      <w:pPr>
        <w:jc w:val="both"/>
        <w:ind w:left="900" w:hanging="580"/>
        <w:spacing w:after="0" w:line="271" w:lineRule="auto"/>
        <w:tabs>
          <w:tab w:leader="none" w:pos="88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7"/>
          <w:szCs w:val="17"/>
          <w:color w:val="auto"/>
        </w:rPr>
        <w:t xml:space="preserve">At any time or from time to time after the Initial Issuance Date of the Series E Convertible Preferred Stock, if the volume weighted average price per share, as published by Bloomberg L.P. (or if Bloomberg L.P. does not then exist, a comparable publication) (“VWAP”) of the shares of Common Stock of the Corporation on its principal trading market that is an Eligible Market (the </w:t>
      </w:r>
      <w:r>
        <w:rPr>
          <w:rFonts w:ascii="Arial" w:cs="Arial" w:eastAsia="Arial" w:hAnsi="Arial"/>
          <w:sz w:val="17"/>
          <w:szCs w:val="17"/>
          <w:u w:val="single" w:color="auto"/>
          <w:color w:val="auto"/>
        </w:rPr>
        <w:t>“Principal Market")</w:t>
      </w:r>
      <w:r>
        <w:rPr>
          <w:rFonts w:ascii="Arial" w:cs="Arial" w:eastAsia="Arial" w:hAnsi="Arial"/>
          <w:sz w:val="17"/>
          <w:szCs w:val="17"/>
          <w:color w:val="auto"/>
        </w:rPr>
        <w:t xml:space="preserve"> over any twenty (20) of the thirty (30) consecutive Trading Days exceeds $9.00 (subject to appropriate adjustment in the event of any stock dividend, stock split, combination or other similar recapitalization) (the “</w:t>
      </w:r>
      <w:r>
        <w:rPr>
          <w:rFonts w:ascii="Arial" w:cs="Arial" w:eastAsia="Arial" w:hAnsi="Arial"/>
          <w:sz w:val="17"/>
          <w:szCs w:val="17"/>
          <w:u w:val="single" w:color="auto"/>
          <w:color w:val="auto"/>
        </w:rPr>
        <w:t>Corporation Conversion Right Event"),</w:t>
      </w:r>
      <w:r>
        <w:rPr>
          <w:rFonts w:ascii="Arial" w:cs="Arial" w:eastAsia="Arial" w:hAnsi="Arial"/>
          <w:sz w:val="17"/>
          <w:szCs w:val="17"/>
          <w:color w:val="auto"/>
        </w:rPr>
        <w:t xml:space="preserve"> the Corporation will have the right, but not the obligation, by notice given no more than ten (10) Trading Days after the occurrence of such Corporation Conversion Right Event, to convert each outstanding share of Series E Convertible Preferred Stock into a number of fully paid and nonassessable shares of Common Stock calculated based on the then applicable Series E Conversion Rate.</w:t>
      </w:r>
    </w:p>
    <w:p>
      <w:pPr>
        <w:spacing w:after="0" w:line="179" w:lineRule="exact"/>
        <w:rPr>
          <w:sz w:val="20"/>
          <w:szCs w:val="20"/>
          <w:color w:val="auto"/>
        </w:rPr>
      </w:pPr>
    </w:p>
    <w:p>
      <w:pPr>
        <w:jc w:val="both"/>
        <w:ind w:left="900" w:hanging="580"/>
        <w:spacing w:after="0" w:line="279" w:lineRule="auto"/>
        <w:tabs>
          <w:tab w:leader="none" w:pos="88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7"/>
          <w:szCs w:val="17"/>
          <w:color w:val="auto"/>
        </w:rPr>
        <w:t>To exercise the Corporation’s right set forth in Section 6.3.1, the Corporation shall deliver to each Holder of record of Series E Convertible Preferred Stock an irrevocable written notice (a “</w:t>
      </w:r>
      <w:r>
        <w:rPr>
          <w:rFonts w:ascii="Arial" w:cs="Arial" w:eastAsia="Arial" w:hAnsi="Arial"/>
          <w:sz w:val="17"/>
          <w:szCs w:val="17"/>
          <w:u w:val="single" w:color="auto"/>
          <w:color w:val="auto"/>
        </w:rPr>
        <w:t>Corporation Conversion Notice")</w:t>
      </w:r>
      <w:r>
        <w:rPr>
          <w:rFonts w:ascii="Arial" w:cs="Arial" w:eastAsia="Arial" w:hAnsi="Arial"/>
          <w:sz w:val="17"/>
          <w:szCs w:val="17"/>
          <w:color w:val="auto"/>
        </w:rPr>
        <w:t xml:space="preserve"> during the ten (10) Trading Day period referenced above indicating the effective date of the conversion (the “</w:t>
      </w:r>
      <w:r>
        <w:rPr>
          <w:rFonts w:ascii="Arial" w:cs="Arial" w:eastAsia="Arial" w:hAnsi="Arial"/>
          <w:sz w:val="17"/>
          <w:szCs w:val="17"/>
          <w:u w:val="single" w:color="auto"/>
          <w:color w:val="auto"/>
        </w:rPr>
        <w:t>Corporation Conversion Date</w:t>
      </w:r>
      <w:r>
        <w:rPr>
          <w:rFonts w:ascii="Arial" w:cs="Arial" w:eastAsia="Arial" w:hAnsi="Arial"/>
          <w:sz w:val="17"/>
          <w:szCs w:val="17"/>
          <w:color w:val="auto"/>
        </w:rPr>
        <w:t>”), which Corporation Conversion Date shall be not more than sixty (60), nor less than five (5), days following delivery of the Corporation Conversion Notice.</w:t>
      </w:r>
    </w:p>
    <w:p>
      <w:pPr>
        <w:spacing w:after="0" w:line="171" w:lineRule="exact"/>
        <w:rPr>
          <w:sz w:val="20"/>
          <w:szCs w:val="20"/>
          <w:color w:val="auto"/>
        </w:rPr>
      </w:pPr>
    </w:p>
    <w:p>
      <w:pPr>
        <w:jc w:val="both"/>
        <w:ind w:left="900" w:hanging="580"/>
        <w:spacing w:after="0" w:line="287" w:lineRule="auto"/>
        <w:tabs>
          <w:tab w:leader="none" w:pos="88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6"/>
          <w:szCs w:val="16"/>
          <w:color w:val="auto"/>
        </w:rPr>
        <w:t xml:space="preserve">On the Corporation Conversion Date, the outstanding shares of Series E Convertible Preferred Stock shall be converted automatically without any further action by the holders of such shares and whether or not the certificates representing such shares, if any, are surrendered to the Corporation or its Transfer Agent, and certificates previously representing shares of Series E Convertible Preferred shall represent only the shares of Common Stock into which the shares of Series E Convertible Preferred previously represented thereby have been converted pursuant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Corporation shall not be obligated to issue the shares of Common Stock issuable upon such conversion of any shares of Series E Convertible Preferred unless certificates evidencing such shares of Series E Convertible Preferred, if any, are either delivered to the Corporation or the holder notifies the Corporation that such certificates, if any, have been lost, stolen, or destroyed, and executes an agreement reasonably satisfactory to the Corporation to indemnify the Corporation from any loss incurred by it in connection therewith. Upon the occurrence of the conversion of the Series E Convertible Preferred pursuant to this Section 6.3, the Holders of shares of Series E Convertible Preferred shall surrender the certificates representing such shares to the Corporation and the Corporation shall cause its Transfer Agent to deliver the shares of Common Stock issuable upon such conversion (in the same manner set forth in Section 6.2.2) to the Holder within three (3) Business Days of the Holder’s delivery of the applicable Series E Convertible Preferred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390525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201" w:name="page202"/>
    <w:bookmarkEnd w:id="201"/>
    <w:p>
      <w:pPr>
        <w:ind w:left="332" w:hanging="332"/>
        <w:spacing w:after="0"/>
        <w:tabs>
          <w:tab w:leader="none" w:pos="332"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Repayment of Series E Convertible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hanging="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General</w:t>
      </w:r>
      <w:r>
        <w:rPr>
          <w:rFonts w:ascii="Arial" w:cs="Arial" w:eastAsia="Arial" w:hAnsi="Arial"/>
          <w:sz w:val="18"/>
          <w:szCs w:val="18"/>
          <w:color w:val="auto"/>
        </w:rPr>
        <w:t>. On the date that is the seven (7) year anniversary after the Initial Issuance Date of the Series E Convertible Preferred (the “</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the Corporation shall, in accordance with Section 7.2 hereof, repay and cancel each share of Series E Convertible Preferred, at a price per share of the Series E Convertible Preferred equal to the Series E Liquidation Preference Amount, plus an amount equal to any accrued but unpaid dividends payable thereon until the Maturity Date.</w:t>
      </w:r>
    </w:p>
    <w:p>
      <w:pPr>
        <w:spacing w:after="0" w:line="186"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Share Issuance</w:t>
      </w:r>
      <w:r>
        <w:rPr>
          <w:rFonts w:ascii="Arial" w:cs="Arial" w:eastAsia="Arial" w:hAnsi="Arial"/>
          <w:sz w:val="18"/>
          <w:szCs w:val="18"/>
          <w:color w:val="auto"/>
        </w:rPr>
        <w:t>.</w:t>
      </w:r>
    </w:p>
    <w:p>
      <w:pPr>
        <w:spacing w:after="0" w:line="225" w:lineRule="exact"/>
        <w:rPr>
          <w:sz w:val="20"/>
          <w:szCs w:val="20"/>
          <w:color w:val="auto"/>
        </w:rPr>
      </w:pPr>
    </w:p>
    <w:p>
      <w:pPr>
        <w:jc w:val="both"/>
        <w:ind w:left="1232" w:hanging="580"/>
        <w:spacing w:after="0" w:line="264" w:lineRule="auto"/>
        <w:tabs>
          <w:tab w:leader="none" w:pos="1212" w:val="left"/>
        </w:tabs>
        <w:rPr>
          <w:sz w:val="20"/>
          <w:szCs w:val="20"/>
          <w:color w:val="auto"/>
        </w:rPr>
      </w:pPr>
      <w:r>
        <w:rPr>
          <w:rFonts w:ascii="Arial" w:cs="Arial" w:eastAsia="Arial" w:hAnsi="Arial"/>
          <w:sz w:val="18"/>
          <w:szCs w:val="18"/>
          <w:color w:val="auto"/>
        </w:rPr>
        <w:t>7.2.1.</w:t>
        <w:tab/>
        <w:t>On the Maturity Date, the Corporation, at its sole option, may elect to pay to the Holders the Series E Liquidation Preference Amount pursuant to Section 7.1: (i) in cash; (ii) by delivery of shares of Common Stock; or (iii) through any combination of cash and/or Common Stock.</w:t>
      </w:r>
    </w:p>
    <w:p>
      <w:pPr>
        <w:spacing w:after="0" w:line="181" w:lineRule="exact"/>
        <w:rPr>
          <w:sz w:val="20"/>
          <w:szCs w:val="20"/>
          <w:color w:val="auto"/>
        </w:rPr>
      </w:pPr>
    </w:p>
    <w:p>
      <w:pPr>
        <w:jc w:val="both"/>
        <w:ind w:left="1232" w:hanging="580"/>
        <w:spacing w:after="0" w:line="285" w:lineRule="auto"/>
        <w:tabs>
          <w:tab w:leader="none" w:pos="1212"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 xml:space="preserve">If the Corporation elects to make a payment, or any portion thereof, pursuant to this Section 7, in shares of Common Stock, the number of shares deliverable shall be determined by (A) dividing (x) the cash amount of such payment that would apply if no payment were to be made in Common Stock, or such portion, </w:t>
      </w:r>
      <w:r>
        <w:rPr>
          <w:rFonts w:ascii="Arial" w:cs="Arial" w:eastAsia="Arial" w:hAnsi="Arial"/>
          <w:sz w:val="16"/>
          <w:szCs w:val="16"/>
          <w:i w:val="1"/>
          <w:iCs w:val="1"/>
          <w:color w:val="auto"/>
        </w:rPr>
        <w:t>by</w:t>
      </w:r>
      <w:r>
        <w:rPr>
          <w:rFonts w:ascii="Arial" w:cs="Arial" w:eastAsia="Arial" w:hAnsi="Arial"/>
          <w:sz w:val="16"/>
          <w:szCs w:val="16"/>
          <w:color w:val="auto"/>
        </w:rPr>
        <w:t xml:space="preserve"> (y) the </w:t>
      </w:r>
      <w:r>
        <w:rPr>
          <w:rFonts w:ascii="Arial" w:cs="Arial" w:eastAsia="Arial" w:hAnsi="Arial"/>
          <w:sz w:val="16"/>
          <w:szCs w:val="16"/>
          <w:u w:val="single" w:color="auto"/>
          <w:color w:val="auto"/>
        </w:rPr>
        <w:t>VWAP</w:t>
      </w:r>
      <w:r>
        <w:rPr>
          <w:rFonts w:ascii="Arial" w:cs="Arial" w:eastAsia="Arial" w:hAnsi="Arial"/>
          <w:sz w:val="16"/>
          <w:szCs w:val="16"/>
          <w:color w:val="auto"/>
        </w:rPr>
        <w:t xml:space="preserve"> of the Common Stock for the period of thirty (30) consecutive Trading Days ending on the Trading Day immediately preceding the Maturity Date (subject to appropriate adjustment in the event of any stock dividend, stock split, combination or other similar recapitalization during such period); provided, however that such VWAP of the Common Stock shall not be less than $0.62 (subject to appropriate adjustment in the event of any stock dividend, stock split, combination or other similar recapitalization during such period) (the “</w:t>
      </w:r>
      <w:r>
        <w:rPr>
          <w:rFonts w:ascii="Arial" w:cs="Arial" w:eastAsia="Arial" w:hAnsi="Arial"/>
          <w:sz w:val="16"/>
          <w:szCs w:val="16"/>
          <w:u w:val="single" w:color="auto"/>
          <w:color w:val="auto"/>
        </w:rPr>
        <w:t>Base Price</w:t>
      </w:r>
      <w:r>
        <w:rPr>
          <w:rFonts w:ascii="Arial" w:cs="Arial" w:eastAsia="Arial" w:hAnsi="Arial"/>
          <w:sz w:val="16"/>
          <w:szCs w:val="16"/>
          <w:color w:val="auto"/>
        </w:rPr>
        <w:t>”) and adding to the number of shares determined in accordance with clause (A), (B) an additional number of shares of Common Stock (the “</w:t>
      </w:r>
      <w:r>
        <w:rPr>
          <w:rFonts w:ascii="Arial" w:cs="Arial" w:eastAsia="Arial" w:hAnsi="Arial"/>
          <w:sz w:val="16"/>
          <w:szCs w:val="16"/>
          <w:u w:val="single" w:color="auto"/>
          <w:color w:val="auto"/>
        </w:rPr>
        <w:t>Premium Shares</w:t>
      </w:r>
      <w:r>
        <w:rPr>
          <w:rFonts w:ascii="Arial" w:cs="Arial" w:eastAsia="Arial" w:hAnsi="Arial"/>
          <w:sz w:val="16"/>
          <w:szCs w:val="16"/>
          <w:color w:val="auto"/>
        </w:rPr>
        <w:t>”), calculated as follows: (i) if the Base Price as calculated pursuant to clause (A) above is greater than $9.00, no Premium Shares shall be issued, (ii) if the Base Price as calculated pursuant to clause (A) above is greater than $7.00 and equal to or less than $9.00, a number of shares equal to 5% of the shares to be issued pursuant to Section 7.2.2(A), (iii) if the Base Price as calculated pursuant to clause (A) above is greater than $6.00 and equal to or less than $7.00, a number of shares equal to 10% of the shares to be issued pursuant to Section 7.2.2(A), (iv) if the Base Price as calculated pursuant to clause (A) above is greater than $5.00 and equal to or less than $6.00, a number of shares equal to 20% of the shares to be issued pursuant to Section 7.2.2(A) and (v) if the Base Price as calculated pursuant to clause (A) above is less than or equal to $5.00, a number of shares equal to 25% of the shares to issued pursuant to Section 7.2.2(A). All per share prices set forth in Section 7.2.2 shall be subject to appropriate adjustment in the event of any stock dividend, stock split, combination or other similar recapitalization after the Initial Issuance Date.</w:t>
      </w:r>
    </w:p>
    <w:p>
      <w:pPr>
        <w:spacing w:after="0" w:line="178" w:lineRule="exact"/>
        <w:rPr>
          <w:sz w:val="20"/>
          <w:szCs w:val="20"/>
          <w:color w:val="auto"/>
        </w:rPr>
      </w:pPr>
    </w:p>
    <w:p>
      <w:pPr>
        <w:ind w:left="332" w:hanging="332"/>
        <w:spacing w:after="0"/>
        <w:tabs>
          <w:tab w:leader="none" w:pos="33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Adjustment of Series E Conversion Price.</w:t>
      </w:r>
    </w:p>
    <w:p>
      <w:pPr>
        <w:spacing w:after="0" w:line="225" w:lineRule="exact"/>
        <w:rPr>
          <w:sz w:val="20"/>
          <w:szCs w:val="20"/>
          <w:color w:val="auto"/>
        </w:rPr>
      </w:pPr>
    </w:p>
    <w:p>
      <w:pPr>
        <w:jc w:val="both"/>
        <w:ind w:left="1232" w:hanging="580"/>
        <w:spacing w:after="0" w:line="255" w:lineRule="auto"/>
        <w:tabs>
          <w:tab w:leader="none" w:pos="1212"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u w:val="single" w:color="auto"/>
          <w:color w:val="auto"/>
        </w:rPr>
        <w:t>Adjustment of Series E Conversion Price upon Subdivision or Combination of Common Stock</w:t>
      </w:r>
      <w:r>
        <w:rPr>
          <w:rFonts w:ascii="Arial" w:cs="Arial" w:eastAsia="Arial" w:hAnsi="Arial"/>
          <w:sz w:val="18"/>
          <w:szCs w:val="18"/>
          <w:color w:val="auto"/>
        </w:rPr>
        <w:t>. The Series E Conversion Price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subject to adjustment from time to time in accordance with this </w:t>
      </w:r>
      <w:r>
        <w:rPr>
          <w:rFonts w:ascii="Arial" w:cs="Arial" w:eastAsia="Arial" w:hAnsi="Arial"/>
          <w:sz w:val="18"/>
          <w:szCs w:val="18"/>
          <w:u w:val="single" w:color="auto"/>
          <w:color w:val="auto"/>
        </w:rPr>
        <w:t>Section 8</w:t>
      </w:r>
      <w:r>
        <w:rPr>
          <w:rFonts w:ascii="Arial" w:cs="Arial" w:eastAsia="Arial" w:hAnsi="Arial"/>
          <w:sz w:val="18"/>
          <w:szCs w:val="18"/>
          <w:color w:val="auto"/>
        </w:rPr>
        <w:t>. If the Corporation at any time after the Initial Issuance Date subdivides (by any stock split, stock dividend, recapitalization or otherwise) its outstanding shares of Common Stock into a greater number of shares, the Series 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Series E Conversion Price in effect immediately prior to such combination will be proportionately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403860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02" w:name="page203"/>
    <w:bookmarkEnd w:id="202"/>
    <w:p>
      <w:pPr>
        <w:jc w:val="both"/>
        <w:ind w:left="1232" w:hanging="580"/>
        <w:spacing w:after="0" w:line="287" w:lineRule="auto"/>
        <w:tabs>
          <w:tab w:leader="none" w:pos="1212"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 Section 4, if there shall occur any reorganization, recapitalization,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reclassification, consolidation or merger involving the Corporation in which the Common Stock (but not the Series E Convertible Preferred Stock) is converted into or exchanged for securities, cash or other property, then, following any such reorganization, recapitalization, reclassification, consolidation or merger, each share of Series E Convertible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Series E Convertible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Section 8 with respect to the rights and interests thereafter of the holders of the Series E Convertible Preferred Stock, to the end that the provisions set forth in this Section 8 (and the provisions with respect to changes in and other adjustments of the Series E Conversion Price) shall thereafter be applicable, as nearly as reasonably may be, in relation to any securities or other property thereafter deliverable upon the conversion of the Series E Preferred Stock.</w:t>
      </w:r>
    </w:p>
    <w:p>
      <w:pPr>
        <w:spacing w:after="0" w:line="16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jc w:val="both"/>
        <w:ind w:left="1232" w:hanging="580"/>
        <w:spacing w:after="0" w:line="279" w:lineRule="auto"/>
        <w:tabs>
          <w:tab w:leader="none" w:pos="1212"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color w:val="auto"/>
        </w:rPr>
        <w:t>Immediately upon any adjustment of the Series E Conversion Rate and Series E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6.2.5.</w:t>
      </w:r>
    </w:p>
    <w:p>
      <w:pPr>
        <w:spacing w:after="0" w:line="171" w:lineRule="exact"/>
        <w:rPr>
          <w:sz w:val="20"/>
          <w:szCs w:val="20"/>
          <w:color w:val="auto"/>
        </w:rPr>
      </w:pPr>
    </w:p>
    <w:p>
      <w:pPr>
        <w:jc w:val="both"/>
        <w:ind w:left="1232" w:hanging="580"/>
        <w:spacing w:after="0" w:line="264" w:lineRule="auto"/>
        <w:tabs>
          <w:tab w:leader="none" w:pos="1212" w:val="left"/>
        </w:tabs>
        <w:rPr>
          <w:sz w:val="20"/>
          <w:szCs w:val="20"/>
          <w:color w:val="auto"/>
        </w:rPr>
      </w:pPr>
      <w:r>
        <w:rPr>
          <w:rFonts w:ascii="Arial" w:cs="Arial" w:eastAsia="Arial" w:hAnsi="Arial"/>
          <w:sz w:val="18"/>
          <w:szCs w:val="18"/>
          <w:color w:val="auto"/>
        </w:rPr>
        <w:t>8.2.2.</w:t>
        <w:tab/>
        <w:t>Except as otherwise required by law, the Corporation will give written notice to each Holder at least ten (10) Business Days prior to the date on which the Corporation closes its books or takes a record (A) with respect to any dividend or distribution upon the Common Stock, or (B) with respect to any pro rata subscription offer to holders of Common Stock.</w:t>
      </w:r>
    </w:p>
    <w:p>
      <w:pPr>
        <w:spacing w:after="0" w:line="181" w:lineRule="exact"/>
        <w:rPr>
          <w:sz w:val="20"/>
          <w:szCs w:val="20"/>
          <w:color w:val="auto"/>
        </w:rPr>
      </w:pPr>
    </w:p>
    <w:p>
      <w:pPr>
        <w:jc w:val="both"/>
        <w:ind w:left="1232" w:hanging="580"/>
        <w:spacing w:after="0" w:line="277" w:lineRule="auto"/>
        <w:tabs>
          <w:tab w:leader="none" w:pos="1212" w:val="left"/>
        </w:tabs>
        <w:rPr>
          <w:sz w:val="20"/>
          <w:szCs w:val="20"/>
          <w:color w:val="auto"/>
        </w:rPr>
      </w:pPr>
      <w:r>
        <w:rPr>
          <w:rFonts w:ascii="Arial" w:cs="Arial" w:eastAsia="Arial" w:hAnsi="Arial"/>
          <w:sz w:val="18"/>
          <w:szCs w:val="18"/>
          <w:color w:val="auto"/>
        </w:rPr>
        <w:t>8.2.3.</w:t>
        <w:tab/>
        <w:t>The Corporation will also give written notice to each Holder at least ten (10) Business Days prior to the date on which a Deemed Liquidation Event will take place.</w:t>
      </w:r>
    </w:p>
    <w:p>
      <w:pPr>
        <w:spacing w:after="0" w:line="170" w:lineRule="exact"/>
        <w:rPr>
          <w:sz w:val="20"/>
          <w:szCs w:val="20"/>
          <w:color w:val="auto"/>
        </w:rPr>
      </w:pPr>
    </w:p>
    <w:p>
      <w:pPr>
        <w:ind w:left="332" w:hanging="332"/>
        <w:spacing w:after="0" w:line="277" w:lineRule="auto"/>
        <w:tabs>
          <w:tab w:leader="none" w:pos="3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E Convertible Preferred Stock shall be converted pursuant to Sections 6 or 7 hereof, the shares so converted shall be canceled and shall not be issuable by the Corporation.</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Series E Convertible Preferred Stock Protective Provisions.</w:t>
      </w:r>
    </w:p>
    <w:p>
      <w:pPr>
        <w:spacing w:after="0" w:line="225" w:lineRule="exact"/>
        <w:rPr>
          <w:rFonts w:ascii="Arial" w:cs="Arial" w:eastAsia="Arial" w:hAnsi="Arial"/>
          <w:sz w:val="18"/>
          <w:szCs w:val="18"/>
          <w:color w:val="auto"/>
        </w:rPr>
      </w:pPr>
    </w:p>
    <w:p>
      <w:pPr>
        <w:ind w:left="712" w:hanging="378"/>
        <w:spacing w:after="0" w:line="264" w:lineRule="auto"/>
        <w:rPr>
          <w:rFonts w:ascii="Arial" w:cs="Arial" w:eastAsia="Arial" w:hAnsi="Arial"/>
          <w:sz w:val="18"/>
          <w:szCs w:val="18"/>
          <w:color w:val="auto"/>
        </w:rPr>
      </w:pPr>
      <w:r>
        <w:rPr>
          <w:rFonts w:ascii="Arial" w:cs="Arial" w:eastAsia="Arial" w:hAnsi="Arial"/>
          <w:sz w:val="18"/>
          <w:szCs w:val="18"/>
          <w:color w:val="auto"/>
        </w:rPr>
        <w:t>10.1.At any time when shares of Series E Convertible Preferred Stock are outstanding, the Corporation shall not make payments in connection with any of the following without (in addition to any other vote required by law or the Charter) the written consent of the holders of a majority of the outstanding shares of Series E Convertible Preferred Stock:</w:t>
      </w:r>
    </w:p>
    <w:p>
      <w:pPr>
        <w:spacing w:after="0" w:line="181" w:lineRule="exact"/>
        <w:rPr>
          <w:sz w:val="20"/>
          <w:szCs w:val="20"/>
          <w:color w:val="auto"/>
        </w:rPr>
      </w:pPr>
    </w:p>
    <w:p>
      <w:pPr>
        <w:jc w:val="both"/>
        <w:ind w:left="1232" w:hanging="580"/>
        <w:spacing w:after="0" w:line="286" w:lineRule="auto"/>
        <w:rPr>
          <w:sz w:val="20"/>
          <w:szCs w:val="20"/>
          <w:color w:val="auto"/>
        </w:rPr>
      </w:pPr>
      <w:r>
        <w:rPr>
          <w:rFonts w:ascii="Arial" w:cs="Arial" w:eastAsia="Arial" w:hAnsi="Arial"/>
          <w:sz w:val="16"/>
          <w:szCs w:val="16"/>
          <w:color w:val="auto"/>
        </w:rPr>
        <w:t>10.1.1. any cash dividend or payment of any Indebtedness prior to the time such payment is due and payable or payment in cash of any due and payable Indebtedness where the Corporation may elect to make such payment in shares of capital stock or other equity securities of the Corporation, other than (i) prepayments made out of the proceeds of the sale of capital stock or other equity securities of the Corporation (other than sales of Series E Convertible Preferred Stock) or the incurrence of Indebtedness, so long as the aggregate amount of Indebtedness of the Corporation outstanding following such sale or incurrence is equal to or lesser than the aggregate amount of Indebtedness outstanding immediately prior to such sale or incurrence, (ii) prepayments made in shares of capital stock or other equity securities of the Corporation ranking junior to the Series E Convertible Preferred Stock, (iii) the election to pay dividends, pay any Indebtedness prior to the time such payment is due and payable or pay due and payable Indebtedness in cash if, at the time of such payment, the Corporation has an aggregate cash balance greater than the then aggregate Stated Value of all shares of Series E Convertible Preferred Stock issued prior to such payment (whether or not such shares are then outstanding) (such amount, the “</w:t>
      </w:r>
      <w:r>
        <w:rPr>
          <w:rFonts w:ascii="Arial" w:cs="Arial" w:eastAsia="Arial" w:hAnsi="Arial"/>
          <w:sz w:val="16"/>
          <w:szCs w:val="16"/>
          <w:u w:val="single" w:color="auto"/>
          <w:color w:val="auto"/>
        </w:rPr>
        <w:t>Cash Balance Threshold</w:t>
      </w:r>
      <w:r>
        <w:rPr>
          <w:rFonts w:ascii="Arial" w:cs="Arial" w:eastAsia="Arial" w:hAnsi="Arial"/>
          <w:sz w:val="16"/>
          <w:szCs w:val="16"/>
          <w:color w:val="auto"/>
        </w:rPr>
        <w:t>”) and has delivered to the holders of Series E Convertible Preferred Stock the Cash Balance Certificate (defined below), (iv) prepayments or elections to pay in cash with respect to up to an aggregate of $100,000 of Indebtedness that is not Indebtedness for borrowed money evidenced by bonds, notes, debentures or similar instruments or (v) prepayments made out of the proceeds of any Indebtedness incurred by the Corporation with American Express or any of its affiliates, so long as the Indebtedness to be prepaid has a higher interest rate than the Indebtedness incurred by the Corporation with American Express or any of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03" w:name="page204"/>
    <w:bookmarkEnd w:id="203"/>
    <w:p>
      <w:pPr>
        <w:jc w:val="both"/>
        <w:ind w:left="1232" w:hanging="580"/>
        <w:spacing w:after="0" w:line="273" w:lineRule="auto"/>
        <w:rPr>
          <w:sz w:val="20"/>
          <w:szCs w:val="20"/>
          <w:color w:val="auto"/>
        </w:rPr>
      </w:pPr>
      <w:r>
        <w:rPr>
          <w:rFonts w:ascii="Arial" w:cs="Arial" w:eastAsia="Arial" w:hAnsi="Arial"/>
          <w:sz w:val="17"/>
          <w:szCs w:val="17"/>
          <w:color w:val="auto"/>
        </w:rPr>
        <w:t>10.1.2. any repurchase of any outstanding securities of the Corporation, other than (i) repurchases made out of the proceeds of the sale of capital stock or other equity securities of the Corporation (other than sales of Series E Convertible Preferred Stock) or the incurrence of Indebtedness, so long as the aggregate amount of Indebtedness of the Corporation outstanding following such sale or incurrence is equal to or lesser than the aggregate amount of Indebtedness outstanding immediately prior to such sale or incurrence or (ii) repurchases, if, at the time of such repurchase, the Corporation has an aggregate cash balance greater than the then-applicable Cash Balance Threshold and has delivered to the holders of Series E Convertible Preferred Stock the Cash Balance Certificate.</w:t>
      </w:r>
    </w:p>
    <w:p>
      <w:pPr>
        <w:spacing w:after="0" w:line="178" w:lineRule="exact"/>
        <w:rPr>
          <w:sz w:val="20"/>
          <w:szCs w:val="20"/>
          <w:color w:val="auto"/>
        </w:rPr>
      </w:pPr>
    </w:p>
    <w:p>
      <w:pPr>
        <w:jc w:val="both"/>
        <w:ind w:left="1232" w:hanging="580"/>
        <w:spacing w:after="0" w:line="276" w:lineRule="auto"/>
        <w:rPr>
          <w:sz w:val="20"/>
          <w:szCs w:val="20"/>
          <w:color w:val="auto"/>
        </w:rPr>
      </w:pPr>
      <w:r>
        <w:rPr>
          <w:rFonts w:ascii="Arial" w:cs="Arial" w:eastAsia="Arial" w:hAnsi="Arial"/>
          <w:sz w:val="17"/>
          <w:szCs w:val="17"/>
          <w:color w:val="auto"/>
        </w:rPr>
        <w:t>10.1.3. Prior to taking any action pursuant to Sections 10.1.1 (iii) or 10.1.2(ii) (each action a “</w:t>
      </w:r>
      <w:r>
        <w:rPr>
          <w:rFonts w:ascii="Arial" w:cs="Arial" w:eastAsia="Arial" w:hAnsi="Arial"/>
          <w:sz w:val="17"/>
          <w:szCs w:val="17"/>
          <w:u w:val="single" w:color="auto"/>
          <w:color w:val="auto"/>
        </w:rPr>
        <w:t>Proposed Transaction"),</w:t>
      </w:r>
      <w:r>
        <w:rPr>
          <w:rFonts w:ascii="Arial" w:cs="Arial" w:eastAsia="Arial" w:hAnsi="Arial"/>
          <w:sz w:val="17"/>
          <w:szCs w:val="17"/>
          <w:color w:val="auto"/>
        </w:rPr>
        <w:t xml:space="preserve"> the Company shall deliver to the holders of Series E Convertible Preferred Stock a certificate signed by an officer of the Company certifying that: (i) the Company’s aggregate cash balance is greater than the Cash Balance Threshold on the date of the Proposed Transaction and at the close of each of the five Business Days immediately prior to the Proposed Transaction and (ii) after giving effect to the Proposed Transaction, the Company’s aggregate cash balance will be greater than the Cash Balance Threshold (the “</w:t>
      </w:r>
      <w:r>
        <w:rPr>
          <w:rFonts w:ascii="Arial" w:cs="Arial" w:eastAsia="Arial" w:hAnsi="Arial"/>
          <w:sz w:val="17"/>
          <w:szCs w:val="17"/>
          <w:u w:val="single" w:color="auto"/>
          <w:color w:val="auto"/>
        </w:rPr>
        <w:t>Cash Balance Certificate</w:t>
      </w:r>
      <w:r>
        <w:rPr>
          <w:rFonts w:ascii="Arial" w:cs="Arial" w:eastAsia="Arial" w:hAnsi="Arial"/>
          <w:sz w:val="17"/>
          <w:szCs w:val="17"/>
          <w:color w:val="auto"/>
        </w:rPr>
        <w:t>”).</w:t>
      </w:r>
    </w:p>
    <w:p>
      <w:pPr>
        <w:spacing w:after="0" w:line="173" w:lineRule="exact"/>
        <w:rPr>
          <w:sz w:val="20"/>
          <w:szCs w:val="20"/>
          <w:color w:val="auto"/>
        </w:rPr>
      </w:pPr>
    </w:p>
    <w:p>
      <w:pPr>
        <w:jc w:val="both"/>
        <w:ind w:left="652"/>
        <w:spacing w:after="0" w:line="302" w:lineRule="auto"/>
        <w:rPr>
          <w:sz w:val="20"/>
          <w:szCs w:val="20"/>
          <w:color w:val="auto"/>
        </w:rPr>
      </w:pPr>
      <w:r>
        <w:rPr>
          <w:rFonts w:ascii="Arial" w:cs="Arial" w:eastAsia="Arial" w:hAnsi="Arial"/>
          <w:sz w:val="16"/>
          <w:szCs w:val="16"/>
          <w:color w:val="auto"/>
        </w:rPr>
        <w:t>For purposes of this Certificate of Designation,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(other than trade accounts payable incurred in the ordinary course of business), and (y) all guaranties, endorsements and other contingent obligations in respect of indebtedness of others, whether or not the same are or should be reflected in the Corporation’s consolidated balance sheet (or the notes thereto), except guaranties by endorsement of negotiable instruments for deposit or collection or similar transactions in the ordinary course of business.</w:t>
      </w:r>
    </w:p>
    <w:p>
      <w:pPr>
        <w:spacing w:after="0" w:line="154" w:lineRule="exact"/>
        <w:rPr>
          <w:sz w:val="20"/>
          <w:szCs w:val="20"/>
          <w:color w:val="auto"/>
        </w:rPr>
      </w:pPr>
    </w:p>
    <w:p>
      <w:pPr>
        <w:jc w:val="both"/>
        <w:ind w:left="332" w:hanging="332"/>
        <w:spacing w:after="0" w:line="255" w:lineRule="auto"/>
        <w:tabs>
          <w:tab w:leader="none" w:pos="33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E Convertible Preferred Stock Certificates representing the Series E Convertible Preferred Stock, if any, and, in the case of loss, theft or destruction, of an indemnification undertaking (with surety, if reasonably requested by the Corporation) by the holder thereof to the Corporation in customary form and, in the case of mutilation, upon surrender and cancellation of the Series E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the Corporation shall not be obligated to re-issue preferred stock certificates if the holder contemporaneously requests the Corporation to convert such Series E Convertible Preferred Stock into Common Stock.</w:t>
      </w:r>
    </w:p>
    <w:p>
      <w:pPr>
        <w:spacing w:after="0" w:line="189" w:lineRule="exact"/>
        <w:rPr>
          <w:rFonts w:ascii="Arial" w:cs="Arial" w:eastAsia="Arial" w:hAnsi="Arial"/>
          <w:sz w:val="18"/>
          <w:szCs w:val="18"/>
          <w:color w:val="auto"/>
        </w:rPr>
      </w:pPr>
    </w:p>
    <w:p>
      <w:pPr>
        <w:jc w:val="both"/>
        <w:ind w:left="332" w:hanging="332"/>
        <w:spacing w:after="0" w:line="287" w:lineRule="auto"/>
        <w:tabs>
          <w:tab w:leader="none" w:pos="33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E Convertible Preferred Stock’s right to pursue actual damages for any failure by the Corporation to comply with the terms of this Certificate of Designation. The Corporation covenants to each holder of Series E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E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E Convertible Preferred Stock and that the remedy at law for any such breach may be inadequate. The Corporation therefore agrees that, in the event of any such breach or threatened breach, the holders of Series E Convertible Preferred Stock shall be entitled, in addition to all other available remedies, to an injunction restraining any breach, without the necessity of showing economic loss and without any bond or other security being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04" w:name="page205"/>
    <w:bookmarkEnd w:id="204"/>
    <w:p>
      <w:pPr>
        <w:jc w:val="both"/>
        <w:ind w:left="340" w:hanging="332"/>
        <w:spacing w:after="0" w:line="264"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hereunder, unless otherwise provided herein, such notice shall be given in accordance with contact information provided by each Holder to the Corporation and set forth in the register for the Series E Convertible Preferred Stock maintained by the Corporation as set forth in Section 16.</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E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Transfer of Series E Convertible Preferred Stock</w:t>
      </w:r>
      <w:r>
        <w:rPr>
          <w:rFonts w:ascii="Arial" w:cs="Arial" w:eastAsia="Arial" w:hAnsi="Arial"/>
          <w:sz w:val="18"/>
          <w:szCs w:val="18"/>
          <w:color w:val="auto"/>
        </w:rPr>
        <w:t xml:space="preserve">. A Holder may assign some or all of the Series E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Series E Convertible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E Convertible Preferred Stock, in which the Corporation shall record the name, address and email address of the persons in whose name the Series E Convertible Preferred Stock have been issued, as well as the name, address and email address of each transferee. The Corporation may treat the person in whose name any Series E Convertible Preferred Stock is registered on the register as the owner and holder thereof for all purposes, notwithstanding any notice to the contrary, but in all events recognizing any properly made transfers.</w:t>
      </w:r>
    </w:p>
    <w:p>
      <w:pPr>
        <w:spacing w:after="0" w:line="193"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Stockholder Matters</w:t>
      </w:r>
      <w:r>
        <w:rPr>
          <w:rFonts w:ascii="Arial" w:cs="Arial" w:eastAsia="Arial" w:hAnsi="Arial"/>
          <w:sz w:val="16"/>
          <w:szCs w:val="16"/>
          <w:color w:val="auto"/>
        </w:rPr>
        <w:t>. Any stockholder action, approval or consent required, desired or otherwise sought by the Corporation pursuant to the DGCL, this Certificate of Designation or otherwise with respect to the issuance of the Series E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158" w:lineRule="exact"/>
        <w:rPr>
          <w:rFonts w:ascii="Arial" w:cs="Arial" w:eastAsia="Arial" w:hAnsi="Arial"/>
          <w:sz w:val="16"/>
          <w:szCs w:val="16"/>
          <w:color w:val="auto"/>
        </w:rPr>
      </w:pPr>
    </w:p>
    <w:p>
      <w:pPr>
        <w:ind w:left="300" w:hanging="292"/>
        <w:spacing w:after="0" w:line="342" w:lineRule="auto"/>
        <w:tabs>
          <w:tab w:leader="none" w:pos="30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In addition to the above provisions with respect to Series E Convertible Preferred Stock, such Series E Convertible Preferred Stock shall be subject to and be entitled to the benefit of the provisions set forth in the Charter with respect to preferred stock of the Corporation generally.</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Waiver and Amendment.</w:t>
      </w:r>
      <w:r>
        <w:rPr>
          <w:rFonts w:ascii="Arial" w:cs="Arial" w:eastAsia="Arial" w:hAnsi="Arial"/>
          <w:sz w:val="18"/>
          <w:szCs w:val="18"/>
          <w:color w:val="auto"/>
        </w:rPr>
        <w:t xml:space="preserve"> Any of the rights, powers, preferences and other terms of the Series E Convertible Preferred Stock set forth herein may be waived or amended on behalf of all holders of Series E Convertible Preferred Stock by the affirmative written consent or vote of the holders of at least 50 % of the shares of Series E Convertible Preferred Stock then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5" w:name="page206"/>
    <w:bookmarkEnd w:id="205"/>
    <w:p>
      <w:pPr>
        <w:ind w:left="660"/>
        <w:spacing w:after="0"/>
        <w:rPr>
          <w:sz w:val="20"/>
          <w:szCs w:val="20"/>
          <w:color w:val="auto"/>
        </w:rPr>
      </w:pPr>
      <w:r>
        <w:rPr>
          <w:rFonts w:ascii="Arial" w:cs="Arial" w:eastAsia="Arial" w:hAnsi="Arial"/>
          <w:sz w:val="16"/>
          <w:szCs w:val="16"/>
          <w:color w:val="auto"/>
        </w:rPr>
        <w:t>IN WITNESS WHEREOF, the Corporation has caused this Certificate of Designation to be signed by the undersigned this 12th day of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Jankowski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06" w:name="page207"/>
    <w:bookmarkEnd w:id="206"/>
    <w:p>
      <w:pPr>
        <w:ind w:left="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jc w:val="both"/>
        <w:ind w:left="20" w:firstLine="1296"/>
        <w:spacing w:after="0" w:line="264" w:lineRule="auto"/>
        <w:rPr>
          <w:sz w:val="20"/>
          <w:szCs w:val="20"/>
          <w:color w:val="auto"/>
        </w:rPr>
      </w:pPr>
      <w:r>
        <w:rPr>
          <w:rFonts w:ascii="Arial" w:cs="Arial" w:eastAsia="Arial" w:hAnsi="Arial"/>
          <w:sz w:val="18"/>
          <w:szCs w:val="18"/>
          <w:color w:val="auto"/>
        </w:rPr>
        <w:t xml:space="preserve">The undersigned hereby elects to convert the number of shares of Series E Convertible Preferred Stock, par value $0.01 per share (the </w:t>
      </w:r>
      <w:r>
        <w:rPr>
          <w:rFonts w:ascii="Arial" w:cs="Arial" w:eastAsia="Arial" w:hAnsi="Arial"/>
          <w:sz w:val="18"/>
          <w:szCs w:val="18"/>
          <w:b w:val="1"/>
          <w:bCs w:val="1"/>
          <w:color w:val="auto"/>
        </w:rPr>
        <w:t xml:space="preserve">“Series E Convertible Preferred Stock”), </w:t>
      </w:r>
      <w:r>
        <w:rPr>
          <w:rFonts w:ascii="Arial" w:cs="Arial" w:eastAsia="Arial" w:hAnsi="Arial"/>
          <w:sz w:val="18"/>
          <w:szCs w:val="18"/>
          <w:color w:val="auto"/>
        </w:rPr>
        <w:t>of XpresSpa Group, Inc., a Delaware corporation (the</w:t>
      </w:r>
      <w:r>
        <w:rPr>
          <w:rFonts w:ascii="Arial" w:cs="Arial" w:eastAsia="Arial" w:hAnsi="Arial"/>
          <w:sz w:val="18"/>
          <w:szCs w:val="18"/>
          <w:b w:val="1"/>
          <w:bCs w:val="1"/>
          <w:color w:val="auto"/>
        </w:rPr>
        <w:t xml:space="preserve"> “Corporation”), </w:t>
      </w:r>
      <w:r>
        <w:rPr>
          <w:rFonts w:ascii="Arial" w:cs="Arial" w:eastAsia="Arial" w:hAnsi="Arial"/>
          <w:sz w:val="18"/>
          <w:szCs w:val="18"/>
          <w:color w:val="auto"/>
        </w:rPr>
        <w:t>indicated below into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of the Corporation, as of the date specified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551434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4">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Series E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6930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certificate no(s). of Series E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26930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491363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7">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14605</wp:posOffset>
            </wp:positionV>
            <wp:extent cx="46310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14605</wp:posOffset>
            </wp:positionV>
            <wp:extent cx="40392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40392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14605</wp:posOffset>
            </wp:positionV>
            <wp:extent cx="38334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1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Please issue the Common Stock into which the Series E Convertible Preferred Stock are being converted in the following name and to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160655</wp:posOffset>
            </wp:positionV>
            <wp:extent cx="37820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378206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37820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37388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312991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31730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14605</wp:posOffset>
            </wp:positionV>
            <wp:extent cx="34302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-130810</wp:posOffset>
            </wp:positionV>
            <wp:extent cx="40817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14605</wp:posOffset>
            </wp:positionV>
            <wp:extent cx="39960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14605</wp:posOffset>
            </wp:positionV>
            <wp:extent cx="36963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1559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31559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586740</wp:posOffset>
            </wp:positionV>
            <wp:extent cx="1741170" cy="8921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174117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XPRESSPA GROUP, INC.</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332"/>
        <w:spacing w:after="0" w:line="257" w:lineRule="auto"/>
        <w:tabs>
          <w:tab w:leader="none" w:pos="56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88" w:lineRule="exact"/>
        <w:rPr>
          <w:rFonts w:ascii="Arial" w:cs="Arial" w:eastAsia="Arial" w:hAnsi="Arial"/>
          <w:sz w:val="18"/>
          <w:szCs w:val="18"/>
          <w:color w:val="auto"/>
        </w:rPr>
      </w:pPr>
    </w:p>
    <w:p>
      <w:pPr>
        <w:jc w:val="both"/>
        <w:ind w:firstLine="332"/>
        <w:spacing w:after="0" w:line="302" w:lineRule="auto"/>
        <w:tabs>
          <w:tab w:leader="none" w:pos="5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Sections (3) and (4) of Article Fourth are hereby amended and restated in their entirety as follows:</w:t>
      </w:r>
    </w:p>
    <w:p>
      <w:pPr>
        <w:spacing w:after="0" w:line="225" w:lineRule="exact"/>
        <w:rPr>
          <w:sz w:val="20"/>
          <w:szCs w:val="20"/>
          <w:color w:val="auto"/>
        </w:rPr>
      </w:pPr>
    </w:p>
    <w:p>
      <w:pPr>
        <w:jc w:val="both"/>
        <w:ind w:firstLine="332"/>
        <w:spacing w:after="0" w:line="269" w:lineRule="auto"/>
        <w:tabs>
          <w:tab w:leader="none" w:pos="652" w:val="left"/>
        </w:tabs>
        <w:numPr>
          <w:ilvl w:val="0"/>
          <w:numId w:val="123"/>
        </w:numPr>
        <w:rPr>
          <w:rFonts w:ascii="Arial" w:cs="Arial" w:eastAsia="Arial" w:hAnsi="Arial"/>
          <w:sz w:val="17"/>
          <w:szCs w:val="17"/>
          <w:color w:val="auto"/>
        </w:rPr>
      </w:pPr>
      <w:r>
        <w:rPr>
          <w:rFonts w:ascii="Arial" w:cs="Arial" w:eastAsia="Arial" w:hAnsi="Arial"/>
          <w:sz w:val="17"/>
          <w:szCs w:val="17"/>
          <w:color w:val="auto"/>
        </w:rPr>
        <w:t>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 each twenty (20)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preceding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8" w:name="page209"/>
    <w:bookmarkEnd w:id="208"/>
    <w:p>
      <w:pPr>
        <w:jc w:val="both"/>
        <w:ind w:firstLine="332"/>
        <w:spacing w:after="0" w:line="271" w:lineRule="auto"/>
        <w:tabs>
          <w:tab w:leader="none" w:pos="69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Certificate of Amendment shall be effective on February 22, 2019 at 5:00 p.m., Eastern Time.</w:t>
      </w:r>
    </w:p>
    <w:p>
      <w:pPr>
        <w:spacing w:after="0" w:line="221"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Corporation has caused this Certificate of Amendment to be signed by its Chief Executive Officer on this 22nd day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2019.</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78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Exhibit 3.2</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jc w:val="center"/>
              <w:ind w:left="1790"/>
              <w:spacing w:after="0"/>
              <w:rPr>
                <w:sz w:val="20"/>
                <w:szCs w:val="20"/>
                <w:color w:val="auto"/>
              </w:rPr>
            </w:pPr>
            <w:r>
              <w:rPr>
                <w:rFonts w:ascii="Arial" w:cs="Arial" w:eastAsia="Arial" w:hAnsi="Arial"/>
                <w:sz w:val="18"/>
                <w:szCs w:val="18"/>
                <w:b w:val="1"/>
                <w:bCs w:val="1"/>
                <w:color w:val="auto"/>
                <w:w w:val="99"/>
              </w:rPr>
              <w:t>AMENDED AND RESTATED</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jc w:val="center"/>
              <w:ind w:left="1770"/>
              <w:spacing w:after="0"/>
              <w:rPr>
                <w:sz w:val="20"/>
                <w:szCs w:val="20"/>
                <w:color w:val="auto"/>
              </w:rPr>
            </w:pPr>
            <w:r>
              <w:rPr>
                <w:rFonts w:ascii="Arial" w:cs="Arial" w:eastAsia="Arial" w:hAnsi="Arial"/>
                <w:sz w:val="18"/>
                <w:szCs w:val="18"/>
                <w:b w:val="1"/>
                <w:bCs w:val="1"/>
                <w:color w:val="auto"/>
                <w:w w:val="98"/>
              </w:rPr>
              <w:t>BYLAWS OF</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jc w:val="center"/>
              <w:ind w:left="1770"/>
              <w:spacing w:after="0"/>
              <w:rPr>
                <w:sz w:val="20"/>
                <w:szCs w:val="20"/>
                <w:color w:val="auto"/>
              </w:rPr>
            </w:pPr>
            <w:r>
              <w:rPr>
                <w:rFonts w:ascii="Arial" w:cs="Arial" w:eastAsia="Arial" w:hAnsi="Arial"/>
                <w:sz w:val="18"/>
                <w:szCs w:val="18"/>
                <w:b w:val="1"/>
                <w:bCs w:val="1"/>
                <w:color w:val="auto"/>
                <w:w w:val="95"/>
              </w:rPr>
              <w:t>XPRESSPA GROUP, INC.</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Adopted January 8, 2018</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640" w:type="dxa"/>
            <w:vAlign w:val="bottom"/>
            <w:gridSpan w:val="2"/>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 MEETINGS OF STOCKHOLDERS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1.1</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Place of Meetings</w:t>
            </w:r>
          </w:p>
        </w:tc>
        <w:tc>
          <w:tcPr>
            <w:tcW w:w="2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Annual Meeting</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1.3</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Special Meeting</w:t>
            </w:r>
          </w:p>
        </w:tc>
        <w:tc>
          <w:tcPr>
            <w:tcW w:w="2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Notice of Stockholders’ Meetings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1.5</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Quorum</w:t>
            </w:r>
          </w:p>
        </w:tc>
        <w:tc>
          <w:tcPr>
            <w:tcW w:w="27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1.6</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Adjourned Meeting; Notice</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1.7</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Conduct of Business</w:t>
            </w:r>
          </w:p>
        </w:tc>
        <w:tc>
          <w:tcPr>
            <w:tcW w:w="27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1.8</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Voting</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1.9</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tc>
        <w:tc>
          <w:tcPr>
            <w:tcW w:w="27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1.10</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Record Date for Stockholder Notice; Voting; Giving Consents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1.11</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Proxies</w:t>
            </w:r>
          </w:p>
        </w:tc>
        <w:tc>
          <w:tcPr>
            <w:tcW w:w="27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1.12</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List of Stockholders Entitled to Vote</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 DIRECTORS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2.1</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Powers</w:t>
            </w:r>
          </w:p>
        </w:tc>
        <w:tc>
          <w:tcPr>
            <w:tcW w:w="27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2.2</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Number of Directors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2.3</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Election, Qualification and Term of Office of Directors</w:t>
            </w:r>
          </w:p>
        </w:tc>
        <w:tc>
          <w:tcPr>
            <w:tcW w:w="2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2.4</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Resignation and Vacancies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2.5</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Place of Meetings; Meetings by Telephone</w:t>
            </w:r>
          </w:p>
        </w:tc>
        <w:tc>
          <w:tcPr>
            <w:tcW w:w="2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Conduct of Business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2.7</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Regular Meetings</w:t>
            </w:r>
          </w:p>
        </w:tc>
        <w:tc>
          <w:tcPr>
            <w:tcW w:w="27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2.8</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Special Meetings; Notice</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2.9</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Quorum; 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2.10</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Board Action by Written Consent Without a Meeting</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2.11</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Fees and Compensation of Directors</w:t>
            </w:r>
          </w:p>
        </w:tc>
        <w:tc>
          <w:tcPr>
            <w:tcW w:w="27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2.12</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Removal of Directors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 COMMITTEES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3.1</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Committees of Directors</w:t>
            </w:r>
          </w:p>
        </w:tc>
        <w:tc>
          <w:tcPr>
            <w:tcW w:w="27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3.2</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Committee Minutes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3.3</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Meetings and Actions of Committees</w:t>
            </w:r>
          </w:p>
        </w:tc>
        <w:tc>
          <w:tcPr>
            <w:tcW w:w="27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3.4</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Subcommittees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 OFFICERS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4.1</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Officers</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Appointment of Officers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4.3</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Subordinate Officers</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4.4</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Removal and Resignation of Officers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4.5</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Vacancies in Offices</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4.6</w:t>
            </w:r>
          </w:p>
        </w:tc>
        <w:tc>
          <w:tcPr>
            <w:tcW w:w="776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Representation of Shares of Other Corporations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4.7</w:t>
            </w:r>
          </w:p>
        </w:tc>
        <w:tc>
          <w:tcPr>
            <w:tcW w:w="77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Authority and Duties of Officers</w:t>
            </w:r>
          </w:p>
        </w:tc>
        <w:tc>
          <w:tcPr>
            <w:tcW w:w="27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10" w:name="page211"/>
    <w:bookmarkEnd w:id="2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 INDEMNIFICATION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5.1</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Indemnification of Directors and Officers in Third Party Proceedings</w:t>
            </w:r>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5.2</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Indemnification of Directors and Officers in Actions by or in the Right of the Company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5.3</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Successful Defense</w:t>
            </w:r>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5.4</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Indemnification of Others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5.5</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Advanced Payment of Expenses</w:t>
            </w: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5.6</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Limitation on Indemnification and Advancement of Expenses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5.7</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Determination; Claim</w:t>
            </w: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5.8</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Non-Exclusivity of Rights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5.9</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Insurance</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5.10</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Survival</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5.11</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Effect of Repeal or Modification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5.12</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Certain Definitions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 STOCK</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6.1</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 Certificates; Partly Paid Shares</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6.2</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Special Designation on Certificates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6.3</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Lost Certificates</w:t>
            </w: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6.4</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Dividends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6.5</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 Transfer Agreements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6.6</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Registered Stockholders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6.7</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Transfers</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7.1</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Notice of Stockholder Meetings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7.2</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Notice by Electronic Transmission</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7.3</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Notice to Stockholders Sharing an Address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7.4</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Notice to Person with Whom Communication is Unlawful</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7.5</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Waiver of Notice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VIII —</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 GENERAL MATTERS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9.1</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Fiscal Year</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9.2</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Seal</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9.3</w:t>
            </w:r>
          </w:p>
        </w:tc>
        <w:tc>
          <w:tcPr>
            <w:tcW w:w="85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Annual Report</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9.4</w:t>
            </w: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b w:val="1"/>
                <w:bCs w:val="1"/>
                <w:i w:val="1"/>
                <w:iCs w:val="1"/>
                <w:color w:val="auto"/>
              </w:rPr>
              <w:t>Construction; Definitions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 AMENDMENTS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211" w:name="page212"/>
    <w:bookmarkEnd w:id="211"/>
    <w:p>
      <w:pPr>
        <w:jc w:val="center"/>
        <w:ind w:right="-7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5"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Place of Meetings</w:t>
      </w:r>
      <w:r>
        <w:rPr>
          <w:rFonts w:ascii="Arial" w:cs="Arial" w:eastAsia="Arial" w:hAnsi="Arial"/>
          <w:sz w:val="18"/>
          <w:szCs w:val="18"/>
          <w:color w:val="auto"/>
        </w:rPr>
        <w:t>. Meetings of stockholders of XpresSpa Group,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held at any place, within or outside the State of Delaware, determined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Company’s principal executive office.</w:t>
      </w:r>
    </w:p>
    <w:p>
      <w:pPr>
        <w:spacing w:after="0" w:line="18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225" w:lineRule="exact"/>
        <w:rPr>
          <w:sz w:val="20"/>
          <w:szCs w:val="20"/>
          <w:color w:val="auto"/>
        </w:rPr>
      </w:pPr>
    </w:p>
    <w:p>
      <w:pPr>
        <w:ind w:left="1100" w:hanging="211"/>
        <w:spacing w:after="0"/>
        <w:tabs>
          <w:tab w:leader="none" w:pos="11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225" w:lineRule="exact"/>
        <w:rPr>
          <w:rFonts w:ascii="Arial" w:cs="Arial" w:eastAsia="Arial" w:hAnsi="Arial"/>
          <w:sz w:val="18"/>
          <w:szCs w:val="18"/>
          <w:color w:val="auto"/>
        </w:rPr>
      </w:pPr>
    </w:p>
    <w:p>
      <w:pPr>
        <w:ind w:left="440" w:right="400" w:firstLine="449"/>
        <w:spacing w:after="0" w:line="277" w:lineRule="auto"/>
        <w:tabs>
          <w:tab w:leader="none" w:pos="121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70"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7"/>
          <w:szCs w:val="17"/>
          <w:b w:val="1"/>
          <w:bCs w:val="1"/>
          <w:color w:val="auto"/>
        </w:rPr>
        <w:t>section 1.3</w:t>
      </w:r>
      <w:r>
        <w:rPr>
          <w:rFonts w:ascii="Arial" w:cs="Arial" w:eastAsia="Arial" w:hAnsi="Arial"/>
          <w:sz w:val="17"/>
          <w:szCs w:val="17"/>
          <w:color w:val="auto"/>
        </w:rPr>
        <w:t xml:space="preserve"> shall be construed as limiting, fixing, or affecting the time when a meeting of stockholders called by action of the Board may be held.</w:t>
      </w:r>
    </w:p>
    <w:p>
      <w:pPr>
        <w:spacing w:after="0" w:line="171"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Notice of Stockholders’ Meetings</w:t>
      </w:r>
      <w:r>
        <w:rPr>
          <w:rFonts w:ascii="Arial" w:cs="Arial" w:eastAsia="Arial" w:hAnsi="Arial"/>
          <w:sz w:val="16"/>
          <w:szCs w:val="16"/>
          <w:color w:val="auto"/>
        </w:rPr>
        <w:t>. 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12" w:name="page213"/>
    <w:bookmarkEnd w:id="212"/>
    <w:p>
      <w:pPr>
        <w:ind w:right="100" w:firstLine="441"/>
        <w:spacing w:after="0" w:line="29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Quorum</w:t>
      </w:r>
      <w:r>
        <w:rPr>
          <w:rFonts w:ascii="Arial" w:cs="Arial" w:eastAsia="Arial" w:hAnsi="Arial"/>
          <w:sz w:val="16"/>
          <w:szCs w:val="16"/>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6"/>
          <w:szCs w:val="16"/>
          <w:b w:val="1"/>
          <w:bCs w:val="1"/>
          <w:color w:val="auto"/>
        </w:rPr>
        <w:t>section 1.6</w:t>
      </w:r>
      <w:r>
        <w:rPr>
          <w:rFonts w:ascii="Arial" w:cs="Arial" w:eastAsia="Arial" w:hAnsi="Arial"/>
          <w:sz w:val="16"/>
          <w:szCs w:val="16"/>
          <w:color w:val="auto"/>
        </w:rPr>
        <w:t>, until a quorum is present or represented.</w:t>
      </w:r>
    </w:p>
    <w:p>
      <w:pPr>
        <w:spacing w:after="0" w:line="15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i w:val="1"/>
          <w:iCs w:val="1"/>
          <w:color w:val="auto"/>
        </w:rPr>
        <w:t>Adjourned Meeting; Notice</w:t>
      </w:r>
      <w:r>
        <w:rPr>
          <w:rFonts w:ascii="Arial" w:cs="Arial" w:eastAsia="Arial" w:hAnsi="Arial"/>
          <w:sz w:val="17"/>
          <w:szCs w:val="17"/>
          <w:color w:val="auto"/>
        </w:rPr>
        <w:t>.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78"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61"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180"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of these bylaws),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6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13" w:name="page214"/>
    <w:bookmarkEnd w:id="213"/>
    <w:p>
      <w:pPr>
        <w:ind w:firstLine="441"/>
        <w:spacing w:after="0" w:line="276"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i w:val="1"/>
          <w:iCs w:val="1"/>
          <w:color w:val="auto"/>
        </w:rPr>
        <w:t>Stockholder Action by Written Consent Without a Meeting</w:t>
      </w:r>
      <w:r>
        <w:rPr>
          <w:rFonts w:ascii="Arial" w:cs="Arial" w:eastAsia="Arial" w:hAnsi="Arial"/>
          <w:sz w:val="17"/>
          <w:szCs w:val="17"/>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6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7"/>
          <w:szCs w:val="17"/>
          <w:color w:val="auto"/>
        </w:rPr>
        <w:t xml:space="preserve">An electronic transmission (as defined in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2" w:lineRule="exact"/>
        <w:rPr>
          <w:sz w:val="20"/>
          <w:szCs w:val="20"/>
          <w:color w:val="auto"/>
        </w:rPr>
      </w:pPr>
    </w:p>
    <w:p>
      <w:pPr>
        <w:ind w:right="240" w:firstLine="441"/>
        <w:spacing w:after="0" w:line="302" w:lineRule="auto"/>
        <w:rPr>
          <w:sz w:val="20"/>
          <w:szCs w:val="20"/>
          <w:color w:val="auto"/>
        </w:rPr>
      </w:pPr>
      <w:r>
        <w:rPr>
          <w:rFonts w:ascii="Arial" w:cs="Arial" w:eastAsia="Arial" w:hAnsi="Arial"/>
          <w:sz w:val="16"/>
          <w:szCs w:val="16"/>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54"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65" w:lineRule="exact"/>
        <w:rPr>
          <w:sz w:val="20"/>
          <w:szCs w:val="20"/>
          <w:color w:val="auto"/>
        </w:rPr>
      </w:pPr>
    </w:p>
    <w:p>
      <w:pPr>
        <w:ind w:right="200" w:firstLine="441"/>
        <w:spacing w:after="0" w:line="276"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b w:val="1"/>
          <w:bCs w:val="1"/>
          <w:i w:val="1"/>
          <w:iCs w:val="1"/>
          <w:color w:val="auto"/>
        </w:rPr>
        <w:t>Record Date for Stockholder Notice; Voting; Giving Consents</w:t>
      </w:r>
      <w:r>
        <w:rPr>
          <w:rFonts w:ascii="Arial" w:cs="Arial" w:eastAsia="Arial" w:hAnsi="Arial"/>
          <w:sz w:val="17"/>
          <w:szCs w:val="17"/>
          <w:color w:val="auto"/>
        </w:rPr>
        <w:t>. In order that the Company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173" w:lineRule="exact"/>
        <w:rPr>
          <w:sz w:val="20"/>
          <w:szCs w:val="20"/>
          <w:color w:val="auto"/>
        </w:rPr>
      </w:pPr>
    </w:p>
    <w:p>
      <w:pPr>
        <w:ind w:left="440" w:right="20" w:firstLine="449"/>
        <w:spacing w:after="0" w:line="277" w:lineRule="auto"/>
        <w:tabs>
          <w:tab w:leader="none" w:pos="117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170" w:lineRule="exact"/>
        <w:rPr>
          <w:rFonts w:ascii="Arial" w:cs="Arial" w:eastAsia="Arial" w:hAnsi="Arial"/>
          <w:sz w:val="18"/>
          <w:szCs w:val="18"/>
          <w:color w:val="auto"/>
        </w:rPr>
      </w:pPr>
    </w:p>
    <w:p>
      <w:pPr>
        <w:ind w:left="440" w:right="280" w:firstLine="449"/>
        <w:spacing w:after="0" w:line="277" w:lineRule="auto"/>
        <w:tabs>
          <w:tab w:leader="none" w:pos="119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express consent to corporate action in writing without a meeting, shall not be more than ten days after the date upon which the resolution fixing the record date is adopted by the Board; and</w:t>
      </w:r>
    </w:p>
    <w:p>
      <w:pPr>
        <w:spacing w:after="0" w:line="170" w:lineRule="exact"/>
        <w:rPr>
          <w:rFonts w:ascii="Arial" w:cs="Arial" w:eastAsia="Arial" w:hAnsi="Arial"/>
          <w:sz w:val="18"/>
          <w:szCs w:val="18"/>
          <w:color w:val="auto"/>
        </w:rPr>
      </w:pPr>
    </w:p>
    <w:p>
      <w:pPr>
        <w:ind w:left="1240" w:hanging="351"/>
        <w:spacing w:after="0"/>
        <w:tabs>
          <w:tab w:leader="none" w:pos="12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determination of stockholders for any other action, shall not be more than 60 days prior to such other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no record date is fixed by the Board:</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14" w:name="page215"/>
    <w:bookmarkEnd w:id="214"/>
    <w:p>
      <w:pPr>
        <w:ind w:left="440" w:firstLine="449"/>
        <w:spacing w:after="0" w:line="264" w:lineRule="auto"/>
        <w:tabs>
          <w:tab w:leader="none" w:pos="11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rFonts w:ascii="Arial" w:cs="Arial" w:eastAsia="Arial" w:hAnsi="Arial"/>
          <w:sz w:val="18"/>
          <w:szCs w:val="18"/>
          <w:color w:val="auto"/>
        </w:rPr>
      </w:pPr>
    </w:p>
    <w:p>
      <w:pPr>
        <w:ind w:left="440" w:right="40" w:firstLine="449"/>
        <w:spacing w:after="0" w:line="259" w:lineRule="auto"/>
        <w:tabs>
          <w:tab w:leader="none" w:pos="115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Company in accordance with applicable law, or, if prior action by the Board is required by law, shall be at the close of business on the day on which the Board adopts the resolution taking such prior action; and</w:t>
      </w:r>
    </w:p>
    <w:p>
      <w:pPr>
        <w:spacing w:after="0" w:line="186" w:lineRule="exact"/>
        <w:rPr>
          <w:rFonts w:ascii="Arial" w:cs="Arial" w:eastAsia="Arial" w:hAnsi="Arial"/>
          <w:sz w:val="18"/>
          <w:szCs w:val="18"/>
          <w:color w:val="auto"/>
        </w:rPr>
      </w:pPr>
    </w:p>
    <w:p>
      <w:pPr>
        <w:ind w:left="440" w:right="60" w:firstLine="449"/>
        <w:spacing w:after="0" w:line="277" w:lineRule="auto"/>
        <w:tabs>
          <w:tab w:leader="none" w:pos="121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Board may fix a new record date for the adjourned meeting.</w:t>
      </w:r>
    </w:p>
    <w:p>
      <w:pPr>
        <w:spacing w:after="0" w:line="17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officer who has charge of the stock ledger of the Company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The business and affairs of the Company shall be managed by or under the direction of the Board, except as may be otherwise provided in the DGCL or the certificate of incorporation.</w:t>
      </w:r>
    </w:p>
    <w:p>
      <w:pPr>
        <w:spacing w:after="0" w:line="170"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i w:val="1"/>
          <w:iCs w:val="1"/>
          <w:color w:val="auto"/>
        </w:rPr>
        <w:t>Number of Directors</w:t>
      </w:r>
      <w:r>
        <w:rPr>
          <w:rFonts w:ascii="Arial" w:cs="Arial" w:eastAsia="Arial" w:hAnsi="Arial"/>
          <w:sz w:val="17"/>
          <w:szCs w:val="17"/>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15" w:name="page216"/>
    <w:bookmarkEnd w:id="215"/>
    <w:p>
      <w:pPr>
        <w:ind w:right="40" w:firstLine="441"/>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i w:val="1"/>
          <w:iCs w:val="1"/>
          <w:color w:val="auto"/>
        </w:rPr>
        <w:t>Election, Qualification and Term of Office of Directors</w:t>
      </w:r>
      <w:r>
        <w:rPr>
          <w:rFonts w:ascii="Arial" w:cs="Arial" w:eastAsia="Arial" w:hAnsi="Arial"/>
          <w:sz w:val="17"/>
          <w:szCs w:val="17"/>
          <w:color w:val="auto"/>
        </w:rPr>
        <w:t xml:space="preserve">. Except as provided in </w:t>
      </w:r>
      <w:r>
        <w:rPr>
          <w:rFonts w:ascii="Arial" w:cs="Arial" w:eastAsia="Arial" w:hAnsi="Arial"/>
          <w:sz w:val="17"/>
          <w:szCs w:val="17"/>
          <w:b w:val="1"/>
          <w:bCs w:val="1"/>
          <w:color w:val="auto"/>
        </w:rPr>
        <w:t>section 2.4</w:t>
      </w:r>
      <w:r>
        <w:rPr>
          <w:rFonts w:ascii="Arial" w:cs="Arial" w:eastAsia="Arial" w:hAnsi="Arial"/>
          <w:sz w:val="17"/>
          <w:szCs w:val="17"/>
          <w:color w:val="auto"/>
        </w:rPr>
        <w:t xml:space="preserve"> of these bylaws, and subject to </w:t>
      </w:r>
      <w:r>
        <w:rPr>
          <w:rFonts w:ascii="Arial" w:cs="Arial" w:eastAsia="Arial" w:hAnsi="Arial"/>
          <w:sz w:val="17"/>
          <w:szCs w:val="17"/>
          <w:b w:val="1"/>
          <w:bCs w:val="1"/>
          <w:color w:val="auto"/>
        </w:rPr>
        <w:t>sections 1.2</w:t>
      </w:r>
      <w:r>
        <w:rPr>
          <w:rFonts w:ascii="Arial" w:cs="Arial" w:eastAsia="Arial" w:hAnsi="Arial"/>
          <w:sz w:val="17"/>
          <w:szCs w:val="17"/>
          <w:color w:val="auto"/>
        </w:rPr>
        <w:t xml:space="preserve"> and </w:t>
      </w:r>
      <w:r>
        <w:rPr>
          <w:rFonts w:ascii="Arial" w:cs="Arial" w:eastAsia="Arial" w:hAnsi="Arial"/>
          <w:sz w:val="17"/>
          <w:szCs w:val="17"/>
          <w:b w:val="1"/>
          <w:bCs w:val="1"/>
          <w:color w:val="auto"/>
        </w:rPr>
        <w:t>1.9</w:t>
      </w:r>
      <w:r>
        <w:rPr>
          <w:rFonts w:ascii="Arial" w:cs="Arial" w:eastAsia="Arial" w:hAnsi="Arial"/>
          <w:sz w:val="17"/>
          <w:szCs w:val="17"/>
          <w:color w:val="auto"/>
        </w:rPr>
        <w:t xml:space="preserve"> of these bylaws, directors shall be elected at each annual meeting of stockholders. Directors need not be stockholders 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6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ind w:left="440" w:right="280" w:firstLine="449"/>
        <w:spacing w:after="0" w:line="264" w:lineRule="auto"/>
        <w:tabs>
          <w:tab w:leader="none" w:pos="110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1" w:lineRule="exact"/>
        <w:rPr>
          <w:rFonts w:ascii="Arial" w:cs="Arial" w:eastAsia="Arial" w:hAnsi="Arial"/>
          <w:sz w:val="18"/>
          <w:szCs w:val="18"/>
          <w:color w:val="auto"/>
        </w:rPr>
      </w:pPr>
    </w:p>
    <w:p>
      <w:pPr>
        <w:jc w:val="both"/>
        <w:ind w:left="440" w:right="400" w:firstLine="449"/>
        <w:spacing w:after="0" w:line="286" w:lineRule="auto"/>
        <w:tabs>
          <w:tab w:leader="none" w:pos="115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66" w:lineRule="exact"/>
        <w:rPr>
          <w:sz w:val="20"/>
          <w:szCs w:val="20"/>
          <w:color w:val="auto"/>
        </w:rPr>
      </w:pPr>
    </w:p>
    <w:p>
      <w:pPr>
        <w:jc w:val="both"/>
        <w:ind w:right="120" w:firstLine="441"/>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70"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i w:val="1"/>
          <w:iCs w:val="1"/>
          <w:color w:val="auto"/>
        </w:rPr>
        <w:t>Place of Meetings; Meetings by Telephone</w:t>
      </w:r>
      <w:r>
        <w:rPr>
          <w:rFonts w:ascii="Arial" w:cs="Arial" w:eastAsia="Arial" w:hAnsi="Arial"/>
          <w:sz w:val="18"/>
          <w:szCs w:val="18"/>
          <w:color w:val="auto"/>
        </w:rPr>
        <w:t>. The Board may hold meetings, both regular and special, either within or outside the State of Delaware.</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216" w:name="page217"/>
    <w:bookmarkEnd w:id="216"/>
    <w:p>
      <w:pPr>
        <w:ind w:right="120" w:firstLine="441"/>
        <w:spacing w:after="0" w:line="312"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4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Regular meetings of the Board may be held without notice at such time and at such place as shall from time to time be determined by the Board.</w:t>
      </w:r>
    </w:p>
    <w:p>
      <w:pPr>
        <w:spacing w:after="0" w:line="170"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100" w:hanging="211"/>
        <w:spacing w:after="0"/>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70"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71"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Quorum; Voting</w:t>
      </w:r>
      <w:r>
        <w:rPr>
          <w:rFonts w:ascii="Arial" w:cs="Arial" w:eastAsia="Arial" w:hAnsi="Arial"/>
          <w:sz w:val="16"/>
          <w:szCs w:val="16"/>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54"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70"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17" w:name="page218"/>
    <w:bookmarkEnd w:id="217"/>
    <w:p>
      <w:pPr>
        <w:ind w:firstLine="441"/>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i w:val="1"/>
          <w:iCs w:val="1"/>
          <w:color w:val="auto"/>
        </w:rPr>
        <w:t>Board Action by Written Consent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70"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i w:val="1"/>
          <w:iCs w:val="1"/>
          <w:color w:val="auto"/>
        </w:rPr>
        <w:t>Committees of Directors</w:t>
      </w:r>
      <w:r>
        <w:rPr>
          <w:rFonts w:ascii="Arial" w:cs="Arial" w:eastAsia="Arial" w:hAnsi="Arial"/>
          <w:sz w:val="17"/>
          <w:szCs w:val="17"/>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Each committee shall keep regular minutes of its meetings and report the same to the Board when required.</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Meetings and Actions of Committees</w:t>
      </w:r>
      <w:r>
        <w:rPr>
          <w:rFonts w:ascii="Arial" w:cs="Arial" w:eastAsia="Arial" w:hAnsi="Arial"/>
          <w:sz w:val="18"/>
          <w:szCs w:val="18"/>
          <w:color w:val="auto"/>
        </w:rPr>
        <w:t>. Meetings and actions of committees shall be governed by, and held and taken in accordance with, the provisions of:</w:t>
      </w:r>
    </w:p>
    <w:p>
      <w:pPr>
        <w:spacing w:after="0" w:line="166" w:lineRule="exact"/>
        <w:rPr>
          <w:sz w:val="20"/>
          <w:szCs w:val="20"/>
          <w:color w:val="auto"/>
        </w:rPr>
      </w:pPr>
    </w:p>
    <w:p>
      <w:pPr>
        <w:ind w:left="1100" w:hanging="211"/>
        <w:spacing w:after="0"/>
        <w:tabs>
          <w:tab w:leader="none" w:pos="11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Meetings by Telephone);</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(Regular Meetings);</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 Voting);</w:t>
      </w:r>
    </w:p>
    <w:p>
      <w:pPr>
        <w:spacing w:after="0" w:line="225" w:lineRule="exact"/>
        <w:rPr>
          <w:rFonts w:ascii="Arial" w:cs="Arial" w:eastAsia="Arial" w:hAnsi="Arial"/>
          <w:sz w:val="18"/>
          <w:szCs w:val="18"/>
          <w:color w:val="auto"/>
        </w:rPr>
      </w:pPr>
    </w:p>
    <w:p>
      <w:pPr>
        <w:ind w:left="1140" w:hanging="251"/>
        <w:spacing w:after="0"/>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225" w:lineRule="exact"/>
        <w:rPr>
          <w:rFonts w:ascii="Arial" w:cs="Arial" w:eastAsia="Arial" w:hAnsi="Arial"/>
          <w:sz w:val="18"/>
          <w:szCs w:val="18"/>
          <w:color w:val="auto"/>
        </w:rPr>
      </w:pPr>
    </w:p>
    <w:p>
      <w:pPr>
        <w:ind w:left="1200" w:hanging="311"/>
        <w:spacing w:after="0"/>
        <w:tabs>
          <w:tab w:leader="none" w:pos="120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color w:val="auto"/>
        </w:rPr>
        <w:t>(Waiver of Notice)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18" w:name="page219"/>
    <w:bookmarkEnd w:id="218"/>
    <w:p>
      <w:pPr>
        <w:ind w:left="1100" w:hanging="211"/>
        <w:spacing w:after="0"/>
        <w:tabs>
          <w:tab w:leader="none" w:pos="11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236" w:lineRule="exact"/>
        <w:rPr>
          <w:rFonts w:ascii="Arial" w:cs="Arial" w:eastAsia="Arial" w:hAnsi="Arial"/>
          <w:sz w:val="17"/>
          <w:szCs w:val="17"/>
          <w:color w:val="auto"/>
        </w:rPr>
      </w:pPr>
    </w:p>
    <w:p>
      <w:pPr>
        <w:ind w:left="1160" w:hanging="271"/>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color w:val="auto"/>
        </w:rPr>
      </w:pPr>
    </w:p>
    <w:p>
      <w:pPr>
        <w:ind w:left="440" w:right="180" w:firstLine="449"/>
        <w:spacing w:after="0" w:line="308" w:lineRule="auto"/>
        <w:tabs>
          <w:tab w:leader="none" w:pos="120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4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70"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i w:val="1"/>
          <w:iCs w:val="1"/>
          <w:color w:val="auto"/>
        </w:rPr>
        <w:t>Subordinate Officers</w:t>
      </w:r>
      <w:r>
        <w:rPr>
          <w:rFonts w:ascii="Arial" w:cs="Arial" w:eastAsia="Arial" w:hAnsi="Arial"/>
          <w:sz w:val="17"/>
          <w:szCs w:val="17"/>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66"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81"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Vacancies in Offices</w:t>
      </w:r>
      <w:r>
        <w:rPr>
          <w:rFonts w:ascii="Arial" w:cs="Arial" w:eastAsia="Arial" w:hAnsi="Arial"/>
          <w:sz w:val="18"/>
          <w:szCs w:val="18"/>
          <w:color w:val="auto"/>
        </w:rPr>
        <w:t xml:space="preserve">. Any vacancy occurring in any office of the Company shall be filled by the Board or as provided in </w:t>
      </w:r>
      <w:r>
        <w:rPr>
          <w:rFonts w:ascii="Arial" w:cs="Arial" w:eastAsia="Arial" w:hAnsi="Arial"/>
          <w:sz w:val="18"/>
          <w:szCs w:val="18"/>
          <w:b w:val="1"/>
          <w:bCs w:val="1"/>
          <w:color w:val="auto"/>
        </w:rPr>
        <w:t>section 4.3</w:t>
      </w:r>
      <w:r>
        <w:rPr>
          <w:rFonts w:ascii="Arial" w:cs="Arial" w:eastAsia="Arial" w:hAnsi="Arial"/>
          <w:sz w:val="18"/>
          <w:szCs w:val="18"/>
          <w:color w:val="auto"/>
        </w:rPr>
        <w:t>.</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i w:val="1"/>
          <w:iCs w:val="1"/>
          <w:color w:val="auto"/>
        </w:rPr>
        <w:t>Representation of Shares of Other Corporations</w:t>
      </w:r>
      <w:r>
        <w:rPr>
          <w:rFonts w:ascii="Arial" w:cs="Arial" w:eastAsia="Arial" w:hAnsi="Arial"/>
          <w:sz w:val="17"/>
          <w:szCs w:val="17"/>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19" w:name="page220"/>
    <w:bookmarkEnd w:id="219"/>
    <w:p>
      <w:pPr>
        <w:ind w:right="140" w:firstLine="441"/>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 INDEMNIFICATION</w:t>
      </w:r>
    </w:p>
    <w:p>
      <w:pPr>
        <w:spacing w:after="0" w:line="22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Indemnification of Directors and Officers in Third Party Proceedings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64"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Indemnification of Directors and Officers in Actions by or in the Right of the Company</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8" w:lineRule="exact"/>
        <w:rPr>
          <w:sz w:val="20"/>
          <w:szCs w:val="20"/>
          <w:color w:val="auto"/>
        </w:rPr>
      </w:pPr>
    </w:p>
    <w:p>
      <w:pPr>
        <w:jc w:val="both"/>
        <w:ind w:right="400" w:firstLine="441"/>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or in defense of any claim, issue or matter therein, such person shall be indemnified against expenses (including attorneys’ fees) actually and reasonably incurred by such person in connection therewith.</w:t>
      </w:r>
    </w:p>
    <w:p>
      <w:pPr>
        <w:spacing w:after="0" w:line="143"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Indemnification of Others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20" w:name="page221"/>
    <w:bookmarkEnd w:id="220"/>
    <w:p>
      <w:pPr>
        <w:ind w:right="40" w:firstLine="441"/>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i w:val="1"/>
          <w:iCs w:val="1"/>
          <w:color w:val="auto"/>
        </w:rPr>
        <w:t>Advanced Payment of Expenses</w:t>
      </w:r>
      <w:r>
        <w:rPr>
          <w:rFonts w:ascii="Arial" w:cs="Arial" w:eastAsia="Arial" w:hAnsi="Arial"/>
          <w:sz w:val="18"/>
          <w:szCs w:val="18"/>
          <w:color w:val="auto"/>
        </w:rPr>
        <w:t xml:space="preserve">. Expenses (including attorneys’ fees) incurred by an officer or director of the Company in defending any Proceeding shall be paid by the Company in advance of the final disposition of such Proceeding upon receipt of an undertaking by or on behalf of the person to repay such amounts if it shall ultimately be determined that the person is not entitled to be indemnified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or the DGCL. Such expenses (including attorneys’ fees) incurred by former directors and officers or other employees and agents may be so paid upon such terms and conditions, if any, as the Company deems appropriate.</w:t>
      </w:r>
    </w:p>
    <w:p>
      <w:pPr>
        <w:spacing w:after="0" w:line="18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Notwithstanding the foregoing, unless otherwise determined pursuant to </w:t>
      </w:r>
      <w:r>
        <w:rPr>
          <w:rFonts w:ascii="Arial" w:cs="Arial" w:eastAsia="Arial" w:hAnsi="Arial"/>
          <w:sz w:val="18"/>
          <w:szCs w:val="18"/>
          <w:b w:val="1"/>
          <w:bCs w:val="1"/>
          <w:color w:val="auto"/>
        </w:rPr>
        <w:t>section 5.8</w:t>
      </w:r>
      <w:r>
        <w:rPr>
          <w:rFonts w:ascii="Arial" w:cs="Arial" w:eastAsia="Arial" w:hAnsi="Arial"/>
          <w:sz w:val="18"/>
          <w:szCs w:val="18"/>
          <w:color w:val="auto"/>
        </w:rPr>
        <w:t>,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of such directors designated by majority vote of such directors, even though 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9" w:lineRule="exact"/>
        <w:rPr>
          <w:sz w:val="20"/>
          <w:szCs w:val="20"/>
          <w:color w:val="auto"/>
        </w:rPr>
      </w:pPr>
    </w:p>
    <w:p>
      <w:pPr>
        <w:ind w:right="80" w:firstLine="441"/>
        <w:spacing w:after="0" w:line="34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i w:val="1"/>
          <w:iCs w:val="1"/>
          <w:color w:val="auto"/>
        </w:rPr>
        <w:t>Limitation on Indemnification and Advancement of Expenses</w:t>
      </w:r>
      <w:r>
        <w:rPr>
          <w:rFonts w:ascii="Arial" w:cs="Arial" w:eastAsia="Arial" w:hAnsi="Arial"/>
          <w:sz w:val="16"/>
          <w:szCs w:val="16"/>
          <w:color w:val="auto"/>
        </w:rPr>
        <w:t xml:space="preserve">. Subject to the requirements in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the DGCL, the Company shall not be required to provide indemnification or, with respect to clauses (i), (iii) and (iv) below, advance expenses to any person pursuant to this </w:t>
      </w:r>
      <w:r>
        <w:rPr>
          <w:rFonts w:ascii="Arial" w:cs="Arial" w:eastAsia="Arial" w:hAnsi="Arial"/>
          <w:sz w:val="16"/>
          <w:szCs w:val="16"/>
          <w:b w:val="1"/>
          <w:bCs w:val="1"/>
          <w:color w:val="auto"/>
        </w:rPr>
        <w:t>Article V</w:t>
      </w:r>
      <w:r>
        <w:rPr>
          <w:rFonts w:ascii="Arial" w:cs="Arial" w:eastAsia="Arial" w:hAnsi="Arial"/>
          <w:sz w:val="16"/>
          <w:szCs w:val="16"/>
          <w:color w:val="auto"/>
        </w:rPr>
        <w:t>:</w:t>
      </w:r>
    </w:p>
    <w:p>
      <w:pPr>
        <w:spacing w:after="0" w:line="120" w:lineRule="exact"/>
        <w:rPr>
          <w:sz w:val="20"/>
          <w:szCs w:val="20"/>
          <w:color w:val="auto"/>
        </w:rPr>
      </w:pPr>
    </w:p>
    <w:p>
      <w:pPr>
        <w:ind w:left="440" w:right="200" w:firstLine="449"/>
        <w:spacing w:after="0" w:line="277" w:lineRule="auto"/>
        <w:tabs>
          <w:tab w:leader="none" w:pos="110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 connection with any Proceeding (or part thereof) initiated by such person except (i) as otherwise required by law, (ii) in specific cases if the Proceeding was authorized by the Board, or (iii) as is required to be made under </w:t>
      </w:r>
      <w:r>
        <w:rPr>
          <w:rFonts w:ascii="Arial" w:cs="Arial" w:eastAsia="Arial" w:hAnsi="Arial"/>
          <w:sz w:val="18"/>
          <w:szCs w:val="18"/>
          <w:b w:val="1"/>
          <w:bCs w:val="1"/>
          <w:color w:val="auto"/>
        </w:rPr>
        <w:t>section 5.7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40" w:right="60" w:firstLine="449"/>
        <w:spacing w:after="0" w:line="264" w:lineRule="auto"/>
        <w:tabs>
          <w:tab w:leader="none" w:pos="11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connection with any Proceeding (or part thereof) against such person providing for an accounting or disgorgement of profits pursuant to the provisions of Section 16(b) of the Securities Exchange Act of 1934, as amended, or similar provisions of any federal, state or local statutory law or common law;</w:t>
      </w:r>
    </w:p>
    <w:p>
      <w:pPr>
        <w:spacing w:after="0" w:line="181" w:lineRule="exact"/>
        <w:rPr>
          <w:rFonts w:ascii="Arial" w:cs="Arial" w:eastAsia="Arial" w:hAnsi="Arial"/>
          <w:sz w:val="18"/>
          <w:szCs w:val="18"/>
          <w:color w:val="auto"/>
        </w:rPr>
      </w:pPr>
    </w:p>
    <w:p>
      <w:pPr>
        <w:ind w:left="440" w:right="440" w:firstLine="449"/>
        <w:spacing w:after="0" w:line="277" w:lineRule="auto"/>
        <w:tabs>
          <w:tab w:leader="none" w:pos="120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amounts for which payment has actually been made to or on behalf of such person under any statute, insurance policy or indemnity provision, except with respect to any excess beyond the amount paid; or</w:t>
      </w:r>
    </w:p>
    <w:p>
      <w:pPr>
        <w:spacing w:after="0" w:line="170" w:lineRule="exact"/>
        <w:rPr>
          <w:rFonts w:ascii="Arial" w:cs="Arial" w:eastAsia="Arial" w:hAnsi="Arial"/>
          <w:sz w:val="18"/>
          <w:szCs w:val="18"/>
          <w:color w:val="auto"/>
        </w:rPr>
      </w:pPr>
    </w:p>
    <w:p>
      <w:pPr>
        <w:ind w:left="1200" w:hanging="311"/>
        <w:spacing w:after="0"/>
        <w:tabs>
          <w:tab w:leader="none" w:pos="12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ind w:right="160" w:firstLine="441"/>
        <w:spacing w:after="0" w:line="28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i w:val="1"/>
          <w:iCs w:val="1"/>
          <w:color w:val="auto"/>
        </w:rPr>
        <w:t>Determination; Claim</w:t>
      </w:r>
      <w:r>
        <w:rPr>
          <w:rFonts w:ascii="Arial" w:cs="Arial" w:eastAsia="Arial" w:hAnsi="Arial"/>
          <w:sz w:val="17"/>
          <w:szCs w:val="17"/>
          <w:color w:val="auto"/>
        </w:rPr>
        <w:t xml:space="preserve">. If a claim for indemnification or advancement of expenses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is not paid in full within 60 days after a written claim therefor has been received by the Company, the claimant may file suit to recover the unpaid amount of such claim and, if successful in whole or in part, shall be entitled to be paid the expense of prosecuting such claim. In any such suit, the Company shall have the burden of proving that the claimant was not entitled to the requested indemnification or advancement of expenses under applicable law.</w:t>
      </w:r>
    </w:p>
    <w:p>
      <w:pPr>
        <w:spacing w:after="0" w:line="165"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21" w:name="page222"/>
    <w:bookmarkEnd w:id="221"/>
    <w:p>
      <w:pPr>
        <w:ind w:right="60" w:firstLine="441"/>
        <w:spacing w:after="0" w:line="30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50" w:lineRule="exact"/>
        <w:rPr>
          <w:sz w:val="20"/>
          <w:szCs w:val="20"/>
          <w:color w:val="auto"/>
        </w:rPr>
      </w:pPr>
    </w:p>
    <w:p>
      <w:pPr>
        <w:ind w:right="320" w:firstLine="441"/>
        <w:spacing w:after="0" w:line="313"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xml:space="preserve">. The rights to indemnification and advancement of expenses conferred by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shall continue as to a person who has ceased to be a director, officer, employee or agent and shall inure to the benefit of the heirs, executors and administrators of such a person.</w:t>
      </w:r>
    </w:p>
    <w:p>
      <w:pPr>
        <w:spacing w:after="0" w:line="138" w:lineRule="exact"/>
        <w:rPr>
          <w:sz w:val="20"/>
          <w:szCs w:val="20"/>
          <w:color w:val="auto"/>
        </w:rPr>
      </w:pPr>
    </w:p>
    <w:p>
      <w:pPr>
        <w:ind w:right="620" w:firstLine="441"/>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Any repeal or modification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adversely affect any right or protection hereunder of any person in respect of any act or omission occurring prior to the time of such repeal or modification.</w:t>
      </w:r>
    </w:p>
    <w:p>
      <w:pPr>
        <w:spacing w:after="0" w:line="162"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i w:val="1"/>
          <w:iCs w:val="1"/>
          <w:color w:val="auto"/>
        </w:rPr>
        <w:t>Certain Definitions</w:t>
      </w:r>
      <w:r>
        <w:rPr>
          <w:rFonts w:ascii="Arial" w:cs="Arial" w:eastAsia="Arial" w:hAnsi="Arial"/>
          <w:sz w:val="17"/>
          <w:szCs w:val="17"/>
          <w:color w:val="auto"/>
        </w:rPr>
        <w:t xml:space="preserve">. For purposes of this </w:t>
      </w:r>
      <w:r>
        <w:rPr>
          <w:rFonts w:ascii="Arial" w:cs="Arial" w:eastAsia="Arial" w:hAnsi="Arial"/>
          <w:sz w:val="17"/>
          <w:szCs w:val="17"/>
          <w:b w:val="1"/>
          <w:bCs w:val="1"/>
          <w:color w:val="auto"/>
        </w:rPr>
        <w:t>Article V</w:t>
      </w:r>
      <w:r>
        <w:rPr>
          <w:rFonts w:ascii="Arial" w:cs="Arial" w:eastAsia="Arial" w:hAnsi="Arial"/>
          <w:sz w:val="17"/>
          <w:szCs w:val="17"/>
          <w:color w:val="auto"/>
        </w:rPr>
        <w:t>,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7"/>
          <w:szCs w:val="17"/>
          <w:b w:val="1"/>
          <w:bCs w:val="1"/>
          <w:color w:val="auto"/>
        </w:rPr>
        <w:t>Article V</w:t>
      </w:r>
      <w:r>
        <w:rPr>
          <w:rFonts w:ascii="Arial" w:cs="Arial" w:eastAsia="Arial" w:hAnsi="Arial"/>
          <w:sz w:val="17"/>
          <w:szCs w:val="17"/>
          <w:color w:val="auto"/>
        </w:rPr>
        <w:t>,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Company</w:t>
      </w:r>
      <w:r>
        <w:rPr>
          <w:rFonts w:ascii="Arial" w:cs="Arial" w:eastAsia="Arial" w:hAnsi="Arial"/>
          <w:sz w:val="17"/>
          <w:szCs w:val="17"/>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 best interests of the Company</w:t>
      </w:r>
      <w:r>
        <w:rPr>
          <w:rFonts w:ascii="Arial" w:cs="Arial" w:eastAsia="Arial" w:hAnsi="Arial"/>
          <w:sz w:val="17"/>
          <w:szCs w:val="17"/>
          <w:color w:val="auto"/>
        </w:rPr>
        <w:t xml:space="preserve">” as referred to in this </w:t>
      </w:r>
      <w:r>
        <w:rPr>
          <w:rFonts w:ascii="Arial" w:cs="Arial" w:eastAsia="Arial" w:hAnsi="Arial"/>
          <w:sz w:val="17"/>
          <w:szCs w:val="17"/>
          <w:b w:val="1"/>
          <w:bCs w:val="1"/>
          <w:color w:val="auto"/>
        </w:rPr>
        <w:t>Article V</w:t>
      </w:r>
      <w:r>
        <w:rPr>
          <w:rFonts w:ascii="Arial" w:cs="Arial" w:eastAsia="Arial" w:hAnsi="Arial"/>
          <w:sz w:val="17"/>
          <w:szCs w:val="17"/>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color w:val="auto"/>
        </w:rPr>
        <w:t xml:space="preserve">. The shares of the Company shall be represented by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222" w:name="page223"/>
    <w:bookmarkEnd w:id="222"/>
    <w:p>
      <w:pPr>
        <w:ind w:firstLine="441"/>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Special Designation on Certificates</w:t>
      </w:r>
      <w:r>
        <w:rPr>
          <w:rFonts w:ascii="Arial" w:cs="Arial" w:eastAsia="Arial" w:hAnsi="Arial"/>
          <w:sz w:val="18"/>
          <w:szCs w:val="18"/>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right="80" w:firstLine="441"/>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i w:val="1"/>
          <w:iCs w:val="1"/>
          <w:color w:val="auto"/>
        </w:rPr>
        <w:t>Lost Certificates</w:t>
      </w:r>
      <w:r>
        <w:rPr>
          <w:rFonts w:ascii="Arial" w:cs="Arial" w:eastAsia="Arial" w:hAnsi="Arial"/>
          <w:sz w:val="16"/>
          <w:szCs w:val="16"/>
          <w:color w:val="auto"/>
        </w:rPr>
        <w:t xml:space="preserve">. Except as provided in this </w:t>
      </w:r>
      <w:r>
        <w:rPr>
          <w:rFonts w:ascii="Arial" w:cs="Arial" w:eastAsia="Arial" w:hAnsi="Arial"/>
          <w:sz w:val="16"/>
          <w:szCs w:val="16"/>
          <w:b w:val="1"/>
          <w:bCs w:val="1"/>
          <w:color w:val="auto"/>
        </w:rPr>
        <w:t>section 6.3</w:t>
      </w:r>
      <w:r>
        <w:rPr>
          <w:rFonts w:ascii="Arial" w:cs="Arial" w:eastAsia="Arial" w:hAnsi="Arial"/>
          <w:sz w:val="16"/>
          <w:szCs w:val="16"/>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58"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70" w:lineRule="exact"/>
        <w:rPr>
          <w:sz w:val="20"/>
          <w:szCs w:val="20"/>
          <w:color w:val="auto"/>
        </w:rPr>
      </w:pPr>
    </w:p>
    <w:p>
      <w:pPr>
        <w:jc w:val="both"/>
        <w:ind w:right="620" w:firstLine="44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The Company:</w:t>
      </w:r>
    </w:p>
    <w:p>
      <w:pPr>
        <w:spacing w:after="0" w:line="225" w:lineRule="exact"/>
        <w:rPr>
          <w:sz w:val="20"/>
          <w:szCs w:val="20"/>
          <w:color w:val="auto"/>
        </w:rPr>
      </w:pPr>
    </w:p>
    <w:p>
      <w:pPr>
        <w:ind w:left="440" w:right="200" w:firstLine="449"/>
        <w:spacing w:after="0" w:line="277" w:lineRule="auto"/>
        <w:tabs>
          <w:tab w:leader="none" w:pos="11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170" w:lineRule="exact"/>
        <w:rPr>
          <w:rFonts w:ascii="Arial" w:cs="Arial" w:eastAsia="Arial" w:hAnsi="Arial"/>
          <w:sz w:val="18"/>
          <w:szCs w:val="18"/>
          <w:color w:val="auto"/>
        </w:rPr>
      </w:pPr>
    </w:p>
    <w:p>
      <w:pPr>
        <w:ind w:left="1160" w:hanging="271"/>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225" w:lineRule="exact"/>
        <w:rPr>
          <w:rFonts w:ascii="Arial" w:cs="Arial" w:eastAsia="Arial" w:hAnsi="Arial"/>
          <w:sz w:val="18"/>
          <w:szCs w:val="18"/>
          <w:color w:val="auto"/>
        </w:rPr>
      </w:pPr>
    </w:p>
    <w:p>
      <w:pPr>
        <w:ind w:left="440" w:right="220" w:firstLine="449"/>
        <w:spacing w:after="0" w:line="277" w:lineRule="auto"/>
        <w:tabs>
          <w:tab w:leader="none" w:pos="12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223" w:name="page224"/>
    <w:bookmarkEnd w:id="223"/>
    <w:p>
      <w:pPr>
        <w:ind w:right="40" w:firstLine="441"/>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Notice of Stockholder Meetings</w:t>
      </w:r>
      <w:r>
        <w:rPr>
          <w:rFonts w:ascii="Arial" w:cs="Arial" w:eastAsia="Arial" w:hAnsi="Arial"/>
          <w:sz w:val="18"/>
          <w:szCs w:val="18"/>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87"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 the Company is unable to deliver by electronic transmission two consecutive notices given by the Company in accordance with such consent;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40" w:right="100" w:firstLine="449"/>
        <w:spacing w:after="0" w:line="277" w:lineRule="auto"/>
        <w:tabs>
          <w:tab w:leader="none" w:pos="118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100" w:hanging="211"/>
        <w:spacing w:after="0"/>
        <w:tabs>
          <w:tab w:leader="none" w:pos="11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160" w:hanging="271"/>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225" w:lineRule="exact"/>
        <w:rPr>
          <w:rFonts w:ascii="Arial" w:cs="Arial" w:eastAsia="Arial" w:hAnsi="Arial"/>
          <w:sz w:val="18"/>
          <w:szCs w:val="18"/>
          <w:color w:val="auto"/>
        </w:rPr>
      </w:pPr>
    </w:p>
    <w:p>
      <w:pPr>
        <w:ind w:left="440" w:right="80" w:firstLine="449"/>
        <w:spacing w:after="0" w:line="277" w:lineRule="auto"/>
        <w:tabs>
          <w:tab w:leader="none" w:pos="120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70" w:lineRule="exact"/>
        <w:rPr>
          <w:rFonts w:ascii="Arial" w:cs="Arial" w:eastAsia="Arial" w:hAnsi="Arial"/>
          <w:sz w:val="18"/>
          <w:szCs w:val="18"/>
          <w:color w:val="auto"/>
        </w:rPr>
      </w:pPr>
    </w:p>
    <w:p>
      <w:pPr>
        <w:ind w:left="1200" w:hanging="311"/>
        <w:spacing w:after="0"/>
        <w:tabs>
          <w:tab w:leader="none" w:pos="12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ind w:right="400" w:firstLine="441"/>
        <w:spacing w:after="0" w:line="26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9" w:right="359" w:bottom="1440" w:gutter="0" w:footer="0" w:header="0"/>
        </w:sectPr>
      </w:pPr>
    </w:p>
    <w:bookmarkStart w:id="224" w:name="page225"/>
    <w:bookmarkEnd w:id="224"/>
    <w:p>
      <w:pPr>
        <w:ind w:right="200" w:firstLine="441"/>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i w:val="1"/>
          <w:iCs w:val="1"/>
          <w:color w:val="auto"/>
        </w:rPr>
        <w:t>Notice to Stockholders Sharing an Address</w:t>
      </w:r>
      <w:r>
        <w:rPr>
          <w:rFonts w:ascii="Arial" w:cs="Arial" w:eastAsia="Arial" w:hAnsi="Arial"/>
          <w:sz w:val="17"/>
          <w:szCs w:val="17"/>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7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Notice to Person with Whom Communication is Unlawful</w:t>
      </w:r>
      <w:r>
        <w:rPr>
          <w:rFonts w:ascii="Arial" w:cs="Arial" w:eastAsia="Arial" w:hAnsi="Arial"/>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i w:val="1"/>
          <w:iCs w:val="1"/>
          <w:color w:val="auto"/>
        </w:rPr>
        <w:t>Waiver of Notice</w:t>
      </w:r>
      <w:r>
        <w:rPr>
          <w:rFonts w:ascii="Arial" w:cs="Arial" w:eastAsia="Arial" w:hAnsi="Arial"/>
          <w:sz w:val="18"/>
          <w:szCs w:val="18"/>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the Company shall be fixed by resolution of the Board and may be changed by the Board.</w:t>
      </w:r>
    </w:p>
    <w:p>
      <w:pPr>
        <w:spacing w:after="0" w:line="225"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i w:val="1"/>
          <w:iCs w:val="1"/>
          <w:color w:val="auto"/>
        </w:rPr>
        <w:t>Seal</w:t>
      </w:r>
      <w:r>
        <w:rPr>
          <w:rFonts w:ascii="Arial" w:cs="Arial" w:eastAsia="Arial" w:hAnsi="Arial"/>
          <w:sz w:val="17"/>
          <w:szCs w:val="17"/>
          <w:color w:val="auto"/>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4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8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1"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6" w:name="page227"/>
    <w:bookmarkEnd w:id="226"/>
    <w:p>
      <w:pPr>
        <w:ind w:left="10200"/>
        <w:spacing w:after="0"/>
        <w:rPr>
          <w:sz w:val="20"/>
          <w:szCs w:val="20"/>
          <w:color w:val="auto"/>
        </w:rPr>
      </w:pPr>
      <w:r>
        <w:rPr>
          <w:rFonts w:ascii="Arial" w:cs="Arial" w:eastAsia="Arial" w:hAnsi="Arial"/>
          <w:sz w:val="19"/>
          <w:szCs w:val="19"/>
          <w:b w:val="1"/>
          <w:bCs w:val="1"/>
          <w:color w:val="auto"/>
        </w:rPr>
        <w:t>Exhibit 10.28</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SALE AND MARKETING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THIS PRODUCT SALE AND MARKETING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this 12th day of November, 2018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Calm.com, Inc., a Delaware corporation, having offices at 140 2nd Street, 3rd Floor, San Francisco, California 94105 (“</w:t>
      </w:r>
      <w:r>
        <w:rPr>
          <w:rFonts w:ascii="Arial" w:cs="Arial" w:eastAsia="Arial" w:hAnsi="Arial"/>
          <w:sz w:val="18"/>
          <w:szCs w:val="18"/>
          <w:b w:val="1"/>
          <w:bCs w:val="1"/>
          <w:color w:val="auto"/>
        </w:rPr>
        <w:t>Calm</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XpresSpa Group, Inc., a Delaware corporation, having offices at 780 Third Avenue, 12th Floor, New York, New York 10017 (“</w:t>
      </w:r>
      <w:r>
        <w:rPr>
          <w:rFonts w:ascii="Arial" w:cs="Arial" w:eastAsia="Arial" w:hAnsi="Arial"/>
          <w:sz w:val="18"/>
          <w:szCs w:val="18"/>
          <w:b w:val="1"/>
          <w:bCs w:val="1"/>
          <w:color w:val="auto"/>
        </w:rPr>
        <w:t>XSPA</w:t>
      </w:r>
      <w:r>
        <w:rPr>
          <w:rFonts w:ascii="Arial" w:cs="Arial" w:eastAsia="Arial" w:hAnsi="Arial"/>
          <w:sz w:val="18"/>
          <w:szCs w:val="18"/>
          <w:color w:val="auto"/>
        </w:rPr>
        <w:t>”). Each of Calm and XSPA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Calm is the manufacturer and distributor of Calm branded products and services, including those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XSPA is the owner, operator and/or franchisor of XpresSpa branded stores (each a “</w:t>
      </w:r>
      <w:r>
        <w:rPr>
          <w:rFonts w:ascii="Arial" w:cs="Arial" w:eastAsia="Arial" w:hAnsi="Arial"/>
          <w:sz w:val="18"/>
          <w:szCs w:val="18"/>
          <w:b w:val="1"/>
          <w:bCs w:val="1"/>
          <w:color w:val="auto"/>
        </w:rPr>
        <w:t>Store</w:t>
      </w:r>
      <w:r>
        <w:rPr>
          <w:rFonts w:ascii="Arial" w:cs="Arial" w:eastAsia="Arial" w:hAnsi="Arial"/>
          <w:sz w:val="18"/>
          <w:szCs w:val="18"/>
          <w:color w:val="auto"/>
        </w:rPr>
        <w:t>”) throughout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Territory</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Calm desires to increase its brand exposure in the Territory by collaborating with XSPA for the display, marketing, promotion, offer for</w:t>
      </w:r>
      <w:r>
        <w:rPr>
          <w:rFonts w:ascii="Arial" w:cs="Arial" w:eastAsia="Arial" w:hAnsi="Arial"/>
          <w:sz w:val="18"/>
          <w:szCs w:val="18"/>
          <w:b w:val="1"/>
          <w:bCs w:val="1"/>
          <w:color w:val="auto"/>
        </w:rPr>
        <w:t xml:space="preserve"> </w:t>
      </w:r>
      <w:r>
        <w:rPr>
          <w:rFonts w:ascii="Arial" w:cs="Arial" w:eastAsia="Arial" w:hAnsi="Arial"/>
          <w:sz w:val="18"/>
          <w:szCs w:val="18"/>
          <w:color w:val="auto"/>
        </w:rPr>
        <w:t>sale and sale of Products at each Store in the Territory; and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XSPA desires to collaborate with Calm in connection with the display, marketing, promotion, offer for sale and sale of Products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Store in the Territory in accordance with the terms and conditions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other good and valuable consideration, the receipt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agree as follows:</w:t>
      </w:r>
    </w:p>
    <w:p>
      <w:pPr>
        <w:spacing w:after="0" w:line="193" w:lineRule="exact"/>
        <w:rPr>
          <w:sz w:val="20"/>
          <w:szCs w:val="20"/>
          <w:color w:val="auto"/>
        </w:rPr>
      </w:pPr>
    </w:p>
    <w:p>
      <w:pPr>
        <w:jc w:val="both"/>
        <w:ind w:firstLine="656"/>
        <w:spacing w:after="0" w:line="279" w:lineRule="auto"/>
        <w:tabs>
          <w:tab w:leader="none" w:pos="828"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Unless this Agreement is terminated earlier in accordance with the terms of Section 12, the term of this Agreement shall commence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and shall continue until July 31, 2019 (the “</w:t>
      </w:r>
      <w:r>
        <w:rPr>
          <w:rFonts w:ascii="Arial" w:cs="Arial" w:eastAsia="Arial" w:hAnsi="Arial"/>
          <w:sz w:val="17"/>
          <w:szCs w:val="17"/>
          <w:b w:val="1"/>
          <w:bCs w:val="1"/>
          <w:color w:val="auto"/>
        </w:rPr>
        <w:t>Initial Term</w:t>
      </w:r>
      <w:r>
        <w:rPr>
          <w:rFonts w:ascii="Arial" w:cs="Arial" w:eastAsia="Arial" w:hAnsi="Arial"/>
          <w:sz w:val="17"/>
          <w:szCs w:val="17"/>
          <w:color w:val="auto"/>
        </w:rPr>
        <w:t>”). Following the Initial Term, this Agreement shall automatically renew for successive terms of six (6) months (each a “</w:t>
      </w:r>
      <w:r>
        <w:rPr>
          <w:rFonts w:ascii="Arial" w:cs="Arial" w:eastAsia="Arial" w:hAnsi="Arial"/>
          <w:sz w:val="17"/>
          <w:szCs w:val="17"/>
          <w:b w:val="1"/>
          <w:bCs w:val="1"/>
          <w:color w:val="auto"/>
        </w:rPr>
        <w:t>Renewal Term</w:t>
      </w:r>
      <w:r>
        <w:rPr>
          <w:rFonts w:ascii="Arial" w:cs="Arial" w:eastAsia="Arial" w:hAnsi="Arial"/>
          <w:sz w:val="17"/>
          <w:szCs w:val="17"/>
          <w:color w:val="auto"/>
        </w:rPr>
        <w:t>”, and together with the Initial Term, the “</w:t>
      </w:r>
      <w:r>
        <w:rPr>
          <w:rFonts w:ascii="Arial" w:cs="Arial" w:eastAsia="Arial" w:hAnsi="Arial"/>
          <w:sz w:val="17"/>
          <w:szCs w:val="17"/>
          <w:b w:val="1"/>
          <w:bCs w:val="1"/>
          <w:color w:val="auto"/>
        </w:rPr>
        <w:t>Term</w:t>
      </w:r>
      <w:r>
        <w:rPr>
          <w:rFonts w:ascii="Arial" w:cs="Arial" w:eastAsia="Arial" w:hAnsi="Arial"/>
          <w:sz w:val="17"/>
          <w:szCs w:val="17"/>
          <w:color w:val="auto"/>
        </w:rPr>
        <w:t>”) unless written notice is given by either Party no later than thirty (30) days in advance of the expiration of the Initial Term or the applicable Renewal Term.</w:t>
      </w:r>
    </w:p>
    <w:p>
      <w:pPr>
        <w:spacing w:after="0" w:line="171" w:lineRule="exact"/>
        <w:rPr>
          <w:rFonts w:ascii="Arial" w:cs="Arial" w:eastAsia="Arial" w:hAnsi="Arial"/>
          <w:sz w:val="17"/>
          <w:szCs w:val="17"/>
          <w:color w:val="auto"/>
        </w:rPr>
      </w:pPr>
    </w:p>
    <w:p>
      <w:pPr>
        <w:ind w:left="840" w:hanging="184"/>
        <w:spacing w:after="0"/>
        <w:tabs>
          <w:tab w:leader="none" w:pos="84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Sale of Products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2.01. XSPA shall use its commercially reasonable efforts to display, market, promote, offer for sale and sell the Products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all Stores throughout the Territory. The Products shall only be sold by XSPA at the retail price of the applicable Product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Retail</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For the avoidance of doubt, the Retail Price for the Products at the Stores in the Territory (i) may only be modified by mutual agreement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(ii) does not include any discounts, promotions or applicable sales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7" w:name="page228"/>
    <w:bookmarkEnd w:id="227"/>
    <w:p>
      <w:pPr>
        <w:jc w:val="both"/>
        <w:ind w:firstLine="648"/>
        <w:spacing w:after="0" w:line="312" w:lineRule="auto"/>
        <w:rPr>
          <w:sz w:val="20"/>
          <w:szCs w:val="20"/>
          <w:color w:val="auto"/>
        </w:rPr>
      </w:pPr>
      <w:r>
        <w:rPr>
          <w:rFonts w:ascii="Arial" w:cs="Arial" w:eastAsia="Arial" w:hAnsi="Arial"/>
          <w:sz w:val="16"/>
          <w:szCs w:val="16"/>
          <w:color w:val="auto"/>
        </w:rPr>
        <w:t xml:space="preserve">2.02. In addition to the Products, Calm shall have the right to identify up to five (5) additional products, with such products and the price thereof to be mutually agreed by the Parties, to be displayed, marketed, promoted, offered for sale and sold in the Stores in the Territory. Such products, once agreed on by both Parties and priced in accordance with the previous sentence, shall be deemed Products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the purposes of this Agreement.</w:t>
      </w:r>
    </w:p>
    <w:p>
      <w:pPr>
        <w:spacing w:after="0" w:line="147" w:lineRule="exact"/>
        <w:rPr>
          <w:sz w:val="20"/>
          <w:szCs w:val="20"/>
          <w:color w:val="auto"/>
        </w:rPr>
      </w:pPr>
    </w:p>
    <w:p>
      <w:pPr>
        <w:ind w:left="840" w:hanging="184"/>
        <w:spacing w:after="0"/>
        <w:tabs>
          <w:tab w:leader="none" w:pos="84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Exclusivity and Right of First Refusal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3.01. Throughout the Term and for a period of six (6) months after the expiration or termination of this Agreement, neither XSPA nor any of its affiliates shall, directly or indirectly, sell, offer for sale, market or promote any digital meditation or digital sleep products (other than the Products), including online or in any Store in the Territory, without the express prior written consent of Calm.</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3.02. Throughout the Term and for a period of six (6) months after the expiration or termination of this Agreement, neither Calm nor any of its affiliates shall, directly or indirectly, sell, offer for sale, market or promote any digital meditation or digital sleep products in any retail location located in an airport other than in collaboration with XSPA, without the express prior written consent of XSPA.</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3.03. Throughout the Term and for a period of six (6) months after the expiration or termination of this Agreement, Calm shall have a right of first refusal to expand the rights and obligations described in this Agreement to any Stores outside the Territory (the “</w:t>
      </w:r>
      <w:r>
        <w:rPr>
          <w:rFonts w:ascii="Arial" w:cs="Arial" w:eastAsia="Arial" w:hAnsi="Arial"/>
          <w:sz w:val="17"/>
          <w:szCs w:val="17"/>
          <w:b w:val="1"/>
          <w:bCs w:val="1"/>
          <w:color w:val="auto"/>
        </w:rPr>
        <w:t>ROFR</w:t>
      </w:r>
      <w:r>
        <w:rPr>
          <w:rFonts w:ascii="Arial" w:cs="Arial" w:eastAsia="Arial" w:hAnsi="Arial"/>
          <w:sz w:val="17"/>
          <w:szCs w:val="17"/>
          <w:color w:val="auto"/>
        </w:rPr>
        <w:t>”). XSPA shall give prompt written notice to Calm each time it offers, proposes to offer, or has received an offer to enter into any agreement or arrangement under which XSPA or any of its affiliates would sell, offer for sale, market, promote or undertake any similar action with respect to any meditation or sleep digital products or similar products at any Store outside the Territory (each, a “</w:t>
      </w:r>
      <w:r>
        <w:rPr>
          <w:rFonts w:ascii="Arial" w:cs="Arial" w:eastAsia="Arial" w:hAnsi="Arial"/>
          <w:sz w:val="17"/>
          <w:szCs w:val="17"/>
          <w:b w:val="1"/>
          <w:bCs w:val="1"/>
          <w:color w:val="auto"/>
        </w:rPr>
        <w:t>ROFR Notice</w:t>
      </w:r>
      <w:r>
        <w:rPr>
          <w:rFonts w:ascii="Arial" w:cs="Arial" w:eastAsia="Arial" w:hAnsi="Arial"/>
          <w:sz w:val="17"/>
          <w:szCs w:val="17"/>
          <w:color w:val="auto"/>
        </w:rPr>
        <w:t>”). Calm shall have thirty (30) business days (the “</w:t>
      </w:r>
      <w:r>
        <w:rPr>
          <w:rFonts w:ascii="Arial" w:cs="Arial" w:eastAsia="Arial" w:hAnsi="Arial"/>
          <w:sz w:val="17"/>
          <w:szCs w:val="17"/>
          <w:b w:val="1"/>
          <w:bCs w:val="1"/>
          <w:color w:val="auto"/>
        </w:rPr>
        <w:t>ROFR Period</w:t>
      </w:r>
      <w:r>
        <w:rPr>
          <w:rFonts w:ascii="Arial" w:cs="Arial" w:eastAsia="Arial" w:hAnsi="Arial"/>
          <w:sz w:val="17"/>
          <w:szCs w:val="17"/>
          <w:color w:val="auto"/>
        </w:rPr>
        <w:t xml:space="preserve">”) from receipt of a ROFR Notice to exercise its ROFR with respect to the region and/or Stores described in the ROFR Notice. If Calm exercises its ROFR within the ROFR Period, the Parties shall enter into an amendment or addendum to this Agreement to include such additional region and/or Stores. If Calm does not exercise its ROFR within the ROFR Period, XSPA may enter into such agreement or arrangement with respect to the applicable region and/or Stores set forth in the ROFR Notice with any third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or arrangement are on the same terms offered to Calm (it being understood that in the event XSPA modifies such terms, XSPA shall provide a new ROFR Notice to Calm in accordance with this Section 3.02).</w:t>
      </w:r>
    </w:p>
    <w:p>
      <w:pPr>
        <w:spacing w:after="0" w:line="180" w:lineRule="exact"/>
        <w:rPr>
          <w:sz w:val="20"/>
          <w:szCs w:val="20"/>
          <w:color w:val="auto"/>
        </w:rPr>
      </w:pPr>
    </w:p>
    <w:p>
      <w:pPr>
        <w:ind w:left="840" w:hanging="184"/>
        <w:spacing w:after="0"/>
        <w:tabs>
          <w:tab w:leader="none" w:pos="84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Marketing, Signage and Displays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4.01. With respect to each Store in the Territory, XSPA shall use commercially reasonable efforts to:</w:t>
      </w:r>
    </w:p>
    <w:p>
      <w:pPr>
        <w:spacing w:after="0" w:line="225" w:lineRule="exact"/>
        <w:rPr>
          <w:sz w:val="20"/>
          <w:szCs w:val="20"/>
          <w:color w:val="auto"/>
        </w:rPr>
      </w:pPr>
    </w:p>
    <w:p>
      <w:pPr>
        <w:jc w:val="both"/>
        <w:ind w:left="660" w:firstLine="645"/>
        <w:spacing w:after="0" w:line="312" w:lineRule="auto"/>
        <w:tabs>
          <w:tab w:leader="none" w:pos="155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promptly after the Effective Date, (i) prepare notices and consents and take all other actions reasonably necessary to obtain and maintain approval as necessary for bulkhead signage from airport regulatory authorities or other entities whose approval is required for such Store and install such bulkhead signage as soon as practicable thereafter, and (ii) once installed, maintain such bulkhead signage throughout the Term;</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8" w:name="page229"/>
    <w:bookmarkEnd w:id="228"/>
    <w:p>
      <w:pPr>
        <w:ind w:left="1560" w:hanging="255"/>
        <w:spacing w:after="0"/>
        <w:tabs>
          <w:tab w:leader="none" w:pos="1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allocate at least the retail space for the display of the Products in Stores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57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cause any and all XSPA employees working in such Store to wear uniforms co-branded with Calm’s and XSPA’s Marks (as defined herein), including shirts and lanyards (such uniform, which will be jointly designed by and mutually acceptable to the Parties, the “</w:t>
      </w:r>
      <w:r>
        <w:rPr>
          <w:rFonts w:ascii="Arial" w:cs="Arial" w:eastAsia="Arial" w:hAnsi="Arial"/>
          <w:sz w:val="18"/>
          <w:szCs w:val="18"/>
          <w:b w:val="1"/>
          <w:bCs w:val="1"/>
          <w:color w:val="auto"/>
        </w:rPr>
        <w:t>Uniforms</w:t>
      </w:r>
      <w:r>
        <w:rPr>
          <w:rFonts w:ascii="Arial" w:cs="Arial" w:eastAsia="Arial" w:hAnsi="Arial"/>
          <w:sz w:val="18"/>
          <w:szCs w:val="18"/>
          <w:color w:val="auto"/>
        </w:rPr>
        <w:t>”) during normal working hours;</w:t>
      </w:r>
    </w:p>
    <w:p>
      <w:pPr>
        <w:spacing w:after="0" w:line="181" w:lineRule="exact"/>
        <w:rPr>
          <w:rFonts w:ascii="Arial" w:cs="Arial" w:eastAsia="Arial" w:hAnsi="Arial"/>
          <w:sz w:val="18"/>
          <w:szCs w:val="18"/>
          <w:color w:val="auto"/>
        </w:rPr>
      </w:pPr>
    </w:p>
    <w:p>
      <w:pPr>
        <w:ind w:left="660" w:firstLine="645"/>
        <w:spacing w:after="0" w:line="277" w:lineRule="auto"/>
        <w:tabs>
          <w:tab w:leader="none" w:pos="158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display Calm branded marketing materials in such Store (which marketing materials shall be highly visible beyond the lease line as determined in Calm’s sole discretion), including the items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560" w:hanging="255"/>
        <w:spacing w:after="0"/>
        <w:tabs>
          <w:tab w:leader="none" w:pos="15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distribute free of charge as free gifts with purchase certain Calm branded gift products (the “</w:t>
      </w:r>
      <w:r>
        <w:rPr>
          <w:rFonts w:ascii="Arial" w:cs="Arial" w:eastAsia="Arial" w:hAnsi="Arial"/>
          <w:sz w:val="16"/>
          <w:szCs w:val="16"/>
          <w:b w:val="1"/>
          <w:bCs w:val="1"/>
          <w:color w:val="auto"/>
        </w:rPr>
        <w:t>Gifts</w:t>
      </w:r>
      <w:r>
        <w:rPr>
          <w:rFonts w:ascii="Arial" w:cs="Arial" w:eastAsia="Arial" w:hAnsi="Arial"/>
          <w:sz w:val="16"/>
          <w:szCs w:val="16"/>
          <w:color w:val="auto"/>
        </w:rPr>
        <w:t>”), as mutually selected by Calm and</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XSPA;</w:t>
      </w:r>
    </w:p>
    <w:p>
      <w:pPr>
        <w:spacing w:after="0" w:line="206" w:lineRule="exact"/>
        <w:rPr>
          <w:rFonts w:ascii="Arial" w:cs="Arial" w:eastAsia="Arial" w:hAnsi="Arial"/>
          <w:sz w:val="16"/>
          <w:szCs w:val="16"/>
          <w:color w:val="auto"/>
        </w:rPr>
      </w:pPr>
    </w:p>
    <w:p>
      <w:pPr>
        <w:ind w:left="660" w:firstLine="645"/>
        <w:spacing w:after="0" w:line="282" w:lineRule="auto"/>
        <w:tabs>
          <w:tab w:leader="none" w:pos="156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distribute free trial or discount inserts for Calm digital product subscriptions (the “</w:t>
      </w:r>
      <w:r>
        <w:rPr>
          <w:rFonts w:ascii="Arial" w:cs="Arial" w:eastAsia="Arial" w:hAnsi="Arial"/>
          <w:sz w:val="18"/>
          <w:szCs w:val="18"/>
          <w:b w:val="1"/>
          <w:bCs w:val="1"/>
          <w:color w:val="auto"/>
        </w:rPr>
        <w:t>Inserts</w:t>
      </w:r>
      <w:r>
        <w:rPr>
          <w:rFonts w:ascii="Arial" w:cs="Arial" w:eastAsia="Arial" w:hAnsi="Arial"/>
          <w:sz w:val="18"/>
          <w:szCs w:val="18"/>
          <w:color w:val="auto"/>
        </w:rPr>
        <w:t>”) to customers of such Store (it being understood that such Inserts shall contain a unique promotional code enabling Calm to attribute purchases to such Store); and</w:t>
      </w:r>
    </w:p>
    <w:p>
      <w:pPr>
        <w:spacing w:after="0" w:line="165" w:lineRule="exact"/>
        <w:rPr>
          <w:rFonts w:ascii="Arial" w:cs="Arial" w:eastAsia="Arial" w:hAnsi="Arial"/>
          <w:sz w:val="18"/>
          <w:szCs w:val="18"/>
          <w:color w:val="auto"/>
        </w:rPr>
      </w:pPr>
    </w:p>
    <w:p>
      <w:pPr>
        <w:ind w:left="660" w:firstLine="645"/>
        <w:spacing w:after="0" w:line="342" w:lineRule="auto"/>
        <w:tabs>
          <w:tab w:leader="none" w:pos="1576" w:val="left"/>
        </w:tabs>
        <w:numPr>
          <w:ilvl w:val="0"/>
          <w:numId w:val="140"/>
        </w:numPr>
        <w:rPr>
          <w:rFonts w:ascii="Arial" w:cs="Arial" w:eastAsia="Arial" w:hAnsi="Arial"/>
          <w:sz w:val="16"/>
          <w:szCs w:val="16"/>
          <w:color w:val="auto"/>
        </w:rPr>
      </w:pPr>
      <w:r>
        <w:rPr>
          <w:rFonts w:ascii="Arial" w:cs="Arial" w:eastAsia="Arial" w:hAnsi="Arial"/>
          <w:sz w:val="16"/>
          <w:szCs w:val="16"/>
          <w:color w:val="auto"/>
        </w:rPr>
        <w:t>use and distribute to any purchaser of any Product sold at the Stores shopping bag(s) co-branded with Calm’s and XSPA’s Marks (the “</w:t>
      </w:r>
      <w:r>
        <w:rPr>
          <w:rFonts w:ascii="Arial" w:cs="Arial" w:eastAsia="Arial" w:hAnsi="Arial"/>
          <w:sz w:val="16"/>
          <w:szCs w:val="16"/>
          <w:b w:val="1"/>
          <w:bCs w:val="1"/>
          <w:color w:val="auto"/>
        </w:rPr>
        <w:t>Shopping Bags</w:t>
      </w:r>
      <w:r>
        <w:rPr>
          <w:rFonts w:ascii="Arial" w:cs="Arial" w:eastAsia="Arial" w:hAnsi="Arial"/>
          <w:sz w:val="16"/>
          <w:szCs w:val="16"/>
          <w:color w:val="auto"/>
        </w:rPr>
        <w:t>”). Calm will collaborate with XSPA on the design of Shopping Bags and such design shall be mutually agreed by the Parties.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4.02. Calm and XSPA shall jointly market their activities under this Agreement to their respective user bases, including by: (a) sending at least two</w:t>
      </w:r>
    </w:p>
    <w:p>
      <w:pPr>
        <w:spacing w:after="0" w:line="46" w:lineRule="exact"/>
        <w:rPr>
          <w:sz w:val="20"/>
          <w:szCs w:val="20"/>
          <w:color w:val="auto"/>
        </w:rPr>
      </w:pPr>
    </w:p>
    <w:p>
      <w:pPr>
        <w:jc w:val="both"/>
        <w:ind w:firstLine="8"/>
        <w:spacing w:after="0" w:line="254" w:lineRule="auto"/>
        <w:tabs>
          <w:tab w:leader="none" w:pos="25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emails to each of their respective email marketing lists during the Initial Term that concern one or more of the Products, (b) making at least four (4) posts across each of their respective social media channels during the Initial Term that concern one or more of the Products and (c) marketing their activities concerning one or more of the Products under this Agreement on each of their respective websites throughout the Term. All such emails, co-branded communications and marketing materials are subject to the prior written approval of the Parties.</w:t>
      </w:r>
    </w:p>
    <w:p>
      <w:pPr>
        <w:spacing w:after="0" w:line="189" w:lineRule="exact"/>
        <w:rPr>
          <w:rFonts w:ascii="Arial" w:cs="Arial" w:eastAsia="Arial" w:hAnsi="Arial"/>
          <w:sz w:val="18"/>
          <w:szCs w:val="18"/>
          <w:color w:val="auto"/>
        </w:rPr>
      </w:pPr>
    </w:p>
    <w:p>
      <w:pPr>
        <w:ind w:left="840" w:hanging="184"/>
        <w:spacing w:after="0"/>
        <w:tabs>
          <w:tab w:leader="none" w:pos="8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Store Operations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5.01. With respect to any and all Stores owned or operated by XSPA, as between Calm and XSPA, XSPA shall be the sole owner and operator of any and all such Stores throughout the Territory and XSPA shall have sole management and operational control and liability with respect to such Stores and any and all costs and expense associated with the operation and maintenance thereof. XSPA shall operate and maintain the Stores with high standards of quality and service and shall at all times comply with any and all applicable laws in connection therewith.</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7"/>
          <w:szCs w:val="17"/>
          <w:color w:val="auto"/>
        </w:rPr>
        <w:t>5.02. With respect to any and all Stores owned or operated by any of XSPA’s Airport Concession Disadvantaged Business Enterprise partners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ACDBE Partner(s)</w:t>
      </w:r>
      <w:r>
        <w:rPr>
          <w:rFonts w:ascii="Arial" w:cs="Arial" w:eastAsia="Arial" w:hAnsi="Arial"/>
          <w:sz w:val="16"/>
          <w:szCs w:val="16"/>
          <w:color w:val="auto"/>
        </w:rPr>
        <w:t>”) in conjunction with XSPA, XSPA shall cause each of its ACDBE Partners to fulfill all of the obligations set forth herein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display, marketing, promotion, offer for sale and sale of Products at each Store in the Territory owned or operated by XSPA and such ACDBE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 As between Calm and XSPA, XSPA shall remain liable for the acts and omissions of each ACDBE Partner. As between Calm on the one hand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XSPA and its ACDBE Partner(s) on the other hand, XSPA and its ACDBE Partner(s) shall be the sole owners and operators of any and all such Stores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throughout the Territory and XSPA and its ACDBE Partner(s) shall have sole management and operational control and liability with respect to such Stores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any and all costs and expense associated with the operation and maintenance thereof. XSPA and its ACDBE Partner(s) shall operate and maintain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Stores with high standards of quality and service and shall at all times comply with any and all applicable laws in connection therewith.</w:t>
      </w:r>
    </w:p>
    <w:p>
      <w:pPr>
        <w:spacing w:after="0" w:line="207" w:lineRule="exact"/>
        <w:rPr>
          <w:sz w:val="20"/>
          <w:szCs w:val="20"/>
          <w:color w:val="auto"/>
        </w:rPr>
      </w:pPr>
    </w:p>
    <w:p>
      <w:pPr>
        <w:ind w:right="360" w:firstLine="648"/>
        <w:spacing w:after="0" w:line="303" w:lineRule="auto"/>
        <w:rPr>
          <w:sz w:val="20"/>
          <w:szCs w:val="20"/>
          <w:color w:val="auto"/>
        </w:rPr>
      </w:pPr>
      <w:r>
        <w:rPr>
          <w:rFonts w:ascii="Arial" w:cs="Arial" w:eastAsia="Arial" w:hAnsi="Arial"/>
          <w:sz w:val="16"/>
          <w:szCs w:val="16"/>
          <w:color w:val="auto"/>
        </w:rPr>
        <w:t>5.03. With respect to any and all Stores owned or operated by a third party who is not an ACDBE Partner (any such third party a “</w:t>
      </w:r>
      <w:r>
        <w:rPr>
          <w:rFonts w:ascii="Arial" w:cs="Arial" w:eastAsia="Arial" w:hAnsi="Arial"/>
          <w:sz w:val="16"/>
          <w:szCs w:val="16"/>
          <w:b w:val="1"/>
          <w:bCs w:val="1"/>
          <w:color w:val="auto"/>
        </w:rPr>
        <w:t>Franchisee</w:t>
      </w:r>
      <w:r>
        <w:rPr>
          <w:rFonts w:ascii="Arial" w:cs="Arial" w:eastAsia="Arial" w:hAnsi="Arial"/>
          <w:sz w:val="16"/>
          <w:szCs w:val="16"/>
          <w:color w:val="auto"/>
        </w:rPr>
        <w:t>”), where XSPA is a franchisor, XSPA shall cause each Franchisee to fulfill all of the obligations set forth herein with respect to the display, marketing, promotion, offer for sale and sale of Products at each Store in the Territory owned or operated by such Franchisee. Except as otherwise set forth in this Agreement, including Section 10.03, as between Calm and XSPA, XSPA shall remain liable for the acts and omissions of each Franchisee.</w:t>
      </w:r>
    </w:p>
    <w:p>
      <w:pPr>
        <w:spacing w:after="0" w:line="1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5.04. Calm shall have the right, but not the obligation, to hire personnel of its choosing to be present in any Store(s) to assist in the display, marketing, promotion, offer for sale and sale of Products, provided, however, that no more than one such person shall be present at any one time in any store without the prior written consent of XSPA. XSPA shall permit such personnel access to each Store and the ability to assist in the marketing, promotion and sale of the Products. For the avoidance of doubt, as between the Parties, Calm shall remain responsible for any and all employee compensation or other benefits with respect to any such personnel.</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5.05. Calm or its authorized designees shall be the sole suppliers to XSPA of XSPA’s requirements for Products, Gifts, Shopping Bags, Uniforms and Inserts (collectively, “</w:t>
      </w:r>
      <w:r>
        <w:rPr>
          <w:rFonts w:ascii="Arial" w:cs="Arial" w:eastAsia="Arial" w:hAnsi="Arial"/>
          <w:sz w:val="16"/>
          <w:szCs w:val="16"/>
          <w:b w:val="1"/>
          <w:bCs w:val="1"/>
          <w:color w:val="auto"/>
        </w:rPr>
        <w:t>Product Collateral</w:t>
      </w:r>
      <w:r>
        <w:rPr>
          <w:rFonts w:ascii="Arial" w:cs="Arial" w:eastAsia="Arial" w:hAnsi="Arial"/>
          <w:sz w:val="16"/>
          <w:szCs w:val="16"/>
          <w:color w:val="auto"/>
        </w:rPr>
        <w:t>”) for each Store throughout the Territory. Calm shall use reasonable efforts to fulfill all of XSPA’s requirements for Product Collateral in accordance with the terms and conditions of this Agreement. In the event that inventory of any Product Collateral in any Store falls below fifty percent (50%) of the initial amount of such Product Collateral provided to such Store, XSPA shall use best efforts to advise Calm in sufficient detail to enable Calm to ship additional inventory of such Product Collateral to such Store. The Parties acknowledge and agree that, as between the Parties, Calm shall retain legal title to any and all Product Collateral (other than Uniforms) until sold in a Store in the Territory or otherwise disbursed in a Store in the Territory (in the case of Gifts, Inserts and Shopping Bags) in accordance with the terms and conditions of this Agreement. In the event Calm identifies any issue with any Product Collateral making it unsuitable for use as contemplated by this Agreement or issues a recall with respect to any Product, XSPA shall promptly return any and all affected Product Collateral to Calm or its authorized designees upon receiving notice of such issue or recall.</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0" w:name="page231"/>
    <w:bookmarkEnd w:id="230"/>
    <w:p>
      <w:pPr>
        <w:jc w:val="both"/>
        <w:ind w:firstLine="656"/>
        <w:spacing w:after="0" w:line="259" w:lineRule="auto"/>
        <w:tabs>
          <w:tab w:leader="none" w:pos="869"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Training</w:t>
      </w:r>
      <w:r>
        <w:rPr>
          <w:rFonts w:ascii="Arial" w:cs="Arial" w:eastAsia="Arial" w:hAnsi="Arial"/>
          <w:sz w:val="18"/>
          <w:szCs w:val="18"/>
          <w:color w:val="auto"/>
        </w:rPr>
        <w:t>. XSPA shall provide training to any and all employees in each Store throughout the Territory regarding the display,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 offer for sale and sale of Products based on training materials (including PDF documents and/or instruction videos) provided by Calm. At XSPA’s request, Calm shall provide training to XSPA area managers and select store managers at times and locations mutually agreed upon by the Parties regarding the display, marketing, promotion, offer for sale and sale of Products.</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Collaborative Efforts.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7.01. XSPA and Calm shall jointly consult and work together in good faith throughout the Term to develop and execute a plan for the marketing, promotion and sale of Products in all Stores throughout the Territory, including with respect to Product layout and display, in-store marketing and promotional activities, the design of any co-branded Product Collateral or other marketing materials, and bulkhead signage at the Stores, in each case, taking into account any plan restrictions on the Store that may be imposed by an airport regulatory authority or other entity and all applicable laws.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7.02. Any Product Collateral item or other marketing material co-branded with Calm’s and XSPA’s Marks shall be subject to each Party’s prior review and approval, which shall not be unreasonably withheld.</w:t>
      </w:r>
    </w:p>
    <w:p>
      <w:pPr>
        <w:spacing w:after="0" w:line="170" w:lineRule="exact"/>
        <w:rPr>
          <w:sz w:val="20"/>
          <w:szCs w:val="20"/>
          <w:color w:val="auto"/>
        </w:rPr>
      </w:pPr>
    </w:p>
    <w:p>
      <w:pPr>
        <w:ind w:left="840" w:hanging="184"/>
        <w:spacing w:after="0"/>
        <w:tabs>
          <w:tab w:leader="none" w:pos="84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8.01. XSPA shall pay to Calm on a monthly basis an amount equal to (i) fifty percent (50%) of the Retail Price for all Products sold in the Stores in the Territory during the applicable month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fifty percent (50%) of any commission actually paid or payable to XSPA employee(s) or contractor(s) attributable to sales of such Products during such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such commission be greater than fifteen percent (15%) of the Retail Price for the applicable Product.</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8.02. Calm shall pay to XSPA on a monthly basis a retail commission of $20.00 for each sale of Calm digital product subscriptions (excluding, for the avoidance of doubt, any free trial subscriptions) that result from XSPA’s distribution of Inserts and a customer’s use of the unique promotional discount code set forth therein in accordance with the terms and conditions set forth herein (it being understood that XSPA shall ensure fifty percent (50%) of each such commission shall be distributed to the applicable Store’s retail employees or contractors via a pool or other format as mutually agreed to by the Parties).</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Calm shall prepare and maintain complete and accurate books and records covering all transactions relating to this Agreement. XSPA’s representatives may, from time to time during regular business hours on reasonable advance notice, during the Term of this Agreement and for a period of six</w:t>
      </w:r>
    </w:p>
    <w:p>
      <w:pPr>
        <w:ind w:firstLine="8"/>
        <w:spacing w:after="0" w:line="261" w:lineRule="auto"/>
        <w:tabs>
          <w:tab w:leader="none" w:pos="25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months thereafter, inspect and audit such books and records and examine and copy all other documents and material in the possession or under the control of Calm with respect to the subject matter and the terms of this Agreement.</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1" w:name="page232"/>
    <w:bookmarkEnd w:id="231"/>
    <w:p>
      <w:pPr>
        <w:jc w:val="both"/>
        <w:ind w:firstLine="648"/>
        <w:spacing w:after="0" w:line="342" w:lineRule="auto"/>
        <w:rPr>
          <w:sz w:val="20"/>
          <w:szCs w:val="20"/>
          <w:color w:val="auto"/>
        </w:rPr>
      </w:pPr>
      <w:r>
        <w:rPr>
          <w:rFonts w:ascii="Arial" w:cs="Arial" w:eastAsia="Arial" w:hAnsi="Arial"/>
          <w:sz w:val="16"/>
          <w:szCs w:val="16"/>
          <w:color w:val="auto"/>
        </w:rPr>
        <w:t>After completion of any inspection or audit pursuant to this Section 8.02, XSPA shall notify Calm of the results of such inspection and audit (the “</w:t>
      </w:r>
      <w:r>
        <w:rPr>
          <w:rFonts w:ascii="Arial" w:cs="Arial" w:eastAsia="Arial" w:hAnsi="Arial"/>
          <w:sz w:val="16"/>
          <w:szCs w:val="16"/>
          <w:b w:val="1"/>
          <w:bCs w:val="1"/>
          <w:color w:val="auto"/>
        </w:rPr>
        <w:t>Calm Audit Results</w:t>
      </w:r>
      <w:r>
        <w:rPr>
          <w:rFonts w:ascii="Arial" w:cs="Arial" w:eastAsia="Arial" w:hAnsi="Arial"/>
          <w:sz w:val="16"/>
          <w:szCs w:val="16"/>
          <w:color w:val="auto"/>
        </w:rPr>
        <w:t>”). Upon receipt of such information, Calm shall have thirty (30) days (the “</w:t>
      </w:r>
      <w:r>
        <w:rPr>
          <w:rFonts w:ascii="Arial" w:cs="Arial" w:eastAsia="Arial" w:hAnsi="Arial"/>
          <w:sz w:val="16"/>
          <w:szCs w:val="16"/>
          <w:b w:val="1"/>
          <w:bCs w:val="1"/>
          <w:color w:val="auto"/>
        </w:rPr>
        <w:t>Calm Review Period</w:t>
      </w:r>
      <w:r>
        <w:rPr>
          <w:rFonts w:ascii="Arial" w:cs="Arial" w:eastAsia="Arial" w:hAnsi="Arial"/>
          <w:sz w:val="16"/>
          <w:szCs w:val="16"/>
          <w:color w:val="auto"/>
        </w:rPr>
        <w:t>”) to review the Calm Audit Results.</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or prior to the last day of the Calm Review Period, Calm may object to the Calm Audit Results by delivering to XSPA a written statement setting forth its objections in reasonable detail, indicating each disputed item or amount and the basis for its disagreement therewith (the “</w:t>
      </w:r>
      <w:r>
        <w:rPr>
          <w:rFonts w:ascii="Arial" w:cs="Arial" w:eastAsia="Arial" w:hAnsi="Arial"/>
          <w:sz w:val="17"/>
          <w:szCs w:val="17"/>
          <w:b w:val="1"/>
          <w:bCs w:val="1"/>
          <w:color w:val="auto"/>
        </w:rPr>
        <w:t>Calm Statement of</w:t>
      </w:r>
      <w:r>
        <w:rPr>
          <w:rFonts w:ascii="Arial" w:cs="Arial" w:eastAsia="Arial" w:hAnsi="Arial"/>
          <w:sz w:val="17"/>
          <w:szCs w:val="17"/>
          <w:color w:val="auto"/>
        </w:rPr>
        <w:t xml:space="preserve"> </w:t>
      </w:r>
      <w:r>
        <w:rPr>
          <w:rFonts w:ascii="Arial" w:cs="Arial" w:eastAsia="Arial" w:hAnsi="Arial"/>
          <w:sz w:val="17"/>
          <w:szCs w:val="17"/>
          <w:b w:val="1"/>
          <w:bCs w:val="1"/>
          <w:color w:val="auto"/>
        </w:rPr>
        <w:t>Objections</w:t>
      </w:r>
      <w:r>
        <w:rPr>
          <w:rFonts w:ascii="Arial" w:cs="Arial" w:eastAsia="Arial" w:hAnsi="Arial"/>
          <w:sz w:val="17"/>
          <w:szCs w:val="17"/>
          <w:color w:val="auto"/>
        </w:rPr>
        <w:t>”). If Calm fails to deliver the Calm Statement of Objections before the expiration of the Calm Review Period, the Calm Audit Results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accepted by Calm. If Calm delivers the Calm Statement of Objections before the expiration of the Calm Review Period, Calm and XSPA shall negotiate in good faith to resolve such objections within thirty (30) days after the delivery of the Calm Statement of Objections (the “</w:t>
      </w:r>
      <w:r>
        <w:rPr>
          <w:rFonts w:ascii="Arial" w:cs="Arial" w:eastAsia="Arial" w:hAnsi="Arial"/>
          <w:sz w:val="17"/>
          <w:szCs w:val="17"/>
          <w:b w:val="1"/>
          <w:bCs w:val="1"/>
          <w:color w:val="auto"/>
        </w:rPr>
        <w:t>Calm</w:t>
      </w:r>
      <w:r>
        <w:rPr>
          <w:rFonts w:ascii="Arial" w:cs="Arial" w:eastAsia="Arial" w:hAnsi="Arial"/>
          <w:sz w:val="17"/>
          <w:szCs w:val="17"/>
          <w:color w:val="auto"/>
        </w:rPr>
        <w:t xml:space="preserve"> </w:t>
      </w:r>
      <w:r>
        <w:rPr>
          <w:rFonts w:ascii="Arial" w:cs="Arial" w:eastAsia="Arial" w:hAnsi="Arial"/>
          <w:sz w:val="17"/>
          <w:szCs w:val="17"/>
          <w:b w:val="1"/>
          <w:bCs w:val="1"/>
          <w:color w:val="auto"/>
        </w:rPr>
        <w:t>Resolution Period</w:t>
      </w:r>
      <w:r>
        <w:rPr>
          <w:rFonts w:ascii="Arial" w:cs="Arial" w:eastAsia="Arial" w:hAnsi="Arial"/>
          <w:sz w:val="17"/>
          <w:szCs w:val="17"/>
          <w:color w:val="auto"/>
        </w:rPr>
        <w:t>”), and, if the same are so resolved within the Calm Resolution Period, the Calm Audit Results with such changes as may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agreed in writing by Calm and XSPA, shall be final and binding.</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Calm and XSPA fail to reach an agreement with respect to all of the matters set forth in the Calm Statement of Objections before expiration of the Calm Resolution Period, then any amounts remaining in dispute (“</w:t>
      </w:r>
      <w:r>
        <w:rPr>
          <w:rFonts w:ascii="Arial" w:cs="Arial" w:eastAsia="Arial" w:hAnsi="Arial"/>
          <w:sz w:val="18"/>
          <w:szCs w:val="18"/>
          <w:b w:val="1"/>
          <w:bCs w:val="1"/>
          <w:color w:val="auto"/>
        </w:rPr>
        <w:t>Calm Disputed Amounts</w:t>
      </w:r>
      <w:r>
        <w:rPr>
          <w:rFonts w:ascii="Arial" w:cs="Arial" w:eastAsia="Arial" w:hAnsi="Arial"/>
          <w:sz w:val="18"/>
          <w:szCs w:val="18"/>
          <w:color w:val="auto"/>
        </w:rPr>
        <w:t>” and any amounts not so disputed, the “</w:t>
      </w:r>
      <w:r>
        <w:rPr>
          <w:rFonts w:ascii="Arial" w:cs="Arial" w:eastAsia="Arial" w:hAnsi="Arial"/>
          <w:sz w:val="18"/>
          <w:szCs w:val="18"/>
          <w:b w:val="1"/>
          <w:bCs w:val="1"/>
          <w:color w:val="auto"/>
        </w:rPr>
        <w:t>Calm Undisputed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Amounts</w:t>
      </w:r>
      <w:r>
        <w:rPr>
          <w:rFonts w:ascii="Arial" w:cs="Arial" w:eastAsia="Arial" w:hAnsi="Arial"/>
          <w:sz w:val="18"/>
          <w:szCs w:val="18"/>
          <w:color w:val="auto"/>
        </w:rPr>
        <w:t>”) shall be submitted for resolution to the office of an impartial nationally recognized firm of independent certified public accountants mutually</w:t>
      </w:r>
      <w:r>
        <w:rPr>
          <w:rFonts w:ascii="Arial" w:cs="Arial" w:eastAsia="Arial" w:hAnsi="Arial"/>
          <w:sz w:val="18"/>
          <w:szCs w:val="18"/>
          <w:b w:val="1"/>
          <w:bCs w:val="1"/>
          <w:color w:val="auto"/>
        </w:rPr>
        <w:t xml:space="preserve"> </w:t>
      </w:r>
      <w:r>
        <w:rPr>
          <w:rFonts w:ascii="Arial" w:cs="Arial" w:eastAsia="Arial" w:hAnsi="Arial"/>
          <w:sz w:val="18"/>
          <w:szCs w:val="18"/>
          <w:color w:val="auto"/>
        </w:rPr>
        <w:t>agreeable to Calm and XSPA (each acting reasonably and in good faith) (the “</w:t>
      </w:r>
      <w:r>
        <w:rPr>
          <w:rFonts w:ascii="Arial" w:cs="Arial" w:eastAsia="Arial" w:hAnsi="Arial"/>
          <w:sz w:val="18"/>
          <w:szCs w:val="18"/>
          <w:b w:val="1"/>
          <w:bCs w:val="1"/>
          <w:color w:val="auto"/>
        </w:rPr>
        <w:t>Independent Accountant</w:t>
      </w:r>
      <w:r>
        <w:rPr>
          <w:rFonts w:ascii="Arial" w:cs="Arial" w:eastAsia="Arial" w:hAnsi="Arial"/>
          <w:sz w:val="18"/>
          <w:szCs w:val="18"/>
          <w:color w:val="auto"/>
        </w:rPr>
        <w:t>”) who, acting as experts and not arbitrators, shall resolve the Calm Disputed Amounts only and make any adjustments to the Calm Audit Results. The parties hereto agree that all adjustments shall be made without regard to materiality. The Independent Accountant shall only decide the specific items under dispute by the parties and their decision for each Calm Disputed Amount must be within the range of values assigned to each such item in the Calm Audit Results and the Calm Statement of Objections, respectively.</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Independent Accountant shall make a determination as soon as practicable within thirty (30) days (or such other time as the parties hereto shall agree in writing) after their engagement, and their resolution of the Calm Disputed Amounts and their adjustments to the Calm Audit Results shall be conclusive and binding upon the parties hereto.</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it is conclusively determined that any of Calm’s payments due hereunder was less than the amount that should have been paid or any of XSPA’s payments or reimbursements was more than the amount that should have been paid, all payments required to be made to eliminate the discrepancy, plus interest, shall be made promptly upon XSPA’s demand, and, if the discrepancy in amounts due to XSPA is greater than ten percent (10%) or more of the amount due during the period in question, Calm promptly shall reimburse XSPA for the reasonable costs and expenses related to such inspection and audit not to exceed $5,000.00. In all other cases, XSPA shall be responsible for any and all costs and expenses related to such inspection and audit pursuant to this Section 8.02.</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2" w:name="page233"/>
    <w:bookmarkEnd w:id="232"/>
    <w:p>
      <w:pPr>
        <w:jc w:val="both"/>
        <w:ind w:firstLine="648"/>
        <w:spacing w:after="0" w:line="264" w:lineRule="auto"/>
        <w:rPr>
          <w:sz w:val="20"/>
          <w:szCs w:val="20"/>
          <w:color w:val="auto"/>
        </w:rPr>
      </w:pPr>
      <w:r>
        <w:rPr>
          <w:rFonts w:ascii="Arial" w:cs="Arial" w:eastAsia="Arial" w:hAnsi="Arial"/>
          <w:sz w:val="18"/>
          <w:szCs w:val="18"/>
          <w:color w:val="auto"/>
        </w:rPr>
        <w:t>If it is conclusively determined that any of Calm’s payments due hereunder was more than the amount that should have been paid or any of XSPA’s payments or reimbursements was less than the amount that should have been paid, all payments required to be made to eliminate the discrepancy, plus interest, shall be made promptly upon Calm’s demand.</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8.03. Subject to the terms and conditions set forth herein, and considering that Calm or its authorized designees shall be the sole supplier of Product Collateral under Section 5.04 of this Agreement, Calm shall pay (or reimburse XSPA upon receipt of payment to a third party) for all costs associated with (a) the design, manufacture, shipping, distribution and installation, as applicable, of Product Collateral and other marketing materials and bulkhead signage as set forth in Section 4.01, (b) the creation of training materials and the costs associated with training (excluding cost of labor for any XSPA employee) pursuant to Section 6, (c) obtaining and maintaining approval of, and the creation, installation, maintenance and removal of any bulkhead signage advertising pursuant to Section 4.01(a), and (d) the design, manufacture, shipping and installation of in-store marketing changes to any Store.</w:t>
      </w:r>
    </w:p>
    <w:p>
      <w:pPr>
        <w:spacing w:after="0" w:line="1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Notwithstanding anything in this Agreement to the contrary, Calm shall not be obligated to reimburse XSPA for any such costs described in the previous sentence of this Section 8.03 incurred by XSPA above $500.00 unless Calm has provided prior written approval of such cost (including via email).</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8.04. All payments required of XSPA hereunder shall be made to Calm in United States Dollars via wire transfers, or in such other manner as Calm shall designate, as follows: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Account Name</w:t>
            </w:r>
          </w:p>
        </w:tc>
        <w:tc>
          <w:tcPr>
            <w:tcW w:w="45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Calm.com, Inc.</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Account Address</w:t>
            </w:r>
          </w:p>
        </w:tc>
        <w:tc>
          <w:tcPr>
            <w:tcW w:w="4520" w:type="dxa"/>
            <w:vAlign w:val="bottom"/>
          </w:tcPr>
          <w:p>
            <w:pPr>
              <w:ind w:left="1100"/>
              <w:spacing w:after="0"/>
              <w:rPr>
                <w:sz w:val="20"/>
                <w:szCs w:val="20"/>
                <w:color w:val="auto"/>
              </w:rPr>
            </w:pPr>
            <w:r>
              <w:rPr>
                <w:rFonts w:ascii="Arial" w:cs="Arial" w:eastAsia="Arial" w:hAnsi="Arial"/>
                <w:sz w:val="18"/>
                <w:szCs w:val="18"/>
                <w:color w:val="auto"/>
              </w:rPr>
              <w:t>140 2nd St. FL3 San Francisco, CA 94105</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Account #</w:t>
            </w:r>
          </w:p>
        </w:tc>
        <w:tc>
          <w:tcPr>
            <w:tcW w:w="45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3302444451</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Bank Name</w:t>
            </w:r>
          </w:p>
        </w:tc>
        <w:tc>
          <w:tcPr>
            <w:tcW w:w="4520" w:type="dxa"/>
            <w:vAlign w:val="bottom"/>
          </w:tcPr>
          <w:p>
            <w:pPr>
              <w:ind w:left="1100"/>
              <w:spacing w:after="0"/>
              <w:rPr>
                <w:sz w:val="20"/>
                <w:szCs w:val="20"/>
                <w:color w:val="auto"/>
              </w:rPr>
            </w:pPr>
            <w:r>
              <w:rPr>
                <w:rFonts w:ascii="Arial" w:cs="Arial" w:eastAsia="Arial" w:hAnsi="Arial"/>
                <w:sz w:val="18"/>
                <w:szCs w:val="18"/>
                <w:color w:val="auto"/>
              </w:rPr>
              <w:t>SIL VLY BK SJ</w:t>
            </w: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 Address</w:t>
            </w:r>
          </w:p>
        </w:tc>
        <w:tc>
          <w:tcPr>
            <w:tcW w:w="4520" w:type="dxa"/>
            <w:vAlign w:val="bottom"/>
            <w:shd w:val="clear" w:color="auto" w:fill="CCEEFF"/>
          </w:tcPr>
          <w:p>
            <w:pPr>
              <w:ind w:left="1100"/>
              <w:spacing w:after="0" w:line="201" w:lineRule="exact"/>
              <w:rPr>
                <w:sz w:val="20"/>
                <w:szCs w:val="20"/>
                <w:color w:val="auto"/>
              </w:rPr>
            </w:pPr>
            <w:r>
              <w:rPr>
                <w:rFonts w:ascii="Arial" w:cs="Arial" w:eastAsia="Arial" w:hAnsi="Arial"/>
                <w:sz w:val="18"/>
                <w:szCs w:val="18"/>
                <w:color w:val="auto"/>
              </w:rPr>
              <w:t>3003 TASMAN DRIVE,</w:t>
            </w:r>
          </w:p>
        </w:tc>
      </w:tr>
      <w:tr>
        <w:trPr>
          <w:trHeight w:val="230"/>
        </w:trPr>
        <w:tc>
          <w:tcPr>
            <w:tcW w:w="2320" w:type="dxa"/>
            <w:vAlign w:val="bottom"/>
            <w:shd w:val="clear" w:color="auto" w:fill="CCEEFF"/>
          </w:tcPr>
          <w:p>
            <w:pPr>
              <w:spacing w:after="0"/>
              <w:rPr>
                <w:sz w:val="20"/>
                <w:szCs w:val="20"/>
                <w:color w:val="auto"/>
              </w:rPr>
            </w:pPr>
          </w:p>
        </w:tc>
        <w:tc>
          <w:tcPr>
            <w:tcW w:w="45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SANTA CLARA, CA 95054</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Fed ABA</w:t>
            </w:r>
          </w:p>
        </w:tc>
        <w:tc>
          <w:tcPr>
            <w:tcW w:w="4520" w:type="dxa"/>
            <w:vAlign w:val="bottom"/>
          </w:tcPr>
          <w:p>
            <w:pPr>
              <w:ind w:left="1100"/>
              <w:spacing w:after="0"/>
              <w:rPr>
                <w:sz w:val="20"/>
                <w:szCs w:val="20"/>
                <w:color w:val="auto"/>
              </w:rPr>
            </w:pPr>
            <w:r>
              <w:rPr>
                <w:rFonts w:ascii="Arial" w:cs="Arial" w:eastAsia="Arial" w:hAnsi="Arial"/>
                <w:sz w:val="18"/>
                <w:szCs w:val="18"/>
                <w:color w:val="auto"/>
              </w:rPr>
              <w:t>121140399</w:t>
            </w: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8.05. All payments required of Calm hereunder shall be made to XSPA in United States Dollars via wire transfers, ACH payment, or in such other manner as XSPA shall designate,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Account Name</w:t>
            </w:r>
          </w:p>
        </w:tc>
        <w:tc>
          <w:tcPr>
            <w:tcW w:w="46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XpresSpa Group, Inc.</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Account #</w:t>
            </w:r>
          </w:p>
        </w:tc>
        <w:tc>
          <w:tcPr>
            <w:tcW w:w="4600" w:type="dxa"/>
            <w:vAlign w:val="bottom"/>
          </w:tcPr>
          <w:p>
            <w:pPr>
              <w:ind w:left="1180"/>
              <w:spacing w:after="0"/>
              <w:rPr>
                <w:sz w:val="20"/>
                <w:szCs w:val="20"/>
                <w:color w:val="auto"/>
              </w:rPr>
            </w:pPr>
            <w:r>
              <w:rPr>
                <w:rFonts w:ascii="Arial" w:cs="Arial" w:eastAsia="Arial" w:hAnsi="Arial"/>
                <w:sz w:val="18"/>
                <w:szCs w:val="18"/>
                <w:color w:val="auto"/>
              </w:rPr>
              <w:t>483044863901</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Bank Name</w:t>
            </w:r>
          </w:p>
        </w:tc>
        <w:tc>
          <w:tcPr>
            <w:tcW w:w="46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Bank of America</w:t>
            </w:r>
          </w:p>
        </w:tc>
        <w:tc>
          <w:tcPr>
            <w:tcW w:w="2280" w:type="dxa"/>
            <w:vAlign w:val="bottom"/>
          </w:tcPr>
          <w:p>
            <w:pPr>
              <w:spacing w:after="0"/>
              <w:rPr>
                <w:sz w:val="18"/>
                <w:szCs w:val="18"/>
                <w:color w:val="auto"/>
              </w:rPr>
            </w:pPr>
          </w:p>
        </w:tc>
      </w:tr>
      <w:tr>
        <w:trPr>
          <w:trHeight w:val="202"/>
        </w:trPr>
        <w:tc>
          <w:tcPr>
            <w:tcW w:w="2300" w:type="dxa"/>
            <w:vAlign w:val="bottom"/>
          </w:tcPr>
          <w:p>
            <w:pPr>
              <w:spacing w:after="0"/>
              <w:rPr>
                <w:sz w:val="17"/>
                <w:szCs w:val="17"/>
                <w:color w:val="auto"/>
              </w:rPr>
            </w:pPr>
          </w:p>
        </w:tc>
        <w:tc>
          <w:tcPr>
            <w:tcW w:w="2240" w:type="dxa"/>
            <w:vAlign w:val="bottom"/>
          </w:tcPr>
          <w:p>
            <w:pPr>
              <w:spacing w:after="0" w:line="201" w:lineRule="exact"/>
              <w:rPr>
                <w:sz w:val="20"/>
                <w:szCs w:val="20"/>
                <w:color w:val="auto"/>
              </w:rPr>
            </w:pPr>
            <w:r>
              <w:rPr>
                <w:rFonts w:ascii="Arial" w:cs="Arial" w:eastAsia="Arial" w:hAnsi="Arial"/>
                <w:sz w:val="18"/>
                <w:szCs w:val="18"/>
                <w:color w:val="auto"/>
              </w:rPr>
              <w:t>Bank Address</w:t>
            </w:r>
          </w:p>
        </w:tc>
        <w:tc>
          <w:tcPr>
            <w:tcW w:w="4600" w:type="dxa"/>
            <w:vAlign w:val="bottom"/>
          </w:tcPr>
          <w:p>
            <w:pPr>
              <w:ind w:left="1180"/>
              <w:spacing w:after="0" w:line="201" w:lineRule="exact"/>
              <w:rPr>
                <w:sz w:val="20"/>
                <w:szCs w:val="20"/>
                <w:color w:val="auto"/>
              </w:rPr>
            </w:pPr>
            <w:r>
              <w:rPr>
                <w:rFonts w:ascii="Arial" w:cs="Arial" w:eastAsia="Arial" w:hAnsi="Arial"/>
                <w:sz w:val="18"/>
                <w:szCs w:val="18"/>
                <w:color w:val="auto"/>
              </w:rPr>
              <w:t>One Bryant Park</w:t>
            </w:r>
          </w:p>
        </w:tc>
        <w:tc>
          <w:tcPr>
            <w:tcW w:w="2280" w:type="dxa"/>
            <w:vAlign w:val="bottom"/>
          </w:tcPr>
          <w:p>
            <w:pPr>
              <w:spacing w:after="0"/>
              <w:rPr>
                <w:sz w:val="17"/>
                <w:szCs w:val="17"/>
                <w:color w:val="auto"/>
              </w:rPr>
            </w:pPr>
          </w:p>
        </w:tc>
      </w:tr>
      <w:tr>
        <w:trPr>
          <w:trHeight w:val="230"/>
        </w:trPr>
        <w:tc>
          <w:tcPr>
            <w:tcW w:w="2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0" w:type="dxa"/>
            <w:vAlign w:val="bottom"/>
          </w:tcPr>
          <w:p>
            <w:pPr>
              <w:ind w:left="1180"/>
              <w:spacing w:after="0"/>
              <w:rPr>
                <w:sz w:val="20"/>
                <w:szCs w:val="20"/>
                <w:color w:val="auto"/>
              </w:rPr>
            </w:pPr>
            <w:r>
              <w:rPr>
                <w:rFonts w:ascii="Arial" w:cs="Arial" w:eastAsia="Arial" w:hAnsi="Arial"/>
                <w:sz w:val="18"/>
                <w:szCs w:val="18"/>
                <w:color w:val="auto"/>
              </w:rPr>
              <w:t>New York, NY 10036</w:t>
            </w:r>
          </w:p>
        </w:tc>
        <w:tc>
          <w:tcPr>
            <w:tcW w:w="228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Fed ABA</w:t>
            </w:r>
          </w:p>
        </w:tc>
        <w:tc>
          <w:tcPr>
            <w:tcW w:w="460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026009593</w:t>
            </w:r>
          </w:p>
        </w:tc>
        <w:tc>
          <w:tcPr>
            <w:tcW w:w="2280" w:type="dxa"/>
            <w:vAlign w:val="bottom"/>
          </w:tcPr>
          <w:p>
            <w:pPr>
              <w:spacing w:after="0"/>
              <w:rPr>
                <w:sz w:val="18"/>
                <w:szCs w:val="18"/>
                <w:color w:val="auto"/>
              </w:rPr>
            </w:pPr>
          </w:p>
        </w:tc>
      </w:tr>
      <w:tr>
        <w:trPr>
          <w:trHeight w:val="675"/>
        </w:trPr>
        <w:tc>
          <w:tcPr>
            <w:tcW w:w="2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7</w:t>
            </w: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33" w:name="page234"/>
    <w:bookmarkEnd w:id="233"/>
    <w:p>
      <w:pPr>
        <w:jc w:val="both"/>
        <w:ind w:firstLine="648"/>
        <w:spacing w:after="0" w:line="270" w:lineRule="auto"/>
        <w:rPr>
          <w:sz w:val="20"/>
          <w:szCs w:val="20"/>
          <w:color w:val="auto"/>
        </w:rPr>
      </w:pPr>
      <w:r>
        <w:rPr>
          <w:rFonts w:ascii="Arial" w:cs="Arial" w:eastAsia="Arial" w:hAnsi="Arial"/>
          <w:sz w:val="18"/>
          <w:szCs w:val="18"/>
          <w:color w:val="auto"/>
        </w:rPr>
        <w:t>8.06. With respect to Products sold in Stores in the Territory, XSPA shall deliver to Calm within twenty (20) days after each calendar month, a statement (“</w:t>
      </w:r>
      <w:r>
        <w:rPr>
          <w:rFonts w:ascii="Arial" w:cs="Arial" w:eastAsia="Arial" w:hAnsi="Arial"/>
          <w:sz w:val="18"/>
          <w:szCs w:val="18"/>
          <w:b w:val="1"/>
          <w:bCs w:val="1"/>
          <w:color w:val="auto"/>
        </w:rPr>
        <w:t>Monthly Statement</w:t>
      </w:r>
      <w:r>
        <w:rPr>
          <w:rFonts w:ascii="Arial" w:cs="Arial" w:eastAsia="Arial" w:hAnsi="Arial"/>
          <w:sz w:val="18"/>
          <w:szCs w:val="18"/>
          <w:color w:val="auto"/>
        </w:rPr>
        <w:t>”) identifying (i) the total sales of each Product during said calendar month and (ii) the total commission paid to XSPA employees or contractors under Section 8.02, which shall include a breakdown by each individual Product and Store. Each Monthly Statement shall be fully completed and signed and certified as accurate by one of XSPA’s senior officers.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8.07. XSPA shall prepare and maintain complete and accurate books and records covering all transactions relating to this Agreement. Calm’s representatives may, from time to time during regular business hours on reasonable advance notice, during the Term of this Agreement and for a period of six</w:t>
      </w:r>
    </w:p>
    <w:p>
      <w:pPr>
        <w:ind w:firstLine="8"/>
        <w:spacing w:after="0" w:line="261" w:lineRule="auto"/>
        <w:tabs>
          <w:tab w:leader="none" w:pos="25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months thereafter, inspect and audit such books and records and examine and copy all other documents and material in the possession or under the control of XSPA with respect to the subject matter and the terms of this Agreement.</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completion of any inspection or audit pursuant to this Section 8.07, Calm shall notify XSPA of the results of such inspection and audit (the “</w:t>
      </w:r>
      <w:r>
        <w:rPr>
          <w:rFonts w:ascii="Arial" w:cs="Arial" w:eastAsia="Arial" w:hAnsi="Arial"/>
          <w:sz w:val="18"/>
          <w:szCs w:val="18"/>
          <w:b w:val="1"/>
          <w:bCs w:val="1"/>
          <w:color w:val="auto"/>
        </w:rPr>
        <w:t>XSPA Audit Results</w:t>
      </w:r>
      <w:r>
        <w:rPr>
          <w:rFonts w:ascii="Arial" w:cs="Arial" w:eastAsia="Arial" w:hAnsi="Arial"/>
          <w:sz w:val="18"/>
          <w:szCs w:val="18"/>
          <w:color w:val="auto"/>
        </w:rPr>
        <w:t>”). Upon receipt of such information, XSPA shall have thirty (30) days (the “</w:t>
      </w:r>
      <w:r>
        <w:rPr>
          <w:rFonts w:ascii="Arial" w:cs="Arial" w:eastAsia="Arial" w:hAnsi="Arial"/>
          <w:sz w:val="18"/>
          <w:szCs w:val="18"/>
          <w:b w:val="1"/>
          <w:bCs w:val="1"/>
          <w:color w:val="auto"/>
        </w:rPr>
        <w:t>XSPA Review Period</w:t>
      </w:r>
      <w:r>
        <w:rPr>
          <w:rFonts w:ascii="Arial" w:cs="Arial" w:eastAsia="Arial" w:hAnsi="Arial"/>
          <w:sz w:val="18"/>
          <w:szCs w:val="18"/>
          <w:color w:val="auto"/>
        </w:rPr>
        <w:t>”) to review the XSPA Audit Results.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or prior to the last day of the XSPA Review Period, XSPA may object to the XSPA Audit Results by delivering to Calm a written statement setting forth its objections in reasonable detail, indicating each disputed item or amount and the basis for its disagreement therewith (the “</w:t>
      </w:r>
      <w:r>
        <w:rPr>
          <w:rFonts w:ascii="Arial" w:cs="Arial" w:eastAsia="Arial" w:hAnsi="Arial"/>
          <w:sz w:val="17"/>
          <w:szCs w:val="17"/>
          <w:b w:val="1"/>
          <w:bCs w:val="1"/>
          <w:color w:val="auto"/>
        </w:rPr>
        <w:t>XSPA Statement of</w:t>
      </w:r>
      <w:r>
        <w:rPr>
          <w:rFonts w:ascii="Arial" w:cs="Arial" w:eastAsia="Arial" w:hAnsi="Arial"/>
          <w:sz w:val="17"/>
          <w:szCs w:val="17"/>
          <w:color w:val="auto"/>
        </w:rPr>
        <w:t xml:space="preserve"> </w:t>
      </w:r>
      <w:r>
        <w:rPr>
          <w:rFonts w:ascii="Arial" w:cs="Arial" w:eastAsia="Arial" w:hAnsi="Arial"/>
          <w:sz w:val="17"/>
          <w:szCs w:val="17"/>
          <w:b w:val="1"/>
          <w:bCs w:val="1"/>
          <w:color w:val="auto"/>
        </w:rPr>
        <w:t>Objections</w:t>
      </w:r>
      <w:r>
        <w:rPr>
          <w:rFonts w:ascii="Arial" w:cs="Arial" w:eastAsia="Arial" w:hAnsi="Arial"/>
          <w:sz w:val="17"/>
          <w:szCs w:val="17"/>
          <w:color w:val="auto"/>
        </w:rPr>
        <w:t>”). If XSPA fails to deliver the XSPA Statement of Objections before the expiration of the XSPA Review Period, the XSPA Audit Results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accepted by XSPA. If XSPA delivers the XSPA Statement of Objections before the expiration of the XSPA Review Period, XSPA and Calm shall negotiate in good faith to resolve such objections within thirty (30) days after the delivery of the XSPA Statement of Objections (the “</w:t>
      </w:r>
      <w:r>
        <w:rPr>
          <w:rFonts w:ascii="Arial" w:cs="Arial" w:eastAsia="Arial" w:hAnsi="Arial"/>
          <w:sz w:val="17"/>
          <w:szCs w:val="17"/>
          <w:b w:val="1"/>
          <w:bCs w:val="1"/>
          <w:color w:val="auto"/>
        </w:rPr>
        <w:t>XSPA</w:t>
      </w:r>
      <w:r>
        <w:rPr>
          <w:rFonts w:ascii="Arial" w:cs="Arial" w:eastAsia="Arial" w:hAnsi="Arial"/>
          <w:sz w:val="17"/>
          <w:szCs w:val="17"/>
          <w:color w:val="auto"/>
        </w:rPr>
        <w:t xml:space="preserve"> </w:t>
      </w:r>
      <w:r>
        <w:rPr>
          <w:rFonts w:ascii="Arial" w:cs="Arial" w:eastAsia="Arial" w:hAnsi="Arial"/>
          <w:sz w:val="17"/>
          <w:szCs w:val="17"/>
          <w:b w:val="1"/>
          <w:bCs w:val="1"/>
          <w:color w:val="auto"/>
        </w:rPr>
        <w:t>Resolution Period</w:t>
      </w:r>
      <w:r>
        <w:rPr>
          <w:rFonts w:ascii="Arial" w:cs="Arial" w:eastAsia="Arial" w:hAnsi="Arial"/>
          <w:sz w:val="17"/>
          <w:szCs w:val="17"/>
          <w:color w:val="auto"/>
        </w:rPr>
        <w:t>”), and, if the same are so resolved within the XSPA Resolution Period, the XSPA Audit Results with such changes as may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agreed in writing by XSPA and Calm, shall be final and binding.</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Calm and XSPA fail to reach an agreement with respect to all of the matters set forth in the XSPA Statement of Objections before expiration of the XSPA Resolution Period, then any amounts remaining in dispute (“</w:t>
      </w:r>
      <w:r>
        <w:rPr>
          <w:rFonts w:ascii="Arial" w:cs="Arial" w:eastAsia="Arial" w:hAnsi="Arial"/>
          <w:sz w:val="16"/>
          <w:szCs w:val="16"/>
          <w:b w:val="1"/>
          <w:bCs w:val="1"/>
          <w:color w:val="auto"/>
        </w:rPr>
        <w:t>XSPA Disputed Amounts</w:t>
      </w:r>
      <w:r>
        <w:rPr>
          <w:rFonts w:ascii="Arial" w:cs="Arial" w:eastAsia="Arial" w:hAnsi="Arial"/>
          <w:sz w:val="16"/>
          <w:szCs w:val="16"/>
          <w:color w:val="auto"/>
        </w:rPr>
        <w:t>” and any amounts not so disputed, the “</w:t>
      </w:r>
      <w:r>
        <w:rPr>
          <w:rFonts w:ascii="Arial" w:cs="Arial" w:eastAsia="Arial" w:hAnsi="Arial"/>
          <w:sz w:val="16"/>
          <w:szCs w:val="16"/>
          <w:b w:val="1"/>
          <w:bCs w:val="1"/>
          <w:color w:val="auto"/>
        </w:rPr>
        <w:t>XSPA Undisputed</w:t>
      </w:r>
      <w:r>
        <w:rPr>
          <w:rFonts w:ascii="Arial" w:cs="Arial" w:eastAsia="Arial" w:hAnsi="Arial"/>
          <w:sz w:val="16"/>
          <w:szCs w:val="16"/>
          <w:color w:val="auto"/>
        </w:rPr>
        <w:t xml:space="preserve"> </w:t>
      </w:r>
      <w:r>
        <w:rPr>
          <w:rFonts w:ascii="Arial" w:cs="Arial" w:eastAsia="Arial" w:hAnsi="Arial"/>
          <w:sz w:val="16"/>
          <w:szCs w:val="16"/>
          <w:b w:val="1"/>
          <w:bCs w:val="1"/>
          <w:color w:val="auto"/>
        </w:rPr>
        <w:t>Amounts</w:t>
      </w:r>
      <w:r>
        <w:rPr>
          <w:rFonts w:ascii="Arial" w:cs="Arial" w:eastAsia="Arial" w:hAnsi="Arial"/>
          <w:sz w:val="16"/>
          <w:szCs w:val="16"/>
          <w:color w:val="auto"/>
        </w:rPr>
        <w:t>”) shall be submitted for resolution to the Independent Accountant who, acting as experts and not arbitrators, shall resolve the XSPA Disputed</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only and make any adjustments to the XSPA Audit Results. The parties hereto agree that all adjustments shall be made without regard to materiality. The Independent Accountant shall only decide the specific items under dispute by the parties and their decision for each XSPA Disputed Amount must be within the range of values assigned to each such item in the XSPA Audit Results and the XSPA Statement of Objections, respectively.</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4" w:name="page235"/>
    <w:bookmarkEnd w:id="234"/>
    <w:p>
      <w:pPr>
        <w:jc w:val="both"/>
        <w:ind w:firstLine="648"/>
        <w:spacing w:after="0" w:line="264" w:lineRule="auto"/>
        <w:rPr>
          <w:sz w:val="20"/>
          <w:szCs w:val="20"/>
          <w:color w:val="auto"/>
        </w:rPr>
      </w:pPr>
      <w:r>
        <w:rPr>
          <w:rFonts w:ascii="Arial" w:cs="Arial" w:eastAsia="Arial" w:hAnsi="Arial"/>
          <w:sz w:val="18"/>
          <w:szCs w:val="18"/>
          <w:color w:val="auto"/>
        </w:rPr>
        <w:t>The Independent Accountant shall make a determination as soon as practicable within thirty (30) days (or such other time as the parties hereto shall agree in writing) after their engagement, and their resolution of the XSPA Disputed Amounts and their adjustments to the XSPA Audit Results shall be conclusive and binding upon the parties hereto.</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it is conclusively determined that any of XSPA’s payments due hereunder was less than the amount that should have been paid or any of Calm’s payments or reimbursements was more than the amount that should have been paid, all payments required to be made to eliminate the discrepancy, plus interest, shall be made promptly upon Calm’s demand, and, if the discrepancy in amounts due to Calm is greater than ten percent (10%) or more of the amount due during the period in question, XSPA promptly shall reimburse Calm for the reasonable costs and expenses related to such inspection and audit not to exceed $5,000.00. In all other cases, Calm shall be responsible for any and all costs and expenses related to such inspection and audit pursuant to this Section 8.02.</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it is conclusively determined that any of XSPA’s payments due hereunder was more than the amount that should have been paid or any of Calm’s payments or reimbursements was less than the amount that should have been paid, all payments required to be made to eliminate the discrepancy, plus interest, shall be made promptly upon XSPA’s demand.</w:t>
      </w:r>
    </w:p>
    <w:p>
      <w:pPr>
        <w:spacing w:after="0" w:line="181" w:lineRule="exact"/>
        <w:rPr>
          <w:sz w:val="20"/>
          <w:szCs w:val="20"/>
          <w:color w:val="auto"/>
        </w:rPr>
      </w:pPr>
    </w:p>
    <w:p>
      <w:pPr>
        <w:ind w:left="840" w:hanging="184"/>
        <w:spacing w:after="0"/>
        <w:tabs>
          <w:tab w:leader="none" w:pos="84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Intellectual Property Matters.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9.01. Subject to the terms and conditions of this Agreement, Calm hereby grants to XSPA, solely during the Term and in the Territory, a revocable (as set forth in Section 12.04), royalty-free, assignable (solely as set forth in Section 16.05), non-sublicensable (except as set forth in Section 9.03), non-exclusive license to use the marks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b w:val="1"/>
          <w:bCs w:val="1"/>
          <w:color w:val="auto"/>
        </w:rPr>
        <w:t>Calm’s Marks</w:t>
      </w:r>
      <w:r>
        <w:rPr>
          <w:rFonts w:ascii="Arial" w:cs="Arial" w:eastAsia="Arial" w:hAnsi="Arial"/>
          <w:sz w:val="18"/>
          <w:szCs w:val="18"/>
          <w:color w:val="auto"/>
        </w:rPr>
        <w:t>”), solely to the extent necessary for XSPA to exercise its rights or perform its obligations set forth in this Agreement.</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9.02. Subject to the terms and conditions of this Agreement, XSPA hereby grants to Calm, solely during the Term and in the Territory, a revocable (as set forth in Section 12.04), royalty-free, assignable (solely as set forth in Section 16.05), non-sublicensable (except as set forth in Section 9.03), non-exclusive license to use the marks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t>
      </w:r>
      <w:r>
        <w:rPr>
          <w:rFonts w:ascii="Arial" w:cs="Arial" w:eastAsia="Arial" w:hAnsi="Arial"/>
          <w:sz w:val="18"/>
          <w:szCs w:val="18"/>
          <w:b w:val="1"/>
          <w:bCs w:val="1"/>
          <w:color w:val="auto"/>
        </w:rPr>
        <w:t>XSPA’s Marks</w:t>
      </w:r>
      <w:r>
        <w:rPr>
          <w:rFonts w:ascii="Arial" w:cs="Arial" w:eastAsia="Arial" w:hAnsi="Arial"/>
          <w:sz w:val="18"/>
          <w:szCs w:val="18"/>
          <w:color w:val="auto"/>
        </w:rPr>
        <w:t>”, and together with Calm’s Marks, the “</w:t>
      </w:r>
      <w:r>
        <w:rPr>
          <w:rFonts w:ascii="Arial" w:cs="Arial" w:eastAsia="Arial" w:hAnsi="Arial"/>
          <w:sz w:val="18"/>
          <w:szCs w:val="18"/>
          <w:b w:val="1"/>
          <w:bCs w:val="1"/>
          <w:color w:val="auto"/>
        </w:rPr>
        <w:t>Marks</w:t>
      </w:r>
      <w:r>
        <w:rPr>
          <w:rFonts w:ascii="Arial" w:cs="Arial" w:eastAsia="Arial" w:hAnsi="Arial"/>
          <w:sz w:val="18"/>
          <w:szCs w:val="18"/>
          <w:color w:val="auto"/>
        </w:rPr>
        <w:t>”), solely to the extent necessary for Calm to exercise its rights or perform its obligations set forth in this Agreement.</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9.03. Each Party may sublicense the rights granted to such Party under Sections 9.01 and 9.02 of this Agreement to any third party vendor, supplier or manufacturer of Product Collateral solely to the extent necessary for such Party to exercise its rights or perform its obligations set forth in this Agreement.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5" w:name="page236"/>
    <w:bookmarkEnd w:id="235"/>
    <w:p>
      <w:pPr>
        <w:jc w:val="both"/>
        <w:ind w:firstLine="648"/>
        <w:spacing w:after="0" w:line="273" w:lineRule="auto"/>
        <w:rPr>
          <w:sz w:val="20"/>
          <w:szCs w:val="20"/>
          <w:color w:val="auto"/>
        </w:rPr>
      </w:pPr>
      <w:r>
        <w:rPr>
          <w:rFonts w:ascii="Arial" w:cs="Arial" w:eastAsia="Arial" w:hAnsi="Arial"/>
          <w:sz w:val="17"/>
          <w:szCs w:val="17"/>
          <w:color w:val="auto"/>
        </w:rPr>
        <w:t>9.04. Neither Party shall use the other Party’s Marks, in whole or in part, as a corporate name, trade name or domain name and shall not use the other Party’s Marks in combination with any other mark, design or designation except pursuant to the terms of this Agreement. Each Party shall use the other Party’s Marks in the Territory strictly in compliance with all applicable legal requirements of the Territory. Each Party acknowledges and agrees that, as between the Parties, the other Party is the sole and exclusive owner of the Marks licensed by such other Party pursuant to this Section 9 and all goodwill associated therewith. Neither Party shall do or cause to be done any act or thing that may in any way adversely affect any rights of the other Party in and to such other Party’s Marks or any registrations thereof or that, directly or indirectly, may reduce the value of such Marks or detract from any Mark’s reputation, including challenging the ownership, validity or enforceability of such Marks. Each Party agrees that it will display the trademark registration symbol ® or the designations “SM” or “TM” adjacent to the Marks when directed to do so by the Party owning the relevant Mark and, when circumstances reasonably permit, it will cause a notice of ownership to appear on advertisements or in store displays bearing the Marks. Each Party will take care to display the other Party’s Marks in a manner that does not bring the other Party’s brand into disrepute.</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9.05. All goodwill associated with the use of a Party’s Marks by the other Party shall inure to the sole and exclusive benefit of the Party which owns such Mark. Each Party shall execute any documents and take any actions reasonably required by the other Party to confirm such Party’s ownership of all rights in and to such Party’s Marks in the Territory and the respective rights of the Parties pursuant to this Agreement.</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9.06. In the event that either Party learns of any infringement, imitation or counterfeiting of the other Party’s Marks or Products or of any use by any person of a trademark similar to such Marks, it shall promptly notify the other Party thereof. Thereupon, the Party owning the relevant Marks, or in the case of Products, Calm, shall take such action as it deems advisable for the protection of its rights in and to its Marks and Products and, if reasonably requested to do so by such Party, the other Party shall reasonably cooperate in all respects (at the sole costs and expense of the Party owning the relevant Marks, or in the case of Products, Calm), including by choosing to be a plaintiff or co-plaintiff and/or by causing its officers to execute pleadings and other necessary documents. Any action contemplated by this Section 9.06 shall be controlled by the Party with ownership of the relevant Marks, or in the case of Products, Calm.</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9.07. Any intellectual property or moral right in any Product Collateral or other marketing materials concerning Calm or one or more Products, including patterns, sketches, logos, designs, packaging, labels, tags, advertising materials or the like (“</w:t>
      </w:r>
      <w:r>
        <w:rPr>
          <w:rFonts w:ascii="Arial" w:cs="Arial" w:eastAsia="Arial" w:hAnsi="Arial"/>
          <w:sz w:val="16"/>
          <w:szCs w:val="16"/>
          <w:b w:val="1"/>
          <w:bCs w:val="1"/>
          <w:color w:val="auto"/>
        </w:rPr>
        <w:t>Product Collateral IP</w:t>
      </w:r>
      <w:r>
        <w:rPr>
          <w:rFonts w:ascii="Arial" w:cs="Arial" w:eastAsia="Arial" w:hAnsi="Arial"/>
          <w:sz w:val="16"/>
          <w:szCs w:val="16"/>
          <w:color w:val="auto"/>
        </w:rPr>
        <w:t>”) bearing Calm’s Marks shall be, as between the Parties, the sole and exclusive property of Calm, it being understood that XSPA shall retain sole and exclusive ownership of its Marks, including with respect to co-branded Product Collateral and any other co-branded marketing materials concerning Calm or one or more Products. Any co-branded Product Collateral IP shall be used solely (i) in the Stores in the Territory or (ii) in connection with digital marketing activities by Calm with respect to Calm or one or more Products, in accordance with the terms and conditions set forth in this Agreement. If any Product Collateral IP (or any aspect thereof) are not designed and/or created by Calm, such Product Collateral IP (or aspect thereof) shall be deemed “works made for hire” for Calm within the meaning of the U.S. Copyright Law and/or other applicable comparable laws or, if they do not so qualify, all ownership rights thereto shall be, and are hereby, assigned to Calm. XSPA shall not, directly or indirectly, do or suffer to be done any act or thing which may affect adversely any of Calm’s rights in the Product Collateral IP, including filing any application in its name to record any claims to Product Collateral IP (or any aspect thereof). XSPA shall execute any documents and take any actions reasonably required by Calm to confirm Calm’s ownership of all rights in and to such Product Collateral IP.</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6" w:name="page237"/>
    <w:bookmarkEnd w:id="236"/>
    <w:p>
      <w:pPr>
        <w:ind w:left="920" w:hanging="264"/>
        <w:spacing w:after="0"/>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Agency, Indemnification and Insurance</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10.01. Calm and XSPA are each independent contractors. The Parties are not and shall not be considered as joint venturers, partners or agents of each other. Neither Party shall have the authority to bind or obligate the other Party.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10.02. XSPA hereby agrees to indemnify and hold harmless Calm and its affiliates and their respective directors, officers, employees and agents from and against any and all claims, suits, alleged regulatory violations, losses, damages and costs (including reasonable attorneys’ fees) arising out of or relating to (i) any alleged action or failure to take action by XSPA in connection with the operation or maintenance of the Stores or provision of any product or service (other than the Products), including but not limited to: violations of applicable law, regulations or other rules; defects in XSPA sourced products or services provided or obtained therein; employment and labor issues with respect to XSPA employees; any product liability or personal injury claims with respect to XSPA’s provision of any product or service (other than the Products); property damage; and collection, remittance or payment of any taxes, license fees or any other payment due to any party; (ii) the use of XSPA’s Marks by Calm as authorized by this Agreement; and (iii) any breach of any covenant or agreement of XSPA contained in this Agreement.</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10.03. Calm hereby agrees to indemnify and hold harmless XSPA and its affiliates and their respective directors, officers, employees and agents from and against any and all claims, suits, alleged regulatory violations, losses, damages and costs (including reasonable attorneys’ fees) arising out of or relating to (i) any product liability or personal injury claims with respect to any Products or Product Collateral or any alleged defects in any Products or Product Collateral; (ii) any alleged action or failure to take action by Calm’s employees; (iii) the use of Calm’s Marks by XSPA as authorized by this Agreement; and (iv) any breach of any covenant or agreement of Calm contained in this Agreement.</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10.04. In the event any claim, action, suit or proceeding (each, a “</w:t>
      </w:r>
      <w:r>
        <w:rPr>
          <w:rFonts w:ascii="Arial" w:cs="Arial" w:eastAsia="Arial" w:hAnsi="Arial"/>
          <w:sz w:val="17"/>
          <w:szCs w:val="17"/>
          <w:b w:val="1"/>
          <w:bCs w:val="1"/>
          <w:color w:val="auto"/>
        </w:rPr>
        <w:t>Claim</w:t>
      </w:r>
      <w:r>
        <w:rPr>
          <w:rFonts w:ascii="Arial" w:cs="Arial" w:eastAsia="Arial" w:hAnsi="Arial"/>
          <w:sz w:val="17"/>
          <w:szCs w:val="17"/>
          <w:color w:val="auto"/>
        </w:rPr>
        <w:t>”) is brought or made against an indemnified Party for which defense and indemnification by the indemnifying Party may be sought hereunder, the indemnified Party will promptly notify the indemnifying Party of the commencement thereof, and the indemnified Party will be entitled to reasonably participate in (but not assume) the defense thereof. Notwithstanding any other provision of this Agreement, the indemnifying Party shall not enter into any settlement of any Claim without the prior written consent of the indemnified Party, except as provided in this Section 10.04. If a firm offer is made to settle a Claim without leading to liability or the creation of a financial or other obligation on the part of the indemnified Party and provides, in customary form, for the unconditional release of each indemnified Party from all liabilities and obligations in connection with such Claim and the indemnifying Party desires to accept and agree to such offer, the indemnifying Party shall give written notice to that effect to the indemnified Party. If the indemnified Party fails to consent to such firm offer within ten (10) days after its receipt of such notice, the indemnified Party may continue to contest or defend such Claim and in such event, the maximum liability of the indemnifying Party as to such Claim shall not exceed the amount of such settlement offer. If the indemnified Party fails to consent to such firm offer and also fails to assume defense of such Claim, the indemnifying Party may settle the Claim upon the terms set forth in such firm offer to settle such Claim.</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7" w:name="page238"/>
    <w:bookmarkEnd w:id="237"/>
    <w:p>
      <w:pPr>
        <w:ind w:left="660"/>
        <w:spacing w:after="0"/>
        <w:rPr>
          <w:sz w:val="20"/>
          <w:szCs w:val="20"/>
          <w:color w:val="auto"/>
        </w:rPr>
      </w:pPr>
      <w:r>
        <w:rPr>
          <w:rFonts w:ascii="Arial" w:cs="Arial" w:eastAsia="Arial" w:hAnsi="Arial"/>
          <w:sz w:val="18"/>
          <w:szCs w:val="18"/>
          <w:color w:val="auto"/>
        </w:rPr>
        <w:t>10.05. XSPA shall obtain, and thereafter maintain during the Term, the following insurance:</w:t>
      </w:r>
    </w:p>
    <w:p>
      <w:pPr>
        <w:spacing w:after="0" w:line="225" w:lineRule="exact"/>
        <w:rPr>
          <w:sz w:val="20"/>
          <w:szCs w:val="20"/>
          <w:color w:val="auto"/>
        </w:rPr>
      </w:pPr>
    </w:p>
    <w:p>
      <w:pPr>
        <w:ind w:left="1540" w:hanging="235"/>
        <w:spacing w:after="0"/>
        <w:tabs>
          <w:tab w:leader="none" w:pos="1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Special form property policy covering all stock on premises of the Store, including with respect to all Product Collateral;</w:t>
      </w:r>
    </w:p>
    <w:p>
      <w:pPr>
        <w:spacing w:after="0" w:line="225" w:lineRule="exact"/>
        <w:rPr>
          <w:rFonts w:ascii="Arial" w:cs="Arial" w:eastAsia="Arial" w:hAnsi="Arial"/>
          <w:sz w:val="18"/>
          <w:szCs w:val="18"/>
          <w:color w:val="auto"/>
        </w:rPr>
      </w:pPr>
    </w:p>
    <w:p>
      <w:pPr>
        <w:ind w:left="660" w:right="380" w:firstLine="645"/>
        <w:spacing w:after="0" w:line="308" w:lineRule="auto"/>
        <w:tabs>
          <w:tab w:leader="none" w:pos="156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Workers’ Compensation Insurance in the statutorily required amount (or XSPA shall participate in the appropriate state fund if such insurance is not available or allowed), together with Employer’s Liability Insurance with a limit of $1,000,000 for each accident; and</w:t>
      </w:r>
    </w:p>
    <w:p>
      <w:pPr>
        <w:spacing w:after="0" w:line="146" w:lineRule="exact"/>
        <w:rPr>
          <w:rFonts w:ascii="Arial" w:cs="Arial" w:eastAsia="Arial" w:hAnsi="Arial"/>
          <w:sz w:val="17"/>
          <w:szCs w:val="17"/>
          <w:color w:val="auto"/>
        </w:rPr>
      </w:pPr>
    </w:p>
    <w:p>
      <w:pPr>
        <w:jc w:val="both"/>
        <w:ind w:left="660" w:right="260" w:firstLine="645"/>
        <w:spacing w:after="0" w:line="264" w:lineRule="auto"/>
        <w:tabs>
          <w:tab w:leader="none" w:pos="15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Commercial General Liability insurance, (including fire liability, contractual liability, personal injury, product liability and completed operations coverage) in the amount of not less than $3,000,000 combined single limit with umbrella liability coverage with a limit of not less than $10,000,000;</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foregoing insurance policies shall name XSPA as the insured and Calm as additional insured (except for Workers’ Compensation Insurance). If any such insurance is on a “claims made” basis, XSPA shall maintain coverage thereunder for a period of at least two (2) years following the termination of this Agreement. With respect to the foregoing, XSPA shall provide to Calm certificate(s) evidencing such insurance prior to or upon execution of this Agreement. The certificates shall provide that Calm will be given at least thirty (30) days prior written notice of cancellation or any material change in these policies. Calm shall have no obligation to XSPA for the costs of insurance required, or for any other coverage that XSPA obtains, directly or indirectly for its own account. In no event shall any insurer have a Best’s Insurance rating of less than (A-) of class size VII.</w:t>
      </w:r>
    </w:p>
    <w:p>
      <w:pPr>
        <w:spacing w:after="0" w:line="17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10.06. EXCEPT WITH RESPECT TO EACH PARTY’S INDEMNIFICATION OBLIGATIONS UNDER THIS AGREEMENT, (A) UNDER NO CIRCUMSTANCE AND UNDER NO LEGAL THEORY (TORT, CONTRACT, OR OTHERWISE), SHALL EITHER PARTY BE LIABLE TO THE OTHER PARTY FOR ANY LOST PROFITS, LOSS OF OPPORTUNITY OR OTHER SPECIAL, PUNITIVE, INDIRECT, OR CONSEQUENTIAL DAMAGES SUFFERED BY THE OTHER PARTY ARISING IN CONNECTION WITH THIS AGREEMENT; AND (B) THE MAXIMUM LIABILITY OF EACH PARTY IN ANY WAY RELATED TO THIS AGREEMENT SHALL NOT EXCEED $2,000,000.00 (EXCLUDING ANY AMOUNTS DUE AND PAYABLE PURSUANT TO SECTION 8 HEREUNDER).</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8" w:name="page239"/>
    <w:bookmarkEnd w:id="238"/>
    <w:p>
      <w:pPr>
        <w:ind w:left="920" w:hanging="264"/>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11.01. Calm represents and warrants that:</w:t>
      </w:r>
    </w:p>
    <w:p>
      <w:pPr>
        <w:spacing w:after="0" w:line="225" w:lineRule="exact"/>
        <w:rPr>
          <w:sz w:val="20"/>
          <w:szCs w:val="20"/>
          <w:color w:val="auto"/>
        </w:rPr>
      </w:pPr>
    </w:p>
    <w:p>
      <w:pPr>
        <w:jc w:val="both"/>
        <w:ind w:left="660" w:firstLine="645"/>
        <w:spacing w:after="0" w:line="264" w:lineRule="auto"/>
        <w:tabs>
          <w:tab w:leader="none" w:pos="155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 has the legal power and authority to enter into this Agreement and to grant the rights to its Marks granted hereunder, and the execution and performance of this agreement does not violate or put Calm in default of any other agreement, order or judgment by which it is bound or to which it is subject;</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Calm’s Marks do not infringe any third parties’ rights and that the Marks were not misappropriated from any third party;</w:t>
      </w:r>
    </w:p>
    <w:p>
      <w:pPr>
        <w:spacing w:after="0" w:line="225" w:lineRule="exact"/>
        <w:rPr>
          <w:rFonts w:ascii="Arial" w:cs="Arial" w:eastAsia="Arial" w:hAnsi="Arial"/>
          <w:sz w:val="18"/>
          <w:szCs w:val="18"/>
          <w:color w:val="auto"/>
        </w:rPr>
      </w:pPr>
    </w:p>
    <w:p>
      <w:pPr>
        <w:ind w:left="660" w:firstLine="645"/>
        <w:spacing w:after="0" w:line="277" w:lineRule="auto"/>
        <w:tabs>
          <w:tab w:leader="none" w:pos="15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 is aware of and will comply with all federal, state and local laws and regulations governing the Products and the Product Collateral in the Territory; and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 is the sole and exclusive owner of Calm’s Marks.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11.02. XSPA represents and warrants that:</w:t>
      </w:r>
    </w:p>
    <w:p>
      <w:pPr>
        <w:spacing w:after="0" w:line="225" w:lineRule="exact"/>
        <w:rPr>
          <w:sz w:val="20"/>
          <w:szCs w:val="20"/>
          <w:color w:val="auto"/>
        </w:rPr>
      </w:pPr>
    </w:p>
    <w:p>
      <w:pPr>
        <w:jc w:val="both"/>
        <w:ind w:left="660" w:firstLine="645"/>
        <w:spacing w:after="0" w:line="264" w:lineRule="auto"/>
        <w:tabs>
          <w:tab w:leader="none" w:pos="1554"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it has the legal power and authority to enter into this Agreement and to grant the rights to its Marks granted hereunder, and the execution and performance of this Agreement does not violate or put XSPA in default of any other agreement, order or judgment by which it is bound or to which it is subject: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it is aware of and will comply with all federal, state and local laws and regulations governing its operation of the Stores in the Territory;</w:t>
      </w:r>
    </w:p>
    <w:p>
      <w:pPr>
        <w:spacing w:after="0" w:line="248" w:lineRule="exact"/>
        <w:rPr>
          <w:rFonts w:ascii="Arial" w:cs="Arial" w:eastAsia="Arial" w:hAnsi="Arial"/>
          <w:sz w:val="16"/>
          <w:szCs w:val="16"/>
          <w:color w:val="auto"/>
        </w:rPr>
      </w:pPr>
    </w:p>
    <w:p>
      <w:pPr>
        <w:ind w:left="1540" w:hanging="235"/>
        <w:spacing w:after="0"/>
        <w:tabs>
          <w:tab w:leader="none" w:pos="15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XSPA’s Marks do not infringe any third parties’ rights and that the Marks were not misappropriated from any third party,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it is the sole and exclusive owner of XSPA’s Marks.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12.01. This Agreement may be terminated by either Party, prior to its expiration, by reason of a material breach of the terms and conditions hereof; provided that the Party alleged to be in material breach shall have failed to cure such alleged material breach within thirty (30) days following the receipt of a written notice from the Party alleging the material breach which notice shall describe in reasonable detail the nature of the alleged material breach.</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39" w:name="page240"/>
    <w:bookmarkEnd w:id="239"/>
    <w:p>
      <w:pPr>
        <w:ind w:left="660"/>
        <w:spacing w:after="0"/>
        <w:rPr>
          <w:sz w:val="20"/>
          <w:szCs w:val="20"/>
          <w:color w:val="auto"/>
        </w:rPr>
      </w:pPr>
      <w:r>
        <w:rPr>
          <w:rFonts w:ascii="Arial" w:cs="Arial" w:eastAsia="Arial" w:hAnsi="Arial"/>
          <w:sz w:val="18"/>
          <w:szCs w:val="18"/>
          <w:color w:val="auto"/>
        </w:rPr>
        <w:t>12.02. Calm may terminate this Agreement immediately, upon written notice, if XSPA experiences an insolvency event.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12.03. Beginning on February 28, 2019, XSPA may terminate this Agreement immediately, upon written notice, if Calm has not purchased and funded the purchase of the Second Closing Shares (as defined in the Series E Preferred Stock Purchase Agreement dated as of even date herewith by and between XSPA and Calm) by December 31, 2018.</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12.04. Upon termination or expiration of this Agreement, Calm (at its sole expense) may engage a third party to audit XSPA’s inventory of any and all Product Collateral then on hand at each Store and XSPA shall promptly return or dispose of such inventory as instructed by Calm at Calm’s sole expense. In addition, if Calm does not provide XSPA with instructions within twenty (20) days of the termination or expiration of this Agreement, XSPA shall be permitted to dispose of any inventory of any and all Product Collateral then on hand at each Store. The Parties agree to promptly settle all accounting associated with such inventory of any and all Product Collateral then on hand at each Store upon termination or expiration of this Agreement. Except as expressly set forth herein, all of the rights granted hereunder shall automatically terminate and XSPA shall immediately cease the distribution, marketing and sale of Products and the Parties shall discontinue all use of the other Party’s Marks.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12.05. The following provisions shall survive the expiration or termination of this Agreement: Sections 3, 9.07, 10, 12 and any other provision hereunder which by its terms, may reasonably be expected to survive such expiration or termination. In addition to the foregoing, upon termination each Party shall pay to the other Party any and all amounts then owed to the other Party.</w:t>
      </w:r>
    </w:p>
    <w:p>
      <w:pPr>
        <w:spacing w:after="0" w:line="208" w:lineRule="exact"/>
        <w:rPr>
          <w:sz w:val="20"/>
          <w:szCs w:val="20"/>
          <w:color w:val="auto"/>
        </w:rPr>
      </w:pPr>
    </w:p>
    <w:p>
      <w:pPr>
        <w:jc w:val="both"/>
        <w:ind w:firstLine="656"/>
        <w:spacing w:after="0" w:line="273" w:lineRule="auto"/>
        <w:tabs>
          <w:tab w:leader="none" w:pos="918"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Arbitration</w:t>
      </w:r>
      <w:r>
        <w:rPr>
          <w:rFonts w:ascii="Arial" w:cs="Arial" w:eastAsia="Arial" w:hAnsi="Arial"/>
          <w:sz w:val="17"/>
          <w:szCs w:val="17"/>
          <w:color w:val="auto"/>
        </w:rPr>
        <w:t>. Without limiting Section 16.08, any and all disputes or claims arising from either Party’s rights or obligations under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subject to arbitration. Any arbitration commenced with respect to a dispute or claim under this Agreement shall be conducted pursuant to the Commercial Arbitration Rules of the American Arbitration Association and the Supplementary Procedures for Large, Complex Disputes then in effect (the “</w:t>
      </w:r>
      <w:r>
        <w:rPr>
          <w:rFonts w:ascii="Arial" w:cs="Arial" w:eastAsia="Arial" w:hAnsi="Arial"/>
          <w:sz w:val="17"/>
          <w:szCs w:val="17"/>
          <w:b w:val="1"/>
          <w:bCs w:val="1"/>
          <w:color w:val="auto"/>
        </w:rPr>
        <w:t>Rules</w:t>
      </w:r>
      <w:r>
        <w:rPr>
          <w:rFonts w:ascii="Arial" w:cs="Arial" w:eastAsia="Arial" w:hAnsi="Arial"/>
          <w:sz w:val="17"/>
          <w:szCs w:val="17"/>
          <w:color w:val="auto"/>
        </w:rPr>
        <w:t>”), except to the extent such rules conflict with this Section 13. In any arbitration, New York law shall govern, except to the extent that such law conflicts with the Rules or this Section 13. The Parties further agree that each issue submitted for arbitration be submitted to a panel of three (3) impartial arbitrators with each Party selecting one (1) arbitrator within fifteen (15) days after the commencement of the arbitration period and the two (2) selected arbitrators selecting a third arbitrator who is experienced in the commercial retail industry within thirty (30) days after the commencement of the arbitration period. Any arbitration hereunder shall commence within thirty (30) days after appointment of the third arbitrator and shall be held in New York, New York, USA. No discovery by either Party shall be permitted unless the arbitrators determine that the Party requesting such discovery has a substantial, demonstrable need. The arbitrators shall make final determinations as to any discovery disputes and all other procedural matters. If any Party fails to comply with the procedures in any arbitration in a manner deemed material by the arbitrators, then the arbitrators shall fix a reasonable time for compliance, and if the Party does not comply within such period, then a remedy deemed just by the arbitrators, including an award of default, may be imposed. The decision of the arbitrators shall be rendered no later than one hundred twenty (120) days after commencement of the arbitration period. The costs of arbitration shall be borne by the Party against whom the arbitral decision is made. Any judgment or decision rendered by the panel shall be binding upon the Parties and shall be enforceable by any court of competent jurisdiction.</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0" w:name="page241"/>
    <w:bookmarkEnd w:id="240"/>
    <w:p>
      <w:pPr>
        <w:jc w:val="both"/>
        <w:ind w:left="-60" w:firstLine="656"/>
        <w:spacing w:after="0" w:line="273" w:lineRule="auto"/>
        <w:tabs>
          <w:tab w:leader="none" w:pos="872"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Notice</w:t>
      </w:r>
      <w:r>
        <w:rPr>
          <w:rFonts w:ascii="Arial" w:cs="Arial" w:eastAsia="Arial" w:hAnsi="Arial"/>
          <w:sz w:val="17"/>
          <w:szCs w:val="17"/>
          <w:color w:val="auto"/>
        </w:rPr>
        <w:t>. All notices required or permitted by this Agreement shall be in writing and may be delivered in person (by hand or by messenger or</w:t>
      </w:r>
      <w:r>
        <w:rPr>
          <w:rFonts w:ascii="Arial" w:cs="Arial" w:eastAsia="Arial" w:hAnsi="Arial"/>
          <w:sz w:val="17"/>
          <w:szCs w:val="17"/>
          <w:i w:val="1"/>
          <w:iCs w:val="1"/>
          <w:color w:val="auto"/>
        </w:rPr>
        <w:t xml:space="preserve"> </w:t>
      </w:r>
      <w:r>
        <w:rPr>
          <w:rFonts w:ascii="Arial" w:cs="Arial" w:eastAsia="Arial" w:hAnsi="Arial"/>
          <w:sz w:val="17"/>
          <w:szCs w:val="17"/>
          <w:color w:val="auto"/>
        </w:rPr>
        <w:t>courier service) or may be sent by certified mail, return receipt requested, or U.S. Postal Service Express Mail, with postage prepaid, or by facsimile transmission during normal business hours, and shall be deemed sufficiently given if served in a manner specified in this Section 14 to the addresses and facsimile numbers noted below. Either Party may, by notice to the other, specify a different address for notice purposes. Any notice sent by certified mail, return receipt requested, shall be deemed given on the date of delivery shown on the receipt card, or if no delivery date is shown, the postmarks thereon. Notices delivered by United States Express Mail or overnight courier that guarantees next day delivery shall be deemed given twenty-four (24) hours after delivery of the same to the United States Postal Service or courier. If any notice is transmitted by facsimile transmission or similar means, the same shall be deemed served or delivered upon telephone or facsimile confirmation of receipt of the transmission thereof, provided a copy is also delivered via delivery or mail. If notice is received after 5:00 PM, local time of the recipient, or on a Saturday or a Sunday or a legal holiday, it shall be deemed received on the next business day. Notice addresses are as follows:</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XSPA:</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Edward Jankowski, CEO</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Email: notices@xpresspagroup.com</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to Calm:</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Calm.com, Inc.</w:t>
      </w:r>
    </w:p>
    <w:p>
      <w:pPr>
        <w:ind w:left="600"/>
        <w:spacing w:after="0" w:line="195" w:lineRule="auto"/>
        <w:rPr>
          <w:sz w:val="20"/>
          <w:szCs w:val="20"/>
          <w:color w:val="auto"/>
        </w:rPr>
      </w:pPr>
      <w:r>
        <w:rPr>
          <w:rFonts w:ascii="Arial" w:cs="Arial" w:eastAsia="Arial" w:hAnsi="Arial"/>
          <w:sz w:val="18"/>
          <w:szCs w:val="18"/>
          <w:color w:val="auto"/>
        </w:rPr>
        <w:t>140 2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 3rd Floor</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San Francisco, CA 94105</w:t>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Attn: Dun Wang</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Email: legal@calm.com and dun@calm.com</w:t>
      </w:r>
    </w:p>
    <w:p>
      <w:pPr>
        <w:spacing w:after="0" w:line="211" w:lineRule="exact"/>
        <w:rPr>
          <w:sz w:val="20"/>
          <w:szCs w:val="20"/>
          <w:color w:val="auto"/>
        </w:rPr>
      </w:pPr>
    </w:p>
    <w:p>
      <w:pPr>
        <w:jc w:val="both"/>
        <w:ind w:left="-60" w:firstLine="656"/>
        <w:spacing w:after="0" w:line="276" w:lineRule="auto"/>
        <w:tabs>
          <w:tab w:leader="none" w:pos="858" w:val="left"/>
        </w:tabs>
        <w:numPr>
          <w:ilvl w:val="0"/>
          <w:numId w:val="155"/>
        </w:numPr>
        <w:rPr>
          <w:rFonts w:ascii="Arial" w:cs="Arial" w:eastAsia="Arial" w:hAnsi="Arial"/>
          <w:sz w:val="17"/>
          <w:szCs w:val="17"/>
          <w:color w:val="auto"/>
        </w:rPr>
      </w:pPr>
      <w:r>
        <w:rPr>
          <w:rFonts w:ascii="Arial" w:cs="Arial" w:eastAsia="Arial" w:hAnsi="Arial"/>
          <w:sz w:val="17"/>
          <w:szCs w:val="17"/>
          <w:i w:val="1"/>
          <w:iCs w:val="1"/>
          <w:color w:val="auto"/>
        </w:rPr>
        <w:t>Confidentiality</w:t>
      </w:r>
      <w:r>
        <w:rPr>
          <w:rFonts w:ascii="Arial" w:cs="Arial" w:eastAsia="Arial" w:hAnsi="Arial"/>
          <w:sz w:val="17"/>
          <w:szCs w:val="17"/>
          <w:color w:val="auto"/>
        </w:rPr>
        <w:t>. Neither Party shall, directly or indirectly, without the other Party’s consent, disclose to any third party (other than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employees or representatives) any information designated in writing as confidential by other Party (including the terms and conditions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restriction shall not (a) apply to any information (i) generally available to, or known by, the public (other than as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in violation of this Section 15) or (ii) independently developed by the receiving Party, or (b) prohibit any disclosure (i) determined in good faith by any Party to be required by any listing agreement with any applicable national or regional securities exchange or market, securities laws or any other applicable law so long as the disclosing Party has made all reasonable efforts to obtain confidential treatment of the terms of the Agreement in connection with such disclosure and, to the extent practicable and legally permissible, the receiving Party provides the disclosing Party with reasonable prior notice of such disclosure or (ii) made in connection with the enforcement of any right or remedy relating to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909" w:right="239" w:bottom="1440" w:gutter="0" w:footer="0" w:header="0"/>
        </w:sectPr>
      </w:pPr>
    </w:p>
    <w:bookmarkStart w:id="241" w:name="page242"/>
    <w:bookmarkEnd w:id="241"/>
    <w:p>
      <w:pPr>
        <w:ind w:left="920" w:hanging="264"/>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i w:val="1"/>
          <w:iCs w:val="1"/>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16.01. This Agreement embodies and constitutes the entire understanding between the Parties with respect to subject matter hereof, and no prior agreements, understandings, representations and statements, oral or written, shall have any legal effect with respect to such subject matter. Neither this Agreement nor any provision hereof may be waived, modified, amended, discharged or terminated except by an instrument signed by the Party against whom the enforcement of such waiver, modification, amendment, discharge or termination is sought, and then only to the extent set forth in such instrument.</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16.02. This Agreement shall be governed by, and construed in accordance with the law of the State of New York. In the event of any litigation, arbitration, or other proceeding by which one Party either seeks to enforce its rights under this Agreement or seeks a declaration of any rights or obligations under this Agreement, the prevailing Party shall be entitled to recover from the other Party, in addition to any other relief awarded, any and all costs and expenses incurred with respect to such litigation, arbitration or other proceeding, including without limitation, reasonable attorneys’ fees, disbursements and costs, and experts’ fees and costs.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16.03. The captions in this Agreement are inserted for convenience of reference only and in no way define, describe or limit the scope or intent of this Agreement or any of the provisions hereof.</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16.04. In the event that any one or more of the provisions of this Agreement shall be determined to be void or unenforceable by a court of competent jurisdiction, such determination will not render this Agreement invalid or unenforceable and the remaining provisions hereof shall remain in full force and effect.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16.05. Neither Party shall assign or transfer this Agreement or its rights hereunder without first obtaining the consent of the other, in writing, which consent shall not unreasonably be withheld or delayed. Subject to the foregoing, this Agreement shall be binding upon and inure to the benefit of the Parties hereto and their respective permitted successors and assigns; provided, however, Calm may, without the prior written consent of XSPA, assign or otherwise transfer its rights and obligations to an affiliate of Calm or the acquirer of all or substantially all of the assets of Calm; provided, however, that the prior written consent of XSPA shall be required in connection with the assignment to an acquirer of all or substantially all of the assets of Calm if such acquirer’s primary business is an airport-based provider of spa services.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2" w:name="page243"/>
    <w:bookmarkEnd w:id="242"/>
    <w:p>
      <w:pPr>
        <w:jc w:val="both"/>
        <w:ind w:firstLine="648"/>
        <w:spacing w:after="0" w:line="277" w:lineRule="auto"/>
        <w:rPr>
          <w:sz w:val="20"/>
          <w:szCs w:val="20"/>
          <w:color w:val="auto"/>
        </w:rPr>
      </w:pPr>
      <w:r>
        <w:rPr>
          <w:rFonts w:ascii="Arial" w:cs="Arial" w:eastAsia="Arial" w:hAnsi="Arial"/>
          <w:sz w:val="18"/>
          <w:szCs w:val="18"/>
          <w:color w:val="auto"/>
        </w:rPr>
        <w:t>16.06. For the convenience of the Parties, this Agreement may be executed in one or more counterparts, each of which shall be deemed an original, but all of which together shall constitute one and the same document.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16.07. No waiver by either Party, whether express or implied, of any provision hereof, or of any breach or default thereof, shall constitute a continuing waiver of such provision or of any other provision of this Agreement. Acceptance of payments by Calm shall not be deemed a waiver by Calm of any violation of or default under any of the provisions of this Agreement by XSPA. Also, if for any reason any acts or omissions by XSPA hereunder not in conformance with any of the requirements hereof are not objected to by Calm from time to time, such a failure to object shall not be deemed a waiver by Calm of any such requirement and Calm may insist upon due performance thereof by XSPA at any time.</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16.08. The Parties acknowledge that irreparable injury would be caused by any breach or threatened breach by the other Party of any of the provisions of this Agreement and both Parties shall have the right to enforce the specific performance of the Agreement and to apply for injunctive relief against any act which would violate any of its provisions.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3" w:name="page244"/>
    <w:bookmarkEnd w:id="243"/>
    <w:p>
      <w:pPr>
        <w:spacing w:after="0"/>
        <w:rPr>
          <w:sz w:val="20"/>
          <w:szCs w:val="20"/>
          <w:color w:val="auto"/>
        </w:rPr>
      </w:pPr>
      <w:r>
        <w:rPr>
          <w:rFonts w:ascii="Arial" w:cs="Arial" w:eastAsia="Arial" w:hAnsi="Arial"/>
          <w:sz w:val="16"/>
          <w:szCs w:val="16"/>
          <w:color w:val="auto"/>
        </w:rPr>
        <w:t>IN WITNESS WHEREOF, the Parties have executed this Agreement as of the date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XpresSpa Group, Inc.</w:t>
      </w:r>
    </w:p>
    <w:p>
      <w:pPr>
        <w:spacing w:after="0" w:line="200" w:lineRule="exact"/>
        <w:rPr>
          <w:sz w:val="20"/>
          <w:szCs w:val="20"/>
          <w:color w:val="auto"/>
        </w:rPr>
      </w:pPr>
    </w:p>
    <w:p>
      <w:pPr>
        <w:spacing w:after="0" w:line="24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/s/Edward Jankowski</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Edward Jankowski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Calm.com, Inc.</w:t>
      </w:r>
    </w:p>
    <w:p>
      <w:pPr>
        <w:spacing w:after="0" w:line="200" w:lineRule="exact"/>
        <w:rPr>
          <w:sz w:val="20"/>
          <w:szCs w:val="20"/>
          <w:color w:val="auto"/>
        </w:rPr>
      </w:pPr>
    </w:p>
    <w:p>
      <w:pPr>
        <w:spacing w:after="0" w:line="241" w:lineRule="exact"/>
        <w:rPr>
          <w:sz w:val="20"/>
          <w:szCs w:val="20"/>
          <w:color w:val="auto"/>
        </w:rPr>
      </w:pPr>
    </w:p>
    <w:p>
      <w:pPr>
        <w:jc w:val="both"/>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Acton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244" w:name="page245"/>
    <w:bookmarkEnd w:id="244"/>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45" w:name="page246"/>
    <w:bookmarkEnd w:id="245"/>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46" w:name="page247"/>
    <w:bookmarkEnd w:id="246"/>
    <w:p>
      <w:pPr>
        <w:jc w:val="center"/>
        <w:spacing w:after="0"/>
        <w:rPr>
          <w:sz w:val="20"/>
          <w:szCs w:val="20"/>
          <w:color w:val="auto"/>
        </w:rPr>
      </w:pPr>
      <w:r>
        <w:rPr>
          <w:rFonts w:ascii="Arial" w:cs="Arial" w:eastAsia="Arial" w:hAnsi="Arial"/>
          <w:sz w:val="17"/>
          <w:szCs w:val="17"/>
          <w:b w:val="1"/>
          <w:bCs w:val="1"/>
          <w:u w:val="single" w:color="auto"/>
          <w:color w:val="auto"/>
        </w:rPr>
        <w:t>Exhibit C</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47" w:name="page248"/>
    <w:bookmarkEnd w:id="247"/>
    <w:p>
      <w:pPr>
        <w:jc w:val="center"/>
        <w:spacing w:after="0"/>
        <w:rPr>
          <w:sz w:val="20"/>
          <w:szCs w:val="20"/>
          <w:color w:val="auto"/>
        </w:rPr>
      </w:pPr>
      <w:r>
        <w:rPr>
          <w:rFonts w:ascii="Arial" w:cs="Arial" w:eastAsia="Arial" w:hAnsi="Arial"/>
          <w:sz w:val="17"/>
          <w:szCs w:val="17"/>
          <w:b w:val="1"/>
          <w:bCs w:val="1"/>
          <w:u w:val="single" w:color="auto"/>
          <w:color w:val="auto"/>
        </w:rPr>
        <w:t>Exhibit D</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48" w:name="page249"/>
    <w:bookmarkEnd w:id="248"/>
    <w:p>
      <w:pPr>
        <w:jc w:val="center"/>
        <w:spacing w:after="0"/>
        <w:rPr>
          <w:sz w:val="20"/>
          <w:szCs w:val="20"/>
          <w:color w:val="auto"/>
        </w:rPr>
      </w:pPr>
      <w:r>
        <w:rPr>
          <w:rFonts w:ascii="Arial" w:cs="Arial" w:eastAsia="Arial" w:hAnsi="Arial"/>
          <w:sz w:val="17"/>
          <w:szCs w:val="17"/>
          <w:b w:val="1"/>
          <w:bCs w:val="1"/>
          <w:u w:val="single" w:color="auto"/>
          <w:color w:val="auto"/>
        </w:rPr>
        <w:t>Exhibit E</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7360" w:type="dxa"/>
            <w:vAlign w:val="bottom"/>
            <w:gridSpan w:val="5"/>
          </w:tcPr>
          <w:p>
            <w:pPr>
              <w:ind w:left="220"/>
              <w:spacing w:after="0"/>
              <w:rPr>
                <w:sz w:val="20"/>
                <w:szCs w:val="20"/>
                <w:color w:val="auto"/>
              </w:rPr>
            </w:pPr>
            <w:r>
              <w:rPr>
                <w:rFonts w:ascii="Arial" w:cs="Arial" w:eastAsia="Arial" w:hAnsi="Arial"/>
                <w:sz w:val="18"/>
                <w:szCs w:val="18"/>
                <w:b w:val="1"/>
                <w:bCs w:val="1"/>
                <w:color w:val="auto"/>
              </w:rPr>
              <w:t>Subsidiaries of XpresSpa Group, Inc.</w:t>
            </w:r>
          </w:p>
        </w:tc>
      </w:tr>
      <w:tr>
        <w:trPr>
          <w:trHeight w:val="453"/>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2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280" w:type="dxa"/>
            <w:vAlign w:val="bottom"/>
          </w:tcPr>
          <w:p>
            <w:pPr>
              <w:ind w:left="360"/>
              <w:spacing w:after="0"/>
              <w:rPr>
                <w:sz w:val="20"/>
                <w:szCs w:val="20"/>
                <w:color w:val="auto"/>
              </w:rPr>
            </w:pPr>
            <w:r>
              <w:rPr>
                <w:rFonts w:ascii="Arial" w:cs="Arial" w:eastAsia="Arial" w:hAnsi="Arial"/>
                <w:sz w:val="18"/>
                <w:szCs w:val="18"/>
                <w:b w:val="1"/>
                <w:bCs w:val="1"/>
                <w:color w:val="auto"/>
              </w:rPr>
              <w:t>Jurisdiction of Incorporation</w:t>
            </w:r>
          </w:p>
        </w:tc>
      </w:tr>
      <w:tr>
        <w:trPr>
          <w:trHeight w:val="195"/>
        </w:trPr>
        <w:tc>
          <w:tcPr>
            <w:tcW w:w="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I/P Engine, Inc.</w:t>
            </w: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Virginia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Innovate/Protect, Inc.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International Development Group, Ltd.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Iron Gate Security, Inc.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Quantum Stream Inc.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Spa Products Import &amp; Distribution Co.,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Spa Products Wholesaling,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Acquisition, Inc.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GmbH</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Infrastructure, Inc.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Labs, Inc.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Ltd.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Mobile, Inc.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VRTUAL, Inc.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Amsterdam Airport B.V.</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at Term. 4 JFK,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Atlanta Terminal A,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Atlanta Terminal C,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Austin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Charlotte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Chicago O'Hare,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Denver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DFW International,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DFW Kiosk,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DFW Terminal A,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Downtown NYC,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Europe B.V.</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Franchising,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Franchising USA,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Holdings,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Houston Hobby,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7"/>
              </w:rPr>
              <w:t>XpresSpa Houston Intercontinental Terminal A,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7"/>
              </w:rPr>
              <w:t>XpresSpa Houston Intercontinental Terminal E,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International Holdings,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JFK Terminal 1,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JFK Terminal 7,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JFK Terminal 8,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John Wayne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LaGuardia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Las Vegas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LAX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LAX Tom Bradley,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Miami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Middle East B.V.</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Middle East Limited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British Virgin Islands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Mobile Services,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MSP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Online Shopping,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Orlando International,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Orlando,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Philadelphia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Phoenix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Pittsburgh A,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Raleigh-Durham Intl,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RDU Airport,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S.F. International,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Salt Lake City, LLC</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XpresSpa Washington Reagan, LLC</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675"/>
        </w:trPr>
        <w:tc>
          <w:tcPr>
            <w:tcW w:w="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333-225531 on Form S-3, and registration statements (No. 333-210257, No. 333-182853 and No. 333-181477) on Forms S-8 of XpresSpa Group, Inc. (formerly FORM Holdings Corp.), of our report dated April 1, 2019, with respect to the consolidated balance sheets of XpresSpa Group, Inc. and subsidiaries as of December 31, 2018 and 2017, and the related consolidated statements of operations and comprehensive loss, changes in stockholders’ equity, and cash flows for the years then ended, which report appears in the December 31, 2018 annual report on Form 10-K of XpresSpa Group, Inc. and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840" w:hanging="184"/>
        <w:spacing w:after="0"/>
        <w:tabs>
          <w:tab w:leader="none" w:pos="8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XpresSpa Group, Inc.;</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656"/>
        <w:spacing w:after="0" w:line="264" w:lineRule="auto"/>
        <w:tabs>
          <w:tab w:leader="none" w:pos="85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3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0" w:firstLine="656"/>
        <w:spacing w:after="0" w:line="277" w:lineRule="auto"/>
        <w:tabs>
          <w:tab w:leader="none" w:pos="8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SATZMAN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Janine Canale, certify that:</w:t>
      </w:r>
    </w:p>
    <w:p>
      <w:pPr>
        <w:spacing w:after="0" w:line="225" w:lineRule="exact"/>
        <w:rPr>
          <w:sz w:val="20"/>
          <w:szCs w:val="20"/>
          <w:color w:val="auto"/>
        </w:rPr>
      </w:pPr>
    </w:p>
    <w:p>
      <w:pPr>
        <w:ind w:left="840" w:hanging="184"/>
        <w:spacing w:after="0"/>
        <w:tabs>
          <w:tab w:leader="none" w:pos="8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XpresSpa Group, Inc.;</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656"/>
        <w:spacing w:after="0" w:line="264" w:lineRule="auto"/>
        <w:tabs>
          <w:tab w:leader="none" w:pos="85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31"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0" w:firstLine="656"/>
        <w:spacing w:after="0" w:line="277" w:lineRule="auto"/>
        <w:tabs>
          <w:tab w:leader="none" w:pos="8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JANINE CANALE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Annual Report for the year ended December 31, 2018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April 1,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r>
      <w:tr>
        <w:trPr>
          <w:trHeight w:val="195"/>
        </w:trPr>
        <w:tc>
          <w:tcPr>
            <w:tcW w:w="5720" w:type="dxa"/>
            <w:vAlign w:val="bottom"/>
          </w:tcPr>
          <w:p>
            <w:pPr>
              <w:spacing w:after="0"/>
              <w:rPr>
                <w:sz w:val="16"/>
                <w:szCs w:val="16"/>
                <w:color w:val="auto"/>
              </w:rPr>
            </w:pPr>
          </w:p>
        </w:tc>
        <w:tc>
          <w:tcPr>
            <w:tcW w:w="5700" w:type="dxa"/>
            <w:vAlign w:val="bottom"/>
          </w:tcPr>
          <w:p>
            <w:pPr>
              <w:ind w:left="480"/>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572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Dated: April 1,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JANINE CANALE</w:t>
            </w:r>
          </w:p>
        </w:tc>
      </w:tr>
      <w:tr>
        <w:trPr>
          <w:trHeight w:val="195"/>
        </w:trPr>
        <w:tc>
          <w:tcPr>
            <w:tcW w:w="5720" w:type="dxa"/>
            <w:vAlign w:val="bottom"/>
          </w:tcPr>
          <w:p>
            <w:pPr>
              <w:spacing w:after="0"/>
              <w:rPr>
                <w:sz w:val="16"/>
                <w:szCs w:val="16"/>
                <w:color w:val="auto"/>
              </w:rPr>
            </w:pPr>
          </w:p>
        </w:tc>
        <w:tc>
          <w:tcPr>
            <w:tcW w:w="5700" w:type="dxa"/>
            <w:vAlign w:val="bottom"/>
          </w:tcPr>
          <w:p>
            <w:pPr>
              <w:ind w:left="480"/>
              <w:spacing w:after="0" w:line="195" w:lineRule="exact"/>
              <w:rPr>
                <w:sz w:val="20"/>
                <w:szCs w:val="20"/>
                <w:color w:val="auto"/>
              </w:rPr>
            </w:pPr>
            <w:r>
              <w:rPr>
                <w:rFonts w:ascii="Arial" w:cs="Arial" w:eastAsia="Arial" w:hAnsi="Arial"/>
                <w:sz w:val="18"/>
                <w:szCs w:val="18"/>
                <w:color w:val="auto"/>
              </w:rPr>
              <w:t>Controller</w:t>
            </w:r>
          </w:p>
        </w:tc>
      </w:tr>
      <w:tr>
        <w:trPr>
          <w:trHeight w:val="230"/>
        </w:trPr>
        <w:tc>
          <w:tcPr>
            <w:tcW w:w="572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x"/>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amp;"/>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A"/>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1)"/>
      <w:numFmt w:val="lowerRoman"/>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amp;"/>
      <w:numFmt w:val="bullet"/>
      <w:start w:val="1"/>
    </w:lvl>
  </w:abstractNum>
  <w:abstractNum w:abstractNumId="36">
    <w:nsid w:val="7D5E18F8"/>
    <w:multiLevelType w:val="hybridMultilevel"/>
    <w:lvl w:ilvl="0">
      <w:lvlJc w:val="left"/>
      <w:lvlText w:val="%1."/>
      <w:numFmt w:val="decimal"/>
      <w:start w:val="1"/>
    </w:lvl>
  </w:abstractNum>
  <w:abstractNum w:abstractNumId="37">
    <w:nsid w:val="5F3534A4"/>
    <w:multiLevelType w:val="hybridMultilevel"/>
    <w:lvl w:ilvl="0">
      <w:lvlJc w:val="left"/>
      <w:lvlText w:val="(%1)"/>
      <w:numFmt w:val="decimal"/>
      <w:start w:val="1"/>
    </w:lvl>
  </w:abstractNum>
  <w:abstractNum w:abstractNumId="38">
    <w:nsid w:val="73A1821B"/>
    <w:multiLevelType w:val="hybridMultilevel"/>
    <w:lvl w:ilvl="0">
      <w:lvlJc w:val="left"/>
      <w:lvlText w:val="(%1)"/>
      <w:numFmt w:val="decimal"/>
      <w:start w:val="3"/>
    </w:lvl>
  </w:abstractNum>
  <w:abstractNum w:abstractNumId="39">
    <w:nsid w:val="7DE67713"/>
    <w:multiLevelType w:val="hybridMultilevel"/>
    <w:lvl w:ilvl="0">
      <w:lvlJc w:val="left"/>
      <w:lvlText w:val="(%1)"/>
      <w:numFmt w:val="decimal"/>
      <w:start w:val="1"/>
    </w:lvl>
  </w:abstractNum>
  <w:abstractNum w:abstractNumId="40">
    <w:nsid w:val="555C55B5"/>
    <w:multiLevelType w:val="hybridMultilevel"/>
    <w:lvl w:ilvl="0">
      <w:lvlJc w:val="left"/>
      <w:lvlText w:val="(%1)"/>
      <w:numFmt w:val="decimal"/>
      <w:start w:val="2"/>
    </w:lvl>
  </w:abstractNum>
  <w:abstractNum w:abstractNumId="41">
    <w:nsid w:val="3FA62ACA"/>
    <w:multiLevelType w:val="hybridMultilevel"/>
    <w:lvl w:ilvl="0">
      <w:lvlJc w:val="left"/>
      <w:lvlText w:val="%1."/>
      <w:numFmt w:val="decimal"/>
      <w:start w:val="3"/>
    </w:lvl>
  </w:abstractNum>
  <w:abstractNum w:abstractNumId="42">
    <w:nsid w:val="14FCE74E"/>
    <w:multiLevelType w:val="hybridMultilevel"/>
    <w:lvl w:ilvl="0">
      <w:lvlJc w:val="left"/>
      <w:lvlText w:val="%1."/>
      <w:numFmt w:val="decimal"/>
      <w:start w:val="1"/>
    </w:lvl>
  </w:abstractNum>
  <w:abstractNum w:abstractNumId="43">
    <w:nsid w:val="6A3DD3E8"/>
    <w:multiLevelType w:val="hybridMultilevel"/>
    <w:lvl w:ilvl="0">
      <w:lvlJc w:val="left"/>
      <w:lvlText w:val="%1."/>
      <w:numFmt w:val="decimal"/>
      <w:start w:val="3"/>
    </w:lvl>
  </w:abstractNum>
  <w:abstractNum w:abstractNumId="44">
    <w:nsid w:val="71C9129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45">
    <w:nsid w:val="9DAF632"/>
    <w:multiLevelType w:val="hybridMultilevel"/>
    <w:lvl w:ilvl="0">
      <w:lvlJc w:val="left"/>
      <w:lvlText w:val="(%1)"/>
      <w:numFmt w:val="lowerRoman"/>
      <w:start w:val="4"/>
    </w:lvl>
  </w:abstractNum>
  <w:abstractNum w:abstractNumId="46">
    <w:nsid w:val="53299938"/>
    <w:multiLevelType w:val="hybridMultilevel"/>
    <w:lvl w:ilvl="0">
      <w:lvlJc w:val="left"/>
      <w:lvlText w:val="%1"/>
      <w:numFmt w:val="upperLetter"/>
      <w:start w:val="1"/>
    </w:lvl>
    <w:lvl w:ilvl="1">
      <w:lvlJc w:val="left"/>
      <w:lvlText w:val="(%2)"/>
      <w:numFmt w:val="lowerRoman"/>
      <w:start w:val="7"/>
    </w:lvl>
  </w:abstractNum>
  <w:abstractNum w:abstractNumId="47">
    <w:nsid w:val="1FBFE8E0"/>
    <w:multiLevelType w:val="hybridMultilevel"/>
    <w:lvl w:ilvl="0">
      <w:lvlJc w:val="left"/>
      <w:lvlText w:val="(%1)"/>
      <w:numFmt w:val="upperLetter"/>
      <w:start w:val="2"/>
    </w:lvl>
    <w:lvl w:ilvl="1">
      <w:lvlJc w:val="left"/>
      <w:lvlText w:val="%2"/>
      <w:numFmt w:val="lowerRoman"/>
      <w:start w:val="1"/>
    </w:lvl>
  </w:abstractNum>
  <w:abstractNum w:abstractNumId="48">
    <w:nsid w:val="5092CA79"/>
    <w:multiLevelType w:val="hybridMultilevel"/>
    <w:lvl w:ilvl="0">
      <w:lvlJc w:val="left"/>
      <w:lvlText w:val="%1"/>
      <w:numFmt w:val="lowerLetter"/>
      <w:start w:val="1"/>
    </w:lvl>
    <w:lvl w:ilvl="1">
      <w:lvlJc w:val="left"/>
      <w:lvlText w:val="(%2)"/>
      <w:numFmt w:val="lowerRoman"/>
      <w:start w:val="14"/>
    </w:lvl>
  </w:abstractNum>
  <w:abstractNum w:abstractNumId="49">
    <w:nsid w:val="1D545C4D"/>
    <w:multiLevelType w:val="hybridMultilevel"/>
    <w:lvl w:ilvl="0">
      <w:lvlJc w:val="left"/>
      <w:lvlText w:val="(%1)"/>
      <w:numFmt w:val="lowerLetter"/>
      <w:start w:val="2"/>
    </w:lvl>
    <w:lvl w:ilvl="1">
      <w:lvlJc w:val="left"/>
      <w:lvlText w:val="%2"/>
      <w:numFmt w:val="lowerRoman"/>
      <w:start w:val="1"/>
    </w:lvl>
  </w:abstractNum>
  <w:abstractNum w:abstractNumId="50">
    <w:nsid w:val="59ADEA3D"/>
    <w:multiLevelType w:val="hybridMultilevel"/>
    <w:lvl w:ilvl="0">
      <w:lvlJc w:val="left"/>
      <w:lvlText w:val="(%1)"/>
      <w:numFmt w:val="lowerLetter"/>
      <w:start w:val="3"/>
    </w:lvl>
  </w:abstractNum>
  <w:abstractNum w:abstractNumId="51">
    <w:nsid w:val="288F1A34"/>
    <w:multiLevelType w:val="hybridMultilevel"/>
    <w:lvl w:ilvl="0">
      <w:lvlJc w:val="left"/>
      <w:lvlText w:val="(%1)"/>
      <w:numFmt w:val="lowerLetter"/>
      <w:start w:val="4"/>
    </w:lvl>
  </w:abstractNum>
  <w:abstractNum w:abstractNumId="52">
    <w:nsid w:val="2A155DB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3">
    <w:nsid w:val="1D9F6E5F"/>
    <w:multiLevelType w:val="hybridMultilevel"/>
    <w:lvl w:ilvl="0">
      <w:lvlJc w:val="left"/>
      <w:lvlText w:val="(%1)"/>
      <w:numFmt w:val="lowerLetter"/>
      <w:start w:val="2"/>
    </w:lvl>
    <w:lvl w:ilvl="1">
      <w:lvlJc w:val="left"/>
      <w:lvlText w:val="(%2)"/>
      <w:numFmt w:val="lowerRoman"/>
      <w:start w:val="1"/>
    </w:lvl>
  </w:abstractNum>
  <w:abstractNum w:abstractNumId="54">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5">
    <w:nsid w:val="5108827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6">
    <w:nsid w:val="1CA0C5FA"/>
    <w:multiLevelType w:val="hybridMultilevel"/>
    <w:lvl w:ilvl="0">
      <w:lvlJc w:val="left"/>
      <w:lvlText w:val="(%1)"/>
      <w:numFmt w:val="lowerLetter"/>
      <w:start w:val="2"/>
    </w:lvl>
  </w:abstractNum>
  <w:abstractNum w:abstractNumId="57">
    <w:nsid w:val="53584BCB"/>
    <w:multiLevelType w:val="hybridMultilevel"/>
    <w:lvl w:ilvl="0">
      <w:lvlJc w:val="left"/>
      <w:lvlText w:val="(%1)"/>
      <w:numFmt w:val="lowerLetter"/>
      <w:start w:val="3"/>
    </w:lvl>
    <w:lvl w:ilvl="1">
      <w:lvlJc w:val="left"/>
      <w:lvlText w:val="(%2)"/>
      <w:numFmt w:val="lowerRoman"/>
      <w:start w:val="1"/>
    </w:lvl>
  </w:abstractNum>
  <w:abstractNum w:abstractNumId="58">
    <w:nsid w:val="415E286C"/>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59">
    <w:nsid w:val="7C58FD05"/>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60">
    <w:nsid w:val="23D86AAC"/>
    <w:multiLevelType w:val="hybridMultilevel"/>
    <w:lvl w:ilvl="0">
      <w:lvlJc w:val="left"/>
      <w:lvlText w:val="(%1)"/>
      <w:numFmt w:val="upperLetter"/>
      <w:start w:val="2"/>
    </w:lvl>
  </w:abstractNum>
  <w:abstractNum w:abstractNumId="61">
    <w:nsid w:val="45E6D486"/>
    <w:multiLevelType w:val="hybridMultilevel"/>
    <w:lvl w:ilvl="0">
      <w:lvlJc w:val="left"/>
      <w:lvlText w:val="(%1)"/>
      <w:numFmt w:val="lowerRoman"/>
      <w:start w:val="4"/>
    </w:lvl>
  </w:abstractNum>
  <w:abstractNum w:abstractNumId="62">
    <w:nsid w:val="5C10FE21"/>
    <w:multiLevelType w:val="hybridMultilevel"/>
    <w:lvl w:ilvl="0">
      <w:lvlJc w:val="left"/>
      <w:lvlText w:val="(%1)"/>
      <w:numFmt w:val="lowerLetter"/>
      <w:start w:val="4"/>
    </w:lvl>
    <w:lvl w:ilvl="1">
      <w:lvlJc w:val="left"/>
      <w:lvlText w:val="(%2)"/>
      <w:numFmt w:val="lowerRoman"/>
      <w:start w:val="1"/>
    </w:lvl>
  </w:abstractNum>
  <w:abstractNum w:abstractNumId="63">
    <w:nsid w:val="E7FFA2B"/>
    <w:multiLevelType w:val="hybridMultilevel"/>
    <w:lvl w:ilvl="0">
      <w:lvlJc w:val="left"/>
      <w:lvlText w:val="(%1)"/>
      <w:numFmt w:val="lowerLetter"/>
      <w:start w:val="5"/>
    </w:lvl>
  </w:abstractNum>
  <w:abstractNum w:abstractNumId="64">
    <w:nsid w:val="3C5991AA"/>
    <w:multiLevelType w:val="hybridMultilevel"/>
    <w:lvl w:ilvl="0">
      <w:lvlJc w:val="left"/>
      <w:lvlText w:val="%1"/>
      <w:numFmt w:val="decimal"/>
      <w:start w:val="1"/>
    </w:lvl>
    <w:lvl w:ilvl="1">
      <w:lvlJc w:val="left"/>
      <w:lvlText w:val="(%2)"/>
      <w:numFmt w:val="lowerLetter"/>
      <w:start w:val="8"/>
    </w:lvl>
  </w:abstractNum>
  <w:abstractNum w:abstractNumId="65">
    <w:nsid w:val="4BD8591A"/>
    <w:multiLevelType w:val="hybridMultilevel"/>
    <w:lvl w:ilvl="0">
      <w:lvlJc w:val="left"/>
      <w:lvlText w:val="(%1)"/>
      <w:numFmt w:val="decimal"/>
      <w:start w:val="2"/>
    </w:lvl>
    <w:lvl w:ilvl="1">
      <w:lvlJc w:val="left"/>
      <w:lvlText w:val="%2"/>
      <w:numFmt w:val="lowerLetter"/>
      <w:start w:val="1"/>
    </w:lvl>
  </w:abstractNum>
  <w:abstractNum w:abstractNumId="66">
    <w:nsid w:val="78DF6A5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7">
    <w:nsid w:val="39B7AAA2"/>
    <w:multiLevelType w:val="hybridMultilevel"/>
    <w:lvl w:ilvl="0">
      <w:lvlJc w:val="left"/>
      <w:lvlText w:val="%1"/>
      <w:numFmt w:val="lowerRoman"/>
      <w:start w:val="1"/>
    </w:lvl>
    <w:lvl w:ilvl="1">
      <w:lvlJc w:val="left"/>
      <w:lvlText w:val="(%2)"/>
      <w:numFmt w:val="lowerRoman"/>
      <w:start w:val="3"/>
    </w:lvl>
  </w:abstractNum>
  <w:abstractNum w:abstractNumId="68">
    <w:nsid w:val="2B0D8DBE"/>
    <w:multiLevelType w:val="hybridMultilevel"/>
    <w:lvl w:ilvl="0">
      <w:lvlJc w:val="left"/>
      <w:lvlText w:val="(%1)"/>
      <w:numFmt w:val="lowerRoman"/>
      <w:start w:val="2"/>
    </w:lvl>
    <w:lvl w:ilvl="1">
      <w:lvlJc w:val="left"/>
      <w:lvlText w:val="(%2)"/>
      <w:numFmt w:val="lowerRoman"/>
      <w:start w:val="4"/>
    </w:lvl>
  </w:abstractNum>
  <w:abstractNum w:abstractNumId="69">
    <w:nsid w:val="6C80EC70"/>
    <w:multiLevelType w:val="hybridMultilevel"/>
    <w:lvl w:ilvl="0">
      <w:lvlJc w:val="left"/>
      <w:lvlText w:val="(%1)"/>
      <w:numFmt w:val="lowerLetter"/>
      <w:start w:val="2"/>
    </w:lvl>
    <w:lvl w:ilvl="1">
      <w:lvlJc w:val="left"/>
      <w:lvlText w:val="(%2)"/>
      <w:numFmt w:val="lowerRoman"/>
      <w:start w:val="1"/>
    </w:lvl>
  </w:abstractNum>
  <w:abstractNum w:abstractNumId="70">
    <w:nsid w:val="379E21B5"/>
    <w:multiLevelType w:val="hybridMultilevel"/>
    <w:lvl w:ilvl="0">
      <w:lvlJc w:val="left"/>
      <w:lvlText w:val="(%1)"/>
      <w:numFmt w:val="lowerRoman"/>
      <w:start w:val="3"/>
    </w:lvl>
  </w:abstractNum>
  <w:abstractNum w:abstractNumId="71">
    <w:nsid w:val="69E373"/>
    <w:multiLevelType w:val="hybridMultilevel"/>
    <w:lvl w:ilvl="0">
      <w:lvlJc w:val="left"/>
      <w:lvlText w:val="(%1)"/>
      <w:numFmt w:val="lowerLetter"/>
      <w:start w:val="3"/>
    </w:lvl>
    <w:lvl w:ilvl="1">
      <w:lvlJc w:val="left"/>
      <w:lvlText w:val="(%2)"/>
      <w:numFmt w:val="lowerLetter"/>
      <w:start w:val="9"/>
    </w:lvl>
  </w:abstractNum>
  <w:abstractNum w:abstractNumId="72">
    <w:nsid w:val="2C27173B"/>
    <w:multiLevelType w:val="hybridMultilevel"/>
    <w:lvl w:ilvl="0">
      <w:lvlJc w:val="left"/>
      <w:lvlText w:val="%1"/>
      <w:numFmt w:val="decimal"/>
      <w:start w:val="1"/>
    </w:lvl>
    <w:lvl w:ilvl="1">
      <w:lvlJc w:val="left"/>
      <w:lvlText w:val="(%2)"/>
      <w:numFmt w:val="lowerRoman"/>
      <w:start w:val="2"/>
    </w:lvl>
  </w:abstractNum>
  <w:abstractNum w:abstractNumId="73">
    <w:nsid w:val="4C9B0904"/>
    <w:multiLevelType w:val="hybridMultilevel"/>
    <w:lvl w:ilvl="0">
      <w:lvlJc w:val="left"/>
      <w:lvlText w:val="%1."/>
      <w:numFmt w:val="decimal"/>
      <w:start w:val="9"/>
    </w:lvl>
    <w:lvl w:ilvl="1">
      <w:lvlJc w:val="left"/>
      <w:lvlText w:val="%2"/>
      <w:numFmt w:val="lowerRoman"/>
      <w:start w:val="1"/>
    </w:lvl>
  </w:abstractNum>
  <w:abstractNum w:abstractNumId="74">
    <w:nsid w:val="6AA7B75C"/>
    <w:multiLevelType w:val="hybridMultilevel"/>
    <w:lvl w:ilvl="0">
      <w:lvlJc w:val="left"/>
      <w:lvlText w:val="%1."/>
      <w:numFmt w:val="decimal"/>
      <w:start w:val="10"/>
    </w:lvl>
  </w:abstractNum>
  <w:abstractNum w:abstractNumId="75">
    <w:nsid w:val="1DF029D3"/>
    <w:multiLevelType w:val="hybridMultilevel"/>
    <w:lvl w:ilvl="0">
      <w:lvlJc w:val="left"/>
      <w:lvlText w:val="%1."/>
      <w:numFmt w:val="decimal"/>
      <w:start w:val="16"/>
    </w:lvl>
  </w:abstractNum>
  <w:abstractNum w:abstractNumId="76">
    <w:nsid w:val="5675FF36"/>
    <w:multiLevelType w:val="hybridMultilevel"/>
    <w:lvl w:ilvl="0">
      <w:lvlJc w:val="left"/>
      <w:lvlText w:val="%1."/>
      <w:numFmt w:val="decimal"/>
      <w:start w:val="1"/>
    </w:lvl>
  </w:abstractNum>
  <w:abstractNum w:abstractNumId="77">
    <w:nsid w:val="3DD1509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8">
    <w:nsid w:val="3DB012B3"/>
    <w:multiLevelType w:val="hybridMultilevel"/>
    <w:lvl w:ilvl="0">
      <w:lvlJc w:val="left"/>
      <w:lvlText w:val="(%1)"/>
      <w:numFmt w:val="lowerRoman"/>
      <w:start w:val="5"/>
    </w:lvl>
  </w:abstractNum>
  <w:abstractNum w:abstractNumId="79">
    <w:nsid w:val="2708C9AF"/>
    <w:multiLevelType w:val="hybridMultilevel"/>
    <w:lvl w:ilvl="0">
      <w:lvlJc w:val="left"/>
      <w:lvlText w:val="%1"/>
      <w:numFmt w:val="decimal"/>
      <w:start w:val="1"/>
    </w:lvl>
    <w:lvl w:ilvl="1">
      <w:lvlJc w:val="left"/>
      <w:lvlText w:val="(%2)"/>
      <w:numFmt w:val="lowerLetter"/>
      <w:start w:val="2"/>
    </w:lvl>
  </w:abstractNum>
  <w:abstractNum w:abstractNumId="80">
    <w:nsid w:val="5B25ACE2"/>
    <w:multiLevelType w:val="hybridMultilevel"/>
    <w:lvl w:ilvl="0">
      <w:lvlJc w:val="left"/>
      <w:lvlText w:val="%1."/>
      <w:numFmt w:val="decimal"/>
      <w:start w:val="5"/>
    </w:lvl>
    <w:lvl w:ilvl="1">
      <w:lvlJc w:val="left"/>
      <w:lvlText w:val="(%2)"/>
      <w:numFmt w:val="lowerLetter"/>
      <w:start w:val="1"/>
    </w:lvl>
  </w:abstractNum>
  <w:abstractNum w:abstractNumId="81">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4F97E3E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3">
    <w:nsid w:val="53B0A9E"/>
    <w:multiLevelType w:val="hybridMultilevel"/>
    <w:lvl w:ilvl="0">
      <w:lvlJc w:val="left"/>
      <w:lvlText w:val="(%1)"/>
      <w:numFmt w:val="lowerLetter"/>
      <w:start w:val="3"/>
    </w:lvl>
  </w:abstractNum>
  <w:abstractNum w:abstractNumId="84">
    <w:nsid w:val="34FD6B4F"/>
    <w:multiLevelType w:val="hybridMultilevel"/>
    <w:lvl w:ilvl="0">
      <w:lvlJc w:val="left"/>
      <w:lvlText w:val="(%1)"/>
      <w:numFmt w:val="lowerRoman"/>
      <w:start w:val="1"/>
    </w:lvl>
  </w:abstractNum>
  <w:abstractNum w:abstractNumId="85">
    <w:nsid w:val="5915FF32"/>
    <w:multiLevelType w:val="hybridMultilevel"/>
    <w:lvl w:ilvl="0">
      <w:lvlJc w:val="left"/>
      <w:lvlText w:val="(%1)"/>
      <w:numFmt w:val="lowerRoman"/>
      <w:start w:val="3"/>
    </w:lvl>
    <w:lvl w:ilvl="1">
      <w:lvlJc w:val="left"/>
      <w:lvlText w:val="(%2)"/>
      <w:numFmt w:val="upperLetter"/>
      <w:start w:val="1"/>
    </w:lvl>
  </w:abstractNum>
  <w:abstractNum w:abstractNumId="86">
    <w:nsid w:val="56438D15"/>
    <w:multiLevelType w:val="hybridMultilevel"/>
    <w:lvl w:ilvl="0">
      <w:lvlJc w:val="left"/>
      <w:lvlText w:val="(%1)"/>
      <w:numFmt w:val="lowerLetter"/>
      <w:start w:val="4"/>
    </w:lvl>
    <w:lvl w:ilvl="1">
      <w:lvlJc w:val="left"/>
      <w:lvlText w:val="(%2)"/>
      <w:numFmt w:val="lowerLetter"/>
      <w:start w:val="9"/>
    </w:lvl>
  </w:abstractNum>
  <w:abstractNum w:abstractNumId="87">
    <w:nsid w:val="519E3149"/>
    <w:multiLevelType w:val="hybridMultilevel"/>
    <w:lvl w:ilvl="0">
      <w:lvlJc w:val="left"/>
      <w:lvlText w:val="(%1)"/>
      <w:numFmt w:val="lowerLetter"/>
      <w:start w:val="5"/>
    </w:lvl>
  </w:abstractNum>
  <w:abstractNum w:abstractNumId="88">
    <w:nsid w:val="2C6E4AFD"/>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89">
    <w:nsid w:val="17A1B58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0">
    <w:nsid w:val="4DF72E4E"/>
    <w:multiLevelType w:val="hybridMultilevel"/>
    <w:lvl w:ilvl="0">
      <w:lvlJc w:val="left"/>
      <w:lvlText w:val="%1"/>
      <w:numFmt w:val="decimal"/>
      <w:start w:val="1"/>
    </w:lvl>
    <w:lvl w:ilvl="1">
      <w:lvlJc w:val="left"/>
      <w:lvlText w:val="(%2)"/>
      <w:numFmt w:val="lowerRoman"/>
      <w:start w:val="2"/>
    </w:lvl>
  </w:abstractNum>
  <w:abstractNum w:abstractNumId="91">
    <w:nsid w:val="5046B5A9"/>
    <w:multiLevelType w:val="hybridMultilevel"/>
    <w:lvl w:ilvl="0">
      <w:lvlJc w:val="left"/>
      <w:lvlText w:val="%1."/>
      <w:numFmt w:val="decimal"/>
      <w:start w:val="8"/>
    </w:lvl>
    <w:lvl w:ilvl="1">
      <w:lvlJc w:val="left"/>
      <w:lvlText w:val="%2"/>
      <w:numFmt w:val="lowerRoman"/>
      <w:start w:val="1"/>
    </w:lvl>
  </w:abstractNum>
  <w:abstractNum w:abstractNumId="92">
    <w:nsid w:val="5D888A08"/>
    <w:multiLevelType w:val="hybridMultilevel"/>
    <w:lvl w:ilvl="0">
      <w:lvlJc w:val="left"/>
      <w:lvlText w:val="%1."/>
      <w:numFmt w:val="decimal"/>
      <w:start w:val="11"/>
    </w:lvl>
  </w:abstractNum>
  <w:abstractNum w:abstractNumId="93">
    <w:nsid w:val="2A082C70"/>
    <w:multiLevelType w:val="hybridMultilevel"/>
    <w:lvl w:ilvl="0">
      <w:lvlJc w:val="left"/>
      <w:lvlText w:val="%1."/>
      <w:numFmt w:val="decimal"/>
      <w:start w:val="17"/>
    </w:lvl>
  </w:abstractNum>
  <w:abstractNum w:abstractNumId="94">
    <w:nsid w:val="5EC6AFD4"/>
    <w:multiLevelType w:val="hybridMultilevel"/>
    <w:lvl w:ilvl="0">
      <w:lvlJc w:val="left"/>
      <w:lvlText w:val="(%1)"/>
      <w:numFmt w:val="decimal"/>
      <w:start w:val="4"/>
    </w:lvl>
  </w:abstractNum>
  <w:abstractNum w:abstractNumId="95">
    <w:nsid w:val="19E21BB2"/>
    <w:multiLevelType w:val="hybridMultilevel"/>
    <w:lvl w:ilvl="0">
      <w:lvlJc w:val="left"/>
      <w:lvlText w:val="(%1)"/>
      <w:numFmt w:val="lowerLetter"/>
      <w:start w:val="2"/>
    </w:lvl>
  </w:abstractNum>
  <w:abstractNum w:abstractNumId="96">
    <w:nsid w:val="75E0858A"/>
    <w:multiLevelType w:val="hybridMultilevel"/>
    <w:lvl w:ilvl="0">
      <w:lvlJc w:val="left"/>
      <w:lvlText w:val="(%1)"/>
      <w:numFmt w:val="lowerLetter"/>
      <w:start w:val="3"/>
    </w:lvl>
  </w:abstractNum>
  <w:abstractNum w:abstractNumId="97">
    <w:nsid w:val="57A61A29"/>
    <w:multiLevelType w:val="hybridMultilevel"/>
    <w:lvl w:ilvl="0">
      <w:lvlJc w:val="left"/>
      <w:lvlText w:val="(%1)"/>
      <w:numFmt w:val="lowerLetter"/>
      <w:start w:val="1"/>
    </w:lvl>
  </w:abstractNum>
  <w:abstractNum w:abstractNumId="98">
    <w:nsid w:val="5399C654"/>
    <w:multiLevelType w:val="hybridMultilevel"/>
    <w:lvl w:ilvl="0">
      <w:lvlJc w:val="left"/>
      <w:lvlText w:val="(%1)"/>
      <w:numFmt w:val="lowerRoman"/>
      <w:start w:val="1"/>
    </w:lvl>
  </w:abstractNum>
  <w:abstractNum w:abstractNumId="99">
    <w:nsid w:val="20EE1348"/>
    <w:multiLevelType w:val="hybridMultilevel"/>
    <w:lvl w:ilvl="0">
      <w:lvlJc w:val="left"/>
      <w:lvlText w:val="(%1)"/>
      <w:numFmt w:val="lowerLetter"/>
      <w:start w:val="2"/>
    </w:lvl>
  </w:abstractNum>
  <w:abstractNum w:abstractNumId="100">
    <w:nsid w:val="4427069A"/>
    <w:multiLevelType w:val="hybridMultilevel"/>
    <w:lvl w:ilvl="0">
      <w:lvlJc w:val="left"/>
      <w:lvlText w:val="(%1)"/>
      <w:numFmt w:val="lowerLetter"/>
      <w:start w:val="2"/>
    </w:lvl>
  </w:abstractNum>
  <w:abstractNum w:abstractNumId="101">
    <w:nsid w:val="B37E80A"/>
    <w:multiLevelType w:val="hybridMultilevel"/>
    <w:lvl w:ilvl="0">
      <w:lvlJc w:val="left"/>
      <w:lvlText w:val="%1."/>
      <w:numFmt w:val="decimal"/>
      <w:start w:val="1"/>
    </w:lvl>
  </w:abstractNum>
  <w:abstractNum w:abstractNumId="102">
    <w:nsid w:val="2157F6BC"/>
    <w:multiLevelType w:val="hybridMultilevel"/>
    <w:lvl w:ilvl="0">
      <w:lvlJc w:val="left"/>
      <w:lvlText w:val="%1."/>
      <w:numFmt w:val="decimal"/>
      <w:start w:val="3"/>
    </w:lvl>
  </w:abstractNum>
  <w:abstractNum w:abstractNumId="103">
    <w:nsid w:val="704E1DD5"/>
    <w:multiLevelType w:val="hybridMultilevel"/>
    <w:lvl w:ilvl="0">
      <w:lvlJc w:val="left"/>
      <w:lvlText w:val="%1."/>
      <w:numFmt w:val="decimal"/>
      <w:start w:val="4"/>
    </w:lvl>
  </w:abstractNum>
  <w:abstractNum w:abstractNumId="104">
    <w:nsid w:val="57D2F10E"/>
    <w:multiLevelType w:val="hybridMultilevel"/>
    <w:lvl w:ilvl="0">
      <w:lvlJc w:val="left"/>
      <w:lvlText w:val="%1."/>
      <w:numFmt w:val="decimal"/>
      <w:start w:val="5"/>
    </w:lvl>
  </w:abstractNum>
  <w:abstractNum w:abstractNumId="105">
    <w:nsid w:val="BFFAE18"/>
    <w:multiLevelType w:val="hybridMultilevel"/>
    <w:lvl w:ilvl="0">
      <w:lvlJc w:val="left"/>
      <w:lvlText w:val="%1."/>
      <w:numFmt w:val="decimal"/>
      <w:start w:val="6"/>
    </w:lvl>
  </w:abstractNum>
  <w:abstractNum w:abstractNumId="106">
    <w:nsid w:val="E3E47A8"/>
    <w:multiLevelType w:val="hybridMultilevel"/>
    <w:lvl w:ilvl="0">
      <w:lvlJc w:val="left"/>
      <w:lvlText w:val="(%1)"/>
      <w:numFmt w:val="upperLetter"/>
      <w:start w:val="2"/>
    </w:lvl>
  </w:abstractNum>
  <w:abstractNum w:abstractNumId="107">
    <w:nsid w:val="2E48F044"/>
    <w:multiLevelType w:val="hybridMultilevel"/>
    <w:lvl w:ilvl="0">
      <w:lvlJc w:val="left"/>
      <w:lvlText w:val="%1."/>
      <w:numFmt w:val="decimal"/>
      <w:start w:val="7"/>
    </w:lvl>
  </w:abstractNum>
  <w:abstractNum w:abstractNumId="108">
    <w:nsid w:val="49D0FEAC"/>
    <w:multiLevelType w:val="hybridMultilevel"/>
    <w:lvl w:ilvl="0">
      <w:lvlJc w:val="left"/>
      <w:lvlText w:val="%1."/>
      <w:numFmt w:val="decimal"/>
      <w:start w:val="8"/>
    </w:lvl>
  </w:abstractNum>
  <w:abstractNum w:abstractNumId="109">
    <w:nsid w:val="4BEE5A5B"/>
    <w:multiLevelType w:val="hybridMultilevel"/>
    <w:lvl w:ilvl="0">
      <w:lvlJc w:val="left"/>
      <w:lvlText w:val="%1."/>
      <w:numFmt w:val="decimal"/>
      <w:start w:val="9"/>
    </w:lvl>
  </w:abstractNum>
  <w:abstractNum w:abstractNumId="110">
    <w:nsid w:val="5551B9F3"/>
    <w:multiLevelType w:val="hybridMultilevel"/>
    <w:lvl w:ilvl="0">
      <w:lvlJc w:val="left"/>
      <w:lvlText w:val="%1."/>
      <w:numFmt w:val="decimal"/>
      <w:start w:val="11"/>
    </w:lvl>
  </w:abstractNum>
  <w:abstractNum w:abstractNumId="111">
    <w:nsid w:val="24F6AB8E"/>
    <w:multiLevelType w:val="hybridMultilevel"/>
    <w:lvl w:ilvl="0">
      <w:lvlJc w:val="left"/>
      <w:lvlText w:val="%1."/>
      <w:numFmt w:val="decimal"/>
      <w:start w:val="17"/>
    </w:lvl>
  </w:abstractNum>
  <w:abstractNum w:abstractNumId="112">
    <w:nsid w:val="634C574C"/>
    <w:multiLevelType w:val="hybridMultilevel"/>
    <w:lvl w:ilvl="0">
      <w:lvlJc w:val="left"/>
      <w:lvlText w:val="%1."/>
      <w:numFmt w:val="decimal"/>
      <w:start w:val="1"/>
    </w:lvl>
  </w:abstractNum>
  <w:abstractNum w:abstractNumId="113">
    <w:nsid w:val="24E99DD7"/>
    <w:multiLevelType w:val="hybridMultilevel"/>
    <w:lvl w:ilvl="0">
      <w:lvlJc w:val="left"/>
      <w:lvlText w:val="%1."/>
      <w:numFmt w:val="decimal"/>
      <w:start w:val="3"/>
    </w:lvl>
  </w:abstractNum>
  <w:abstractNum w:abstractNumId="114">
    <w:nsid w:val="2A31B62D"/>
    <w:multiLevelType w:val="hybridMultilevel"/>
    <w:lvl w:ilvl="0">
      <w:lvlJc w:val="left"/>
      <w:lvlText w:val="%1."/>
      <w:numFmt w:val="decimal"/>
      <w:start w:val="5"/>
    </w:lvl>
  </w:abstractNum>
  <w:abstractNum w:abstractNumId="115">
    <w:nsid w:val="1849C29B"/>
    <w:multiLevelType w:val="hybridMultilevel"/>
    <w:lvl w:ilvl="0">
      <w:lvlJc w:val="left"/>
      <w:lvlText w:val="(%1)"/>
      <w:numFmt w:val="upperLetter"/>
      <w:start w:val="2"/>
    </w:lvl>
  </w:abstractNum>
  <w:abstractNum w:abstractNumId="116">
    <w:nsid w:val="7DFF9D09"/>
    <w:multiLevelType w:val="hybridMultilevel"/>
    <w:lvl w:ilvl="0">
      <w:lvlJc w:val="left"/>
      <w:lvlText w:val="%1."/>
      <w:numFmt w:val="decimal"/>
      <w:start w:val="7"/>
    </w:lvl>
  </w:abstractNum>
  <w:abstractNum w:abstractNumId="117">
    <w:nsid w:val="754342"/>
    <w:multiLevelType w:val="hybridMultilevel"/>
    <w:lvl w:ilvl="0">
      <w:lvlJc w:val="left"/>
      <w:lvlText w:val="%1."/>
      <w:numFmt w:val="decimal"/>
      <w:start w:val="8"/>
    </w:lvl>
  </w:abstractNum>
  <w:abstractNum w:abstractNumId="118">
    <w:nsid w:val="69E7F3E5"/>
    <w:multiLevelType w:val="hybridMultilevel"/>
    <w:lvl w:ilvl="0">
      <w:lvlJc w:val="left"/>
      <w:lvlText w:val="%1."/>
      <w:numFmt w:val="decimal"/>
      <w:start w:val="9"/>
    </w:lvl>
  </w:abstractNum>
  <w:abstractNum w:abstractNumId="119">
    <w:nsid w:val="2A6DE806"/>
    <w:multiLevelType w:val="hybridMultilevel"/>
    <w:lvl w:ilvl="0">
      <w:lvlJc w:val="left"/>
      <w:lvlText w:val="%1."/>
      <w:numFmt w:val="decimal"/>
      <w:start w:val="11"/>
    </w:lvl>
  </w:abstractNum>
  <w:abstractNum w:abstractNumId="120">
    <w:nsid w:val="1816F8C4"/>
    <w:multiLevelType w:val="hybridMultilevel"/>
    <w:lvl w:ilvl="0">
      <w:lvlJc w:val="left"/>
      <w:lvlText w:val="%1."/>
      <w:numFmt w:val="decimal"/>
      <w:start w:val="13"/>
    </w:lvl>
  </w:abstractNum>
  <w:abstractNum w:abstractNumId="121">
    <w:nsid w:val="37DF2233"/>
    <w:multiLevelType w:val="hybridMultilevel"/>
    <w:lvl w:ilvl="0">
      <w:lvlJc w:val="left"/>
      <w:lvlText w:val="%1."/>
      <w:numFmt w:val="decimal"/>
      <w:start w:val="1"/>
    </w:lvl>
  </w:abstractNum>
  <w:abstractNum w:abstractNumId="122">
    <w:nsid w:val="7AB49DAF"/>
    <w:multiLevelType w:val="hybridMultilevel"/>
    <w:lvl w:ilvl="0">
      <w:lvlJc w:val="left"/>
      <w:lvlText w:val="(%1)"/>
      <w:numFmt w:val="decimal"/>
      <w:start w:val="3"/>
    </w:lvl>
  </w:abstractNum>
  <w:abstractNum w:abstractNumId="123">
    <w:nsid w:val="759F82CD"/>
    <w:multiLevelType w:val="hybridMultilevel"/>
    <w:lvl w:ilvl="0">
      <w:lvlJc w:val="left"/>
      <w:lvlText w:val="(%1)"/>
      <w:numFmt w:val="decimal"/>
      <w:start w:val="4"/>
    </w:lvl>
  </w:abstractNum>
  <w:abstractNum w:abstractNumId="124">
    <w:nsid w:val="61E74EA3"/>
    <w:multiLevelType w:val="hybridMultilevel"/>
    <w:lvl w:ilvl="0">
      <w:lvlJc w:val="left"/>
      <w:lvlText w:val="(%1)"/>
      <w:numFmt w:val="lowerRoman"/>
      <w:start w:val="1"/>
    </w:lvl>
  </w:abstractNum>
  <w:abstractNum w:abstractNumId="125">
    <w:nsid w:val="597B4D84"/>
    <w:multiLevelType w:val="hybridMultilevel"/>
    <w:lvl w:ilvl="0">
      <w:lvlJc w:val="left"/>
      <w:lvlText w:val="(%1)"/>
      <w:numFmt w:val="lowerRoman"/>
      <w:start w:val="1"/>
    </w:lvl>
  </w:abstractNum>
  <w:abstractNum w:abstractNumId="126">
    <w:nsid w:val="F819E7F"/>
    <w:multiLevelType w:val="hybridMultilevel"/>
    <w:lvl w:ilvl="0">
      <w:lvlJc w:val="left"/>
      <w:lvlText w:val="(%1)"/>
      <w:numFmt w:val="lowerRoman"/>
      <w:start w:val="1"/>
    </w:lvl>
  </w:abstractNum>
  <w:abstractNum w:abstractNumId="127">
    <w:nsid w:val="57C7D42D"/>
    <w:multiLevelType w:val="hybridMultilevel"/>
    <w:lvl w:ilvl="0">
      <w:lvlJc w:val="left"/>
      <w:lvlText w:val="(%1)"/>
      <w:numFmt w:val="lowerRoman"/>
      <w:start w:val="1"/>
    </w:lvl>
  </w:abstractNum>
  <w:abstractNum w:abstractNumId="128">
    <w:nsid w:val="312167AD"/>
    <w:multiLevelType w:val="hybridMultilevel"/>
    <w:lvl w:ilvl="0">
      <w:lvlJc w:val="left"/>
      <w:lvlText w:val="(%1)"/>
      <w:numFmt w:val="lowerRoman"/>
      <w:start w:val="1"/>
    </w:lvl>
  </w:abstractNum>
  <w:abstractNum w:abstractNumId="129">
    <w:nsid w:val="631B64D4"/>
    <w:multiLevelType w:val="hybridMultilevel"/>
    <w:lvl w:ilvl="0">
      <w:lvlJc w:val="left"/>
      <w:lvlText w:val="(%1)"/>
      <w:numFmt w:val="lowerRoman"/>
      <w:start w:val="1"/>
    </w:lvl>
  </w:abstractNum>
  <w:abstractNum w:abstractNumId="130">
    <w:nsid w:val="78B5E776"/>
    <w:multiLevelType w:val="hybridMultilevel"/>
    <w:lvl w:ilvl="0">
      <w:lvlJc w:val="left"/>
      <w:lvlText w:val="(%1)"/>
      <w:numFmt w:val="lowerRoman"/>
      <w:start w:val="1"/>
    </w:lvl>
  </w:abstractNum>
  <w:abstractNum w:abstractNumId="131">
    <w:nsid w:val="75486E47"/>
    <w:multiLevelType w:val="hybridMultilevel"/>
    <w:lvl w:ilvl="0">
      <w:lvlJc w:val="left"/>
      <w:lvlText w:val="(%1)"/>
      <w:numFmt w:val="lowerRoman"/>
      <w:start w:val="1"/>
    </w:lvl>
  </w:abstractNum>
  <w:abstractNum w:abstractNumId="132">
    <w:nsid w:val="6E534CDE"/>
    <w:multiLevelType w:val="hybridMultilevel"/>
    <w:lvl w:ilvl="0">
      <w:lvlJc w:val="left"/>
      <w:lvlText w:val="(%1)"/>
      <w:numFmt w:val="lowerRoman"/>
      <w:start w:val="1"/>
    </w:lvl>
  </w:abstractNum>
  <w:abstractNum w:abstractNumId="133">
    <w:nsid w:val="1A0DDE32"/>
    <w:multiLevelType w:val="hybridMultilevel"/>
    <w:lvl w:ilvl="0">
      <w:lvlJc w:val="left"/>
      <w:lvlText w:val="(%1)"/>
      <w:numFmt w:val="lowerRoman"/>
      <w:start w:val="2"/>
    </w:lvl>
  </w:abstractNum>
  <w:abstractNum w:abstractNumId="134">
    <w:nsid w:val="65968C1C"/>
    <w:multiLevelType w:val="hybridMultilevel"/>
    <w:lvl w:ilvl="0">
      <w:lvlJc w:val="left"/>
      <w:lvlText w:val="(%1)"/>
      <w:numFmt w:val="lowerRoman"/>
      <w:start w:val="1"/>
    </w:lvl>
  </w:abstractNum>
  <w:abstractNum w:abstractNumId="135">
    <w:nsid w:val="46263DEC"/>
    <w:multiLevelType w:val="hybridMultilevel"/>
    <w:lvl w:ilvl="0">
      <w:lvlJc w:val="left"/>
      <w:lvlText w:val="%1."/>
      <w:numFmt w:val="decimal"/>
      <w:start w:val="1"/>
    </w:lvl>
  </w:abstractNum>
  <w:abstractNum w:abstractNumId="136">
    <w:nsid w:val="260D8C4A"/>
    <w:multiLevelType w:val="hybridMultilevel"/>
    <w:lvl w:ilvl="0">
      <w:lvlJc w:val="left"/>
      <w:lvlText w:val="%1."/>
      <w:numFmt w:val="decimal"/>
      <w:start w:val="3"/>
    </w:lvl>
  </w:abstractNum>
  <w:abstractNum w:abstractNumId="137">
    <w:nsid w:val="73D4D3C4"/>
    <w:multiLevelType w:val="hybridMultilevel"/>
    <w:lvl w:ilvl="0">
      <w:lvlJc w:val="left"/>
      <w:lvlText w:val="%1."/>
      <w:numFmt w:val="decimal"/>
      <w:start w:val="4"/>
    </w:lvl>
  </w:abstractNum>
  <w:abstractNum w:abstractNumId="138">
    <w:nsid w:val="746F2E30"/>
    <w:multiLevelType w:val="hybridMultilevel"/>
    <w:lvl w:ilvl="0">
      <w:lvlJc w:val="left"/>
      <w:lvlText w:val="(%1)"/>
      <w:numFmt w:val="lowerLetter"/>
      <w:start w:val="1"/>
    </w:lvl>
  </w:abstractNum>
  <w:abstractNum w:abstractNumId="139">
    <w:nsid w:val="6FDE8AF6"/>
    <w:multiLevelType w:val="hybridMultilevel"/>
    <w:lvl w:ilvl="0">
      <w:lvlJc w:val="left"/>
      <w:lvlText w:val="(%1)"/>
      <w:numFmt w:val="lowerLetter"/>
      <w:start w:val="2"/>
    </w:lvl>
  </w:abstractNum>
  <w:abstractNum w:abstractNumId="140">
    <w:nsid w:val="3FC32E20"/>
    <w:multiLevelType w:val="hybridMultilevel"/>
    <w:lvl w:ilvl="0">
      <w:lvlJc w:val="left"/>
      <w:lvlText w:val="(%1)"/>
      <w:numFmt w:val="decimal"/>
      <w:start w:val="2"/>
    </w:lvl>
    <w:lvl w:ilvl="1">
      <w:lvlJc w:val="left"/>
      <w:lvlText w:val="%2."/>
      <w:numFmt w:val="decimal"/>
      <w:start w:val="5"/>
    </w:lvl>
  </w:abstractNum>
  <w:abstractNum w:abstractNumId="141">
    <w:nsid w:val="49C0E823"/>
    <w:multiLevelType w:val="hybridMultilevel"/>
    <w:lvl w:ilvl="0">
      <w:lvlJc w:val="left"/>
      <w:lvlText w:val="%1."/>
      <w:numFmt w:val="decimal"/>
      <w:start w:val="6"/>
    </w:lvl>
  </w:abstractNum>
  <w:abstractNum w:abstractNumId="142">
    <w:nsid w:val="14D53685"/>
    <w:multiLevelType w:val="hybridMultilevel"/>
    <w:lvl w:ilvl="0">
      <w:lvlJc w:val="left"/>
      <w:lvlText w:val="%1."/>
      <w:numFmt w:val="decimal"/>
      <w:start w:val="8"/>
    </w:lvl>
  </w:abstractNum>
  <w:abstractNum w:abstractNumId="143">
    <w:nsid w:val="230F856C"/>
    <w:multiLevelType w:val="hybridMultilevel"/>
    <w:lvl w:ilvl="0">
      <w:lvlJc w:val="left"/>
      <w:lvlText w:val="(%1)"/>
      <w:numFmt w:val="decimal"/>
      <w:start w:val="6"/>
    </w:lvl>
  </w:abstractNum>
  <w:abstractNum w:abstractNumId="144">
    <w:nsid w:val="6EAA85FB"/>
    <w:multiLevelType w:val="hybridMultilevel"/>
    <w:lvl w:ilvl="0">
      <w:lvlJc w:val="left"/>
      <w:lvlText w:val="(%1)"/>
      <w:numFmt w:val="decimal"/>
      <w:start w:val="6"/>
    </w:lvl>
  </w:abstractNum>
  <w:abstractNum w:abstractNumId="145">
    <w:nsid w:val="3F06ECB2"/>
    <w:multiLevelType w:val="hybridMultilevel"/>
    <w:lvl w:ilvl="0">
      <w:lvlJc w:val="left"/>
      <w:lvlText w:val="%1."/>
      <w:numFmt w:val="decimal"/>
      <w:start w:val="9"/>
    </w:lvl>
  </w:abstractNum>
  <w:abstractNum w:abstractNumId="146">
    <w:nsid w:val="3B594807"/>
    <w:multiLevelType w:val="hybridMultilevel"/>
    <w:lvl w:ilvl="0">
      <w:lvlJc w:val="left"/>
      <w:lvlText w:val="%1."/>
      <w:numFmt w:val="decimal"/>
      <w:start w:val="10"/>
    </w:lvl>
  </w:abstractNum>
  <w:abstractNum w:abstractNumId="147">
    <w:nsid w:val="6CAA2304"/>
    <w:multiLevelType w:val="hybridMultilevel"/>
    <w:lvl w:ilvl="0">
      <w:lvlJc w:val="left"/>
      <w:lvlText w:val="(%1)"/>
      <w:numFmt w:val="lowerLetter"/>
      <w:start w:val="1"/>
    </w:lvl>
  </w:abstractNum>
  <w:abstractNum w:abstractNumId="148">
    <w:nsid w:val="3F7C2FF4"/>
    <w:multiLevelType w:val="hybridMultilevel"/>
    <w:lvl w:ilvl="0">
      <w:lvlJc w:val="left"/>
      <w:lvlText w:val="%1."/>
      <w:numFmt w:val="decimal"/>
      <w:start w:val="11"/>
    </w:lvl>
  </w:abstractNum>
  <w:abstractNum w:abstractNumId="149">
    <w:nsid w:val="25413BEC"/>
    <w:multiLevelType w:val="hybridMultilevel"/>
    <w:lvl w:ilvl="0">
      <w:lvlJc w:val="left"/>
      <w:lvlText w:val="(%1)"/>
      <w:numFmt w:val="lowerLetter"/>
      <w:start w:val="1"/>
    </w:lvl>
  </w:abstractNum>
  <w:abstractNum w:abstractNumId="150">
    <w:nsid w:val="17180B0B"/>
    <w:multiLevelType w:val="hybridMultilevel"/>
    <w:lvl w:ilvl="0">
      <w:lvlJc w:val="left"/>
      <w:lvlText w:val="%1"/>
      <w:numFmt w:val="decimal"/>
      <w:start w:val="1"/>
    </w:lvl>
    <w:lvl w:ilvl="1">
      <w:lvlJc w:val="left"/>
      <w:lvlText w:val="(%2)"/>
      <w:numFmt w:val="lowerLetter"/>
      <w:start w:val="1"/>
    </w:lvl>
  </w:abstractNum>
  <w:abstractNum w:abstractNumId="151">
    <w:nsid w:val="579328B9"/>
    <w:multiLevelType w:val="hybridMultilevel"/>
    <w:lvl w:ilvl="0">
      <w:lvlJc w:val="left"/>
      <w:lvlText w:val="%1."/>
      <w:numFmt w:val="decimal"/>
      <w:start w:val="12"/>
    </w:lvl>
    <w:lvl w:ilvl="1">
      <w:lvlJc w:val="left"/>
      <w:lvlText w:val="%2"/>
      <w:numFmt w:val="lowerLetter"/>
      <w:start w:val="1"/>
    </w:lvl>
  </w:abstractNum>
  <w:abstractNum w:abstractNumId="152">
    <w:nsid w:val="5D205E20"/>
    <w:multiLevelType w:val="hybridMultilevel"/>
    <w:lvl w:ilvl="0">
      <w:lvlJc w:val="left"/>
      <w:lvlText w:val="%1."/>
      <w:numFmt w:val="decimal"/>
      <w:start w:val="13"/>
    </w:lvl>
  </w:abstractNum>
  <w:abstractNum w:abstractNumId="153">
    <w:nsid w:val="11CCA8BA"/>
    <w:multiLevelType w:val="hybridMultilevel"/>
    <w:lvl w:ilvl="0">
      <w:lvlJc w:val="left"/>
      <w:lvlText w:val="%1."/>
      <w:numFmt w:val="decimal"/>
      <w:start w:val="14"/>
    </w:lvl>
  </w:abstractNum>
  <w:abstractNum w:abstractNumId="154">
    <w:nsid w:val="4D32AB86"/>
    <w:multiLevelType w:val="hybridMultilevel"/>
    <w:lvl w:ilvl="0">
      <w:lvlJc w:val="left"/>
      <w:lvlText w:val="%1."/>
      <w:numFmt w:val="decimal"/>
      <w:start w:val="15"/>
    </w:lvl>
  </w:abstractNum>
  <w:abstractNum w:abstractNumId="155">
    <w:nsid w:val="3F07ACC3"/>
    <w:multiLevelType w:val="hybridMultilevel"/>
    <w:lvl w:ilvl="0">
      <w:lvlJc w:val="left"/>
      <w:lvlText w:val="%1."/>
      <w:numFmt w:val="decimal"/>
      <w:start w:val="16"/>
    </w:lvl>
  </w:abstractNum>
  <w:abstractNum w:abstractNumId="156">
    <w:nsid w:val="6B47F63E"/>
    <w:multiLevelType w:val="hybridMultilevel"/>
    <w:lvl w:ilvl="0">
      <w:lvlJc w:val="left"/>
      <w:lvlText w:val="%1."/>
      <w:numFmt w:val="decimal"/>
      <w:start w:val="1"/>
    </w:lvl>
  </w:abstractNum>
  <w:abstractNum w:abstractNumId="157">
    <w:nsid w:val="5CB44A05"/>
    <w:multiLevelType w:val="hybridMultilevel"/>
    <w:lvl w:ilvl="0">
      <w:lvlJc w:val="left"/>
      <w:lvlText w:val="%1)"/>
      <w:numFmt w:val="lowerLetter"/>
      <w:start w:val="1"/>
    </w:lvl>
  </w:abstractNum>
  <w:abstractNum w:abstractNumId="158">
    <w:nsid w:val="16CF80F1"/>
    <w:multiLevelType w:val="hybridMultilevel"/>
    <w:lvl w:ilvl="0">
      <w:lvlJc w:val="left"/>
      <w:lvlText w:val="%1."/>
      <w:numFmt w:val="decimal"/>
      <w:start w:val="5"/>
    </w:lvl>
  </w:abstractNum>
  <w:abstractNum w:abstractNumId="159">
    <w:nsid w:val="1C695DEC"/>
    <w:multiLevelType w:val="hybridMultilevel"/>
    <w:lvl w:ilvl="0">
      <w:lvlJc w:val="left"/>
      <w:lvlText w:val="%1)"/>
      <w:numFmt w:val="lowerLetter"/>
      <w:start w:val="1"/>
    </w:lvl>
  </w:abstractNum>
  <w:abstractNum w:abstractNumId="160">
    <w:nsid w:val="3FCFAED9"/>
    <w:multiLevelType w:val="hybridMultilevel"/>
    <w:lvl w:ilvl="0">
      <w:lvlJc w:val="left"/>
      <w:lvlText w:val="%1."/>
      <w:numFmt w:val="decimal"/>
      <w:start w:val="1"/>
    </w:lvl>
  </w:abstractNum>
  <w:abstractNum w:abstractNumId="161">
    <w:nsid w:val="F856867"/>
    <w:multiLevelType w:val="hybridMultilevel"/>
    <w:lvl w:ilvl="0">
      <w:lvlJc w:val="left"/>
      <w:lvlText w:val="%1)"/>
      <w:numFmt w:val="lowerLetter"/>
      <w:start w:val="1"/>
    </w:lvl>
  </w:abstractNum>
  <w:abstractNum w:abstractNumId="162">
    <w:nsid w:val="11B1CC33"/>
    <w:multiLevelType w:val="hybridMultilevel"/>
    <w:lvl w:ilvl="0">
      <w:lvlJc w:val="left"/>
      <w:lvlText w:val="%1."/>
      <w:numFmt w:val="decimal"/>
      <w:start w:val="5"/>
    </w:lvl>
  </w:abstractNum>
  <w:abstractNum w:abstractNumId="163">
    <w:nsid w:val="2E22FB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115" Type="http://schemas.openxmlformats.org/officeDocument/2006/relationships/image" Target="media/image64.png"/><Relationship Id="rId116" Type="http://schemas.openxmlformats.org/officeDocument/2006/relationships/image" Target="media/image65.png"/><Relationship Id="rId117" Type="http://schemas.openxmlformats.org/officeDocument/2006/relationships/image" Target="media/image66.png"/><Relationship Id="rId118" Type="http://schemas.openxmlformats.org/officeDocument/2006/relationships/image" Target="media/image67.png"/><Relationship Id="rId119" Type="http://schemas.openxmlformats.org/officeDocument/2006/relationships/image" Target="media/image68.png"/><Relationship Id="rId120" Type="http://schemas.openxmlformats.org/officeDocument/2006/relationships/image" Target="media/image69.png"/><Relationship Id="rId121" Type="http://schemas.openxmlformats.org/officeDocument/2006/relationships/image" Target="media/image70.png"/><Relationship Id="rId122" Type="http://schemas.openxmlformats.org/officeDocument/2006/relationships/image" Target="media/image71.png"/><Relationship Id="rId123" Type="http://schemas.openxmlformats.org/officeDocument/2006/relationships/image" Target="media/image72.png"/><Relationship Id="rId124" Type="http://schemas.openxmlformats.org/officeDocument/2006/relationships/image" Target="media/image73.png"/><Relationship Id="rId125" Type="http://schemas.openxmlformats.org/officeDocument/2006/relationships/image" Target="media/image74.png"/><Relationship Id="rId126" Type="http://schemas.openxmlformats.org/officeDocument/2006/relationships/image" Target="media/image75.png"/><Relationship Id="rId127" Type="http://schemas.openxmlformats.org/officeDocument/2006/relationships/image" Target="media/image76.png"/><Relationship Id="rId128"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69" Type="http://schemas.openxmlformats.org/officeDocument/2006/relationships/image" Target="media/image118.png"/><Relationship Id="rId170"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jpe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jpeg"/><Relationship Id="rId195" Type="http://schemas.openxmlformats.org/officeDocument/2006/relationships/image" Target="media/image144.jpe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jpe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jpe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262" Type="http://schemas.openxmlformats.org/officeDocument/2006/relationships/image" Target="media/image211.png"/><Relationship Id="rId263" Type="http://schemas.openxmlformats.org/officeDocument/2006/relationships/image" Target="media/image212.png"/><Relationship Id="rId264" Type="http://schemas.openxmlformats.org/officeDocument/2006/relationships/image" Target="media/image213.png"/><Relationship Id="rId265" Type="http://schemas.openxmlformats.org/officeDocument/2006/relationships/image" Target="media/image214.png"/><Relationship Id="rId266"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png"/><Relationship Id="rId277" Type="http://schemas.openxmlformats.org/officeDocument/2006/relationships/image" Target="media/image226.jpeg"/><Relationship Id="rId278" Type="http://schemas.openxmlformats.org/officeDocument/2006/relationships/image" Target="media/image227.png"/><Relationship Id="rId279" Type="http://schemas.openxmlformats.org/officeDocument/2006/relationships/image" Target="media/image228.png"/><Relationship Id="rId280" Type="http://schemas.openxmlformats.org/officeDocument/2006/relationships/image" Target="media/image229.png"/><Relationship Id="rId281" Type="http://schemas.openxmlformats.org/officeDocument/2006/relationships/image" Target="media/image230.jpe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285" Type="http://schemas.openxmlformats.org/officeDocument/2006/relationships/image" Target="media/image234.png"/><Relationship Id="rId286" Type="http://schemas.openxmlformats.org/officeDocument/2006/relationships/image" Target="media/image235.png"/><Relationship Id="rId287" Type="http://schemas.openxmlformats.org/officeDocument/2006/relationships/image" Target="media/image236.png"/><Relationship Id="rId288" Type="http://schemas.openxmlformats.org/officeDocument/2006/relationships/image" Target="media/image237.png"/><Relationship Id="rId289" Type="http://schemas.openxmlformats.org/officeDocument/2006/relationships/image" Target="media/image238.jpeg"/><Relationship Id="rId290" Type="http://schemas.openxmlformats.org/officeDocument/2006/relationships/image" Target="media/image239.png"/><Relationship Id="rId291" Type="http://schemas.openxmlformats.org/officeDocument/2006/relationships/image" Target="media/image240.png"/><Relationship Id="rId292" Type="http://schemas.openxmlformats.org/officeDocument/2006/relationships/image" Target="media/image241.jpeg"/><Relationship Id="rId293" Type="http://schemas.openxmlformats.org/officeDocument/2006/relationships/image" Target="media/image242.jpeg"/><Relationship Id="rId294" Type="http://schemas.openxmlformats.org/officeDocument/2006/relationships/image" Target="media/image243.png"/><Relationship Id="rId295" Type="http://schemas.openxmlformats.org/officeDocument/2006/relationships/image" Target="media/image244.png"/><Relationship Id="rId296" Type="http://schemas.openxmlformats.org/officeDocument/2006/relationships/image" Target="media/image245.png"/><Relationship Id="rId297" Type="http://schemas.openxmlformats.org/officeDocument/2006/relationships/image" Target="media/image246.png"/><Relationship Id="rId298" Type="http://schemas.openxmlformats.org/officeDocument/2006/relationships/image" Target="media/image247.png"/><Relationship Id="rId299" Type="http://schemas.openxmlformats.org/officeDocument/2006/relationships/image" Target="media/image248.png"/><Relationship Id="rId300"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325" Type="http://schemas.openxmlformats.org/officeDocument/2006/relationships/image" Target="media/image274.png"/><Relationship Id="rId326" Type="http://schemas.openxmlformats.org/officeDocument/2006/relationships/image" Target="media/image275.png"/><Relationship Id="rId327" Type="http://schemas.openxmlformats.org/officeDocument/2006/relationships/image" Target="media/image276.png"/><Relationship Id="rId328" Type="http://schemas.openxmlformats.org/officeDocument/2006/relationships/image" Target="media/image277.jpeg"/><Relationship Id="rId329" Type="http://schemas.openxmlformats.org/officeDocument/2006/relationships/image" Target="media/image278.jpeg"/><Relationship Id="rId330" Type="http://schemas.openxmlformats.org/officeDocument/2006/relationships/image" Target="media/image279.png"/><Relationship Id="rId331" Type="http://schemas.openxmlformats.org/officeDocument/2006/relationships/image" Target="media/image280.png"/><Relationship Id="rId332" Type="http://schemas.openxmlformats.org/officeDocument/2006/relationships/image" Target="media/image281.png"/><Relationship Id="rId333" Type="http://schemas.openxmlformats.org/officeDocument/2006/relationships/image" Target="media/image282.png"/><Relationship Id="rId334" Type="http://schemas.openxmlformats.org/officeDocument/2006/relationships/image" Target="media/image283.png"/><Relationship Id="rId335" Type="http://schemas.openxmlformats.org/officeDocument/2006/relationships/image" Target="media/image284.png"/><Relationship Id="rId336" Type="http://schemas.openxmlformats.org/officeDocument/2006/relationships/image" Target="media/image285.png"/><Relationship Id="rId337" Type="http://schemas.openxmlformats.org/officeDocument/2006/relationships/image" Target="media/image286.png"/><Relationship Id="rId338" Type="http://schemas.openxmlformats.org/officeDocument/2006/relationships/image" Target="media/image287.png"/><Relationship Id="rId339" Type="http://schemas.openxmlformats.org/officeDocument/2006/relationships/image" Target="media/image288.png"/><Relationship Id="rId340" Type="http://schemas.openxmlformats.org/officeDocument/2006/relationships/image" Target="media/image289.png"/><Relationship Id="rId341" Type="http://schemas.openxmlformats.org/officeDocument/2006/relationships/image" Target="media/image290.png"/><Relationship Id="rId342" Type="http://schemas.openxmlformats.org/officeDocument/2006/relationships/image" Target="media/image291.png"/><Relationship Id="rId343" Type="http://schemas.openxmlformats.org/officeDocument/2006/relationships/image" Target="media/image292.png"/><Relationship Id="rId344" Type="http://schemas.openxmlformats.org/officeDocument/2006/relationships/image" Target="media/image293.png"/><Relationship Id="rId345" Type="http://schemas.openxmlformats.org/officeDocument/2006/relationships/image" Target="media/image294.png"/><Relationship Id="rId346" Type="http://schemas.openxmlformats.org/officeDocument/2006/relationships/image" Target="media/image295.png"/><Relationship Id="rId347"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jpe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png"/><Relationship Id="rId390" Type="http://schemas.openxmlformats.org/officeDocument/2006/relationships/image" Target="media/image339.png"/><Relationship Id="rId391" Type="http://schemas.openxmlformats.org/officeDocument/2006/relationships/image" Target="media/image340.png"/><Relationship Id="rId392" Type="http://schemas.openxmlformats.org/officeDocument/2006/relationships/image" Target="media/image341.png"/><Relationship Id="rId393" Type="http://schemas.openxmlformats.org/officeDocument/2006/relationships/image" Target="media/image342.png"/><Relationship Id="rId394" Type="http://schemas.openxmlformats.org/officeDocument/2006/relationships/image" Target="media/image343.png"/><Relationship Id="rId395" Type="http://schemas.openxmlformats.org/officeDocument/2006/relationships/image" Target="media/image344.png"/><Relationship Id="rId396" Type="http://schemas.openxmlformats.org/officeDocument/2006/relationships/image" Target="media/image345.png"/><Relationship Id="rId397" Type="http://schemas.openxmlformats.org/officeDocument/2006/relationships/image" Target="media/image346.png"/><Relationship Id="rId398" Type="http://schemas.openxmlformats.org/officeDocument/2006/relationships/image" Target="media/image347.png"/><Relationship Id="rId399" Type="http://schemas.openxmlformats.org/officeDocument/2006/relationships/image" Target="media/image348.png"/><Relationship Id="rId400" Type="http://schemas.openxmlformats.org/officeDocument/2006/relationships/image" Target="media/image349.png"/><Relationship Id="rId401" Type="http://schemas.openxmlformats.org/officeDocument/2006/relationships/image" Target="media/image350.png"/><Relationship Id="rId402" Type="http://schemas.openxmlformats.org/officeDocument/2006/relationships/image" Target="media/image351.png"/><Relationship Id="rId403" Type="http://schemas.openxmlformats.org/officeDocument/2006/relationships/image" Target="media/image352.png"/><Relationship Id="rId404" Type="http://schemas.openxmlformats.org/officeDocument/2006/relationships/image" Target="media/image353.png"/><Relationship Id="rId405" Type="http://schemas.openxmlformats.org/officeDocument/2006/relationships/image" Target="media/image354.png"/><Relationship Id="rId406" Type="http://schemas.openxmlformats.org/officeDocument/2006/relationships/image" Target="media/image355.png"/><Relationship Id="rId407" Type="http://schemas.openxmlformats.org/officeDocument/2006/relationships/image" Target="media/image356.png"/><Relationship Id="rId408" Type="http://schemas.openxmlformats.org/officeDocument/2006/relationships/image" Target="media/image357.png"/><Relationship Id="rId409" Type="http://schemas.openxmlformats.org/officeDocument/2006/relationships/image" Target="media/image358.png"/><Relationship Id="rId410" Type="http://schemas.openxmlformats.org/officeDocument/2006/relationships/image" Target="media/image359.png"/><Relationship Id="rId70" Type="http://schemas.openxmlformats.org/officeDocument/2006/relationships/hyperlink" Target="http://www.sec.gov/Archives/edgar/data/1410428/000114420416117230/v446257_ex2-1.htm" TargetMode="External"/><Relationship Id="rId72" Type="http://schemas.openxmlformats.org/officeDocument/2006/relationships/hyperlink" Target="http://www.sec.gov/Archives/edgar/data/1410428/000114420416123414/v448507_ex2-1.htm" TargetMode="External"/><Relationship Id="rId73" Type="http://schemas.openxmlformats.org/officeDocument/2006/relationships/hyperlink" Target="http://www.sec.gov/Archives/edgar/data/1410428/000114420416129472/v451220_ex2-1.htm" TargetMode="External"/><Relationship Id="rId74" Type="http://schemas.openxmlformats.org/officeDocument/2006/relationships/hyperlink" Target="http://www.sec.gov/Archives/edgar/data/1410428/000114420416089189/v434655_ex3-1.htm" TargetMode="External"/><Relationship Id="rId75" Type="http://schemas.openxmlformats.org/officeDocument/2006/relationships/hyperlink" Target="http://www.sec.gov/Archives/edgar/data/1410428/000114420416141154/v455681_ex3-1.htm" TargetMode="External"/><Relationship Id="rId76" Type="http://schemas.openxmlformats.org/officeDocument/2006/relationships/hyperlink" Target="http://www.sec.gov/Archives/edgar/data/1410428/000114420418060039/tv506091_ex3-1.htm" TargetMode="External"/><Relationship Id="rId77" Type="http://schemas.openxmlformats.org/officeDocument/2006/relationships/hyperlink" Target="http://www.sec.gov/Archives/edgar/data/1410428/000119312510123446/dex42.htm" TargetMode="External"/><Relationship Id="rId78" Type="http://schemas.openxmlformats.org/officeDocument/2006/relationships/hyperlink" Target="http://www.sec.gov/Archives/edgar/data/1410428/000114420415059695/v422196_ex4-1.htm" TargetMode="External"/><Relationship Id="rId79" Type="http://schemas.openxmlformats.org/officeDocument/2006/relationships/hyperlink" Target="http://www.sec.gov/Archives/edgar/data/1410428/000114420415027143/v409292_ex10-3.htm" TargetMode="External"/><Relationship Id="rId80" Type="http://schemas.openxmlformats.org/officeDocument/2006/relationships/hyperlink" Target="http://www.sec.gov/Archives/edgar/data/1410428/000114420416089189/v434655_ex4-1.htm" TargetMode="External"/><Relationship Id="rId81" Type="http://schemas.openxmlformats.org/officeDocument/2006/relationships/hyperlink" Target="http://www.sec.gov/Archives/edgar/data/1410428/000114420419015650/tv516755_ex10-1.htm" TargetMode="External"/><Relationship Id="rId82" Type="http://schemas.openxmlformats.org/officeDocument/2006/relationships/hyperlink" Target="http://www.sec.gov/Archives/edgar/data/1410428/000114420416129474/v449051_s4a.htm" TargetMode="External"/><Relationship Id="rId83" Type="http://schemas.openxmlformats.org/officeDocument/2006/relationships/hyperlink" Target="http://www.sec.gov/Archives/edgar/data/1410428/000114420418028911/tv492938_ex4-1.htm" TargetMode="External"/><Relationship Id="rId84" Type="http://schemas.openxmlformats.org/officeDocument/2006/relationships/hyperlink" Target="http://www.sec.gov/Archives/edgar/data/1410428/000114420418028911/tv492938_ex4-2.htm" TargetMode="External"/><Relationship Id="rId85" Type="http://schemas.openxmlformats.org/officeDocument/2006/relationships/hyperlink" Target="http://www.sec.gov/Archives/edgar/data/1410428/000114420418028911/tv492938_ex4-3.htm" TargetMode="External"/><Relationship Id="rId86" Type="http://schemas.openxmlformats.org/officeDocument/2006/relationships/hyperlink" Target="http://www.sec.gov/Archives/edgar/data/1410428/000114420415056596/v420716_def14a.htm" TargetMode="External"/><Relationship Id="rId87" Type="http://schemas.openxmlformats.org/officeDocument/2006/relationships/hyperlink" Target="http://www.sec.gov/Archives/edgar/data/1410428/000119312510069268/dex45.htm" TargetMode="External"/><Relationship Id="rId88" Type="http://schemas.openxmlformats.org/officeDocument/2006/relationships/hyperlink" Target="http://www.sec.gov/Archives/edgar/data/1410428/000114420412041064/v319421_ex99-2.htm" TargetMode="External"/><Relationship Id="rId89" Type="http://schemas.openxmlformats.org/officeDocument/2006/relationships/hyperlink" Target="http://www.sec.gov/Archives/edgar/data/1410428/000114420412041064/v319421_ex99-3.htm" TargetMode="External"/><Relationship Id="rId90" Type="http://schemas.openxmlformats.org/officeDocument/2006/relationships/hyperlink" Target="http://www.sec.gov/Archives/edgar/data/1410428/000114420413016671/v333989_ex10-24.htm" TargetMode="External"/><Relationship Id="rId91" Type="http://schemas.openxmlformats.org/officeDocument/2006/relationships/hyperlink" Target="http://www.sec.gov/Archives/edgar/data/1410428/000114420416117230/v446257_ex10-1.htm" TargetMode="External"/><Relationship Id="rId92" Type="http://schemas.openxmlformats.org/officeDocument/2006/relationships/hyperlink" Target="http://www.sec.gov/Archives/edgar/data/1410428/000114420416117230/v446257_ex10-2.htm" TargetMode="External"/><Relationship Id="rId93" Type="http://schemas.openxmlformats.org/officeDocument/2006/relationships/hyperlink" Target="http://www.sec.gov/Archives/edgar/data/1410428/000114420416136736/v454026_ex10-1.htm" TargetMode="External"/><Relationship Id="rId94" Type="http://schemas.openxmlformats.org/officeDocument/2006/relationships/hyperlink" Target="http://www.sec.gov/Archives/edgar/data/1410428/000114420416141154/v455681_ex10-1.htm" TargetMode="External"/><Relationship Id="rId95" Type="http://schemas.openxmlformats.org/officeDocument/2006/relationships/hyperlink" Target="http://www.sec.gov/Archives/edgar/data/1410428/000114420417017688/v462079_10k.htm" TargetMode="External"/><Relationship Id="rId96" Type="http://schemas.openxmlformats.org/officeDocument/2006/relationships/hyperlink" Target="http://www.sec.gov/Archives/edgar/data/1410428/000114420417005775/v458330_ex10-1.htm" TargetMode="External"/><Relationship Id="rId97" Type="http://schemas.openxmlformats.org/officeDocument/2006/relationships/hyperlink" Target="http://www.sec.gov/Archives/edgar/data/1410428/000114420417027519/v466214_ex10-2.htm" TargetMode="External"/><Relationship Id="rId98" Type="http://schemas.openxmlformats.org/officeDocument/2006/relationships/hyperlink" Target="http://www.sec.gov/Archives/edgar/data/1410428/000114420417027519/v466214_ex10-3.htm" TargetMode="External"/><Relationship Id="rId99" Type="http://schemas.openxmlformats.org/officeDocument/2006/relationships/hyperlink" Target="http://www.sec.gov/Archives/edgar/data/1410428/000114420417027519/v466214_ex10-4.htm" TargetMode="External"/><Relationship Id="rId100" Type="http://schemas.openxmlformats.org/officeDocument/2006/relationships/hyperlink" Target="http://www.sec.gov/Archives/edgar/data/1410428/000114420417027519/v466214_ex10-5.htm" TargetMode="External"/><Relationship Id="rId101" Type="http://schemas.openxmlformats.org/officeDocument/2006/relationships/hyperlink" Target="http://www.sec.gov/Archives/edgar/data/1410428/000114420418016778/tv489440_ex2-1.htm" TargetMode="External"/><Relationship Id="rId102" Type="http://schemas.openxmlformats.org/officeDocument/2006/relationships/hyperlink" Target="http://www.sec.gov/Archives/edgar/data/1410428/000114420418028911/tv492938_ex10-1.htm" TargetMode="External"/><Relationship Id="rId103" Type="http://schemas.openxmlformats.org/officeDocument/2006/relationships/hyperlink" Target="http://www.sec.gov/Archives/edgar/data/1410428/000114420418028911/tv492938_ex10-2.htm" TargetMode="External"/><Relationship Id="rId104" Type="http://schemas.openxmlformats.org/officeDocument/2006/relationships/hyperlink" Target="http://www.sec.gov/Archives/edgar/data/1410428/000114420418028911/tv492938_ex10-3.htm" TargetMode="External"/><Relationship Id="rId105" Type="http://schemas.openxmlformats.org/officeDocument/2006/relationships/hyperlink" Target="http://www.sec.gov/Archives/edgar/data/1410428/000114420418028911/tv492938_ex10-4.htm" TargetMode="External"/><Relationship Id="rId106" Type="http://schemas.openxmlformats.org/officeDocument/2006/relationships/hyperlink" Target="http://www.sec.gov/Archives/edgar/data/1410428/000114420418028911/tv492938_ex10-5.htm" TargetMode="External"/><Relationship Id="rId107" Type="http://schemas.openxmlformats.org/officeDocument/2006/relationships/hyperlink" Target="http://www.sec.gov/Archives/edgar/data/1410428/000114420418028911/tv492938_ex10-6.htm" TargetMode="External"/><Relationship Id="rId108" Type="http://schemas.openxmlformats.org/officeDocument/2006/relationships/hyperlink" Target="http://www.sec.gov/Archives/edgar/data/1410428/000114420418028911/tv492938_ex10-7.htm" TargetMode="External"/><Relationship Id="rId109" Type="http://schemas.openxmlformats.org/officeDocument/2006/relationships/hyperlink" Target="http://www.sec.gov/Archives/edgar/data/1410428/000114420418028911/tv492938_ex10-8.htm" TargetMode="External"/><Relationship Id="rId110" Type="http://schemas.openxmlformats.org/officeDocument/2006/relationships/hyperlink" Target="http://www.sec.gov/Archives/edgar/data/1410428/000114420418028911/tv492938_ex10-9.htm" TargetMode="External"/><Relationship Id="rId111" Type="http://schemas.openxmlformats.org/officeDocument/2006/relationships/hyperlink" Target="http://www.sec.gov/Archives/edgar/data/1410428/000114420418028911/tv492938_ex10-10.htm" TargetMode="External"/><Relationship Id="rId112" Type="http://schemas.openxmlformats.org/officeDocument/2006/relationships/hyperlink" Target="http://www.sec.gov/Archives/edgar/data/1410428/000114420418060039/tv506091_ex10-1.htm" TargetMode="External"/><Relationship Id="rId113" Type="http://schemas.openxmlformats.org/officeDocument/2006/relationships/hyperlink" Target="http://www.sec.gov/Archives/edgar/data/1410428/000114420419014325/tv516349_ex10-1.htm" TargetMode="External"/><Relationship Id="rId114" Type="http://schemas.openxmlformats.org/officeDocument/2006/relationships/hyperlink" Target="http://www.sec.gov/Archives/edgar/data/1410428/000114420419014325/tv516349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2019-12-28T14:02:36Z</dcterms:created>
  <dcterms:modified xsi:type="dcterms:W3CDTF">2019-12-28T14:02:36Z</dcterms:modified>
</cp:coreProperties>
</file>