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25, 2020</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Delaware</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89"/>
              </w:rPr>
              <w:t>20-4988129</w:t>
            </w:r>
          </w:p>
        </w:tc>
      </w:tr>
      <w:tr>
        <w:trPr>
          <w:trHeight w:val="216"/>
        </w:trPr>
        <w:tc>
          <w:tcPr>
            <w:tcW w:w="238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(State or other jurisdiction</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of incorporation)</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3"/>
              </w:rPr>
              <w:t>Identification No.)</w:t>
            </w:r>
          </w:p>
        </w:tc>
      </w:tr>
      <w:tr>
        <w:trPr>
          <w:trHeight w:val="454"/>
        </w:trPr>
        <w:tc>
          <w:tcPr>
            <w:tcW w:w="2380" w:type="dxa"/>
            <w:vAlign w:val="bottom"/>
          </w:tcPr>
          <w:p>
            <w:pPr>
              <w:spacing w:after="0"/>
              <w:rPr>
                <w:sz w:val="24"/>
                <w:szCs w:val="24"/>
                <w:color w:val="auto"/>
              </w:rPr>
            </w:pP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254 West 31</w:t>
            </w:r>
            <w:r>
              <w:rPr>
                <w:rFonts w:ascii="Arial" w:cs="Arial" w:eastAsia="Arial" w:hAnsi="Arial"/>
                <w:sz w:val="29"/>
                <w:szCs w:val="29"/>
                <w:b w:val="1"/>
                <w:bCs w:val="1"/>
                <w:color w:val="auto"/>
                <w:w w:val="86"/>
                <w:vertAlign w:val="superscript"/>
              </w:rPr>
              <w:t>st</w:t>
            </w:r>
            <w:r>
              <w:rPr>
                <w:rFonts w:ascii="Arial" w:cs="Arial" w:eastAsia="Arial" w:hAnsi="Arial"/>
                <w:sz w:val="18"/>
                <w:szCs w:val="18"/>
                <w:b w:val="1"/>
                <w:bCs w:val="1"/>
                <w:color w:val="auto"/>
                <w:w w:val="86"/>
              </w:rPr>
              <w:t xml:space="preserve"> Street, 11</w:t>
            </w:r>
            <w:r>
              <w:rPr>
                <w:rFonts w:ascii="Arial" w:cs="Arial" w:eastAsia="Arial" w:hAnsi="Arial"/>
                <w:sz w:val="29"/>
                <w:szCs w:val="29"/>
                <w:b w:val="1"/>
                <w:bCs w:val="1"/>
                <w:color w:val="auto"/>
                <w:w w:val="86"/>
                <w:vertAlign w:val="superscript"/>
              </w:rPr>
              <w:t>th</w:t>
            </w:r>
            <w:r>
              <w:rPr>
                <w:rFonts w:ascii="Arial" w:cs="Arial" w:eastAsia="Arial" w:hAnsi="Arial"/>
                <w:sz w:val="18"/>
                <w:szCs w:val="18"/>
                <w:b w:val="1"/>
                <w:bCs w:val="1"/>
                <w:color w:val="auto"/>
                <w:w w:val="86"/>
              </w:rPr>
              <w:t xml:space="preserve"> Floor</w:t>
            </w:r>
          </w:p>
        </w:tc>
        <w:tc>
          <w:tcPr>
            <w:tcW w:w="190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New York, New York 10001</w:t>
            </w:r>
          </w:p>
        </w:tc>
        <w:tc>
          <w:tcPr>
            <w:tcW w:w="1900" w:type="dxa"/>
            <w:vAlign w:val="bottom"/>
          </w:tcPr>
          <w:p>
            <w:pPr>
              <w:spacing w:after="0"/>
              <w:rPr>
                <w:sz w:val="18"/>
                <w:szCs w:val="18"/>
                <w:color w:val="auto"/>
              </w:rPr>
            </w:pPr>
          </w:p>
        </w:tc>
      </w:tr>
      <w:tr>
        <w:trPr>
          <w:trHeight w:val="234"/>
        </w:trPr>
        <w:tc>
          <w:tcPr>
            <w:tcW w:w="2380" w:type="dxa"/>
            <w:vAlign w:val="bottom"/>
          </w:tcPr>
          <w:p>
            <w:pPr>
              <w:spacing w:after="0"/>
              <w:rPr>
                <w:sz w:val="20"/>
                <w:szCs w:val="20"/>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900" w:type="dxa"/>
            <w:vAlign w:val="bottom"/>
          </w:tcPr>
          <w:p>
            <w:pPr>
              <w:spacing w:after="0"/>
              <w:rPr>
                <w:sz w:val="20"/>
                <w:szCs w:val="20"/>
                <w:color w:val="auto"/>
              </w:rPr>
            </w:pP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37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Title of each class</w:t>
            </w:r>
          </w:p>
        </w:tc>
        <w:tc>
          <w:tcPr>
            <w:tcW w:w="38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each exchange on which</w:t>
            </w:r>
          </w:p>
        </w:tc>
      </w:tr>
      <w:tr>
        <w:trPr>
          <w:trHeight w:val="230"/>
        </w:trPr>
        <w:tc>
          <w:tcPr>
            <w:tcW w:w="3740" w:type="dxa"/>
            <w:vAlign w:val="bottom"/>
            <w:tcBorders>
              <w:left w:val="single" w:sz="8" w:color="auto"/>
              <w:right w:val="single" w:sz="8" w:color="auto"/>
            </w:tcBorders>
          </w:tcPr>
          <w:p>
            <w:pPr>
              <w:spacing w:after="0"/>
              <w:rPr>
                <w:sz w:val="20"/>
                <w:szCs w:val="20"/>
                <w:color w:val="auto"/>
              </w:rPr>
            </w:pPr>
          </w:p>
        </w:tc>
        <w:tc>
          <w:tcPr>
            <w:tcW w:w="38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registered</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Common stock, par value $0.01 per share</w:t>
            </w:r>
          </w:p>
        </w:tc>
        <w:tc>
          <w:tcPr>
            <w:tcW w:w="3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XSPA</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March 25, 2020, XpresSpa Group, Inc., a Delaware corporation (the “Company”), entered into a Securities Purchase Agreement (the “Purchase Agreement”) with certain purchasers named therein (the “Purchasers”), pursuant to which the Company agreed to issue and sell, in a registered direct offering, (i) 7,450,000 shares of the Company’s common stock, par value $0.01 per share (the “Common Stock”) at an offering price of $0.20 per share and</w:t>
      </w:r>
    </w:p>
    <w:p>
      <w:pPr>
        <w:spacing w:after="0" w:line="2" w:lineRule="exact"/>
        <w:rPr>
          <w:sz w:val="20"/>
          <w:szCs w:val="20"/>
          <w:color w:val="auto"/>
        </w:rPr>
      </w:pPr>
    </w:p>
    <w:p>
      <w:pPr>
        <w:jc w:val="both"/>
        <w:ind w:firstLine="8"/>
        <w:spacing w:after="0" w:line="273" w:lineRule="auto"/>
        <w:tabs>
          <w:tab w:leader="none" w:pos="272" w:val="left"/>
        </w:tabs>
        <w:numPr>
          <w:ilvl w:val="0"/>
          <w:numId w:val="2"/>
        </w:numPr>
        <w:rPr>
          <w:rFonts w:ascii="Arial" w:cs="Arial" w:eastAsia="Arial" w:hAnsi="Arial"/>
          <w:sz w:val="17"/>
          <w:szCs w:val="17"/>
          <w:color w:val="auto"/>
        </w:rPr>
      </w:pPr>
      <w:r>
        <w:rPr>
          <w:rFonts w:ascii="Arial" w:cs="Arial" w:eastAsia="Arial" w:hAnsi="Arial"/>
          <w:sz w:val="17"/>
          <w:szCs w:val="17"/>
          <w:color w:val="auto"/>
        </w:rPr>
        <w:t>an aggregate of 1,500,000 pre-funded warrants exercisable for shares of Common Stock (the “Pre-Funded Warrants”) at an offering price of $0.19 per Pre-Funded Warrant (the offering of the shares of Common Stock and the Pre-Funded Warrants, the “Offering”). The closing of the Offering is expected to occur on or about March 26, 2020, subject to customary closing conditions. The Company expects to receive gross proceeds of approximately $1.79 million in connection with the Offering, before deducting financial advisory consultant fees and related offering expenses.</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Pre-Funded Warrants are being sold to the Purchasers to the extent that a Purchaser’s subscription of shares of Common Stock in the Offering would otherwise result in the Purchaser, together with its affiliates and certain related parties, beneficially owning more than 4.99% (or, in certain cases, 9.99%) of the Company’s outstanding Common Stock immediately following the consummation of the Offering, in lieu of shares of Common Stock. Each Pre-Funded Warrant represents the right to purchase one share of Common Stock at an exercise price of $0.01 per share. The Pre-Funded Warrants are exercisable immediately and may be exercised at any time until the Pre-Funded Warrants are exercised in full.</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Purchase Agreement contains customary representations and warranties and agreements of the Company and the Purchasers and customary indemnification rights and obligations of the parties.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a letter agreement, dated March 19, 2020 (the “Letter Agreement”), the Company engaged Palladium Capital Advisors, LLC (“Palladium”) as advisory financial consultant. The Company agreed to pay to Palladium a cash fee of 8% of the aggregate gross proceeds raised in the Offering plus reimbursement of certain legal expenses.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foregoing summaries of the Letter Agreement, the Purchase Agreement and the Pre-Funded Warrants do not purport to be complete and are subject to, and qualified in their entirety by, such documents attached as Exhibits 1.1, 10.1 and 4.1, respectively, to this Current Report on Form 8-K, which are incorporated herein by reference.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25, 2020, the Company issued a press release in connection with the Offering, which is attached as Exhibit 99.1 hereto and incorporated by reference herein.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securities in Offering are being offered by the Company pursuant to a registration statement on Form S-3 (File No. 333- 232764), which was filed with the Securities and Exchange Commission (the “Commission”) on July 22, 2019 and was declared effective by the Commission on July 30, 2019 (the “Registration Statement”). A copy of the opinion of Mintz, Levin, Cohn, Ferris, Glovsky &amp; Popeo, P.C. relating to the legality of the issuance and sale of the securities in the Offering is attached to this report as Exhibit 5.1. This Current Report on Form 8-K shall not constitute an offer to sell or the solicitation of an offer to buy securities, nor shall there be any sale of securities in any state in which such offer, solicitation or sale would be unlawful prior to registration or qualification under the securities laws of any such state.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24, 2019, the Company had outstanding 26,619,669 shares of Common Stock. After giving effect to the issuance of the shares of Common Stock in the Offering, and assuming no exercise of the Pre-Funded Warrants, the Company would have outstanding 34,069,669 shares of Common Stock. This does not give effect to the issuance of any shares of Common Stock pursuant to convertible securities which have been exercised or converted but not yet issued as of the date of this Current Report on Form 8-K.</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Effective March 24, 2020, the Company had temporarily closed all global spa locations, largely due to the categorization of such spa locations by local jurisdictions as “non-essential services” in connection with the recent outbreak of the novel coronavirus (“COVID-19”). The Company intends to reopen its spa locations and resume normal operations once such restrictions are lifted and airport traffic returns to sufficient levels to support such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spacing w:after="0" w:line="286" w:lineRule="auto"/>
        <w:rPr>
          <w:sz w:val="20"/>
          <w:szCs w:val="20"/>
          <w:color w:val="auto"/>
        </w:rPr>
      </w:pPr>
      <w:r>
        <w:rPr>
          <w:rFonts w:ascii="Arial" w:cs="Arial" w:eastAsia="Arial" w:hAnsi="Arial"/>
          <w:sz w:val="17"/>
          <w:szCs w:val="17"/>
          <w:color w:val="auto"/>
        </w:rPr>
        <w:t>On March 25, 2020, the Company announced that, during such period as it remained unable to reopen its spa locations for normal operations, it was advancing conversations with certain COVID-19 testing partners to develop a model for testing in U.S. airports. In connection therewith, on March 25, 2020, the Company issued a press release, which is attached as Exhibit 99.2 hereto and is incorporated herein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Current Report on Form 8-K (the “Form 8-K”) and the press release attached hereto include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 looking statements in this Form 8-K and the press release attached hereto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Securities and Exchange Commission ("SEC"), including the Company’s Annual Report on Form 10-K for the year ended December 31, 2018 filed with the SEC on April 1, 2019, as amended on April 30, 2019, and the Company’s Quarterly Report on Form 10-Q for the three months ended September 30, 2019, filed with the SEC on November 14, 2019. The Company expressly disclaims any obligation to publicly update any forward-looking statements contained herein, whether as a result of new information, future events or otherwise, except as required by law.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80" w:hanging="67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rFonts w:ascii="Arial" w:cs="Arial" w:eastAsia="Arial" w:hAnsi="Arial"/>
                <w:sz w:val="18"/>
                <w:szCs w:val="18"/>
                <w:color w:val="0000FF"/>
                <w:w w:val="87"/>
              </w:rPr>
            </w:pPr>
            <w:hyperlink r:id="rId14">
              <w:r>
                <w:rPr>
                  <w:rFonts w:ascii="Arial" w:cs="Arial" w:eastAsia="Arial" w:hAnsi="Arial"/>
                  <w:sz w:val="18"/>
                  <w:szCs w:val="18"/>
                  <w:color w:val="0000FF"/>
                  <w:w w:val="87"/>
                </w:rPr>
                <w:t>1.</w:t>
              </w:r>
              <w:r>
                <w:rPr>
                  <w:rFonts w:ascii="Arial" w:cs="Arial" w:eastAsia="Arial" w:hAnsi="Arial"/>
                  <w:sz w:val="18"/>
                  <w:szCs w:val="18"/>
                  <w:u w:val="single" w:color="auto"/>
                  <w:color w:val="0000FF"/>
                  <w:w w:val="87"/>
                </w:rPr>
                <w:t>1</w:t>
              </w:r>
            </w:hyperlink>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320" w:type="dxa"/>
            <w:vAlign w:val="bottom"/>
            <w:gridSpan w:val="8"/>
          </w:tcPr>
          <w:p>
            <w:pPr>
              <w:spacing w:after="0"/>
              <w:rPr>
                <w:rFonts w:ascii="Arial" w:cs="Arial" w:eastAsia="Arial" w:hAnsi="Arial"/>
                <w:sz w:val="18"/>
                <w:szCs w:val="18"/>
                <w:color w:val="0000FF"/>
                <w:w w:val="93"/>
              </w:rPr>
            </w:pPr>
            <w:hyperlink r:id="rId14">
              <w:r>
                <w:rPr>
                  <w:rFonts w:ascii="Arial" w:cs="Arial" w:eastAsia="Arial" w:hAnsi="Arial"/>
                  <w:sz w:val="18"/>
                  <w:szCs w:val="18"/>
                  <w:color w:val="0000FF"/>
                  <w:w w:val="93"/>
                </w:rPr>
                <w:t>Letter Agreement, dated March 19, 2020, by and between the Company and Palladium Capital Advisors, LLC (incorporated by reference to</w:t>
              </w:r>
            </w:hyperlink>
          </w:p>
        </w:tc>
      </w:tr>
      <w:tr>
        <w:trPr>
          <w:trHeight w:val="196"/>
        </w:trPr>
        <w:tc>
          <w:tcPr>
            <w:tcW w:w="2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32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Exhibit 1.1 to a Current Report on Form 8-K filed on March 19, 2020).</w:t>
              </w:r>
            </w:hyperlink>
          </w:p>
        </w:tc>
      </w:tr>
      <w:tr>
        <w:trPr>
          <w:trHeight w:val="412"/>
        </w:trPr>
        <w:tc>
          <w:tcPr>
            <w:tcW w:w="260" w:type="dxa"/>
            <w:vAlign w:val="bottom"/>
          </w:tcPr>
          <w:p>
            <w:pPr>
              <w:spacing w:after="0"/>
              <w:rPr>
                <w:rFonts w:ascii="Arial" w:cs="Arial" w:eastAsia="Arial" w:hAnsi="Arial"/>
                <w:sz w:val="18"/>
                <w:szCs w:val="18"/>
                <w:color w:val="0000FF"/>
                <w:w w:val="87"/>
              </w:rPr>
            </w:pPr>
            <w:hyperlink w:anchor="page5">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100" w:type="dxa"/>
            <w:vAlign w:val="bottom"/>
            <w:tcBorders>
              <w:top w:val="single" w:sz="8" w:color="0000FF"/>
            </w:tcBorders>
            <w:gridSpan w:val="5"/>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Form of Pre-Funded Warrant.</w:t>
              </w:r>
            </w:hyperlink>
          </w:p>
        </w:tc>
        <w:tc>
          <w:tcPr>
            <w:tcW w:w="5220" w:type="dxa"/>
            <w:vAlign w:val="bottom"/>
            <w:gridSpan w:val="3"/>
          </w:tcPr>
          <w:p>
            <w:pPr>
              <w:spacing w:after="0"/>
              <w:rPr>
                <w:sz w:val="24"/>
                <w:szCs w:val="24"/>
                <w:color w:val="auto"/>
              </w:rPr>
            </w:pPr>
          </w:p>
        </w:tc>
      </w:tr>
      <w:tr>
        <w:trPr>
          <w:trHeight w:val="20"/>
        </w:trPr>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12"/>
        </w:trPr>
        <w:tc>
          <w:tcPr>
            <w:tcW w:w="260" w:type="dxa"/>
            <w:vAlign w:val="bottom"/>
            <w:tcBorders>
              <w:bottom w:val="single" w:sz="8" w:color="0000FF"/>
            </w:tcBorders>
          </w:tcPr>
          <w:p>
            <w:pPr>
              <w:spacing w:after="0"/>
              <w:rPr>
                <w:rFonts w:ascii="Arial" w:cs="Arial" w:eastAsia="Arial" w:hAnsi="Arial"/>
                <w:sz w:val="18"/>
                <w:szCs w:val="18"/>
                <w:color w:val="0000FF"/>
                <w:w w:val="87"/>
              </w:rPr>
            </w:pPr>
            <w:hyperlink w:anchor="page21">
              <w:r>
                <w:rPr>
                  <w:rFonts w:ascii="Arial" w:cs="Arial" w:eastAsia="Arial" w:hAnsi="Arial"/>
                  <w:sz w:val="18"/>
                  <w:szCs w:val="18"/>
                  <w:color w:val="0000FF"/>
                  <w:w w:val="87"/>
                </w:rPr>
                <w:t>5.</w:t>
              </w:r>
              <w:r>
                <w:rPr>
                  <w:rFonts w:ascii="Arial" w:cs="Arial" w:eastAsia="Arial" w:hAnsi="Arial"/>
                  <w:sz w:val="18"/>
                  <w:szCs w:val="18"/>
                  <w:u w:val="single" w:color="auto"/>
                  <w:color w:val="0000FF"/>
                  <w:w w:val="87"/>
                </w:rPr>
                <w:t>1</w:t>
              </w:r>
            </w:hyperlink>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52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21">
              <w:r>
                <w:rPr>
                  <w:rFonts w:ascii="Arial" w:cs="Arial" w:eastAsia="Arial" w:hAnsi="Arial"/>
                  <w:sz w:val="18"/>
                  <w:szCs w:val="18"/>
                  <w:color w:val="0000FF"/>
                  <w:w w:val="92"/>
                </w:rPr>
                <w:t xml:space="preserve">Opinion of </w:t>
              </w:r>
              <w:r>
                <w:rPr>
                  <w:rFonts w:ascii="Arial" w:cs="Arial" w:eastAsia="Arial" w:hAnsi="Arial"/>
                  <w:sz w:val="18"/>
                  <w:szCs w:val="18"/>
                  <w:color w:val="0000FF"/>
                  <w:highlight w:val="white"/>
                  <w:w w:val="92"/>
                </w:rPr>
                <w:t>Mintz, Levin, Cohn, Ferris, Glovsky &amp; Popeo, P.C.</w:t>
              </w:r>
            </w:hyperlink>
          </w:p>
        </w:tc>
        <w:tc>
          <w:tcPr>
            <w:tcW w:w="5800" w:type="dxa"/>
            <w:vAlign w:val="bottom"/>
            <w:gridSpan w:val="5"/>
          </w:tcPr>
          <w:p>
            <w:pPr>
              <w:spacing w:after="0"/>
              <w:rPr>
                <w:sz w:val="24"/>
                <w:szCs w:val="24"/>
                <w:color w:val="auto"/>
              </w:rPr>
            </w:pPr>
          </w:p>
        </w:tc>
      </w:tr>
      <w:tr>
        <w:trPr>
          <w:trHeight w:val="412"/>
        </w:trPr>
        <w:tc>
          <w:tcPr>
            <w:tcW w:w="320" w:type="dxa"/>
            <w:vAlign w:val="bottom"/>
            <w:gridSpan w:val="2"/>
          </w:tcPr>
          <w:p>
            <w:pPr>
              <w:spacing w:after="0"/>
              <w:rPr>
                <w:rFonts w:ascii="Arial" w:cs="Arial" w:eastAsia="Arial" w:hAnsi="Arial"/>
                <w:sz w:val="18"/>
                <w:szCs w:val="18"/>
                <w:color w:val="0000FF"/>
                <w:w w:val="85"/>
              </w:rPr>
            </w:pPr>
            <w:hyperlink w:anchor="page23">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600" w:type="dxa"/>
            <w:vAlign w:val="bottom"/>
          </w:tcPr>
          <w:p>
            <w:pPr>
              <w:spacing w:after="0"/>
              <w:rPr>
                <w:sz w:val="24"/>
                <w:szCs w:val="24"/>
                <w:color w:val="auto"/>
              </w:rPr>
            </w:pPr>
          </w:p>
        </w:tc>
        <w:tc>
          <w:tcPr>
            <w:tcW w:w="10320" w:type="dxa"/>
            <w:vAlign w:val="bottom"/>
            <w:gridSpan w:val="8"/>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Securities Purchase Agreement, dated March 25, 2020, by and between the Company and the purchasers party thereto.</w:t>
              </w:r>
            </w:hyperlink>
          </w:p>
        </w:tc>
      </w:tr>
      <w:tr>
        <w:trPr>
          <w:trHeight w:val="412"/>
        </w:trPr>
        <w:tc>
          <w:tcPr>
            <w:tcW w:w="320" w:type="dxa"/>
            <w:vAlign w:val="bottom"/>
            <w:tcBorders>
              <w:top w:val="single" w:sz="8" w:color="0000FF"/>
            </w:tcBorders>
            <w:gridSpan w:val="2"/>
          </w:tcPr>
          <w:p>
            <w:pPr>
              <w:spacing w:after="0"/>
              <w:rPr>
                <w:rFonts w:ascii="Arial" w:cs="Arial" w:eastAsia="Arial" w:hAnsi="Arial"/>
                <w:sz w:val="18"/>
                <w:szCs w:val="18"/>
                <w:color w:val="0000FF"/>
                <w:w w:val="85"/>
              </w:rPr>
            </w:pPr>
            <w:hyperlink w:anchor="page21">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hyperlink>
          </w:p>
        </w:tc>
        <w:tc>
          <w:tcPr>
            <w:tcW w:w="600" w:type="dxa"/>
            <w:vAlign w:val="bottom"/>
          </w:tcPr>
          <w:p>
            <w:pPr>
              <w:spacing w:after="0"/>
              <w:rPr>
                <w:sz w:val="24"/>
                <w:szCs w:val="24"/>
                <w:color w:val="auto"/>
              </w:rPr>
            </w:pPr>
          </w:p>
        </w:tc>
        <w:tc>
          <w:tcPr>
            <w:tcW w:w="8520" w:type="dxa"/>
            <w:vAlign w:val="bottom"/>
            <w:tcBorders>
              <w:top w:val="single" w:sz="8" w:color="0000FF"/>
            </w:tcBorders>
            <w:gridSpan w:val="7"/>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 xml:space="preserve">Consent of </w:t>
              </w:r>
              <w:r>
                <w:rPr>
                  <w:rFonts w:ascii="Arial" w:cs="Arial" w:eastAsia="Arial" w:hAnsi="Arial"/>
                  <w:sz w:val="18"/>
                  <w:szCs w:val="18"/>
                  <w:color w:val="0000FF"/>
                  <w:highlight w:val="white"/>
                </w:rPr>
                <w:t>Mintz, Levin, Cohn, Ferris, Glovsky &amp; Popeo, P.C. (included in Exhibit 5.1).</w:t>
              </w:r>
            </w:hyperlink>
          </w:p>
        </w:tc>
        <w:tc>
          <w:tcPr>
            <w:tcW w:w="1800" w:type="dxa"/>
            <w:vAlign w:val="bottom"/>
          </w:tcPr>
          <w:p>
            <w:pPr>
              <w:spacing w:after="0"/>
              <w:rPr>
                <w:sz w:val="24"/>
                <w:szCs w:val="24"/>
                <w:color w:val="auto"/>
              </w:rPr>
            </w:pPr>
          </w:p>
        </w:tc>
      </w:tr>
      <w:tr>
        <w:trPr>
          <w:trHeight w:val="412"/>
        </w:trPr>
        <w:tc>
          <w:tcPr>
            <w:tcW w:w="3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5"/>
              </w:rPr>
            </w:pPr>
            <w:hyperlink w:anchor="page6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600" w:type="dxa"/>
            <w:vAlign w:val="bottom"/>
          </w:tcPr>
          <w:p>
            <w:pPr>
              <w:spacing w:after="0"/>
              <w:rPr>
                <w:sz w:val="24"/>
                <w:szCs w:val="24"/>
                <w:color w:val="auto"/>
              </w:rPr>
            </w:pPr>
          </w:p>
        </w:tc>
        <w:tc>
          <w:tcPr>
            <w:tcW w:w="436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64">
              <w:r>
                <w:rPr>
                  <w:rFonts w:ascii="Arial" w:cs="Arial" w:eastAsia="Arial" w:hAnsi="Arial"/>
                  <w:sz w:val="18"/>
                  <w:szCs w:val="18"/>
                  <w:color w:val="0000FF"/>
                  <w:w w:val="89"/>
                </w:rPr>
                <w:t>Press Release regarding the Offering, dated March 25, 2020.</w:t>
              </w:r>
            </w:hyperlink>
          </w:p>
        </w:tc>
        <w:tc>
          <w:tcPr>
            <w:tcW w:w="2000" w:type="dxa"/>
            <w:vAlign w:val="bottom"/>
            <w:tcBorders>
              <w:top w:val="single" w:sz="8" w:color="0000FF"/>
            </w:tcBorders>
            <w:gridSpan w:val="4"/>
          </w:tcPr>
          <w:p>
            <w:pPr>
              <w:spacing w:after="0"/>
              <w:rPr>
                <w:sz w:val="24"/>
                <w:szCs w:val="24"/>
                <w:color w:val="auto"/>
              </w:rPr>
            </w:pPr>
          </w:p>
        </w:tc>
        <w:tc>
          <w:tcPr>
            <w:tcW w:w="3960" w:type="dxa"/>
            <w:vAlign w:val="bottom"/>
            <w:gridSpan w:val="2"/>
          </w:tcPr>
          <w:p>
            <w:pPr>
              <w:spacing w:after="0"/>
              <w:rPr>
                <w:sz w:val="24"/>
                <w:szCs w:val="24"/>
                <w:color w:val="auto"/>
              </w:rPr>
            </w:pPr>
          </w:p>
        </w:tc>
      </w:tr>
      <w:tr>
        <w:trPr>
          <w:trHeight w:val="412"/>
        </w:trPr>
        <w:tc>
          <w:tcPr>
            <w:tcW w:w="320" w:type="dxa"/>
            <w:vAlign w:val="bottom"/>
            <w:gridSpan w:val="2"/>
          </w:tcPr>
          <w:p>
            <w:pPr>
              <w:spacing w:after="0"/>
              <w:rPr>
                <w:rFonts w:ascii="Arial" w:cs="Arial" w:eastAsia="Arial" w:hAnsi="Arial"/>
                <w:sz w:val="18"/>
                <w:szCs w:val="18"/>
                <w:color w:val="0000FF"/>
                <w:w w:val="85"/>
              </w:rPr>
            </w:pPr>
            <w:hyperlink w:anchor="page65">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2</w:t>
              </w:r>
            </w:hyperlink>
          </w:p>
        </w:tc>
        <w:tc>
          <w:tcPr>
            <w:tcW w:w="600" w:type="dxa"/>
            <w:vAlign w:val="bottom"/>
          </w:tcPr>
          <w:p>
            <w:pPr>
              <w:spacing w:after="0"/>
              <w:rPr>
                <w:sz w:val="24"/>
                <w:szCs w:val="24"/>
                <w:color w:val="auto"/>
              </w:rPr>
            </w:pPr>
          </w:p>
        </w:tc>
        <w:tc>
          <w:tcPr>
            <w:tcW w:w="10320" w:type="dxa"/>
            <w:vAlign w:val="bottom"/>
            <w:gridSpan w:val="8"/>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Press Release regarding COVID-19 testing, dated March 25, 2020</w:t>
              </w:r>
            </w:hyperlink>
          </w:p>
        </w:tc>
      </w:tr>
      <w:tr>
        <w:trPr>
          <w:trHeight w:val="695"/>
        </w:trPr>
        <w:tc>
          <w:tcPr>
            <w:tcW w:w="260" w:type="dxa"/>
            <w:vAlign w:val="bottom"/>
            <w:tcBorders>
              <w:top w:val="single" w:sz="8" w:color="0000FF"/>
              <w:bottom w:val="single" w:sz="8" w:color="auto"/>
            </w:tcBorders>
          </w:tcPr>
          <w:p>
            <w:pPr>
              <w:spacing w:after="0"/>
              <w:rPr>
                <w:sz w:val="24"/>
                <w:szCs w:val="24"/>
                <w:color w:val="auto"/>
              </w:rPr>
            </w:pPr>
          </w:p>
        </w:tc>
        <w:tc>
          <w:tcPr>
            <w:tcW w:w="60" w:type="dxa"/>
            <w:vAlign w:val="bottom"/>
            <w:tcBorders>
              <w:top w:val="single" w:sz="8" w:color="0000FF"/>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120" w:type="dxa"/>
            <w:vAlign w:val="bottom"/>
            <w:tcBorders>
              <w:top w:val="single" w:sz="8" w:color="0000FF"/>
              <w:bottom w:val="single" w:sz="8" w:color="auto"/>
            </w:tcBorders>
          </w:tcPr>
          <w:p>
            <w:pPr>
              <w:spacing w:after="0"/>
              <w:rPr>
                <w:sz w:val="24"/>
                <w:szCs w:val="24"/>
                <w:color w:val="auto"/>
              </w:rPr>
            </w:pPr>
          </w:p>
        </w:tc>
        <w:tc>
          <w:tcPr>
            <w:tcW w:w="2240" w:type="dxa"/>
            <w:vAlign w:val="bottom"/>
            <w:tcBorders>
              <w:top w:val="single" w:sz="8" w:color="0000FF"/>
              <w:bottom w:val="single" w:sz="8" w:color="auto"/>
            </w:tcBorders>
          </w:tcPr>
          <w:p>
            <w:pPr>
              <w:spacing w:after="0"/>
              <w:rPr>
                <w:sz w:val="24"/>
                <w:szCs w:val="24"/>
                <w:color w:val="auto"/>
              </w:rPr>
            </w:pPr>
          </w:p>
        </w:tc>
        <w:tc>
          <w:tcPr>
            <w:tcW w:w="160" w:type="dxa"/>
            <w:vAlign w:val="bottom"/>
            <w:tcBorders>
              <w:top w:val="single" w:sz="8" w:color="0000FF"/>
              <w:bottom w:val="single" w:sz="8" w:color="auto"/>
            </w:tcBorders>
          </w:tcPr>
          <w:p>
            <w:pPr>
              <w:spacing w:after="0"/>
              <w:rPr>
                <w:sz w:val="24"/>
                <w:szCs w:val="24"/>
                <w:color w:val="auto"/>
              </w:rPr>
            </w:pPr>
          </w:p>
        </w:tc>
        <w:tc>
          <w:tcPr>
            <w:tcW w:w="240" w:type="dxa"/>
            <w:vAlign w:val="bottom"/>
            <w:tcBorders>
              <w:top w:val="single" w:sz="8" w:color="0000FF"/>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Dated: March 26, 2020</w:t>
            </w:r>
          </w:p>
        </w:tc>
        <w:tc>
          <w:tcPr>
            <w:tcW w:w="7580" w:type="dxa"/>
            <w:vAlign w:val="bottom"/>
            <w:gridSpan w:val="2"/>
          </w:tcPr>
          <w:p>
            <w:pPr>
              <w:ind w:left="1980"/>
              <w:spacing w:after="0"/>
              <w:rPr>
                <w:sz w:val="20"/>
                <w:szCs w:val="20"/>
                <w:color w:val="auto"/>
              </w:rPr>
            </w:pPr>
            <w:r>
              <w:rPr>
                <w:rFonts w:ascii="Arial" w:cs="Arial" w:eastAsia="Arial" w:hAnsi="Arial"/>
                <w:sz w:val="18"/>
                <w:szCs w:val="18"/>
                <w:color w:val="auto"/>
              </w:rPr>
              <w:t>By:   /s/ Douglas Satzman</w:t>
            </w:r>
          </w:p>
        </w:tc>
      </w:tr>
      <w:tr>
        <w:trPr>
          <w:trHeight w:val="195"/>
        </w:trPr>
        <w:tc>
          <w:tcPr>
            <w:tcW w:w="3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Satzman</w:t>
            </w:r>
          </w:p>
        </w:tc>
      </w:tr>
      <w:tr>
        <w:trPr>
          <w:trHeight w:val="230"/>
        </w:trPr>
        <w:tc>
          <w:tcPr>
            <w:tcW w:w="3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ind w:left="10240"/>
        <w:spacing w:after="0"/>
        <w:rPr>
          <w:sz w:val="20"/>
          <w:szCs w:val="20"/>
          <w:color w:val="auto"/>
        </w:rPr>
      </w:pPr>
      <w:r>
        <w:rPr>
          <w:rFonts w:ascii="Arial" w:cs="Arial" w:eastAsia="Arial" w:hAnsi="Arial"/>
          <w:sz w:val="19"/>
          <w:szCs w:val="19"/>
          <w:b w:val="1"/>
          <w:bCs w:val="1"/>
          <w:color w:val="auto"/>
        </w:rPr>
        <w:t>Exhibit 4.1</w:t>
      </w:r>
    </w:p>
    <w:p>
      <w:pPr>
        <w:spacing w:after="0" w:line="2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SELECTED BY THE HOLDER, IN A GENERALLY ACCEPTABLE FORM, THAT REGISTRATION IS NOT REQUIRED UNDER SAID ACT OR (II) UNLESS SOLD PURSUANT TO RULE 144 OR RULE 144A UNDER SAID ACT. NOTWITHSTANDING THE FOREGOING, THE SECURITIES MAY BE PLEDGED IN CONNECTION WITH A BONA FIDE MARGIN ACCOUNT OR OTHER LOAN OR FINANCING ARRANGEMENT SECURED BY THE SECURITIES.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ORM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RE</w:t>
      </w:r>
      <w:r>
        <w:rPr>
          <w:rFonts w:ascii="Arial" w:cs="Arial" w:eastAsia="Arial" w:hAnsi="Arial"/>
          <w:sz w:val="18"/>
          <w:szCs w:val="18"/>
          <w:b w:val="1"/>
          <w:bCs w:val="1"/>
          <w:color w:val="auto"/>
        </w:rPr>
        <w:t>-</w:t>
      </w:r>
      <w:r>
        <w:rPr>
          <w:rFonts w:ascii="Arial" w:cs="Arial" w:eastAsia="Arial" w:hAnsi="Arial"/>
          <w:sz w:val="12"/>
          <w:szCs w:val="12"/>
          <w:b w:val="1"/>
          <w:bCs w:val="1"/>
          <w:color w:val="auto"/>
        </w:rPr>
        <w:t>FUNDED</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Warrant No.: 2020-[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March [ ], 2020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0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XpresSpa Group,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 hereby acknowledged, ________________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the terms set forth below, to purchase from the Company, at the Exercise Price (as defined below) then in effect, at any time or times on or after the Issuance Date, and until the date on which this Warrant is exercised in full (the “</w:t>
      </w:r>
      <w:r>
        <w:rPr>
          <w:rFonts w:ascii="Arial" w:cs="Arial" w:eastAsia="Arial" w:hAnsi="Arial"/>
          <w:sz w:val="16"/>
          <w:szCs w:val="16"/>
          <w:b w:val="1"/>
          <w:bCs w:val="1"/>
          <w:color w:val="auto"/>
        </w:rPr>
        <w:t>Termination Date</w:t>
      </w:r>
      <w:r>
        <w:rPr>
          <w:rFonts w:ascii="Arial" w:cs="Arial" w:eastAsia="Arial" w:hAnsi="Arial"/>
          <w:sz w:val="16"/>
          <w:szCs w:val="16"/>
          <w:color w:val="auto"/>
        </w:rPr>
        <w:t>”), [ ] ([ ]) fully paid nonassessable shares of Common Stock, subject to adjustment as provided herein (the “</w:t>
      </w:r>
      <w:r>
        <w:rPr>
          <w:rFonts w:ascii="Arial" w:cs="Arial" w:eastAsia="Arial" w:hAnsi="Arial"/>
          <w:sz w:val="16"/>
          <w:szCs w:val="16"/>
          <w:b w:val="1"/>
          <w:bCs w:val="1"/>
          <w:color w:val="auto"/>
        </w:rPr>
        <w:t>Warrant Shares</w:t>
      </w:r>
      <w:r>
        <w:rPr>
          <w:rFonts w:ascii="Arial" w:cs="Arial" w:eastAsia="Arial" w:hAnsi="Arial"/>
          <w:sz w:val="16"/>
          <w:szCs w:val="16"/>
          <w:color w:val="auto"/>
        </w:rPr>
        <w:t>”). Except as otherwise defined herein, capitalized terms in this Warrant to Purchase Common Stock (including any Warrants to Purchase Common Stock issued in exchange, transfer or replacement hereof, this “</w:t>
      </w:r>
      <w:r>
        <w:rPr>
          <w:rFonts w:ascii="Arial" w:cs="Arial" w:eastAsia="Arial" w:hAnsi="Arial"/>
          <w:sz w:val="16"/>
          <w:szCs w:val="16"/>
          <w:b w:val="1"/>
          <w:bCs w:val="1"/>
          <w:color w:val="auto"/>
        </w:rPr>
        <w:t>Warrant</w:t>
      </w:r>
      <w:r>
        <w:rPr>
          <w:rFonts w:ascii="Arial" w:cs="Arial" w:eastAsia="Arial" w:hAnsi="Arial"/>
          <w:sz w:val="16"/>
          <w:szCs w:val="16"/>
          <w:color w:val="auto"/>
        </w:rPr>
        <w:t>”) shall have the meanings set forth in the Purchase Agreement (as defined below). This Warrant is the Warrant to purchase Common Stock issued pursuant to that certain Securities Purchase Agreement, dated as of March 25, 2020 (“</w:t>
      </w:r>
      <w:r>
        <w:rPr>
          <w:rFonts w:ascii="Arial" w:cs="Arial" w:eastAsia="Arial" w:hAnsi="Arial"/>
          <w:sz w:val="16"/>
          <w:szCs w:val="16"/>
          <w:b w:val="1"/>
          <w:bCs w:val="1"/>
          <w:color w:val="auto"/>
        </w:rPr>
        <w:t>Purchase Agreement</w:t>
      </w:r>
      <w:r>
        <w:rPr>
          <w:rFonts w:ascii="Arial" w:cs="Arial" w:eastAsia="Arial" w:hAnsi="Arial"/>
          <w:sz w:val="16"/>
          <w:szCs w:val="16"/>
          <w:color w:val="auto"/>
        </w:rPr>
        <w:t>”) by and between the Company and the purchasers party thereto.</w:t>
      </w:r>
    </w:p>
    <w:p>
      <w:pPr>
        <w:spacing w:after="0" w:line="164" w:lineRule="exact"/>
        <w:rPr>
          <w:sz w:val="20"/>
          <w:szCs w:val="20"/>
          <w:color w:val="auto"/>
        </w:rPr>
      </w:pPr>
    </w:p>
    <w:p>
      <w:pPr>
        <w:ind w:left="1760" w:hanging="456"/>
        <w:spacing w:after="0"/>
        <w:tabs>
          <w:tab w:leader="none" w:pos="17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p>
    <w:p>
      <w:pPr>
        <w:spacing w:after="0" w:line="225" w:lineRule="exact"/>
        <w:rPr>
          <w:rFonts w:ascii="Arial" w:cs="Arial" w:eastAsia="Arial" w:hAnsi="Arial"/>
          <w:sz w:val="18"/>
          <w:szCs w:val="18"/>
          <w:color w:val="auto"/>
        </w:rPr>
      </w:pPr>
    </w:p>
    <w:p>
      <w:pPr>
        <w:jc w:val="both"/>
        <w:ind w:firstLine="1952"/>
        <w:spacing w:after="0" w:line="284" w:lineRule="auto"/>
        <w:tabs>
          <w:tab w:leader="none" w:pos="2472"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1(f)), this Warrant may be exercised by the Holder at any time or times on or after the Issuance Date and prior to the Termination Date, in whole or in part, by (i) delivery of a written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and (ii) (A) payment to the Company of an amount equal to the applicable Exercise Price multiplied by the number of Warrant Shares as to which this Warrant is being exercised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in cash by wire transfer of immediately available funds or (B) if the provisions of Section 1(d) are applicable, by notifying the Company that this Warrant is being exercised pursuant to a Cashless Exercise (as defined in Section 1(d)). The Holder shall not be required to deliver the original Warrant in order to effect an exercise hereunder. Execution and delivery of the Exercise Notice with respect to less than all of the Warrant Shares shall have the same effect as cancellation of the original Warrant and issuance of a new Warrant evidencing the right to</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purchase the remaining number of Warrant Shares. On or before the first (1</w:t>
      </w:r>
      <w:r>
        <w:rPr>
          <w:rFonts w:ascii="Arial" w:cs="Arial" w:eastAsia="Arial" w:hAnsi="Arial"/>
          <w:sz w:val="26"/>
          <w:szCs w:val="26"/>
          <w:color w:val="auto"/>
          <w:vertAlign w:val="superscript"/>
        </w:rPr>
        <w:t>st</w:t>
      </w:r>
      <w:r>
        <w:rPr>
          <w:rFonts w:ascii="Arial" w:cs="Arial" w:eastAsia="Arial" w:hAnsi="Arial"/>
          <w:sz w:val="16"/>
          <w:szCs w:val="16"/>
          <w:color w:val="auto"/>
        </w:rPr>
        <w:t>) Trading Day following the date on which the Company has received the Exercise Notice, the Company shall transmit by electronic mail an acknowledgment of confirmation of receipt of the Exercise Notice to the Holder. On or</w:t>
      </w:r>
    </w:p>
    <w:p>
      <w:pPr>
        <w:spacing w:after="0" w:line="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before the second (2</w:t>
      </w:r>
      <w:r>
        <w:rPr>
          <w:rFonts w:ascii="Arial" w:cs="Arial" w:eastAsia="Arial" w:hAnsi="Arial"/>
          <w:sz w:val="26"/>
          <w:szCs w:val="26"/>
          <w:color w:val="auto"/>
          <w:vertAlign w:val="superscript"/>
        </w:rPr>
        <w:t>nd</w:t>
      </w:r>
      <w:r>
        <w:rPr>
          <w:rFonts w:ascii="Arial" w:cs="Arial" w:eastAsia="Arial" w:hAnsi="Arial"/>
          <w:sz w:val="16"/>
          <w:szCs w:val="16"/>
          <w:color w:val="auto"/>
        </w:rPr>
        <w:t>) Trading Day following the date on which the Company has received the Exercise Notice, so long as the Holder delivers the Aggregate Exercise Price (or notice of a Cashless Exercise) on or prior to the second (2nd) Trading Day following the date on which the Company has received the Exercise Notice (the “</w:t>
      </w:r>
      <w:r>
        <w:rPr>
          <w:rFonts w:ascii="Arial" w:cs="Arial" w:eastAsia="Arial" w:hAnsi="Arial"/>
          <w:sz w:val="16"/>
          <w:szCs w:val="16"/>
          <w:b w:val="1"/>
          <w:bCs w:val="1"/>
          <w:color w:val="auto"/>
        </w:rPr>
        <w:t>Share Delivery Date</w:t>
      </w:r>
      <w:r>
        <w:rPr>
          <w:rFonts w:ascii="Arial" w:cs="Arial" w:eastAsia="Arial" w:hAnsi="Arial"/>
          <w:sz w:val="16"/>
          <w:szCs w:val="16"/>
          <w:color w:val="auto"/>
        </w:rPr>
        <w:t>”)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Arial" w:cs="Arial" w:eastAsia="Arial" w:hAnsi="Arial"/>
          <w:sz w:val="16"/>
          <w:szCs w:val="16"/>
          <w:b w:val="1"/>
          <w:bCs w:val="1"/>
          <w:color w:val="auto"/>
        </w:rPr>
        <w:t>Transfer Agent</w:t>
      </w:r>
      <w:r>
        <w:rPr>
          <w:rFonts w:ascii="Arial" w:cs="Arial" w:eastAsia="Arial" w:hAnsi="Arial"/>
          <w:sz w:val="16"/>
          <w:szCs w:val="16"/>
          <w:color w:val="auto"/>
        </w:rPr>
        <w: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the DTC Fast Automated Securities Transfer Program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(such date of delivery being the “</w:t>
      </w:r>
      <w:r>
        <w:rPr>
          <w:rFonts w:ascii="Arial" w:cs="Arial" w:eastAsia="Arial" w:hAnsi="Arial"/>
          <w:sz w:val="16"/>
          <w:szCs w:val="16"/>
          <w:b w:val="1"/>
          <w:bCs w:val="1"/>
          <w:color w:val="auto"/>
        </w:rPr>
        <w:t>Exercise Date</w:t>
      </w:r>
      <w:r>
        <w:rPr>
          <w:rFonts w:ascii="Arial" w:cs="Arial" w:eastAsia="Arial" w:hAnsi="Arial"/>
          <w:sz w:val="16"/>
          <w:szCs w:val="16"/>
          <w:color w:val="auto"/>
        </w:rPr>
        <w:t xml:space="preserv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practicable and in no event later than three (3) Trading Days after any exercise and at its own expense, issue a new Warrant (in accordance with Section 7(d)) representing the right to purchase the number of Warrant Shares issuable immediately prior to such exercise under this Warrant, less the number of Warrant Shares with respect to which this Warrant is exercised. No fractional Warrant Shares are to be issued upon the exercise of this Warrant, but rather the number of Warrant Shares to be issued shall be rounded up to the nearest whole number. The Company shall pay any and all taxes which may be payable with respect to the issuance and delivery of Warrant Shares upon exercise of this Warrant; </w:t>
      </w:r>
      <w:r>
        <w:rPr>
          <w:rFonts w:ascii="Arial" w:cs="Arial" w:eastAsia="Arial" w:hAnsi="Arial"/>
          <w:sz w:val="16"/>
          <w:szCs w:val="16"/>
          <w:u w:val="single" w:color="auto"/>
          <w:color w:val="2F2F2F"/>
        </w:rPr>
        <w:t>pr</w:t>
      </w:r>
      <w:r>
        <w:rPr>
          <w:rFonts w:ascii="Arial" w:cs="Arial" w:eastAsia="Arial" w:hAnsi="Arial"/>
          <w:sz w:val="16"/>
          <w:szCs w:val="16"/>
          <w:u w:val="single" w:color="auto"/>
          <w:color w:val="auto"/>
        </w:rPr>
        <w:t>ovided</w:t>
      </w:r>
      <w:r>
        <w:rPr>
          <w:rFonts w:ascii="Arial" w:cs="Arial" w:eastAsia="Arial" w:hAnsi="Arial"/>
          <w:sz w:val="16"/>
          <w:szCs w:val="16"/>
          <w:color w:val="auto"/>
        </w:rPr>
        <w:t xml:space="preserve">, that the Company shall not be required to pay any tax or governmental charge that may be imposed with respect to any applicable withholding or the issuance or delivery of the Warrant Shares to any Person other than the Holder, and no such issuance or delivery shall be made unless and until such Person other than the Holder requesting such issuance has paid to the Company the amount of any such tax, or has established to the satisfaction of the Company that such tax has been paid.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w:t>
      </w:r>
      <w:r>
        <w:rPr>
          <w:rFonts w:ascii="Arial" w:cs="Arial" w:eastAsia="Arial" w:hAnsi="Arial"/>
          <w:sz w:val="16"/>
          <w:szCs w:val="16"/>
          <w:b w:val="1"/>
          <w:bCs w:val="1"/>
          <w:color w:val="auto"/>
        </w:rPr>
        <w:t>The Holder and any assignee, by acceptance of this Warrant, acknowledge</w:t>
      </w:r>
      <w:r>
        <w:rPr>
          <w:rFonts w:ascii="Arial" w:cs="Arial" w:eastAsia="Arial" w:hAnsi="Arial"/>
          <w:sz w:val="16"/>
          <w:szCs w:val="16"/>
          <w:color w:val="auto"/>
        </w:rPr>
        <w:t xml:space="preserve"> </w:t>
      </w:r>
      <w:r>
        <w:rPr>
          <w:rFonts w:ascii="Arial" w:cs="Arial" w:eastAsia="Arial" w:hAnsi="Arial"/>
          <w:sz w:val="16"/>
          <w:szCs w:val="16"/>
          <w:b w:val="1"/>
          <w:bCs w:val="1"/>
          <w:color w:val="auto"/>
        </w:rPr>
        <w:t>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606" w:gutter="0" w:footer="0" w:header="0"/>
        </w:sectPr>
      </w:pPr>
    </w:p>
    <w:bookmarkStart w:id="5" w:name="page6"/>
    <w:bookmarkEnd w:id="5"/>
    <w:p>
      <w:pPr>
        <w:ind w:left="2480" w:hanging="528"/>
        <w:spacing w:after="0"/>
        <w:tabs>
          <w:tab w:leader="none" w:pos="248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For purposes of this Warrant, “</w:t>
      </w:r>
      <w:r>
        <w:rPr>
          <w:rFonts w:ascii="Arial" w:cs="Arial" w:eastAsia="Arial" w:hAnsi="Arial"/>
          <w:sz w:val="16"/>
          <w:szCs w:val="16"/>
          <w:b w:val="1"/>
          <w:bCs w:val="1"/>
          <w:color w:val="auto"/>
        </w:rPr>
        <w:t>Exercise Price</w:t>
      </w:r>
      <w:r>
        <w:rPr>
          <w:rFonts w:ascii="Arial" w:cs="Arial" w:eastAsia="Arial" w:hAnsi="Arial"/>
          <w:sz w:val="16"/>
          <w:szCs w:val="16"/>
          <w:color w:val="auto"/>
        </w:rPr>
        <w:t>” means $0.01, subject to adjustment as provided herein.</w:t>
      </w:r>
    </w:p>
    <w:p>
      <w:pPr>
        <w:spacing w:after="0" w:line="252" w:lineRule="exact"/>
        <w:rPr>
          <w:rFonts w:ascii="Arial" w:cs="Arial" w:eastAsia="Arial" w:hAnsi="Arial"/>
          <w:sz w:val="16"/>
          <w:szCs w:val="16"/>
          <w:color w:val="auto"/>
        </w:rPr>
      </w:pPr>
    </w:p>
    <w:p>
      <w:pPr>
        <w:jc w:val="both"/>
        <w:ind w:firstLine="1952"/>
        <w:spacing w:after="0" w:line="283" w:lineRule="auto"/>
        <w:tabs>
          <w:tab w:leader="none" w:pos="2485"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(I) the Company shall fail for any reason or for no reason on or prior to the Share Delivery Date either (a) if the Transfer Agent is not participating in the DTC Fast Automated Securities Transfer Program and the Warrant Shares are eligible to be issued without a restrictive legend, to issue to the Holder a certificate without any restrictive legend for the number of shares of Common Stock to which the Holder is entitled and register such shares of Common Stock on the Company’s share register or (b) if the Transfer Agent is participating in the DTC Fast Automated Securities Transfer Program and the Warrant Shares are eligible to be issued without a restrictive legend, to credit the Holder’s balance account with DTC, for such number of shares of Common Stock to which the Holder is entitled upon the Holder’s exercise of this Warrant and the Warrant Shares are not eligible to be issued without a restrictive legend, to issue and dispatch by overnight courier to the address as specified in the Exercise Notice for delivery on or before the Share Delivery Date a certificate, registered in the Company’s share register in the name of the Holder or its designee, for the number of Warrant Shares to which the Holder is entitled pursuant to such exercise, (the event described in clause (I) above referred to herein as an “</w:t>
      </w:r>
      <w:r>
        <w:rPr>
          <w:rFonts w:ascii="Arial" w:cs="Arial" w:eastAsia="Arial" w:hAnsi="Arial"/>
          <w:sz w:val="16"/>
          <w:szCs w:val="16"/>
          <w:b w:val="1"/>
          <w:bCs w:val="1"/>
          <w:color w:val="auto"/>
        </w:rPr>
        <w:t>Exercise Failure</w:t>
      </w:r>
      <w:r>
        <w:rPr>
          <w:rFonts w:ascii="Arial" w:cs="Arial" w:eastAsia="Arial" w:hAnsi="Arial"/>
          <w:sz w:val="16"/>
          <w:szCs w:val="16"/>
          <w:color w:val="auto"/>
        </w:rPr>
        <w:t>”) occurs, then, in addition to all other remedies available to the Holder, (X) the Company shall pay in cash to the Holder on each day after the Share Delivery Date and during such Exercise Failure an amount equal to 1.0% of the product of (A) the number of shares of Common Stock not issued to the Holder on or prior to the Share Delivery Date and to which the Holder is entitled, and (B) the higher of (i) the then in effect Exercise Price of this Warrant or (ii) the closing price of the Common Stock on the date of the applicable Exercise Notice,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an Exercise Failure occurs, and if on or after the Share Delivery Date the Holder purchases (in an open market transaction or otherwise) shares of Common Stock to deliver in satisfaction of a sale through a broker by the Holder of shares of Common Stock issuable upon such exercise that the Holder anticipated receiving from the Company (a “</w:t>
      </w:r>
      <w:r>
        <w:rPr>
          <w:rFonts w:ascii="Arial" w:cs="Arial" w:eastAsia="Arial" w:hAnsi="Arial"/>
          <w:sz w:val="16"/>
          <w:szCs w:val="16"/>
          <w:b w:val="1"/>
          <w:bCs w:val="1"/>
          <w:color w:val="auto"/>
        </w:rPr>
        <w:t>Buy-In</w:t>
      </w:r>
      <w:r>
        <w:rPr>
          <w:rFonts w:ascii="Arial" w:cs="Arial" w:eastAsia="Arial" w:hAnsi="Arial"/>
          <w:sz w:val="16"/>
          <w:szCs w:val="16"/>
          <w:color w:val="auto"/>
        </w:rPr>
        <w:t>”), then the Company shall, within three (3) Trading Days after the Holder’s request and in the Holder’s discretion, either (i) pay cash to the Holder in an amount equal to the Holder’s total purchase price (including brokerage commissions and other reasonable out of pocket expenses related to the Buy-In, if any) for the shares of Common Stock so purchased (such number of shares not to exceed the number of Warrant Shares failed to be delivered)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deliver such certificate (and to issue such shares of Common Stock) or credit such Holder’s balance account with DTC for such shares of Common Stock shall terminate, or (ii) promptly honor its obligation to deliver to the Holder a certificate or certificates representing such shares of Common Stock or credit such Holder’s balance account with DTC, as applicable, and pay cash to the Holder in an amount equal to the excess (if any) of the Buy-In Price over the product of (A) such number of shares of Common Stock, times (B) the sale price of the Common Stock at which the sell order giving rise to such purchase obligation was executed.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1952"/>
        <w:spacing w:after="0" w:line="257" w:lineRule="auto"/>
        <w:tabs>
          <w:tab w:leader="none" w:pos="2469"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If at any time there is no effective registration statement registering, or no current prospectus available for, the resale of the Warrant Shares by the Holder, then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the number of Warrant Shares as is computed using the following formula:</w:t>
      </w:r>
    </w:p>
    <w:p>
      <w:pPr>
        <w:spacing w:after="0" w:line="18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X=Y(A-B)÷A</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 the number of Warrant Shares to be issued to the Holder.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Y = the total number of Warrant Shares for which the Holder has elected to exercise this Warrant pursuant to Section 1(a).</w:t>
      </w:r>
    </w:p>
    <w:p>
      <w:pPr>
        <w:spacing w:after="0" w:line="23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 the Closing Bid Price of the Company’s Common Stock as of the applicable Exercise Date.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 = the Exercise Price in effect under this Warrant as of the applicable Exercise Date.</w:t>
      </w:r>
    </w:p>
    <w:p>
      <w:pPr>
        <w:spacing w:after="0" w:line="225" w:lineRule="exact"/>
        <w:rPr>
          <w:sz w:val="20"/>
          <w:szCs w:val="20"/>
          <w:color w:val="auto"/>
        </w:rPr>
      </w:pPr>
    </w:p>
    <w:p>
      <w:pPr>
        <w:jc w:val="both"/>
        <w:ind w:firstLine="1952"/>
        <w:spacing w:after="0" w:line="263" w:lineRule="auto"/>
        <w:tabs>
          <w:tab w:leader="none" w:pos="245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In the case of a dispute as to the determination of the Exercise Price or the arithmetic calculation of the Warrant Shares, the Company shall promptly issue to the Holder the number of Warrant Shares that are not disputed and resolve such dispute in accordance with Section 12.</w:t>
      </w:r>
    </w:p>
    <w:p>
      <w:pPr>
        <w:spacing w:after="0" w:line="183" w:lineRule="exact"/>
        <w:rPr>
          <w:rFonts w:ascii="Arial" w:cs="Arial" w:eastAsia="Arial" w:hAnsi="Arial"/>
          <w:sz w:val="18"/>
          <w:szCs w:val="18"/>
          <w:color w:val="auto"/>
        </w:rPr>
      </w:pPr>
    </w:p>
    <w:p>
      <w:pPr>
        <w:jc w:val="both"/>
        <w:ind w:firstLine="1952"/>
        <w:spacing w:after="0" w:line="283" w:lineRule="auto"/>
        <w:tabs>
          <w:tab w:leader="none" w:pos="2519"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Arial" w:cs="Arial" w:eastAsia="Arial" w:hAnsi="Arial"/>
          <w:sz w:val="16"/>
          <w:szCs w:val="16"/>
          <w:b w:val="1"/>
          <w:bCs w:val="1"/>
          <w:color w:val="auto"/>
        </w:rPr>
        <w:t>1934 Act</w:t>
      </w:r>
      <w:r>
        <w:rPr>
          <w:rFonts w:ascii="Arial" w:cs="Arial" w:eastAsia="Arial" w:hAnsi="Arial"/>
          <w:sz w:val="16"/>
          <w:szCs w:val="16"/>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as the case may be, (y) a more recent public announcement by the Company or (3) any other written notice by the Company or the Transfer Agent setting forth the number of shares of Common Stock outstanding (the “</w:t>
      </w:r>
      <w:r>
        <w:rPr>
          <w:rFonts w:ascii="Arial" w:cs="Arial" w:eastAsia="Arial" w:hAnsi="Arial"/>
          <w:sz w:val="16"/>
          <w:szCs w:val="16"/>
          <w:b w:val="1"/>
          <w:bCs w:val="1"/>
          <w:color w:val="auto"/>
        </w:rPr>
        <w:t>Reported Outstanding Share Number</w:t>
      </w:r>
      <w:r>
        <w:rPr>
          <w:rFonts w:ascii="Arial" w:cs="Arial" w:eastAsia="Arial" w:hAnsi="Arial"/>
          <w:sz w:val="16"/>
          <w:szCs w:val="16"/>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Arial" w:cs="Arial" w:eastAsia="Arial" w:hAnsi="Arial"/>
          <w:sz w:val="16"/>
          <w:szCs w:val="16"/>
          <w:b w:val="1"/>
          <w:bCs w:val="1"/>
          <w:color w:val="auto"/>
        </w:rPr>
        <w:t>Reduction Shares</w:t>
      </w:r>
      <w:r>
        <w:rPr>
          <w:rFonts w:ascii="Arial" w:cs="Arial" w:eastAsia="Arial" w:hAnsi="Arial"/>
          <w:sz w:val="16"/>
          <w:szCs w:val="16"/>
          <w:color w:val="auto"/>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Arial" w:cs="Arial" w:eastAsia="Arial" w:hAnsi="Arial"/>
          <w:sz w:val="16"/>
          <w:szCs w:val="16"/>
          <w:b w:val="1"/>
          <w:bCs w:val="1"/>
          <w:color w:val="auto"/>
        </w:rPr>
        <w:t>Excess</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shall be deemed null and void and shall be cancelled ab initio, and the Holder shall not have the power to vote or to transfer the Excess Shares. As</w:t>
      </w:r>
      <w:r>
        <w:rPr>
          <w:rFonts w:ascii="Arial" w:cs="Arial" w:eastAsia="Arial" w:hAnsi="Arial"/>
          <w:sz w:val="16"/>
          <w:szCs w:val="16"/>
          <w:b w:val="1"/>
          <w:bCs w:val="1"/>
          <w:color w:val="auto"/>
        </w:rPr>
        <w:t xml:space="preserve"> </w:t>
      </w:r>
      <w:r>
        <w:rPr>
          <w:rFonts w:ascii="Arial" w:cs="Arial" w:eastAsia="Arial" w:hAnsi="Arial"/>
          <w:sz w:val="16"/>
          <w:szCs w:val="16"/>
          <w:color w:val="auto"/>
        </w:rPr>
        <w:t>soon as reasonably practicable after the issuance of the Excess Shares has been deemed null and void, the Company shall return to the Holder the exercise price paid by the Holder for the Excess Shares.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ind w:firstLine="1952"/>
        <w:spacing w:after="0" w:line="284" w:lineRule="auto"/>
        <w:tabs>
          <w:tab w:leader="none" w:pos="2604"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and the failure to have such sufficient number of authorized and unreserved shares of Common Stock,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promptly take all action necessary to increase the Company’s authorized shares of Common Stock to an amount sufficient to allow the Company to reserve the Required Reserve Amount for this Warrant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commercially reasonable efforts to solicit its stockholders’ approval of such increase in authorized shares of Common Stock and to cause its board of directors to recommend to the stockholders that they approve such proposal. Notwithstanding the foregoing, if any such time of an Authorized Share Failure, the Company is able to obtain the written consent of a majority of the shares of its issued and outstanding Common Stock to approve the increase in the number of authorized shares of Common Stock without soliciting its stockholders, the Company may satisfy this obligation by obtaining such consent and submitting for filing with the SEC an Information Statement on Schedule 14C. In the event that upon any exercise of this Warrant, the Company does not have sufficient authorized shares to deliver in satisfaction of such exercise, then unless the Holder elects to void such attempted exercise, the Holder may require the Company to pay to the Holder within three (3) Trading Days of the applicable exercise, cash in an amount equal to the product of (i) the quotient determined by dividing (x) the number of Warrant Shares that the Company is unable to deliver pursuant to this Section 1(g), by (y) the total number of Warrant Shares issuable upon exercise of this Warrant (without regard to any limitations or restrictions on exercise of this Warrant) and (ii) the Black Scholes Value; provided, that (x) references to “the day immediately following the public announcement of the applicable Fundamental Transaction” in the definition of “Black Scholes Value” shall instead refer to “the date the Holder exercises this Warrant and the Company cannot deliver the required number of Warrant Shares because of an Authorized Share Failure” and (y) clause (iii) of the definition of “Black Scholes Value” shall instead refer to “the underlying price per share used in such calculation shall be the highest Weighted Average Price during the period beginning on the date of the applicable date of exercise and the date that the Company makes the applicable cash payment.”</w:t>
      </w:r>
    </w:p>
    <w:p>
      <w:pPr>
        <w:spacing w:after="0" w:line="176" w:lineRule="exact"/>
        <w:rPr>
          <w:rFonts w:ascii="Arial" w:cs="Arial" w:eastAsia="Arial" w:hAnsi="Arial"/>
          <w:sz w:val="16"/>
          <w:szCs w:val="16"/>
          <w:color w:val="auto"/>
        </w:rPr>
      </w:pPr>
    </w:p>
    <w:p>
      <w:pPr>
        <w:ind w:firstLine="1304"/>
        <w:spacing w:after="0" w:line="277" w:lineRule="auto"/>
        <w:tabs>
          <w:tab w:leader="none" w:pos="1921"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the number of Warrant Shares shall be adjusted from time to time as follows:</w:t>
      </w:r>
    </w:p>
    <w:p>
      <w:pPr>
        <w:spacing w:after="0" w:line="170" w:lineRule="exact"/>
        <w:rPr>
          <w:rFonts w:ascii="Arial" w:cs="Arial" w:eastAsia="Arial" w:hAnsi="Arial"/>
          <w:sz w:val="18"/>
          <w:szCs w:val="18"/>
          <w:color w:val="auto"/>
        </w:rPr>
      </w:pPr>
    </w:p>
    <w:p>
      <w:pPr>
        <w:ind w:left="2460" w:hanging="508"/>
        <w:spacing w:after="0"/>
        <w:tabs>
          <w:tab w:leader="none" w:pos="246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72" w:lineRule="auto"/>
        <w:tabs>
          <w:tab w:leader="none" w:pos="2523" w:val="left"/>
        </w:tabs>
        <w:numPr>
          <w:ilvl w:val="1"/>
          <w:numId w:val="9"/>
        </w:numPr>
        <w:rPr>
          <w:rFonts w:ascii="Arial" w:cs="Arial" w:eastAsia="Arial" w:hAnsi="Arial"/>
          <w:sz w:val="17"/>
          <w:szCs w:val="17"/>
          <w:color w:val="auto"/>
        </w:rPr>
      </w:pPr>
      <w:r>
        <w:rPr>
          <w:rFonts w:ascii="Arial" w:cs="Arial" w:eastAsia="Arial" w:hAnsi="Arial"/>
          <w:sz w:val="17"/>
          <w:szCs w:val="17"/>
          <w:u w:val="single" w:color="auto"/>
          <w:color w:val="auto"/>
        </w:rPr>
        <w:t>Adjustment upon Subdivision or Combination of Shares of Common Stock</w:t>
      </w:r>
      <w:r>
        <w:rPr>
          <w:rFonts w:ascii="Arial" w:cs="Arial" w:eastAsia="Arial" w:hAnsi="Arial"/>
          <w:sz w:val="17"/>
          <w:szCs w:val="17"/>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Section 2(b) shall become effective at the close of business on the date the subdivision or combination becomes effective.</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ind w:firstLine="1304"/>
        <w:spacing w:after="0" w:line="287" w:lineRule="auto"/>
        <w:tabs>
          <w:tab w:leader="none" w:pos="184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RIGHTS UPON DISTRIBUTION OF ASSETS</w:t>
      </w:r>
      <w:r>
        <w:rPr>
          <w:rFonts w:ascii="Arial" w:cs="Arial" w:eastAsia="Arial" w:hAnsi="Arial"/>
          <w:sz w:val="16"/>
          <w:szCs w:val="16"/>
          <w:color w:val="auto"/>
        </w:rPr>
        <w:t>.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Arial" w:cs="Arial" w:eastAsia="Arial" w:hAnsi="Arial"/>
          <w:sz w:val="16"/>
          <w:szCs w:val="16"/>
          <w:b w:val="1"/>
          <w:bCs w:val="1"/>
          <w:color w:val="auto"/>
        </w:rPr>
        <w:t>Distribution</w:t>
      </w:r>
      <w:r>
        <w:rPr>
          <w:rFonts w:ascii="Arial" w:cs="Arial" w:eastAsia="Arial" w:hAnsi="Arial"/>
          <w:sz w:val="16"/>
          <w:szCs w:val="16"/>
          <w:color w:val="auto"/>
        </w:rPr>
        <w:t>”), at any time after the issuance of this Warrant, then, in each such case, the Holder shall be entitled, and the Company shall reserve the Holder’s pro rata share of the Distribution pending complete exercise of this Warrant,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w:t>
      </w:r>
    </w:p>
    <w:p>
      <w:pPr>
        <w:spacing w:after="0" w:line="167" w:lineRule="exact"/>
        <w:rPr>
          <w:rFonts w:ascii="Arial" w:cs="Arial" w:eastAsia="Arial" w:hAnsi="Arial"/>
          <w:sz w:val="16"/>
          <w:szCs w:val="16"/>
          <w:color w:val="auto"/>
        </w:rPr>
      </w:pPr>
    </w:p>
    <w:p>
      <w:pPr>
        <w:ind w:left="1760" w:hanging="456"/>
        <w:spacing w:after="0"/>
        <w:tabs>
          <w:tab w:leader="none" w:pos="17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87" w:lineRule="auto"/>
        <w:tabs>
          <w:tab w:leader="none" w:pos="2458"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In addition to any adjustments pursuant to Section 2 above, if at any time the Company grants, issues or sells any Options, Convertible Securities or rights to purchase stock, warrants, securities or other property pro rata to all of the record holders of any class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then the Holder will be entitled, and the Company shall reserve the Holder’s pro rata share of the Purchase Rights pending complete exercise of this Warrant,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shares of Common Stock as a result of such Purchase Right (and beneficial ownership) to such extent).</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firstLine="1952"/>
        <w:spacing w:after="0" w:line="287" w:lineRule="auto"/>
        <w:tabs>
          <w:tab w:leader="none" w:pos="2469"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w:t>
      </w:r>
    </w:p>
    <w:p>
      <w:pPr>
        <w:spacing w:after="0" w:line="2" w:lineRule="exact"/>
        <w:rPr>
          <w:rFonts w:ascii="Arial" w:cs="Arial" w:eastAsia="Arial" w:hAnsi="Arial"/>
          <w:sz w:val="16"/>
          <w:szCs w:val="16"/>
          <w:color w:val="auto"/>
        </w:rPr>
      </w:pPr>
    </w:p>
    <w:p>
      <w:pPr>
        <w:jc w:val="both"/>
        <w:ind w:firstLine="8"/>
        <w:spacing w:after="0" w:line="282" w:lineRule="auto"/>
        <w:tabs>
          <w:tab w:leader="none" w:pos="334"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b w:val="1"/>
          <w:bCs w:val="1"/>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b w:val="1"/>
          <w:bCs w:val="1"/>
          <w:color w:val="auto"/>
        </w:rPr>
        <w:t>Alternate Consideration</w:t>
      </w:r>
      <w:r>
        <w:rPr>
          <w:rFonts w:ascii="Arial" w:cs="Arial" w:eastAsia="Arial" w:hAnsi="Arial"/>
          <w:sz w:val="16"/>
          <w:szCs w:val="16"/>
          <w:color w:val="auto"/>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purchase this Warrant from the Holder by paying to the Holder an amount of cash equal to the Black Scholes Value of the remaining unexercised portion of this Warrant on the date of the consummation of such Fundamental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until the first anniversary of the Issuance Date, the Black Scholes Value of the remaining unexercised portion of this Warrant on the date of the consummation of such Fundamental Transaction shall be capped at the initial Exercise Price of this Warrant;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if the Fundamental Transaction is not within the Company’s control, including not approved by the Company’s Board of Directors or the consideration is not in all stock of the Successor Entity, Holder shall have the option to require the Company or any Successor Entity to purchase its Warrant for the Black Scholes Value of the unexercised portion of this Warrant as of the date of consummation of such Fundamental Transaction using the same type or form of consideration (and in the same proportion)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The Company shall cause any successor entity in a Fundamental Transaction in which the Company is not the survivor (the “</w:t>
      </w:r>
      <w:r>
        <w:rPr>
          <w:rFonts w:ascii="Arial" w:cs="Arial" w:eastAsia="Arial" w:hAnsi="Arial"/>
          <w:sz w:val="16"/>
          <w:szCs w:val="16"/>
          <w:b w:val="1"/>
          <w:bCs w:val="1"/>
          <w:color w:val="auto"/>
        </w:rPr>
        <w:t>Successor Entity</w:t>
      </w:r>
      <w:r>
        <w:rPr>
          <w:rFonts w:ascii="Arial" w:cs="Arial" w:eastAsia="Arial" w:hAnsi="Arial"/>
          <w:sz w:val="16"/>
          <w:szCs w:val="16"/>
          <w:color w:val="auto"/>
        </w:rPr>
        <w:t>”) to assume in writing all of the obligations of the Company under this Warrant and the Purchase Agreement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Purchase Agreement referring to the “Company” shall refer instead to the Successor Entity), and may exercise every right and power of the Company and shall assume all of the obligations of the Company under this Warrant and the Purchase Agreement with the same effect as if such Successor Entity had been named as the Company herein.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ind w:firstLine="1304"/>
        <w:spacing w:after="0" w:line="269" w:lineRule="auto"/>
        <w:tabs>
          <w:tab w:leader="none" w:pos="1759"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NONCIRCUMVENTION</w:t>
      </w:r>
      <w:r>
        <w:rPr>
          <w:rFonts w:ascii="Arial" w:cs="Arial" w:eastAsia="Arial" w:hAnsi="Arial"/>
          <w:sz w:val="17"/>
          <w:szCs w:val="17"/>
          <w:color w:val="auto"/>
        </w:rPr>
        <w:t>. The Company hereby covenants and agrees that the Company will not, by amendment of its Certificate of Incorporation or Bylaws, or through any reorganization, transfer of assets, consolidation, merger, scheme of arrangement, dissolution, issue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w:t>
      </w:r>
    </w:p>
    <w:p>
      <w:pPr>
        <w:spacing w:after="0" w:line="185" w:lineRule="exact"/>
        <w:rPr>
          <w:rFonts w:ascii="Arial" w:cs="Arial" w:eastAsia="Arial" w:hAnsi="Arial"/>
          <w:sz w:val="17"/>
          <w:szCs w:val="17"/>
          <w:color w:val="auto"/>
        </w:rPr>
      </w:pPr>
    </w:p>
    <w:p>
      <w:pPr>
        <w:jc w:val="both"/>
        <w:ind w:firstLine="1304"/>
        <w:spacing w:after="0" w:line="288" w:lineRule="auto"/>
        <w:tabs>
          <w:tab w:leader="none" w:pos="1786"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STOCKHOLDER</w:t>
      </w:r>
      <w:r>
        <w:rPr>
          <w:rFonts w:ascii="Arial" w:cs="Arial" w:eastAsia="Arial" w:hAnsi="Arial"/>
          <w:sz w:val="16"/>
          <w:szCs w:val="16"/>
          <w:color w:val="auto"/>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168" w:lineRule="exact"/>
        <w:rPr>
          <w:rFonts w:ascii="Arial" w:cs="Arial" w:eastAsia="Arial" w:hAnsi="Arial"/>
          <w:sz w:val="16"/>
          <w:szCs w:val="16"/>
          <w:color w:val="auto"/>
        </w:rPr>
      </w:pPr>
    </w:p>
    <w:p>
      <w:pPr>
        <w:ind w:left="1760" w:hanging="456"/>
        <w:spacing w:after="0"/>
        <w:tabs>
          <w:tab w:leader="none" w:pos="17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57" w:lineRule="auto"/>
        <w:tabs>
          <w:tab w:leader="none" w:pos="2647"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w:t>
      </w:r>
    </w:p>
    <w:p>
      <w:pPr>
        <w:spacing w:after="0" w:line="187" w:lineRule="exact"/>
        <w:rPr>
          <w:rFonts w:ascii="Arial" w:cs="Arial" w:eastAsia="Arial" w:hAnsi="Arial"/>
          <w:sz w:val="18"/>
          <w:szCs w:val="18"/>
          <w:color w:val="auto"/>
        </w:rPr>
      </w:pPr>
    </w:p>
    <w:p>
      <w:pPr>
        <w:jc w:val="both"/>
        <w:ind w:firstLine="1952"/>
        <w:spacing w:after="0" w:line="301" w:lineRule="auto"/>
        <w:tabs>
          <w:tab w:leader="none" w:pos="2496"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Lost, Stolen or Mutilated Warrant</w:t>
      </w:r>
      <w:r>
        <w:rPr>
          <w:rFonts w:ascii="Arial" w:cs="Arial" w:eastAsia="Arial" w:hAnsi="Arial"/>
          <w:sz w:val="16"/>
          <w:szCs w:val="16"/>
          <w:color w:val="auto"/>
        </w:rPr>
        <w:t>. Upon receipt by the Company of evidence reasonably satisfactory to the Company of the loss, theft, destruction or mutilation of this Warrant, and, in the case of loss, theft or destruction, of any indemnification undertaking by the Holder to the Company in customary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57" w:lineRule="exact"/>
        <w:rPr>
          <w:rFonts w:ascii="Arial" w:cs="Arial" w:eastAsia="Arial" w:hAnsi="Arial"/>
          <w:sz w:val="16"/>
          <w:szCs w:val="16"/>
          <w:color w:val="auto"/>
        </w:rPr>
      </w:pPr>
    </w:p>
    <w:p>
      <w:pPr>
        <w:jc w:val="both"/>
        <w:ind w:firstLine="1952"/>
        <w:spacing w:after="0" w:line="301" w:lineRule="auto"/>
        <w:tabs>
          <w:tab w:leader="none" w:pos="2607"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Exchangeable for Multiple Warrants</w:t>
      </w:r>
      <w:r>
        <w:rPr>
          <w:rFonts w:ascii="Arial" w:cs="Arial" w:eastAsia="Arial" w:hAnsi="Arial"/>
          <w:sz w:val="16"/>
          <w:szCs w:val="16"/>
          <w:color w:val="auto"/>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Warrant for fractional Warrant Shares shall be given.</w:t>
      </w:r>
    </w:p>
    <w:p>
      <w:pPr>
        <w:spacing w:after="0" w:line="157" w:lineRule="exact"/>
        <w:rPr>
          <w:rFonts w:ascii="Arial" w:cs="Arial" w:eastAsia="Arial" w:hAnsi="Arial"/>
          <w:sz w:val="16"/>
          <w:szCs w:val="16"/>
          <w:color w:val="auto"/>
        </w:rPr>
      </w:pPr>
    </w:p>
    <w:p>
      <w:pPr>
        <w:jc w:val="both"/>
        <w:ind w:firstLine="1952"/>
        <w:spacing w:after="0" w:line="293" w:lineRule="auto"/>
        <w:tabs>
          <w:tab w:leader="none" w:pos="2590"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Issuance of New Warrants</w:t>
      </w:r>
      <w:r>
        <w:rPr>
          <w:rFonts w:ascii="Arial" w:cs="Arial" w:eastAsia="Arial" w:hAnsi="Arial"/>
          <w:sz w:val="16"/>
          <w:szCs w:val="16"/>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ind w:firstLine="1304"/>
        <w:spacing w:after="0" w:line="272" w:lineRule="auto"/>
        <w:tabs>
          <w:tab w:leader="none" w:pos="1854"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Whenever notice is required to be given under this Warrant, unless otherwise provided herein, such notice shall be given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electronic mail, addressed as set forth below or to such other address as such party shall have specified most recently by written notice. Any notice or other communication required or permitted to be given hereunder shall be deemed effective (a) upon hand delivery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(b) on the second business day following the date of mailing by express courier service, fully prepaid, addressed to such address, or upon actual receipt of such mailing, or (c) on the date sent by e-mail of a PDF document (with confirmation of transmission) if sent during normal business hours of the recipient on a Business Day, and on the next Business Day if sent after normal business hours of the recipient on a non-Business Day, whichever shall first occur. The addresses for such communications shall be: (i) if to Borrower, to: XpresSpa Group, Inc., 254 West 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Street, 11th Floor, Attn: Douglas Satzman, CEO, email: notices@xpresspagroup.com, with a copy by</w:t>
      </w:r>
    </w:p>
    <w:p>
      <w:pPr>
        <w:spacing w:after="0" w:line="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email only to: Mintz, Levin, Cohn, Ferris, Glovsky and Popeo, P.C., Chrysler Center, 666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Avenue, New York, NY 10017, Attn: Kenneth R. Koch, Esq., email: krkoch@mintz.com, and (ii) if to the Holder, to the contact and at the address as set forth on signature pages hereto.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immediately upon any adjustment of the Exercise Price, setting forth in reasonable detail, and certifying, the calculation of such adjustment and (ii) at least five (5) 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to holders of shares of Common Stock or (C) for determining rights to vote with respect to any Fundamental Transaction, dissolution or liquidation;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each case that such information shall be made known to the public prior to or in conjunction with such notice being provided to the Holder.</w:t>
      </w:r>
    </w:p>
    <w:p>
      <w:pPr>
        <w:spacing w:after="0" w:line="178" w:lineRule="exact"/>
        <w:rPr>
          <w:sz w:val="20"/>
          <w:szCs w:val="20"/>
          <w:color w:val="auto"/>
        </w:rPr>
      </w:pPr>
    </w:p>
    <w:p>
      <w:pPr>
        <w:jc w:val="both"/>
        <w:ind w:firstLine="1304"/>
        <w:spacing w:after="0" w:line="259"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the Holder, and with respect to any amendment, the amendment is in writing and signed by the Company, except that the Holder may waive the Company’s performance hereunder or provide consent as to only the Holder.</w:t>
      </w:r>
    </w:p>
    <w:p>
      <w:pPr>
        <w:spacing w:after="0" w:line="186" w:lineRule="exact"/>
        <w:rPr>
          <w:rFonts w:ascii="Arial" w:cs="Arial" w:eastAsia="Arial" w:hAnsi="Arial"/>
          <w:sz w:val="18"/>
          <w:szCs w:val="18"/>
          <w:color w:val="auto"/>
        </w:rPr>
      </w:pPr>
    </w:p>
    <w:p>
      <w:pPr>
        <w:jc w:val="both"/>
        <w:ind w:firstLine="1304"/>
        <w:spacing w:after="0" w:line="283" w:lineRule="auto"/>
        <w:tabs>
          <w:tab w:leader="none" w:pos="2052"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hereby irrevocably waives personal service of process and consents to process being served in any such suit, action or proceeding by mailing a copy thereof to the Company at the address set forth in Section 8 hereto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 COMPANY HEREBY IRREVOCABLY WAIVES ANY RIGHT IT MAY HAVE, AND AGREES NOT TO REQUEST, A JURY</w:t>
      </w:r>
    </w:p>
    <w:p>
      <w:pPr>
        <w:spacing w:after="0" w:line="1" w:lineRule="exact"/>
        <w:rPr>
          <w:rFonts w:ascii="Arial" w:cs="Arial" w:eastAsia="Arial" w:hAnsi="Arial"/>
          <w:sz w:val="16"/>
          <w:szCs w:val="16"/>
          <w:color w:val="auto"/>
        </w:rPr>
      </w:pPr>
    </w:p>
    <w:p>
      <w:pPr>
        <w:ind w:right="20"/>
        <w:spacing w:after="0" w:line="260" w:lineRule="auto"/>
        <w:rPr>
          <w:rFonts w:ascii="Arial" w:cs="Arial" w:eastAsia="Arial" w:hAnsi="Arial"/>
          <w:sz w:val="16"/>
          <w:szCs w:val="16"/>
          <w:color w:val="auto"/>
        </w:rPr>
      </w:pPr>
      <w:r>
        <w:rPr>
          <w:rFonts w:ascii="Arial" w:cs="Arial" w:eastAsia="Arial" w:hAnsi="Arial"/>
          <w:sz w:val="18"/>
          <w:szCs w:val="18"/>
          <w:b w:val="1"/>
          <w:bCs w:val="1"/>
          <w:color w:val="auto"/>
        </w:rPr>
        <w:t>TRIAL FOR THE ADJUDICATION OF ANY DISPUTE HEREUNDER OR IN CONNECTION WITH OR ARISING OUT OF THIS WARRANT OR ANY TRANSACTION CONTEMPLATED HEREBY.</w:t>
      </w:r>
    </w:p>
    <w:p>
      <w:pPr>
        <w:spacing w:after="0" w:line="39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ind w:firstLine="1304"/>
        <w:spacing w:after="0" w:line="263" w:lineRule="auto"/>
        <w:tabs>
          <w:tab w:leader="none" w:pos="1897"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CONSTRUCTION; HEADINGS</w:t>
      </w:r>
      <w:r>
        <w:rPr>
          <w:rFonts w:ascii="Arial" w:cs="Arial" w:eastAsia="Arial" w:hAnsi="Arial"/>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w:t>
      </w:r>
    </w:p>
    <w:p>
      <w:pPr>
        <w:spacing w:after="0" w:line="183" w:lineRule="exact"/>
        <w:rPr>
          <w:rFonts w:ascii="Arial" w:cs="Arial" w:eastAsia="Arial" w:hAnsi="Arial"/>
          <w:sz w:val="18"/>
          <w:szCs w:val="18"/>
          <w:color w:val="auto"/>
        </w:rPr>
      </w:pPr>
    </w:p>
    <w:p>
      <w:pPr>
        <w:jc w:val="both"/>
        <w:ind w:firstLine="1304"/>
        <w:spacing w:after="0" w:line="269" w:lineRule="auto"/>
        <w:tabs>
          <w:tab w:leader="none" w:pos="1890"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case of a dispute as to the determination of the Exercise Price or the arithmetic calculation of the Warrant Shares, the Company shall submit the disputed determinations or arithmetic calculations via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electronic mail (a) the disputed determination of the Exercise Price to an independent, reputable investment bank selected by the Company and approved by the Holder or (b)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spacing w:after="0" w:line="185" w:lineRule="exact"/>
        <w:rPr>
          <w:rFonts w:ascii="Arial" w:cs="Arial" w:eastAsia="Arial" w:hAnsi="Arial"/>
          <w:sz w:val="17"/>
          <w:szCs w:val="17"/>
          <w:color w:val="auto"/>
        </w:rPr>
      </w:pPr>
    </w:p>
    <w:p>
      <w:pPr>
        <w:jc w:val="both"/>
        <w:ind w:firstLine="1304"/>
        <w:spacing w:after="0" w:line="272" w:lineRule="auto"/>
        <w:tabs>
          <w:tab w:leader="none" w:pos="1863"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REMEDIES,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Acknowledgement Agreement,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left="1960" w:hanging="656"/>
        <w:spacing w:after="0"/>
        <w:tabs>
          <w:tab w:leader="none" w:pos="196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This Warrant and the Warrant Shares may be offered for sale, sold, transferred, pledged or assigned without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consent of the Company.</w:t>
      </w:r>
    </w:p>
    <w:p>
      <w:pPr>
        <w:spacing w:after="0" w:line="210" w:lineRule="exact"/>
        <w:rPr>
          <w:rFonts w:ascii="Arial" w:cs="Arial" w:eastAsia="Arial" w:hAnsi="Arial"/>
          <w:sz w:val="16"/>
          <w:szCs w:val="16"/>
          <w:color w:val="auto"/>
        </w:rPr>
      </w:pPr>
    </w:p>
    <w:p>
      <w:pPr>
        <w:jc w:val="both"/>
        <w:ind w:firstLine="1304"/>
        <w:spacing w:after="0" w:line="271" w:lineRule="auto"/>
        <w:tabs>
          <w:tab w:leader="none" w:pos="1836"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jc w:val="both"/>
        <w:ind w:firstLine="1304"/>
        <w:spacing w:after="0" w:line="254" w:lineRule="auto"/>
        <w:tabs>
          <w:tab w:leader="none" w:pos="1876"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DISCLOSURE</w:t>
      </w:r>
      <w:r>
        <w:rPr>
          <w:rFonts w:ascii="Arial" w:cs="Arial" w:eastAsia="Arial" w:hAnsi="Arial"/>
          <w:sz w:val="18"/>
          <w:szCs w:val="18"/>
          <w:color w:val="auto"/>
        </w:rPr>
        <w:t>. Upon receipt or delivery by the Company of any notice in accordance with the terms of this Warrant, unless the Company has in good faith determined that the matters relating to such notice do not constitute material, nonpublic information relating to the Company or its Subsidiaries, the Company shall within four (4) Business Days after any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w:t>
      </w:r>
    </w:p>
    <w:p>
      <w:pPr>
        <w:spacing w:after="0" w:line="194" w:lineRule="exact"/>
        <w:rPr>
          <w:rFonts w:ascii="Arial" w:cs="Arial" w:eastAsia="Arial" w:hAnsi="Arial"/>
          <w:sz w:val="18"/>
          <w:szCs w:val="18"/>
          <w:color w:val="auto"/>
        </w:rPr>
      </w:pPr>
    </w:p>
    <w:p>
      <w:pPr>
        <w:ind w:right="20" w:firstLine="1304"/>
        <w:spacing w:after="0" w:line="342" w:lineRule="auto"/>
        <w:tabs>
          <w:tab w:leader="none" w:pos="1876"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LIMITATIONS OF RIGHTS</w:t>
      </w:r>
      <w:r>
        <w:rPr>
          <w:rFonts w:ascii="Arial" w:cs="Arial" w:eastAsia="Arial" w:hAnsi="Arial"/>
          <w:sz w:val="16"/>
          <w:szCs w:val="16"/>
          <w:color w:val="auto"/>
        </w:rPr>
        <w:t>. The rights granted to the Holder pursuant to Sections 2(a) and 4(b) of this Warrant are personal to the original Holders of this Warrant and shall automatically be cancelled and of no further effect upon any transfer of this Warrant by sale or otherwise.</w:t>
      </w:r>
    </w:p>
    <w:p>
      <w:pPr>
        <w:spacing w:after="0" w:line="123" w:lineRule="exact"/>
        <w:rPr>
          <w:rFonts w:ascii="Arial" w:cs="Arial" w:eastAsia="Arial" w:hAnsi="Arial"/>
          <w:sz w:val="16"/>
          <w:szCs w:val="16"/>
          <w:color w:val="auto"/>
        </w:rPr>
      </w:pPr>
    </w:p>
    <w:p>
      <w:pPr>
        <w:ind w:left="1840" w:hanging="536"/>
        <w:spacing w:after="0"/>
        <w:tabs>
          <w:tab w:leader="none" w:pos="18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left="2460" w:hanging="508"/>
        <w:spacing w:after="0"/>
        <w:tabs>
          <w:tab w:leader="none" w:pos="2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1933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firstLine="1952"/>
        <w:spacing w:after="0" w:line="282" w:lineRule="auto"/>
        <w:tabs>
          <w:tab w:leader="none" w:pos="24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1933 Act.</w:t>
      </w:r>
    </w:p>
    <w:p>
      <w:pPr>
        <w:spacing w:after="0" w:line="161" w:lineRule="exact"/>
        <w:rPr>
          <w:rFonts w:ascii="Arial" w:cs="Arial" w:eastAsia="Arial" w:hAnsi="Arial"/>
          <w:sz w:val="18"/>
          <w:szCs w:val="18"/>
          <w:color w:val="auto"/>
        </w:rPr>
      </w:pPr>
    </w:p>
    <w:p>
      <w:pPr>
        <w:jc w:val="both"/>
        <w:ind w:firstLine="1952"/>
        <w:spacing w:after="0" w:line="274" w:lineRule="auto"/>
        <w:tabs>
          <w:tab w:leader="none" w:pos="2486" w:val="left"/>
        </w:tabs>
        <w:numPr>
          <w:ilvl w:val="1"/>
          <w:numId w:val="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Attribution Parties</w:t>
      </w:r>
      <w:r>
        <w:rPr>
          <w:rFonts w:ascii="Arial" w:cs="Arial" w:eastAsia="Arial" w:hAnsi="Arial"/>
          <w:sz w:val="17"/>
          <w:szCs w:val="17"/>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firstLine="1952"/>
        <w:spacing w:after="0" w:line="271" w:lineRule="auto"/>
        <w:tabs>
          <w:tab w:leader="none" w:pos="2469" w:val="left"/>
        </w:tabs>
        <w:numPr>
          <w:ilvl w:val="0"/>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Value</w:t>
      </w:r>
      <w:r>
        <w:rPr>
          <w:rFonts w:ascii="Arial" w:cs="Arial" w:eastAsia="Arial" w:hAnsi="Arial"/>
          <w:sz w:val="17"/>
          <w:szCs w:val="17"/>
          <w:color w:val="auto"/>
        </w:rPr>
        <w:t>” means the value of this Warrant based on the Black-Scholes Option Pricing Model obtained from the “OV” function on Bloomberg determined as of the day immediately following the public announcement of the applicable Fundamental Transaction, or, if the Fundamental Transaction is not publicly announced, the date the Fundamental Transaction is consummated, for pricing purposes and reflecting (i) a risk-free interest rate corresponding to the U.S. Treasury rate for a period equal to the remaining term of this Warrant as of such date of request, (ii) an expected volatility equal to the greater of 100% and the 100 day volatility obtained from the HVT function on Bloomberg as of the day immediately following the public announcement of the applicable Fundamental Transaction, or, if the Fundamental Transaction is not publicly announced, the date the Fundamental Transaction is consummated, (iii) the underlying price per share used in such calculation shall be the sum of the price per share being offered in cash, if any, plus the value of any non-cash consideration, if any, being offered in the Fundamental Transaction, (iv) a zero cost of borrow and (v) a 360 day annualization factor.</w:t>
      </w:r>
    </w:p>
    <w:p>
      <w:pPr>
        <w:spacing w:after="0" w:line="173" w:lineRule="exact"/>
        <w:rPr>
          <w:rFonts w:ascii="Arial" w:cs="Arial" w:eastAsia="Arial" w:hAnsi="Arial"/>
          <w:sz w:val="17"/>
          <w:szCs w:val="17"/>
          <w:color w:val="auto"/>
        </w:rPr>
      </w:pPr>
    </w:p>
    <w:p>
      <w:pPr>
        <w:ind w:left="2460" w:hanging="508"/>
        <w:spacing w:after="0"/>
        <w:tabs>
          <w:tab w:leader="none" w:pos="2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Financial Markets.</w:t>
      </w:r>
    </w:p>
    <w:p>
      <w:pPr>
        <w:spacing w:after="0" w:line="225" w:lineRule="exact"/>
        <w:rPr>
          <w:rFonts w:ascii="Arial" w:cs="Arial" w:eastAsia="Arial" w:hAnsi="Arial"/>
          <w:sz w:val="18"/>
          <w:szCs w:val="18"/>
          <w:color w:val="auto"/>
        </w:rPr>
      </w:pPr>
    </w:p>
    <w:p>
      <w:pPr>
        <w:ind w:firstLine="1952"/>
        <w:spacing w:after="0" w:line="347" w:lineRule="auto"/>
        <w:tabs>
          <w:tab w:leader="none" w:pos="2466"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15" w:lineRule="exact"/>
        <w:rPr>
          <w:rFonts w:ascii="Arial" w:cs="Arial" w:eastAsia="Arial" w:hAnsi="Arial"/>
          <w:sz w:val="16"/>
          <w:szCs w:val="16"/>
          <w:color w:val="auto"/>
        </w:rPr>
      </w:pPr>
    </w:p>
    <w:p>
      <w:pPr>
        <w:jc w:val="both"/>
        <w:ind w:firstLine="1952"/>
        <w:spacing w:after="0" w:line="268" w:lineRule="auto"/>
        <w:tabs>
          <w:tab w:leader="none" w:pos="2496" w:val="left"/>
        </w:tabs>
        <w:numPr>
          <w:ilvl w:val="0"/>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Bid Price</w:t>
      </w:r>
      <w:r>
        <w:rPr>
          <w:rFonts w:ascii="Arial" w:cs="Arial" w:eastAsia="Arial" w:hAnsi="Arial"/>
          <w:sz w:val="17"/>
          <w:szCs w:val="17"/>
          <w:color w:val="auto"/>
        </w:rPr>
        <w:t>” and “</w:t>
      </w:r>
      <w:r>
        <w:rPr>
          <w:rFonts w:ascii="Arial" w:cs="Arial" w:eastAsia="Arial" w:hAnsi="Arial"/>
          <w:sz w:val="17"/>
          <w:szCs w:val="17"/>
          <w:b w:val="1"/>
          <w:bCs w:val="1"/>
          <w:color w:val="auto"/>
        </w:rPr>
        <w:t>Closing Sale Price</w:t>
      </w:r>
      <w:r>
        <w:rPr>
          <w:rFonts w:ascii="Arial" w:cs="Arial" w:eastAsia="Arial" w:hAnsi="Arial"/>
          <w:sz w:val="17"/>
          <w:szCs w:val="17"/>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firstLine="1952"/>
        <w:spacing w:after="0" w:line="312" w:lineRule="auto"/>
        <w:tabs>
          <w:tab w:leader="none" w:pos="259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(i) the Company’s shares of Common Stock, par value $0.01 per share, and (ii) any share capital into which such Common Stock shall have been changed or any share capital resulting from a reclassification of such Common Stock.</w:t>
      </w:r>
    </w:p>
    <w:p>
      <w:pPr>
        <w:spacing w:after="0" w:line="139" w:lineRule="exact"/>
        <w:rPr>
          <w:rFonts w:ascii="Arial" w:cs="Arial" w:eastAsia="Arial" w:hAnsi="Arial"/>
          <w:sz w:val="17"/>
          <w:szCs w:val="17"/>
          <w:color w:val="auto"/>
        </w:rPr>
      </w:pPr>
    </w:p>
    <w:p>
      <w:pPr>
        <w:jc w:val="both"/>
        <w:ind w:firstLine="1952"/>
        <w:spacing w:after="0" w:line="289" w:lineRule="auto"/>
        <w:tabs>
          <w:tab w:leader="none" w:pos="2483" w:val="left"/>
        </w:tabs>
        <w:numPr>
          <w:ilvl w:val="0"/>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 Equivalents</w:t>
      </w:r>
      <w:r>
        <w:rPr>
          <w:rFonts w:ascii="Arial" w:cs="Arial" w:eastAsia="Arial" w:hAnsi="Arial"/>
          <w:sz w:val="17"/>
          <w:szCs w:val="17"/>
          <w:color w:val="auto"/>
        </w:rPr>
        <w:t>” means any securities of the Company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57" w:lineRule="exact"/>
        <w:rPr>
          <w:rFonts w:ascii="Arial" w:cs="Arial" w:eastAsia="Arial" w:hAnsi="Arial"/>
          <w:sz w:val="17"/>
          <w:szCs w:val="17"/>
          <w:color w:val="auto"/>
        </w:rPr>
      </w:pPr>
    </w:p>
    <w:p>
      <w:pPr>
        <w:ind w:firstLine="1952"/>
        <w:spacing w:after="0" w:line="282" w:lineRule="auto"/>
        <w:tabs>
          <w:tab w:leader="none" w:pos="255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exercisable or exchangeable for shares of Common Stock.</w:t>
      </w:r>
    </w:p>
    <w:p>
      <w:pPr>
        <w:spacing w:after="0" w:line="161" w:lineRule="exact"/>
        <w:rPr>
          <w:rFonts w:ascii="Arial" w:cs="Arial" w:eastAsia="Arial" w:hAnsi="Arial"/>
          <w:sz w:val="18"/>
          <w:szCs w:val="18"/>
          <w:color w:val="auto"/>
        </w:rPr>
      </w:pPr>
    </w:p>
    <w:p>
      <w:pPr>
        <w:ind w:firstLine="1952"/>
        <w:spacing w:after="0" w:line="282" w:lineRule="auto"/>
        <w:tabs>
          <w:tab w:leader="none" w:pos="2523"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Principal Market, the NYSE American, The Nasdaq Capital Market, The Nasdaq Global Market, The Nasdaq Global Select Market, or The New York Stock Exchange, Inc.</w:t>
      </w:r>
    </w:p>
    <w:p>
      <w:pPr>
        <w:spacing w:after="0" w:line="161" w:lineRule="exact"/>
        <w:rPr>
          <w:rFonts w:ascii="Arial" w:cs="Arial" w:eastAsia="Arial" w:hAnsi="Arial"/>
          <w:sz w:val="18"/>
          <w:szCs w:val="18"/>
          <w:color w:val="auto"/>
        </w:rPr>
      </w:pPr>
    </w:p>
    <w:p>
      <w:pPr>
        <w:ind w:left="2440" w:hanging="488"/>
        <w:spacing w:after="0"/>
        <w:tabs>
          <w:tab w:leader="none" w:pos="2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means the date on which this Warrant is exercised in full.</w:t>
      </w:r>
    </w:p>
    <w:p>
      <w:pPr>
        <w:spacing w:after="0" w:line="225" w:lineRule="exact"/>
        <w:rPr>
          <w:rFonts w:ascii="Arial" w:cs="Arial" w:eastAsia="Arial" w:hAnsi="Arial"/>
          <w:sz w:val="18"/>
          <w:szCs w:val="18"/>
          <w:color w:val="auto"/>
        </w:rPr>
      </w:pPr>
    </w:p>
    <w:p>
      <w:pPr>
        <w:ind w:left="2520" w:hanging="568"/>
        <w:spacing w:after="0"/>
        <w:tabs>
          <w:tab w:leader="none" w:pos="2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Group</w:t>
      </w:r>
      <w:r>
        <w:rPr>
          <w:rFonts w:ascii="Arial" w:cs="Arial" w:eastAsia="Arial" w:hAnsi="Arial"/>
          <w:sz w:val="16"/>
          <w:szCs w:val="16"/>
          <w:color w:val="auto"/>
        </w:rPr>
        <w:t>” means a “group” as that term is used in Section 13(d) of the 1934 Act and as defined in Rule 13d-5 thereunder.</w:t>
      </w:r>
    </w:p>
    <w:p>
      <w:pPr>
        <w:spacing w:after="0" w:line="248" w:lineRule="exact"/>
        <w:rPr>
          <w:rFonts w:ascii="Arial" w:cs="Arial" w:eastAsia="Arial" w:hAnsi="Arial"/>
          <w:sz w:val="16"/>
          <w:szCs w:val="16"/>
          <w:color w:val="auto"/>
        </w:rPr>
      </w:pPr>
    </w:p>
    <w:p>
      <w:pPr>
        <w:ind w:left="2580" w:hanging="628"/>
        <w:spacing w:after="0"/>
        <w:tabs>
          <w:tab w:leader="none" w:pos="2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Options</w:t>
      </w:r>
      <w:r>
        <w:rPr>
          <w:rFonts w:ascii="Arial" w:cs="Arial" w:eastAsia="Arial" w:hAnsi="Arial"/>
          <w:sz w:val="16"/>
          <w:szCs w:val="16"/>
          <w:color w:val="auto"/>
        </w:rPr>
        <w:t>” means any rights, warrants or options to subscribe for or purchase shares of Common Stock or Convertible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w:t>
      </w:r>
    </w:p>
    <w:p>
      <w:pPr>
        <w:spacing w:after="0" w:line="206" w:lineRule="exact"/>
        <w:rPr>
          <w:rFonts w:ascii="Arial" w:cs="Arial" w:eastAsia="Arial" w:hAnsi="Arial"/>
          <w:sz w:val="16"/>
          <w:szCs w:val="16"/>
          <w:color w:val="auto"/>
        </w:rPr>
      </w:pPr>
    </w:p>
    <w:p>
      <w:pPr>
        <w:jc w:val="both"/>
        <w:ind w:firstLine="1952"/>
        <w:spacing w:after="0" w:line="258" w:lineRule="auto"/>
        <w:tabs>
          <w:tab w:leader="none" w:pos="25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83" w:lineRule="exact"/>
        <w:rPr>
          <w:rFonts w:ascii="Arial" w:cs="Arial" w:eastAsia="Arial" w:hAnsi="Arial"/>
          <w:sz w:val="18"/>
          <w:szCs w:val="18"/>
          <w:color w:val="auto"/>
        </w:rPr>
      </w:pPr>
    </w:p>
    <w:p>
      <w:pPr>
        <w:ind w:firstLine="1952"/>
        <w:spacing w:after="0" w:line="282" w:lineRule="auto"/>
        <w:tabs>
          <w:tab w:leader="none" w:pos="26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1" w:lineRule="exact"/>
        <w:rPr>
          <w:rFonts w:ascii="Arial" w:cs="Arial" w:eastAsia="Arial" w:hAnsi="Arial"/>
          <w:sz w:val="18"/>
          <w:szCs w:val="18"/>
          <w:color w:val="auto"/>
        </w:rPr>
      </w:pPr>
    </w:p>
    <w:p>
      <w:pPr>
        <w:ind w:left="2480" w:hanging="528"/>
        <w:spacing w:after="0"/>
        <w:tabs>
          <w:tab w:leader="none" w:pos="2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Capital Market.</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Subject Entity</w:t>
      </w:r>
      <w:r>
        <w:rPr>
          <w:rFonts w:ascii="Arial" w:cs="Arial" w:eastAsia="Arial" w:hAnsi="Arial"/>
          <w:sz w:val="16"/>
          <w:szCs w:val="16"/>
          <w:color w:val="auto"/>
        </w:rPr>
        <w:t>” means any Person, Persons or Group or any Affiliate or associate of any such Person, Persons or</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Group.</w:t>
      </w:r>
    </w:p>
    <w:p>
      <w:pPr>
        <w:spacing w:after="0" w:line="206" w:lineRule="exact"/>
        <w:rPr>
          <w:rFonts w:ascii="Arial" w:cs="Arial" w:eastAsia="Arial" w:hAnsi="Arial"/>
          <w:sz w:val="16"/>
          <w:szCs w:val="16"/>
          <w:color w:val="auto"/>
        </w:rPr>
      </w:pPr>
    </w:p>
    <w:p>
      <w:pPr>
        <w:jc w:val="both"/>
        <w:ind w:firstLine="1952"/>
        <w:spacing w:after="0" w:line="255" w:lineRule="auto"/>
        <w:tabs>
          <w:tab w:leader="none" w:pos="2503"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entity at any date, any direct or indirect Person, limited or general partnership, limited liability company, trust, estate, association, joint venture or other business entity of which (A) more than 50% of (i) the outstanding capital stock having (in the absence of contingencies) ordinary voting power to elect a majority of the board of directors or other managing body of such entity, (ii) in the case of a partnership or limited liability company, the interest in the capital or profits of such partnership or limited liability company or (iii) in the case of a trust, estate, association, joint venture or other entity, the beneficial interest in such trust, estate, association or other entity business is, at the time of determination, owned or controlled directly or indirectly through one or more intermediaries, by such entity, or (B) is under the actual control of the Company.</w:t>
      </w:r>
    </w:p>
    <w:p>
      <w:pPr>
        <w:spacing w:after="0" w:line="200" w:lineRule="exact"/>
        <w:rPr>
          <w:sz w:val="20"/>
          <w:szCs w:val="20"/>
          <w:color w:val="auto"/>
        </w:rPr>
      </w:pP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1952"/>
        <w:spacing w:after="0" w:line="266" w:lineRule="auto"/>
        <w:tabs>
          <w:tab w:leader="none" w:pos="2442"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75" w:lineRule="exact"/>
        <w:rPr>
          <w:rFonts w:ascii="Arial" w:cs="Arial" w:eastAsia="Arial" w:hAnsi="Arial"/>
          <w:sz w:val="18"/>
          <w:szCs w:val="18"/>
          <w:color w:val="auto"/>
        </w:rPr>
      </w:pPr>
    </w:p>
    <w:p>
      <w:pPr>
        <w:jc w:val="both"/>
        <w:ind w:firstLine="1952"/>
        <w:spacing w:after="0" w:line="256" w:lineRule="auto"/>
        <w:tabs>
          <w:tab w:leader="none" w:pos="24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87" w:lineRule="exact"/>
        <w:rPr>
          <w:rFonts w:ascii="Arial" w:cs="Arial" w:eastAsia="Arial" w:hAnsi="Arial"/>
          <w:sz w:val="18"/>
          <w:szCs w:val="18"/>
          <w:color w:val="auto"/>
        </w:rPr>
      </w:pPr>
    </w:p>
    <w:p>
      <w:pPr>
        <w:jc w:val="both"/>
        <w:ind w:firstLine="1952"/>
        <w:spacing w:after="0" w:line="268" w:lineRule="auto"/>
        <w:tabs>
          <w:tab w:leader="none" w:pos="255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Weighted Average Price</w:t>
      </w:r>
      <w:r>
        <w:rPr>
          <w:rFonts w:ascii="Arial" w:cs="Arial" w:eastAsia="Arial" w:hAnsi="Arial"/>
          <w:sz w:val="17"/>
          <w:szCs w:val="17"/>
          <w:color w:val="auto"/>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Weighted Average Price cannot be calculated for a security on a particular date on any of the foregoing bases, the Weighted Average Price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“Weighted Average Price”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3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Douglas Satzman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holder hereby exercises the right to purchase _________________ of the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XpresSpa Group,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evidenced by the attached Warrant to Purchase Common Stock No. ____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w:t>
      </w:r>
      <w:r>
        <w:rPr>
          <w:rFonts w:ascii="Arial" w:cs="Arial" w:eastAsia="Arial" w:hAnsi="Arial"/>
          <w:sz w:val="18"/>
          <w:szCs w:val="18"/>
          <w:color w:val="auto"/>
        </w:rPr>
        <w:t>”). Capitalized terms used herein and not otherwise defined shall have the respective meanings set forth in the Warrant.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Form of Exercise Price. The Holder intends that payment of the Exercise Price shall be made as:</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____________ a “</w:t>
      </w:r>
      <w:r>
        <w:rPr>
          <w:rFonts w:ascii="Arial" w:cs="Arial" w:eastAsia="Arial" w:hAnsi="Arial"/>
          <w:sz w:val="16"/>
          <w:szCs w:val="16"/>
          <w:u w:val="single" w:color="auto"/>
          <w:color w:val="auto"/>
        </w:rPr>
        <w:t>Cash Exercise”</w:t>
      </w:r>
      <w:r>
        <w:rPr>
          <w:rFonts w:ascii="Arial" w:cs="Arial" w:eastAsia="Arial" w:hAnsi="Arial"/>
          <w:sz w:val="16"/>
          <w:szCs w:val="16"/>
          <w:color w:val="auto"/>
        </w:rPr>
        <w:t xml:space="preserve"> with respect to _________________ Warrant Shares; and/or</w:t>
      </w:r>
    </w:p>
    <w:p>
      <w:pPr>
        <w:spacing w:after="0" w:line="248"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____________ a “</w:t>
      </w:r>
      <w:r>
        <w:rPr>
          <w:rFonts w:ascii="Arial" w:cs="Arial" w:eastAsia="Arial" w:hAnsi="Arial"/>
          <w:sz w:val="17"/>
          <w:szCs w:val="17"/>
          <w:u w:val="single" w:color="auto"/>
          <w:color w:val="auto"/>
        </w:rPr>
        <w:t>Cashless Exercise”</w:t>
      </w:r>
      <w:r>
        <w:rPr>
          <w:rFonts w:ascii="Arial" w:cs="Arial" w:eastAsia="Arial" w:hAnsi="Arial"/>
          <w:sz w:val="17"/>
          <w:szCs w:val="17"/>
          <w:color w:val="auto"/>
        </w:rPr>
        <w:t xml:space="preserve"> with respect to _________________ Warrant Shares.</w:t>
      </w:r>
    </w:p>
    <w:p>
      <w:pPr>
        <w:spacing w:after="0" w:line="237" w:lineRule="exact"/>
        <w:rPr>
          <w:sz w:val="20"/>
          <w:szCs w:val="20"/>
          <w:color w:val="auto"/>
        </w:rPr>
      </w:pPr>
    </w:p>
    <w:p>
      <w:pPr>
        <w:jc w:val="both"/>
        <w:ind w:firstLine="656"/>
        <w:spacing w:after="0" w:line="263" w:lineRule="auto"/>
        <w:tabs>
          <w:tab w:leader="none" w:pos="8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Delivery of Warrant Shares. The Company shall deliver to the holder __________ Warrant Shares in accordance with the terms of the Warrant.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_______ Electronic Delivery</w:t>
            </w:r>
          </w:p>
        </w:tc>
        <w:tc>
          <w:tcPr>
            <w:tcW w:w="6720" w:type="dxa"/>
            <w:vAlign w:val="bottom"/>
            <w:gridSpan w:val="2"/>
          </w:tcPr>
          <w:p>
            <w:pPr>
              <w:ind w:left="1120"/>
              <w:spacing w:after="0"/>
              <w:rPr>
                <w:sz w:val="20"/>
                <w:szCs w:val="20"/>
                <w:color w:val="auto"/>
              </w:rPr>
            </w:pPr>
            <w:r>
              <w:rPr>
                <w:rFonts w:ascii="Arial" w:cs="Arial" w:eastAsia="Arial" w:hAnsi="Arial"/>
                <w:sz w:val="18"/>
                <w:szCs w:val="18"/>
                <w:color w:val="auto"/>
              </w:rPr>
              <w:t>DTC Participant:</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800" w:type="dxa"/>
            <w:vAlign w:val="bottom"/>
          </w:tcPr>
          <w:p>
            <w:pPr>
              <w:ind w:left="1120"/>
              <w:spacing w:after="0"/>
              <w:rPr>
                <w:sz w:val="20"/>
                <w:szCs w:val="20"/>
                <w:color w:val="auto"/>
              </w:rPr>
            </w:pPr>
            <w:r>
              <w:rPr>
                <w:rFonts w:ascii="Arial" w:cs="Arial" w:eastAsia="Arial" w:hAnsi="Arial"/>
                <w:sz w:val="18"/>
                <w:szCs w:val="18"/>
                <w:color w:val="auto"/>
              </w:rPr>
              <w:t>DTC Number:</w:t>
            </w:r>
          </w:p>
        </w:tc>
        <w:tc>
          <w:tcPr>
            <w:tcW w:w="39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800" w:type="dxa"/>
            <w:vAlign w:val="bottom"/>
          </w:tcPr>
          <w:p>
            <w:pPr>
              <w:ind w:left="1120"/>
              <w:spacing w:after="0"/>
              <w:rPr>
                <w:sz w:val="20"/>
                <w:szCs w:val="20"/>
                <w:color w:val="auto"/>
              </w:rPr>
            </w:pPr>
            <w:r>
              <w:rPr>
                <w:rFonts w:ascii="Arial" w:cs="Arial" w:eastAsia="Arial" w:hAnsi="Arial"/>
                <w:sz w:val="18"/>
                <w:szCs w:val="18"/>
                <w:color w:val="auto"/>
              </w:rPr>
              <w:t>Account Name:</w:t>
            </w:r>
          </w:p>
        </w:tc>
        <w:tc>
          <w:tcPr>
            <w:tcW w:w="3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800" w:type="dxa"/>
            <w:vAlign w:val="bottom"/>
          </w:tcPr>
          <w:p>
            <w:pPr>
              <w:ind w:left="1120"/>
              <w:spacing w:after="0"/>
              <w:rPr>
                <w:sz w:val="20"/>
                <w:szCs w:val="20"/>
                <w:color w:val="auto"/>
              </w:rPr>
            </w:pPr>
            <w:r>
              <w:rPr>
                <w:rFonts w:ascii="Arial" w:cs="Arial" w:eastAsia="Arial" w:hAnsi="Arial"/>
                <w:sz w:val="18"/>
                <w:szCs w:val="18"/>
                <w:color w:val="auto"/>
              </w:rPr>
              <w:t>Account Number:</w:t>
            </w:r>
          </w:p>
        </w:tc>
        <w:tc>
          <w:tcPr>
            <w:tcW w:w="3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520" w:type="dxa"/>
            <w:vAlign w:val="bottom"/>
            <w:gridSpan w:val="2"/>
          </w:tcPr>
          <w:p>
            <w:pPr>
              <w:spacing w:after="0"/>
              <w:rPr>
                <w:sz w:val="20"/>
                <w:szCs w:val="20"/>
                <w:color w:val="auto"/>
              </w:rPr>
            </w:pPr>
            <w:r>
              <w:rPr>
                <w:rFonts w:ascii="Arial" w:cs="Arial" w:eastAsia="Arial" w:hAnsi="Arial"/>
                <w:sz w:val="18"/>
                <w:szCs w:val="18"/>
                <w:color w:val="auto"/>
              </w:rPr>
              <w:t>_______ Physical Delivery</w:t>
            </w:r>
          </w:p>
        </w:tc>
        <w:tc>
          <w:tcPr>
            <w:tcW w:w="6720" w:type="dxa"/>
            <w:vAlign w:val="bottom"/>
            <w:gridSpan w:val="2"/>
          </w:tcPr>
          <w:p>
            <w:pPr>
              <w:ind w:left="112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1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Date: _______________ __, ______</w:t>
            </w:r>
          </w:p>
        </w:tc>
        <w:tc>
          <w:tcPr>
            <w:tcW w:w="2800" w:type="dxa"/>
            <w:vAlign w:val="bottom"/>
          </w:tcPr>
          <w:p>
            <w:pPr>
              <w:spacing w:after="0"/>
              <w:rPr>
                <w:sz w:val="18"/>
                <w:szCs w:val="18"/>
                <w:color w:val="auto"/>
              </w:rPr>
            </w:pPr>
          </w:p>
        </w:tc>
        <w:tc>
          <w:tcPr>
            <w:tcW w:w="39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gridSpan w:val="2"/>
            <w:vMerge w:val="continue"/>
          </w:tcPr>
          <w:p>
            <w:pPr>
              <w:spacing w:after="0"/>
              <w:rPr>
                <w:sz w:val="18"/>
                <w:szCs w:val="18"/>
                <w:color w:val="auto"/>
              </w:rPr>
            </w:pPr>
          </w:p>
        </w:tc>
        <w:tc>
          <w:tcPr>
            <w:tcW w:w="2800" w:type="dxa"/>
            <w:vAlign w:val="bottom"/>
          </w:tcPr>
          <w:p>
            <w:pPr>
              <w:spacing w:after="0"/>
              <w:rPr>
                <w:sz w:val="18"/>
                <w:szCs w:val="18"/>
                <w:color w:val="auto"/>
              </w:rPr>
            </w:pPr>
          </w:p>
        </w:tc>
        <w:tc>
          <w:tcPr>
            <w:tcW w:w="3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520" w:type="dxa"/>
            <w:vAlign w:val="bottom"/>
            <w:gridSpan w:val="2"/>
            <w:vMerge w:val="continue"/>
          </w:tcPr>
          <w:p>
            <w:pPr>
              <w:spacing w:after="0"/>
              <w:rPr>
                <w:sz w:val="24"/>
                <w:szCs w:val="24"/>
                <w:color w:val="auto"/>
              </w:rPr>
            </w:pPr>
          </w:p>
        </w:tc>
        <w:tc>
          <w:tcPr>
            <w:tcW w:w="28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4520" w:type="dxa"/>
            <w:vAlign w:val="bottom"/>
            <w:tcBorders>
              <w:bottom w:val="single" w:sz="8" w:color="auto"/>
            </w:tcBorders>
            <w:gridSpan w:val="2"/>
          </w:tcPr>
          <w:p>
            <w:pPr>
              <w:spacing w:after="0"/>
              <w:rPr>
                <w:sz w:val="24"/>
                <w:szCs w:val="24"/>
                <w:color w:val="auto"/>
              </w:rPr>
            </w:pPr>
          </w:p>
        </w:tc>
        <w:tc>
          <w:tcPr>
            <w:tcW w:w="28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520" w:type="dxa"/>
            <w:vAlign w:val="bottom"/>
            <w:gridSpan w:val="2"/>
          </w:tcPr>
          <w:p>
            <w:pPr>
              <w:ind w:left="180"/>
              <w:spacing w:after="0"/>
              <w:rPr>
                <w:sz w:val="20"/>
                <w:szCs w:val="20"/>
                <w:color w:val="auto"/>
              </w:rPr>
            </w:pPr>
            <w:r>
              <w:rPr>
                <w:rFonts w:ascii="Arial" w:cs="Arial" w:eastAsia="Arial" w:hAnsi="Arial"/>
                <w:sz w:val="18"/>
                <w:szCs w:val="18"/>
                <w:color w:val="auto"/>
              </w:rPr>
              <w:t>Name of Registered Holder</w:t>
            </w:r>
          </w:p>
        </w:tc>
        <w:tc>
          <w:tcPr>
            <w:tcW w:w="28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4520" w:type="dxa"/>
            <w:vAlign w:val="bottom"/>
            <w:gridSpan w:val="2"/>
          </w:tcPr>
          <w:p>
            <w:pPr>
              <w:spacing w:after="0"/>
              <w:rPr>
                <w:sz w:val="20"/>
                <w:szCs w:val="20"/>
                <w:color w:val="auto"/>
              </w:rPr>
            </w:pPr>
            <w:r>
              <w:rPr>
                <w:rFonts w:ascii="Arial" w:cs="Arial" w:eastAsia="Arial" w:hAnsi="Arial"/>
                <w:sz w:val="18"/>
                <w:szCs w:val="18"/>
                <w:color w:val="auto"/>
              </w:rPr>
              <w:t>By:</w:t>
            </w:r>
          </w:p>
        </w:tc>
        <w:tc>
          <w:tcPr>
            <w:tcW w:w="28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80" w:type="dxa"/>
            <w:vAlign w:val="bottom"/>
          </w:tcPr>
          <w:p>
            <w:pPr>
              <w:spacing w:after="0"/>
              <w:rPr>
                <w:sz w:val="16"/>
                <w:szCs w:val="16"/>
                <w:color w:val="auto"/>
              </w:rPr>
            </w:pPr>
          </w:p>
        </w:tc>
        <w:tc>
          <w:tcPr>
            <w:tcW w:w="3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28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Title:</w:t>
            </w:r>
          </w:p>
        </w:tc>
        <w:tc>
          <w:tcPr>
            <w:tcW w:w="28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ind w:left="960"/>
              <w:spacing w:after="0"/>
              <w:rPr>
                <w:sz w:val="20"/>
                <w:szCs w:val="20"/>
                <w:color w:val="auto"/>
              </w:rPr>
            </w:pPr>
            <w:r>
              <w:rPr>
                <w:rFonts w:ascii="Arial" w:cs="Arial" w:eastAsia="Arial" w:hAnsi="Arial"/>
                <w:sz w:val="22"/>
                <w:szCs w:val="22"/>
                <w:color w:val="auto"/>
              </w:rPr>
              <w:t>14</w:t>
            </w:r>
          </w:p>
        </w:tc>
        <w:tc>
          <w:tcPr>
            <w:tcW w:w="3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hereby acknowledges this Exercise Notice and hereby directs American Stock Transfer &amp; Trust Company, LLC to issue the above indicated number of shares of Common Stock in accordance with the Exercise Notice.</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Chrysler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-121920</wp:posOffset>
            </wp:positionV>
            <wp:extent cx="694055" cy="8915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94055" cy="89154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666 Third Avenue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212 935 3000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mintz.com</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March 26,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15 West 38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10018</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acted as counsel to XpresSpa Group,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preparation and filing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of a Prospectus Supplement, dated March 25, 2020, to a Prospectus, dated July 30, 2019 (the “</w:t>
      </w:r>
      <w:r>
        <w:rPr>
          <w:rFonts w:ascii="Arial" w:cs="Arial" w:eastAsia="Arial" w:hAnsi="Arial"/>
          <w:sz w:val="17"/>
          <w:szCs w:val="17"/>
          <w:u w:val="single" w:color="auto"/>
          <w:color w:val="auto"/>
        </w:rPr>
        <w:t>Prospectus and Prospectus Supplement</w:t>
      </w:r>
      <w:r>
        <w:rPr>
          <w:rFonts w:ascii="Arial" w:cs="Arial" w:eastAsia="Arial" w:hAnsi="Arial"/>
          <w:sz w:val="17"/>
          <w:szCs w:val="17"/>
          <w:color w:val="auto"/>
        </w:rPr>
        <w:t>”), filed pursuant to a Registration Statement on Form S-3, Registration No. 333-232764 (the “</w:t>
      </w:r>
      <w:r>
        <w:rPr>
          <w:rFonts w:ascii="Arial" w:cs="Arial" w:eastAsia="Arial" w:hAnsi="Arial"/>
          <w:sz w:val="17"/>
          <w:szCs w:val="17"/>
          <w:u w:val="single" w:color="auto"/>
          <w:color w:val="auto"/>
        </w:rPr>
        <w:t>Registration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Statement</w:t>
      </w:r>
      <w:r>
        <w:rPr>
          <w:rFonts w:ascii="Arial" w:cs="Arial" w:eastAsia="Arial" w:hAnsi="Arial"/>
          <w:sz w:val="17"/>
          <w:szCs w:val="17"/>
          <w:color w:val="auto"/>
        </w:rPr>
        <w:t>”) and filed by the Company with the Commission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The Prospectus Supplement relates to the sale of an aggregate of (i) 7,450,000 shares (the “</w:t>
      </w:r>
      <w:r>
        <w:rPr>
          <w:rFonts w:ascii="Arial" w:cs="Arial" w:eastAsia="Arial" w:hAnsi="Arial"/>
          <w:sz w:val="17"/>
          <w:szCs w:val="17"/>
          <w:u w:val="single" w:color="auto"/>
          <w:color w:val="auto"/>
        </w:rPr>
        <w:t>Shares</w:t>
      </w:r>
      <w:r>
        <w:rPr>
          <w:rFonts w:ascii="Arial" w:cs="Arial" w:eastAsia="Arial" w:hAnsi="Arial"/>
          <w:sz w:val="17"/>
          <w:szCs w:val="17"/>
          <w:color w:val="auto"/>
        </w:rPr>
        <w:t>”) of the Company’s common stock, par value $0.01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and (ii) pre-funded warrants (the “</w:t>
      </w:r>
      <w:r>
        <w:rPr>
          <w:rFonts w:ascii="Arial" w:cs="Arial" w:eastAsia="Arial" w:hAnsi="Arial"/>
          <w:sz w:val="17"/>
          <w:szCs w:val="17"/>
          <w:u w:val="single" w:color="auto"/>
          <w:color w:val="auto"/>
        </w:rPr>
        <w:t>Pre-Funded Warrants</w:t>
      </w:r>
      <w:r>
        <w:rPr>
          <w:rFonts w:ascii="Arial" w:cs="Arial" w:eastAsia="Arial" w:hAnsi="Arial"/>
          <w:sz w:val="17"/>
          <w:szCs w:val="17"/>
          <w:color w:val="auto"/>
        </w:rPr>
        <w:t>”) to purchase up to 1,500,000 shares of Common Stock (the “</w:t>
      </w:r>
      <w:r>
        <w:rPr>
          <w:rFonts w:ascii="Arial" w:cs="Arial" w:eastAsia="Arial" w:hAnsi="Arial"/>
          <w:sz w:val="17"/>
          <w:szCs w:val="17"/>
          <w:u w:val="single" w:color="auto"/>
          <w:color w:val="auto"/>
        </w:rPr>
        <w:t>Warrant Shares</w:t>
      </w:r>
      <w:r>
        <w:rPr>
          <w:rFonts w:ascii="Arial" w:cs="Arial" w:eastAsia="Arial" w:hAnsi="Arial"/>
          <w:sz w:val="17"/>
          <w:szCs w:val="17"/>
          <w:color w:val="auto"/>
        </w:rPr>
        <w:t>” and, collectively with the Shares and the Pre-Funded Warrants, the “</w:t>
      </w:r>
      <w:r>
        <w:rPr>
          <w:rFonts w:ascii="Arial" w:cs="Arial" w:eastAsia="Arial" w:hAnsi="Arial"/>
          <w:sz w:val="17"/>
          <w:szCs w:val="17"/>
          <w:u w:val="single" w:color="auto"/>
          <w:color w:val="auto"/>
        </w:rPr>
        <w:t>Securities</w:t>
      </w:r>
      <w:r>
        <w:rPr>
          <w:rFonts w:ascii="Arial" w:cs="Arial" w:eastAsia="Arial" w:hAnsi="Arial"/>
          <w:sz w:val="17"/>
          <w:szCs w:val="17"/>
          <w:color w:val="auto"/>
        </w:rPr>
        <w:t>”), pursuant to a Securities Purchase Agreement, dated March 25, 2020, between the Company and the purchasers named therein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The Purchase Agreement will be filed as an exhibit to a Current Report on Form 8-K and incorporated by reference into the Registration Statement. This opinion is being rendered in connection with the filing of the Prospectus Supplement with the Commission. All capitalized terms used herein and not otherwise defined shall have the respective meanings given to them in the Registration Statement.</w:t>
      </w:r>
    </w:p>
    <w:p>
      <w:pPr>
        <w:spacing w:after="0" w:line="18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connection with this opinion, we have (i) examined and relied upon: (A) the Registration Statement, the Prospectus and the Prospectus Supplement, (B) the form of the Pre-Funded Warrants to be filed as an exhibit to the Registration Statement, (C) the Company’s Amended and Restated Certificate of Incorporation and Amended and Restated Bylaws, as currently in effect and (D) the originals or copies certified to our satisfaction of such records, documents, certificates, memoranda and other instruments as in our judgment are necessary or appropriate to enable us to render the opinion expressed below; and (ii) assumed that the Securities to be sold by the Company will be sold at a price and on terms established by the Board of Directors of the Company or a duly constituted pricing committee thereof in accordance with Section 153 of the Delaware General Corporation Law. As to certain factual matters, we have relied upon a certificate of an officer of the Company and have not independently verified such matters. In rendering this opinion, we have assumed the genuineness and authenticity of all signatures on signed documents;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due authorization, execution and delivery are a prerequisite to the effectiveness thereof (except we have not made such assumption with respect to the Company).</w:t>
      </w:r>
    </w:p>
    <w:p>
      <w:pPr>
        <w:spacing w:after="0" w:line="17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opinion is limited to the General Corporation Law of the State of Delaware and, as to the Pre-Funded Warrants constituting valid and binding obligations of the Company, the laws of the State of New York, and we express no opinion with respect to the laws of any other jurisdiction. No opinion is expressed herein with respect to the qualification of the Shares under the securities or blue sky laws of any state or any foreign jurisdiction.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regard to our opinion concerning the Pre-Funded Warrants constituting valid and binding obligations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both"/>
        <w:ind w:firstLine="656"/>
        <w:spacing w:after="0" w:line="311" w:lineRule="auto"/>
        <w:tabs>
          <w:tab w:leader="none" w:pos="879"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opinion is subject to, and may be limited by, (a) applicable bankruptcy, reorganization, insolvency, moratorium, fraudulent conveyance, debtor and creditor, and similar laws which relate to or affect creditors’ rights generally, and (b) general principles of equity (including, without limitation, concepts of materiality, reasonableness, good faith and fair dealing) regardless of whether considered in a proceeding in equity or at law.</w:t>
      </w:r>
    </w:p>
    <w:p>
      <w:pPr>
        <w:spacing w:after="0" w:line="148" w:lineRule="exact"/>
        <w:rPr>
          <w:rFonts w:ascii="Arial" w:cs="Arial" w:eastAsia="Arial" w:hAnsi="Arial"/>
          <w:sz w:val="16"/>
          <w:szCs w:val="16"/>
          <w:color w:val="auto"/>
        </w:rPr>
      </w:pPr>
    </w:p>
    <w:p>
      <w:pPr>
        <w:ind w:right="20" w:firstLine="656"/>
        <w:spacing w:after="0" w:line="277" w:lineRule="auto"/>
        <w:tabs>
          <w:tab w:leader="none" w:pos="9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opinion is subject to the qualification that the availability of specific performance, an injunction or other equitable remedies is subject to the discretion of the court before which the request is brought.</w:t>
      </w:r>
    </w:p>
    <w:p>
      <w:pPr>
        <w:spacing w:after="0" w:line="170" w:lineRule="exact"/>
        <w:rPr>
          <w:rFonts w:ascii="Arial" w:cs="Arial" w:eastAsia="Arial" w:hAnsi="Arial"/>
          <w:sz w:val="18"/>
          <w:szCs w:val="18"/>
          <w:color w:val="auto"/>
        </w:rPr>
      </w:pPr>
    </w:p>
    <w:p>
      <w:pPr>
        <w:jc w:val="both"/>
        <w:ind w:firstLine="656"/>
        <w:spacing w:after="0" w:line="293" w:lineRule="auto"/>
        <w:tabs>
          <w:tab w:leader="none" w:pos="972"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express no opinion as to any provision of the Pre-Funded Warrants that: (a) provides for liquidated damages, buy-in damages, monetary penalties, prepayment or make-whole payments or other economic remedies to the extent such provisions may constitute unlawful penalties, (b) relates to advance waivers of claims, defenses, rights granted by law, or notice, opportunity for hearing, evidentiary requirements, statutes of limitations, trial by jury, or procedural rights, (c) restricts non-written modifications and waivers, (d) provides for the payment of legal and other professional fees where such payment is contrary to law or public policy, (e) relates to exclusivity, election or accumulation of rights or remedies, or (f) provides that provisions of the Pre-Funded Warrants are severable to the extent an essential part of the agreed exchange is determined to be invalid and unenforceable.</w:t>
      </w:r>
    </w:p>
    <w:p>
      <w:pPr>
        <w:spacing w:after="0" w:line="164" w:lineRule="exact"/>
        <w:rPr>
          <w:rFonts w:ascii="Arial" w:cs="Arial" w:eastAsia="Arial" w:hAnsi="Arial"/>
          <w:sz w:val="16"/>
          <w:szCs w:val="16"/>
          <w:color w:val="auto"/>
        </w:rPr>
      </w:pPr>
    </w:p>
    <w:p>
      <w:pPr>
        <w:ind w:firstLine="656"/>
        <w:spacing w:after="0" w:line="277" w:lineRule="auto"/>
        <w:tabs>
          <w:tab w:leader="none" w:pos="9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express no opinion as to whether a state court outside of the State of New York or a federal court of the United States would give effect to the choice of New York law provided for in the Pre-Funded Warrants.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With respect to the Warrant Shares, we express no opinion to the extent that, notwithstanding its current reservation of shares of Common Stock, future issuances of securities, including the Warrant Shares, of the Company and/or adjustments to outstanding securities, including the Pre-Funded Warrants, of the Company may cause the Pre-Funded Warrants to be exercisable for more shares of Common Stock than the number that remain authorized but unissued. Further, we have assumed the Exercise Price (as defined in the Pre-Funded Warrants) will not be adjusted to an amount below the par value per share of the Common Stock.</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the basis of the foregoing, and in reliance thereon, we are of the opinion that (i) the Shares, when sold and issued in accordance with the Registration Statement, the Prospectus and the Prospectus Supplement, will be validly issued, fully paid and nonassessable, (ii) provided that the Pre-Funded Warrants have been duly executed and delivered by the Company and duly delivered to the purchasers thereof against payment therefor, the Pre-Funded Warrants, when sold and issued as contemplated in the Registration Statement, the Prospectus and the Prospectus Supplement, will be valid and binding obligations of the Company, and (iii) the Warrant Shares, when issued and paid for in accordance with the terms of the Pre-Funded Warrants, will be validly issued, fully paid and non-assessable.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hereby consent to the filing of this opinion as an exhibit to a Current Report on Form 8-K in accordance with the requirements of Item 601(b)</w:t>
      </w:r>
    </w:p>
    <w:p>
      <w:pPr>
        <w:spacing w:after="0" w:line="46" w:lineRule="exact"/>
        <w:rPr>
          <w:sz w:val="20"/>
          <w:szCs w:val="20"/>
          <w:color w:val="auto"/>
        </w:rPr>
      </w:pPr>
    </w:p>
    <w:p>
      <w:pPr>
        <w:jc w:val="both"/>
        <w:ind w:firstLine="8"/>
        <w:spacing w:after="0" w:line="255" w:lineRule="auto"/>
        <w:tabs>
          <w:tab w:leader="none" w:pos="276"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 Regulation S-K under the Securities Act and to the use of this Firm’s name therein and in the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Mintz, Levin, Cohn, Ferris, Glovsky and Popeo,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left="10260"/>
        <w:spacing w:after="0"/>
        <w:rPr>
          <w:sz w:val="20"/>
          <w:szCs w:val="20"/>
          <w:color w:val="auto"/>
        </w:rPr>
      </w:pPr>
      <w:r>
        <w:rPr>
          <w:rFonts w:ascii="Arial" w:cs="Arial" w:eastAsia="Arial" w:hAnsi="Arial"/>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March 25, 2020, between XpresSpa Group,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purchaser identified on the signature pages hereto (each, including its successors and assigns, a “</w:t>
      </w:r>
      <w:r>
        <w:rPr>
          <w:rFonts w:ascii="Arial" w:cs="Arial" w:eastAsia="Arial" w:hAnsi="Arial"/>
          <w:sz w:val="18"/>
          <w:szCs w:val="18"/>
          <w:u w:val="single" w:color="auto"/>
          <w:color w:val="auto"/>
        </w:rPr>
        <w:t>Purchaser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subject to the terms and conditions set forth in this Agreement and pursuant to (i) an effective registration statement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the Company desires to issue and sell to each Purchaser, and each Purchaser, severally and not jointly, desires to purchase from the Company, securities of the Company as more fully described in this Agreement.</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for all purposes of this Agreement, the following terms have the meanings set forth in this Section 1.1: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left="6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Securities pursuant to Section 2.1.</w:t>
      </w:r>
    </w:p>
    <w:p>
      <w:pPr>
        <w:spacing w:after="0" w:line="225"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second (2nd) Trading Day following the date 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Price</w:t>
      </w:r>
      <w:r>
        <w:rPr>
          <w:rFonts w:ascii="Arial" w:cs="Arial" w:eastAsia="Arial" w:hAnsi="Arial"/>
          <w:sz w:val="18"/>
          <w:szCs w:val="18"/>
          <w:color w:val="auto"/>
        </w:rPr>
        <w:t>” means, for any date, the price determined by the first of the following clauses that applies: (a) if the Common Stock is then listed or quoted on a Trading Market, the closing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closing price of the Common Stock for such date (or the nearest preceding date) on OTCQB or OTCQX as applicable, (c) if the Common Stock is not then listed or quoted for trading on OTCQB or OTCQX and if prices for the Common Stock are then reported in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$0.01 per share, and any other class of securities into which such securities may hereafter be reclassified or changed.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Counsel</w:t>
      </w:r>
      <w:r>
        <w:rPr>
          <w:rFonts w:ascii="Arial" w:cs="Arial" w:eastAsia="Arial" w:hAnsi="Arial"/>
          <w:sz w:val="18"/>
          <w:szCs w:val="18"/>
          <w:color w:val="auto"/>
        </w:rPr>
        <w:t>” means, Mintz, Levin, Cohn, Ferris, Glovsky and Popeo, P.C., Chrysler Center, 666 3rd Avenue, New York, NY 10017, Attn: Kenneth R. Koch, Esq., email: krkoch@mintz.com.</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means the Disclosure Schedules of the Company delivered concurrently herewith.</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Time</w:t>
      </w:r>
      <w:r>
        <w:rPr>
          <w:rFonts w:ascii="Arial" w:cs="Arial" w:eastAsia="Arial" w:hAnsi="Arial"/>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and (ii) if this Agreement is signed between midnight (New York City time) and 9:00 a.m. (New York City time) on any Trading Day, no later than 9:01 a.m. (New York City time) on the date hereof.</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Evaluation Date</w:t>
      </w:r>
      <w:r>
        <w:rPr>
          <w:rFonts w:ascii="Arial" w:cs="Arial" w:eastAsia="Arial" w:hAnsi="Arial"/>
          <w:sz w:val="18"/>
          <w:szCs w:val="18"/>
          <w:color w:val="auto"/>
        </w:rPr>
        <w:t>” shall have the meaning ascribed to such term in Section 3.1(s).</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4" w:name="page25"/>
    <w:bookmarkEnd w:id="24"/>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Exempt Issuance</w:t>
      </w:r>
      <w:r>
        <w:rPr>
          <w:rFonts w:ascii="Arial" w:cs="Arial" w:eastAsia="Arial" w:hAnsi="Arial"/>
          <w:sz w:val="16"/>
          <w:szCs w:val="16"/>
          <w:color w:val="auto"/>
        </w:rPr>
        <w:t>” means the issuance of (a) shares of Common Stock and options to officers, directors, employees or consultants of the Company after the Closing Date pursuant to plans approved by the shareholders of the Company and which issuances are approved by a majority of the independent members of a committee of the board of directors (provided, if to consultants, not in excess of 100,000 shares of common stock or common stock equivalents in any 30 day period, subject to adjustment for reverse and forward stock splits and the like, provided, further that such securities are restricted for transfer for at least a period of 180 days following the Closing Date), (b) securities upon the exercise or exchange of or conversion of any Securities issued hereunder and/or other securities exercisable or exchangeable for or convertible into shares of Common Stock issued and outstanding on the date of this Agreement, provided that such securities and any term thereof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(c) securities issued pursuant to acquisitions or strategic transactions approved by a majority of the disinterested directors of the Company, provided that any such issuance shall only be to a Person (or to the equity holders of a Person) which is, itself or through its subsidiaries, an operating company or an owner of an asset in a business synergistic with the business of the Company and shall be intended to provide to the Company substantial additional benefits in addition to the investment of funds, but shall not include a transaction in which the Company is issuing securities primarily for the purpose of raising capital or to an entity whose primary business is investing in securities; provided that such securities are issued as “restricted securities” (as defined in Rule 144) and carry no registration rights that require or permit the filing of any registration statement in connection therewith from the date hereof until 180 days after the Closing Date, (d) securities as payment for investment banking services provided to the Company (provided not in excess of 250,000 shares of common stock or common stock equivalents in any 12-month period, subject to adjustment for reverse and forward stock splits and the like. provided, further that such securities are restricted for transfer for at least a period of 180 days following the Closing Date), (e) shares of Common Stock issued to third party vendors as payment for goods or services (provided, if to consultants, not in excess of 250,000 shares of common stock or common stock equivalents in any 30 day period, subject to adjustment for reverse and forward stock splits and the like, provided, further that such securities are restricted for transfer for at least a period of 180 days following the Closing Date), (f) shares of Common Stock issued to the Company’s Airport Concession Disadvantaged Business Enterprise partners, (g) Common Stock issued as payment of interest pursuant to that certain Credit Agreement dated as of April 22, 2015, as subsequently amended, by and between XpresSpa Holdings, LLC and B3D, LLC (the “B3D Credit Agreement”) and (h) securities issued as payment of interest pursuant to that certain unsecured convertible note dated as July 8, 2019 by and between the Company and Calm.com, Inc., provided that such securities are issued as “restricted securities” (as defined in Rule 144) and carry no registration rights that require or permit the filing of any registration statement in connection therewith from the date hereof until 180 days after the Closing Date.</w:t>
      </w:r>
    </w:p>
    <w:p>
      <w:pPr>
        <w:spacing w:after="0" w:line="38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5" w:name="page26"/>
    <w:bookmarkEnd w:id="25"/>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Advisor</w:t>
      </w:r>
      <w:r>
        <w:rPr>
          <w:rFonts w:ascii="Arial" w:cs="Arial" w:eastAsia="Arial" w:hAnsi="Arial"/>
          <w:sz w:val="18"/>
          <w:szCs w:val="18"/>
          <w:color w:val="auto"/>
        </w:rPr>
        <w:t>” means Palladium Capital Advisors LLC.</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Legend Removal Date</w:t>
      </w:r>
      <w:r>
        <w:rPr>
          <w:rFonts w:ascii="Arial" w:cs="Arial" w:eastAsia="Arial" w:hAnsi="Arial"/>
          <w:sz w:val="18"/>
          <w:szCs w:val="18"/>
          <w:color w:val="auto"/>
        </w:rPr>
        <w:t>” shall have the meaning ascribed to such term in Section 4.1(c).</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Liens</w:t>
      </w:r>
      <w:r>
        <w:rPr>
          <w:rFonts w:ascii="Arial" w:cs="Arial" w:eastAsia="Arial" w:hAnsi="Arial"/>
          <w:sz w:val="17"/>
          <w:szCs w:val="17"/>
          <w:color w:val="auto"/>
        </w:rPr>
        <w:t>” means a lien, charge, pledge, security interest, encumbrance, right of first refusal, preemptive right or other restriction.</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shall have the meaning ascribed to such term in Section 3.1(n).</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w:t>
      </w:r>
      <w:r>
        <w:rPr>
          <w:rFonts w:ascii="Arial" w:cs="Arial" w:eastAsia="Arial" w:hAnsi="Arial"/>
          <w:sz w:val="16"/>
          <w:szCs w:val="16"/>
          <w:color w:val="auto"/>
        </w:rPr>
        <w:t>”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Company) have been established in accordance with GAAP, (b) Liens imposed by law which were incurred in the ordinary course of the Company’s business, such as carriers’, warehousemen’s and mechanics’ Liens, statutory landlords’ Liens, and other similar Liens arising in the ordinary course of the Company’s business, and which (x) do not individually or in the aggregate materially detract from the value of such property or assets or materially impair the use thereof in the operation of the business of Company and its consolidated Subsidiaries or (y) are being contested in good faith by appropriate proceedings, which proceedings have the effect of preventing for the foreseeable future the forfeiture or sale of the property or asset subject to such Liens, and (c) Liens existing on the date hereof, (d) Liens incurred in connection with the construction, development and/or remodeling of existing XpresSpa locations, provided that such Liens only relate to the assets of the Subsidiary which owns and/or operates such location and only in the assets of such location with respect to such construction, development and/or remodeling, (e) Liens to the extent arising solely from the filing of protective Uniform Commercial Code financing statements in respect of equipment leased to the Company or any Subsidiary in the ordinary course of its business under true, as opposed to finance, leases, only up to the value of such leased equipment, (f) Liens securing the performance of bids, trade contracts, leases, statutory obligations, surety and appeal bonds, performance bonds, and other obligations of like nature, in each case in the ordinary course of business, (g) any interest or title of a lessor of real property secured by a lessor’s interest in such real property under any lease, (h) 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w:t>
      </w:r>
    </w:p>
    <w:p>
      <w:pPr>
        <w:spacing w:after="0" w:line="38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6" w:name="page27"/>
    <w:bookmarkEnd w:id="26"/>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Purchase Price</w:t>
      </w:r>
      <w:r>
        <w:rPr>
          <w:rFonts w:ascii="Arial" w:cs="Arial" w:eastAsia="Arial" w:hAnsi="Arial"/>
          <w:sz w:val="18"/>
          <w:szCs w:val="18"/>
          <w:color w:val="auto"/>
        </w:rPr>
        <w:t>” equals $0.20, subject to adjustment for reverse and forward stock splits, stock dividends, stock combinations and other similar transactions of the Common Stock that occur after the date of this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threatened.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final prospectus filed for the Registration Statement.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means the supplement to the Prospectus complying with Rule 424(b) of the Securities Act that is filed with the Commission and delivered by the Company to each Purchaser at the Closing.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Party</w:t>
      </w:r>
      <w:r>
        <w:rPr>
          <w:rFonts w:ascii="Arial" w:cs="Arial" w:eastAsia="Arial" w:hAnsi="Arial"/>
          <w:sz w:val="18"/>
          <w:szCs w:val="18"/>
          <w:color w:val="auto"/>
        </w:rPr>
        <w:t>” shall have the meaning ascribed to such term in Section 4.8.</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Pre-Funded Warrants</w:t>
      </w:r>
      <w:r>
        <w:rPr>
          <w:rFonts w:ascii="Arial" w:cs="Arial" w:eastAsia="Arial" w:hAnsi="Arial"/>
          <w:sz w:val="18"/>
          <w:szCs w:val="18"/>
          <w:color w:val="auto"/>
        </w:rPr>
        <w:t xml:space="preserve">” means, collectively, the Common Stock purchase warrants delivered to the Purchasers at the Closing in accordance with Section 2.2(a) hereof, which Pre-Funded Warrants shall be exercisable immediately after their issuance,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Pre-Funded Warrant Shares</w:t>
      </w:r>
      <w:r>
        <w:rPr>
          <w:rFonts w:ascii="Arial" w:cs="Arial" w:eastAsia="Arial" w:hAnsi="Arial"/>
          <w:sz w:val="18"/>
          <w:szCs w:val="18"/>
          <w:color w:val="auto"/>
        </w:rPr>
        <w:t>” means the shares of Common Stock issuable upon exercise of the Pre-Funded Warrants.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effective registration statement with Commission file No. 333-232764 which registers the sale of the Securities to the Purchasers.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40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7" w:name="page28"/>
    <w:bookmarkEnd w:id="27"/>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the Shares, the Pre-Funded Warrants and the Pre-Funded Warrant Shares.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Sales</w:t>
      </w:r>
      <w:r>
        <w:rPr>
          <w:rFonts w:ascii="Arial" w:cs="Arial" w:eastAsia="Arial" w:hAnsi="Arial"/>
          <w:sz w:val="18"/>
          <w:szCs w:val="18"/>
          <w:color w:val="auto"/>
        </w:rPr>
        <w:t>” means all “short sales” as defined in Rule 200 of Regulation SHO under the Exchange Act (but shall not be deemed to include locating and/or borrowing shares of Common Stock).</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Amount</w:t>
      </w:r>
      <w:r>
        <w:rPr>
          <w:rFonts w:ascii="Arial" w:cs="Arial" w:eastAsia="Arial" w:hAnsi="Arial"/>
          <w:sz w:val="18"/>
          <w:szCs w:val="18"/>
          <w:color w:val="auto"/>
        </w:rPr>
        <w:t>” means, as to each Purchaser, the aggregate amount to be paid for Shares and Pre-Funded Warrants purchased hereunder at the Closing as specified below such Purchaser’s name on the signature page of this Agreement and next to the heading “Subscription Amount,” in United States dollars and in immediately available funds.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means any subsidiary of the Company as set forth on </w:t>
      </w:r>
      <w:r>
        <w:rPr>
          <w:rFonts w:ascii="Arial" w:cs="Arial" w:eastAsia="Arial" w:hAnsi="Arial"/>
          <w:sz w:val="18"/>
          <w:szCs w:val="18"/>
          <w:u w:val="single" w:color="auto"/>
          <w:color w:val="auto"/>
        </w:rPr>
        <w:t>Schedule 3.1(a)</w:t>
      </w:r>
      <w:r>
        <w:rPr>
          <w:rFonts w:ascii="Arial" w:cs="Arial" w:eastAsia="Arial" w:hAnsi="Arial"/>
          <w:sz w:val="18"/>
          <w:szCs w:val="18"/>
          <w:color w:val="auto"/>
        </w:rPr>
        <w:t>, and shall, where applicable, also include any direct or indirect subsidiary of the Company formed or acquired after the date hereof.</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Pre-Funded Warrants, all exhibits and schedules thereto and hereto and any other documents or agreements executed in connection with the transactions contemplated hereunder.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American Stock Transfer &amp; Trust Company, LLC, located at 6201 15th Avenue, Brooklyn, NY 11219 and any successor transfer agent of the Company.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Variable Rate Transaction</w:t>
      </w:r>
      <w:r>
        <w:rPr>
          <w:rFonts w:ascii="Arial" w:cs="Arial" w:eastAsia="Arial" w:hAnsi="Arial"/>
          <w:sz w:val="18"/>
          <w:szCs w:val="18"/>
          <w:color w:val="auto"/>
        </w:rPr>
        <w:t>” shall have the meaning ascribed to such term in Section 4.11(b).</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8" w:name="page29"/>
    <w:bookmarkEnd w:id="28"/>
    <w:tbl>
      <w:tblPr>
        <w:tblLayout w:type="fixed"/>
        <w:tblInd w:w="660" w:type="dxa"/>
        <w:tblCellMar>
          <w:top w:w="0" w:type="dxa"/>
          <w:left w:w="0" w:type="dxa"/>
          <w:bottom w:w="0" w:type="dxa"/>
          <w:right w:w="0" w:type="dxa"/>
        </w:tblCellMar>
      </w:tblPr>
      <w:tr>
        <w:trPr>
          <w:trHeight w:val="220"/>
        </w:trPr>
        <w:tc>
          <w:tcPr>
            <w:tcW w:w="540" w:type="dxa"/>
            <w:vAlign w:val="bottom"/>
          </w:tcPr>
          <w:p>
            <w:pPr>
              <w:spacing w:after="0"/>
              <w:rPr>
                <w:sz w:val="19"/>
                <w:szCs w:val="19"/>
                <w:color w:val="auto"/>
              </w:rPr>
            </w:pPr>
          </w:p>
        </w:tc>
        <w:tc>
          <w:tcPr>
            <w:tcW w:w="10040" w:type="dxa"/>
            <w:vAlign w:val="bottom"/>
          </w:tcPr>
          <w:p>
            <w:pPr>
              <w:jc w:val="center"/>
              <w:ind w:right="1110"/>
              <w:spacing w:after="0"/>
              <w:rPr>
                <w:sz w:val="20"/>
                <w:szCs w:val="20"/>
                <w:color w:val="auto"/>
              </w:rPr>
            </w:pPr>
            <w:r>
              <w:rPr>
                <w:rFonts w:ascii="Arial" w:cs="Arial" w:eastAsia="Arial" w:hAnsi="Arial"/>
                <w:sz w:val="18"/>
                <w:szCs w:val="18"/>
                <w:b w:val="1"/>
                <w:bCs w:val="1"/>
                <w:color w:val="auto"/>
              </w:rPr>
              <w:t>ARTICLE II.</w:t>
            </w:r>
          </w:p>
        </w:tc>
      </w:tr>
      <w:tr>
        <w:trPr>
          <w:trHeight w:val="230"/>
        </w:trPr>
        <w:tc>
          <w:tcPr>
            <w:tcW w:w="540" w:type="dxa"/>
            <w:vAlign w:val="bottom"/>
          </w:tcPr>
          <w:p>
            <w:pPr>
              <w:spacing w:after="0"/>
              <w:rPr>
                <w:sz w:val="20"/>
                <w:szCs w:val="20"/>
                <w:color w:val="auto"/>
              </w:rPr>
            </w:pPr>
          </w:p>
        </w:tc>
        <w:tc>
          <w:tcPr>
            <w:tcW w:w="10040" w:type="dxa"/>
            <w:vAlign w:val="bottom"/>
          </w:tcPr>
          <w:p>
            <w:pPr>
              <w:jc w:val="center"/>
              <w:ind w:right="1110"/>
              <w:spacing w:after="0"/>
              <w:rPr>
                <w:sz w:val="20"/>
                <w:szCs w:val="20"/>
                <w:color w:val="auto"/>
              </w:rPr>
            </w:pPr>
            <w:r>
              <w:rPr>
                <w:rFonts w:ascii="Arial" w:cs="Arial" w:eastAsia="Arial" w:hAnsi="Arial"/>
                <w:sz w:val="18"/>
                <w:szCs w:val="18"/>
                <w:color w:val="auto"/>
                <w:w w:val="96"/>
              </w:rPr>
              <w:t>PURCHASE AND SALE</w:t>
            </w:r>
          </w:p>
        </w:tc>
      </w:tr>
      <w:tr>
        <w:trPr>
          <w:trHeight w:val="432"/>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2.1</w:t>
            </w:r>
          </w:p>
        </w:tc>
        <w:tc>
          <w:tcPr>
            <w:tcW w:w="10040" w:type="dxa"/>
            <w:vAlign w:val="bottom"/>
          </w:tcPr>
          <w:p>
            <w:pPr>
              <w:ind w:left="320"/>
              <w:spacing w:after="0"/>
              <w:rPr>
                <w:sz w:val="20"/>
                <w:szCs w:val="20"/>
                <w:color w:val="auto"/>
              </w:rPr>
            </w:pPr>
            <w:r>
              <w:rPr>
                <w:rFonts w:ascii="Arial" w:cs="Arial" w:eastAsia="Arial" w:hAnsi="Arial"/>
                <w:sz w:val="18"/>
                <w:szCs w:val="18"/>
                <w:u w:val="single" w:color="auto"/>
                <w:color w:val="auto"/>
                <w:w w:val="90"/>
              </w:rPr>
              <w:t>Closing.</w:t>
            </w:r>
            <w:r>
              <w:rPr>
                <w:rFonts w:ascii="Arial" w:cs="Arial" w:eastAsia="Arial" w:hAnsi="Arial"/>
                <w:sz w:val="18"/>
                <w:szCs w:val="18"/>
                <w:color w:val="auto"/>
                <w:w w:val="90"/>
              </w:rPr>
              <w:t xml:space="preserve"> On the Closing Date, upon the terms and subject to the conditions set forth herein, substantially concurrent with the execution</w:t>
            </w:r>
          </w:p>
        </w:tc>
      </w:tr>
    </w:tbl>
    <w:p>
      <w:pPr>
        <w:jc w:val="both"/>
        <w:spacing w:after="0" w:line="252" w:lineRule="auto"/>
        <w:rPr>
          <w:sz w:val="20"/>
          <w:szCs w:val="20"/>
          <w:color w:val="auto"/>
        </w:rPr>
      </w:pPr>
      <w:r>
        <w:rPr>
          <w:rFonts w:ascii="Arial" w:cs="Arial" w:eastAsia="Arial" w:hAnsi="Arial"/>
          <w:sz w:val="18"/>
          <w:szCs w:val="18"/>
          <w:color w:val="auto"/>
        </w:rPr>
        <w:t>and delivery of this Agreement by the parties hereto, the Company agrees to sell, and the Purchasers, severally and not jointly, agree to purchase, an aggregate of up to $1,790,000 of Shares and Pre-Funded Warrants. Each Purchaser’s Subscription Amount as set forth on the signature page hereto executed by such Purchaser shall be delivered to the Company in immediately available funds, and the Company shall deliver to each Purchaser its respective Shares and a Pre-Funded Warrant (if applicable), as determined pursuant to Section 2.2(a), and the Company and each Purchaser shall deliver the other items set forth in Section 2.2 deliverable at the Closing. Upon satisfaction of the covenants and conditions set forth in Sections 2.2 and 2.3, the Closing shall occur at such location as the parties shall mutually agree.</w:t>
      </w:r>
    </w:p>
    <w:p>
      <w:pPr>
        <w:spacing w:after="0" w:line="19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Deliveries</w:t>
      </w:r>
      <w:r>
        <w:rPr>
          <w:rFonts w:ascii="Arial" w:cs="Arial" w:eastAsia="Arial" w:hAnsi="Arial"/>
          <w:sz w:val="16"/>
          <w:szCs w:val="16"/>
          <w:color w:val="auto"/>
        </w:rPr>
        <w:t>.</w:t>
      </w:r>
    </w:p>
    <w:p>
      <w:pPr>
        <w:spacing w:after="0" w:line="225" w:lineRule="exact"/>
        <w:rPr>
          <w:sz w:val="20"/>
          <w:szCs w:val="20"/>
          <w:color w:val="auto"/>
        </w:rPr>
      </w:pPr>
    </w:p>
    <w:p>
      <w:pPr>
        <w:ind w:left="2180" w:hanging="876"/>
        <w:spacing w:after="0"/>
        <w:tabs>
          <w:tab w:leader="none" w:pos="2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or prior to the Closing Date, the Company shall deliver or cause to be delivered to each Purchaser the following:</w:t>
      </w:r>
    </w:p>
    <w:p>
      <w:pPr>
        <w:spacing w:after="0" w:line="236" w:lineRule="exact"/>
        <w:rPr>
          <w:rFonts w:ascii="Arial" w:cs="Arial" w:eastAsia="Arial" w:hAnsi="Arial"/>
          <w:sz w:val="17"/>
          <w:szCs w:val="17"/>
          <w:color w:val="auto"/>
        </w:rPr>
      </w:pPr>
    </w:p>
    <w:p>
      <w:pPr>
        <w:ind w:left="2760" w:hanging="808"/>
        <w:spacing w:after="0"/>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225" w:lineRule="exact"/>
        <w:rPr>
          <w:rFonts w:ascii="Arial" w:cs="Arial" w:eastAsia="Arial" w:hAnsi="Arial"/>
          <w:sz w:val="18"/>
          <w:szCs w:val="18"/>
          <w:color w:val="auto"/>
        </w:rPr>
      </w:pPr>
    </w:p>
    <w:p>
      <w:pPr>
        <w:ind w:left="1300" w:firstLine="652"/>
        <w:spacing w:after="0" w:line="277" w:lineRule="auto"/>
        <w:tabs>
          <w:tab w:leader="none" w:pos="2721" w:val="left"/>
        </w:tabs>
        <w:numPr>
          <w:ilvl w:val="1"/>
          <w:numId w:val="24"/>
        </w:numPr>
        <w:rPr>
          <w:rFonts w:ascii="Arial" w:cs="Arial" w:eastAsia="Arial" w:hAnsi="Arial"/>
          <w:sz w:val="18"/>
          <w:szCs w:val="18"/>
          <w:color w:val="auto"/>
        </w:rPr>
      </w:pPr>
      <w:r>
        <w:rPr>
          <w:rFonts w:ascii="Arial" w:cs="Arial" w:eastAsia="Arial" w:hAnsi="Arial"/>
          <w:sz w:val="18"/>
          <w:szCs w:val="18"/>
          <w:color w:val="auto"/>
        </w:rPr>
        <w:t>subject to the last sentence of Section 2.1, the Company shall have provided each Purchaser with the Company’s wire instructions, on Company letterhead and executed by the Chief Executive Officer or Chief Financial Officer;</w:t>
      </w:r>
    </w:p>
    <w:p>
      <w:pPr>
        <w:spacing w:after="0" w:line="170" w:lineRule="exact"/>
        <w:rPr>
          <w:rFonts w:ascii="Arial" w:cs="Arial" w:eastAsia="Arial" w:hAnsi="Arial"/>
          <w:sz w:val="18"/>
          <w:szCs w:val="18"/>
          <w:color w:val="auto"/>
        </w:rPr>
      </w:pPr>
    </w:p>
    <w:p>
      <w:pPr>
        <w:jc w:val="both"/>
        <w:ind w:left="1300" w:firstLine="652"/>
        <w:spacing w:after="0" w:line="259" w:lineRule="auto"/>
        <w:tabs>
          <w:tab w:leader="none" w:pos="2753" w:val="left"/>
        </w:tabs>
        <w:numPr>
          <w:ilvl w:val="1"/>
          <w:numId w:val="24"/>
        </w:numPr>
        <w:rPr>
          <w:rFonts w:ascii="Arial" w:cs="Arial" w:eastAsia="Arial" w:hAnsi="Arial"/>
          <w:sz w:val="18"/>
          <w:szCs w:val="18"/>
          <w:color w:val="auto"/>
        </w:rPr>
      </w:pPr>
      <w:r>
        <w:rPr>
          <w:rFonts w:ascii="Arial" w:cs="Arial" w:eastAsia="Arial" w:hAnsi="Arial"/>
          <w:sz w:val="18"/>
          <w:szCs w:val="18"/>
          <w:color w:val="auto"/>
        </w:rPr>
        <w:t>subject to the last sentence of Section 2.1, a copy of the irrevocable instructions to the Transfer Agent instructing the Transfer Agent to deliver on an expedited basis via The Depository Trust Company Deposit or Withdrawal at Custodian system (“</w:t>
      </w:r>
      <w:r>
        <w:rPr>
          <w:rFonts w:ascii="Arial" w:cs="Arial" w:eastAsia="Arial" w:hAnsi="Arial"/>
          <w:sz w:val="18"/>
          <w:szCs w:val="18"/>
          <w:u w:val="single" w:color="auto"/>
          <w:color w:val="auto"/>
        </w:rPr>
        <w:t>DWAC</w:t>
      </w:r>
      <w:r>
        <w:rPr>
          <w:rFonts w:ascii="Arial" w:cs="Arial" w:eastAsia="Arial" w:hAnsi="Arial"/>
          <w:sz w:val="18"/>
          <w:szCs w:val="18"/>
          <w:color w:val="auto"/>
        </w:rPr>
        <w:t>”) Shares equal to such Purchaser’s Subscription Amount divided by the Per Share Purchase Price, registered in the name of such Purchaser;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640" w:firstLine="652"/>
        <w:spacing w:after="0" w:line="308" w:lineRule="auto"/>
        <w:tabs>
          <w:tab w:leader="none" w:pos="2114" w:val="left"/>
        </w:tabs>
        <w:numPr>
          <w:ilvl w:val="1"/>
          <w:numId w:val="25"/>
        </w:numPr>
        <w:rPr>
          <w:rFonts w:ascii="Arial" w:cs="Arial" w:eastAsia="Arial" w:hAnsi="Arial"/>
          <w:sz w:val="17"/>
          <w:szCs w:val="17"/>
          <w:color w:val="auto"/>
        </w:rPr>
      </w:pPr>
      <w:r>
        <w:rPr>
          <w:rFonts w:ascii="Arial" w:cs="Arial" w:eastAsia="Arial" w:hAnsi="Arial"/>
          <w:sz w:val="17"/>
          <w:szCs w:val="17"/>
          <w:color w:val="auto"/>
        </w:rPr>
        <w:t>if applicable, a Pre-Funded Warrant registered in the name of such Purchaser to purchase up to a number of shares of Common Stock set forth in the Pre-Funded Warrants, with an exercise price equal to $0.01, subject to adjustment therein;</w:t>
      </w:r>
    </w:p>
    <w:p>
      <w:pPr>
        <w:spacing w:after="0" w:line="146" w:lineRule="exact"/>
        <w:rPr>
          <w:rFonts w:ascii="Arial" w:cs="Arial" w:eastAsia="Arial" w:hAnsi="Arial"/>
          <w:sz w:val="17"/>
          <w:szCs w:val="17"/>
          <w:color w:val="auto"/>
        </w:rPr>
      </w:pPr>
    </w:p>
    <w:p>
      <w:pPr>
        <w:ind w:left="2080" w:hanging="788"/>
        <w:spacing w:after="0"/>
        <w:tabs>
          <w:tab w:leader="none" w:pos="20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Prospectus and Prospectus Supplement (which may be delivered in accordance with Rule 172 under the Securities</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10" w:lineRule="exact"/>
        <w:rPr>
          <w:rFonts w:ascii="Arial" w:cs="Arial" w:eastAsia="Arial" w:hAnsi="Arial"/>
          <w:sz w:val="16"/>
          <w:szCs w:val="16"/>
          <w:color w:val="auto"/>
        </w:rPr>
      </w:pPr>
    </w:p>
    <w:p>
      <w:pPr>
        <w:ind w:left="1700" w:hanging="1056"/>
        <w:spacing w:after="0"/>
        <w:tabs>
          <w:tab w:leader="none" w:pos="1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or prior to the Closing Date, each Purchaser shall deliver or cause to be delivered to the Company, as applicable,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w:t>
      </w:r>
    </w:p>
    <w:p>
      <w:pPr>
        <w:spacing w:after="0" w:line="210" w:lineRule="exact"/>
        <w:rPr>
          <w:rFonts w:ascii="Arial" w:cs="Arial" w:eastAsia="Arial" w:hAnsi="Arial"/>
          <w:sz w:val="16"/>
          <w:szCs w:val="16"/>
          <w:color w:val="auto"/>
        </w:rPr>
      </w:pPr>
    </w:p>
    <w:p>
      <w:pPr>
        <w:ind w:left="2100" w:hanging="808"/>
        <w:spacing w:after="0"/>
        <w:tabs>
          <w:tab w:leader="none" w:pos="21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this Agreement duly executed by such Purchaser; and</w:t>
      </w:r>
    </w:p>
    <w:p>
      <w:pPr>
        <w:spacing w:after="0" w:line="225" w:lineRule="exact"/>
        <w:rPr>
          <w:rFonts w:ascii="Arial" w:cs="Arial" w:eastAsia="Arial" w:hAnsi="Arial"/>
          <w:sz w:val="18"/>
          <w:szCs w:val="18"/>
          <w:color w:val="auto"/>
        </w:rPr>
      </w:pPr>
    </w:p>
    <w:p>
      <w:pPr>
        <w:ind w:left="640" w:firstLine="652"/>
        <w:spacing w:after="0" w:line="277" w:lineRule="auto"/>
        <w:tabs>
          <w:tab w:leader="none" w:pos="2268"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such Purchaser’s Subscription Amount, which shall be made available for “Delivery Versus Payment” settlement with the Company or its designee.</w:t>
      </w:r>
    </w:p>
    <w:p>
      <w:pPr>
        <w:spacing w:after="0" w:line="17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Closing Conditions</w:t>
      </w:r>
      <w:r>
        <w:rPr>
          <w:rFonts w:ascii="Arial" w:cs="Arial" w:eastAsia="Arial" w:hAnsi="Arial"/>
          <w:sz w:val="16"/>
          <w:szCs w:val="16"/>
          <w:color w:val="auto"/>
        </w:rPr>
        <w:t>.</w:t>
      </w:r>
    </w:p>
    <w:p>
      <w:pPr>
        <w:spacing w:after="0" w:line="225" w:lineRule="exact"/>
        <w:rPr>
          <w:sz w:val="20"/>
          <w:szCs w:val="20"/>
          <w:color w:val="auto"/>
        </w:rPr>
      </w:pPr>
    </w:p>
    <w:p>
      <w:pPr>
        <w:ind w:left="1160" w:hanging="516"/>
        <w:spacing w:after="0"/>
        <w:tabs>
          <w:tab w:leader="none" w:pos="11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obligations of the Company hereunder in connection with the Closing are subject to the following conditions being met:</w:t>
      </w:r>
    </w:p>
    <w:p>
      <w:pPr>
        <w:spacing w:after="0" w:line="236" w:lineRule="exact"/>
        <w:rPr>
          <w:rFonts w:ascii="Arial" w:cs="Arial" w:eastAsia="Arial" w:hAnsi="Arial"/>
          <w:sz w:val="17"/>
          <w:szCs w:val="17"/>
          <w:color w:val="auto"/>
        </w:rPr>
      </w:pPr>
    </w:p>
    <w:p>
      <w:pPr>
        <w:jc w:val="both"/>
        <w:ind w:left="640" w:firstLine="652"/>
        <w:spacing w:after="0" w:line="286" w:lineRule="auto"/>
        <w:tabs>
          <w:tab w:leader="none" w:pos="2281"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as of such date);</w:t>
      </w:r>
    </w:p>
    <w:p>
      <w:pPr>
        <w:spacing w:after="0" w:line="165" w:lineRule="exact"/>
        <w:rPr>
          <w:rFonts w:ascii="Arial" w:cs="Arial" w:eastAsia="Arial" w:hAnsi="Arial"/>
          <w:sz w:val="17"/>
          <w:szCs w:val="17"/>
          <w:color w:val="auto"/>
        </w:rPr>
      </w:pPr>
    </w:p>
    <w:p>
      <w:pPr>
        <w:ind w:left="640" w:firstLine="652"/>
        <w:spacing w:after="0" w:line="277" w:lineRule="auto"/>
        <w:tabs>
          <w:tab w:leader="none" w:pos="2434"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obligations, covenants and agreements of each Purchaser under the Transaction Documents required to be performed at or prior to the Closing Date shall have been performed; and</w:t>
      </w:r>
    </w:p>
    <w:p>
      <w:pPr>
        <w:spacing w:after="0" w:line="170" w:lineRule="exact"/>
        <w:rPr>
          <w:rFonts w:ascii="Arial" w:cs="Arial" w:eastAsia="Arial" w:hAnsi="Arial"/>
          <w:sz w:val="18"/>
          <w:szCs w:val="18"/>
          <w:color w:val="auto"/>
        </w:rPr>
      </w:pPr>
    </w:p>
    <w:p>
      <w:pPr>
        <w:ind w:left="2140" w:hanging="848"/>
        <w:spacing w:after="0"/>
        <w:tabs>
          <w:tab w:leader="none" w:pos="2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delivery by each Purchaser of the items set forth in Section 2.2(b) of this Agreement.</w:t>
      </w:r>
    </w:p>
    <w:p>
      <w:pPr>
        <w:spacing w:after="0" w:line="225" w:lineRule="exact"/>
        <w:rPr>
          <w:rFonts w:ascii="Arial" w:cs="Arial" w:eastAsia="Arial" w:hAnsi="Arial"/>
          <w:sz w:val="18"/>
          <w:szCs w:val="18"/>
          <w:color w:val="auto"/>
        </w:rPr>
      </w:pPr>
    </w:p>
    <w:p>
      <w:pPr>
        <w:ind w:left="1540" w:hanging="896"/>
        <w:spacing w:after="0"/>
        <w:tabs>
          <w:tab w:leader="none" w:pos="1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respective obligations of the Purchasers hereunder in connection with the Closing are subject to the following conditions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being met:</w:t>
      </w:r>
    </w:p>
    <w:p>
      <w:pPr>
        <w:spacing w:after="0" w:line="210" w:lineRule="exact"/>
        <w:rPr>
          <w:rFonts w:ascii="Arial" w:cs="Arial" w:eastAsia="Arial" w:hAnsi="Arial"/>
          <w:sz w:val="16"/>
          <w:szCs w:val="16"/>
          <w:color w:val="auto"/>
        </w:rPr>
      </w:pPr>
    </w:p>
    <w:p>
      <w:pPr>
        <w:jc w:val="both"/>
        <w:ind w:left="640" w:firstLine="652"/>
        <w:spacing w:after="0" w:line="286" w:lineRule="auto"/>
        <w:tabs>
          <w:tab w:leader="none" w:pos="2313"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38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0" w:name="page31"/>
    <w:bookmarkEnd w:id="30"/>
    <w:p>
      <w:pPr>
        <w:ind w:left="1300" w:firstLine="652"/>
        <w:spacing w:after="0" w:line="277" w:lineRule="auto"/>
        <w:tabs>
          <w:tab w:leader="none" w:pos="311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obligations, covenants and agreements of the Company under the Transaction Documents required to be performed at or prior to the Closing Date shall have been performed;</w:t>
      </w:r>
    </w:p>
    <w:p>
      <w:pPr>
        <w:spacing w:after="0" w:line="170" w:lineRule="exact"/>
        <w:rPr>
          <w:rFonts w:ascii="Arial" w:cs="Arial" w:eastAsia="Arial" w:hAnsi="Arial"/>
          <w:sz w:val="18"/>
          <w:szCs w:val="18"/>
          <w:color w:val="auto"/>
        </w:rPr>
      </w:pPr>
    </w:p>
    <w:p>
      <w:pPr>
        <w:ind w:left="2760" w:hanging="808"/>
        <w:spacing w:after="0"/>
        <w:tabs>
          <w:tab w:leader="none" w:pos="2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2.2(a) of this Agreement;</w:t>
      </w:r>
    </w:p>
    <w:p>
      <w:pPr>
        <w:spacing w:after="0" w:line="225" w:lineRule="exact"/>
        <w:rPr>
          <w:rFonts w:ascii="Arial" w:cs="Arial" w:eastAsia="Arial" w:hAnsi="Arial"/>
          <w:sz w:val="18"/>
          <w:szCs w:val="18"/>
          <w:color w:val="auto"/>
        </w:rPr>
      </w:pPr>
    </w:p>
    <w:p>
      <w:pPr>
        <w:ind w:left="2760" w:hanging="808"/>
        <w:spacing w:after="0"/>
        <w:tabs>
          <w:tab w:leader="none" w:pos="2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shall have been no Material Adverse Effect with respect to the Company since the date hereof; and</w:t>
      </w:r>
    </w:p>
    <w:p>
      <w:pPr>
        <w:spacing w:after="0" w:line="225" w:lineRule="exact"/>
        <w:rPr>
          <w:rFonts w:ascii="Arial" w:cs="Arial" w:eastAsia="Arial" w:hAnsi="Arial"/>
          <w:sz w:val="18"/>
          <w:szCs w:val="18"/>
          <w:color w:val="auto"/>
        </w:rPr>
      </w:pPr>
    </w:p>
    <w:p>
      <w:pPr>
        <w:jc w:val="both"/>
        <w:ind w:left="1300" w:firstLine="652"/>
        <w:spacing w:after="0" w:line="291" w:lineRule="auto"/>
        <w:tabs>
          <w:tab w:leader="none" w:pos="2999" w:val="left"/>
        </w:tabs>
        <w:numPr>
          <w:ilvl w:val="0"/>
          <w:numId w:val="28"/>
        </w:numPr>
        <w:rPr>
          <w:rFonts w:ascii="Arial" w:cs="Arial" w:eastAsia="Arial" w:hAnsi="Arial"/>
          <w:sz w:val="16"/>
          <w:szCs w:val="16"/>
          <w:color w:val="auto"/>
        </w:rPr>
      </w:pPr>
      <w:r>
        <w:rPr>
          <w:rFonts w:ascii="Arial" w:cs="Arial" w:eastAsia="Arial" w:hAnsi="Arial"/>
          <w:sz w:val="16"/>
          <w:szCs w:val="16"/>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10000" w:type="dxa"/>
            <w:vAlign w:val="bottom"/>
          </w:tcPr>
          <w:p>
            <w:pPr>
              <w:jc w:val="center"/>
              <w:ind w:right="1150"/>
              <w:spacing w:after="0"/>
              <w:rPr>
                <w:sz w:val="20"/>
                <w:szCs w:val="20"/>
                <w:color w:val="auto"/>
              </w:rPr>
            </w:pPr>
            <w:r>
              <w:rPr>
                <w:rFonts w:ascii="Arial" w:cs="Arial" w:eastAsia="Arial" w:hAnsi="Arial"/>
                <w:sz w:val="18"/>
                <w:szCs w:val="18"/>
                <w:b w:val="1"/>
                <w:bCs w:val="1"/>
                <w:color w:val="auto"/>
              </w:rPr>
              <w:t>ARTICLE III.</w:t>
            </w:r>
          </w:p>
        </w:tc>
      </w:tr>
      <w:tr>
        <w:trPr>
          <w:trHeight w:val="230"/>
        </w:trPr>
        <w:tc>
          <w:tcPr>
            <w:tcW w:w="580" w:type="dxa"/>
            <w:vAlign w:val="bottom"/>
          </w:tcPr>
          <w:p>
            <w:pPr>
              <w:spacing w:after="0"/>
              <w:rPr>
                <w:sz w:val="20"/>
                <w:szCs w:val="20"/>
                <w:color w:val="auto"/>
              </w:rPr>
            </w:pPr>
          </w:p>
        </w:tc>
        <w:tc>
          <w:tcPr>
            <w:tcW w:w="10000" w:type="dxa"/>
            <w:vAlign w:val="bottom"/>
          </w:tcPr>
          <w:p>
            <w:pPr>
              <w:jc w:val="center"/>
              <w:ind w:right="1150"/>
              <w:spacing w:after="0"/>
              <w:rPr>
                <w:sz w:val="20"/>
                <w:szCs w:val="20"/>
                <w:color w:val="auto"/>
              </w:rPr>
            </w:pPr>
            <w:r>
              <w:rPr>
                <w:rFonts w:ascii="Arial" w:cs="Arial" w:eastAsia="Arial" w:hAnsi="Arial"/>
                <w:sz w:val="18"/>
                <w:szCs w:val="18"/>
                <w:color w:val="auto"/>
                <w:w w:val="95"/>
              </w:rPr>
              <w:t>REPRESENTATIONS AND WARRANTIES</w:t>
            </w:r>
          </w:p>
        </w:tc>
      </w:tr>
      <w:tr>
        <w:trPr>
          <w:trHeight w:val="432"/>
        </w:trPr>
        <w:tc>
          <w:tcPr>
            <w:tcW w:w="580" w:type="dxa"/>
            <w:vAlign w:val="bottom"/>
          </w:tcPr>
          <w:p>
            <w:pPr>
              <w:jc w:val="right"/>
              <w:ind w:right="270"/>
              <w:spacing w:after="0"/>
              <w:rPr>
                <w:sz w:val="20"/>
                <w:szCs w:val="20"/>
                <w:color w:val="auto"/>
              </w:rPr>
            </w:pPr>
            <w:r>
              <w:rPr>
                <w:rFonts w:ascii="Arial" w:cs="Arial" w:eastAsia="Arial" w:hAnsi="Arial"/>
                <w:sz w:val="18"/>
                <w:szCs w:val="18"/>
                <w:color w:val="auto"/>
                <w:w w:val="79"/>
              </w:rPr>
              <w:t>3.1</w:t>
            </w:r>
          </w:p>
        </w:tc>
        <w:tc>
          <w:tcPr>
            <w:tcW w:w="10000" w:type="dxa"/>
            <w:vAlign w:val="bottom"/>
          </w:tcPr>
          <w:p>
            <w:pPr>
              <w:ind w:left="380"/>
              <w:spacing w:after="0"/>
              <w:rPr>
                <w:sz w:val="20"/>
                <w:szCs w:val="20"/>
                <w:color w:val="auto"/>
              </w:rPr>
            </w:pPr>
            <w:r>
              <w:rPr>
                <w:rFonts w:ascii="Arial" w:cs="Arial" w:eastAsia="Arial" w:hAnsi="Arial"/>
                <w:sz w:val="18"/>
                <w:szCs w:val="18"/>
                <w:u w:val="single" w:color="auto"/>
                <w:color w:val="auto"/>
                <w:w w:val="91"/>
              </w:rPr>
              <w:t>Representations and Warranties of the Company</w:t>
            </w:r>
            <w:r>
              <w:rPr>
                <w:rFonts w:ascii="Arial" w:cs="Arial" w:eastAsia="Arial" w:hAnsi="Arial"/>
                <w:sz w:val="18"/>
                <w:szCs w:val="18"/>
                <w:color w:val="auto"/>
                <w:w w:val="91"/>
              </w:rPr>
              <w:t>. Except as set forth in the SEC Reports (other than with respect to Sections 3.1(b),</w:t>
            </w:r>
          </w:p>
        </w:tc>
      </w:tr>
    </w:tbl>
    <w:p>
      <w:pPr>
        <w:jc w:val="both"/>
        <w:spacing w:after="0" w:line="255" w:lineRule="auto"/>
        <w:rPr>
          <w:sz w:val="20"/>
          <w:szCs w:val="20"/>
          <w:color w:val="auto"/>
        </w:rPr>
      </w:pPr>
      <w:r>
        <w:rPr>
          <w:rFonts w:ascii="Arial" w:cs="Arial" w:eastAsia="Arial" w:hAnsi="Arial"/>
          <w:sz w:val="18"/>
          <w:szCs w:val="18"/>
          <w:color w:val="auto"/>
        </w:rPr>
        <w:t>3.1(c), 3.1(d), 3.1(e) and 3.1(g)) or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w:t>
      </w:r>
    </w:p>
    <w:p>
      <w:pPr>
        <w:spacing w:after="0" w:line="190" w:lineRule="exact"/>
        <w:rPr>
          <w:sz w:val="20"/>
          <w:szCs w:val="20"/>
          <w:color w:val="auto"/>
        </w:rPr>
      </w:pPr>
    </w:p>
    <w:p>
      <w:pPr>
        <w:jc w:val="both"/>
        <w:ind w:left="660" w:firstLine="644"/>
        <w:spacing w:after="0" w:line="259" w:lineRule="auto"/>
        <w:tabs>
          <w:tab w:leader="none" w:pos="2209"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All of the direct and indirect subsidiaries of the Company are set forth on </w:t>
      </w:r>
      <w:r>
        <w:rPr>
          <w:rFonts w:ascii="Arial" w:cs="Arial" w:eastAsia="Arial" w:hAnsi="Arial"/>
          <w:sz w:val="18"/>
          <w:szCs w:val="18"/>
          <w:u w:val="single" w:color="auto"/>
          <w:color w:val="auto"/>
        </w:rPr>
        <w:t>Schedule 3.1(a)</w:t>
      </w:r>
      <w:r>
        <w:rPr>
          <w:rFonts w:ascii="Arial" w:cs="Arial" w:eastAsia="Arial" w:hAnsi="Arial"/>
          <w:sz w:val="18"/>
          <w:szCs w:val="18"/>
          <w:color w:val="auto"/>
        </w:rPr>
        <w:t>. The Company owns, directly or indirectly, all or a majority of the capital stock or other equity interests of each Subsidiary free and clear of any Liens other than Permitted Liens, and all of the issued and outstanding shares of capital stock of each Subsidiary are validly issued and are fully paid, non-assessable and free of preemptive and similar rights to subscribe for or purchase securities.</w:t>
      </w:r>
    </w:p>
    <w:p>
      <w:pPr>
        <w:spacing w:after="0" w:line="186" w:lineRule="exact"/>
        <w:rPr>
          <w:rFonts w:ascii="Arial" w:cs="Arial" w:eastAsia="Arial" w:hAnsi="Arial"/>
          <w:sz w:val="18"/>
          <w:szCs w:val="18"/>
          <w:color w:val="auto"/>
        </w:rPr>
      </w:pPr>
    </w:p>
    <w:p>
      <w:pPr>
        <w:jc w:val="both"/>
        <w:ind w:left="660" w:firstLine="644"/>
        <w:spacing w:after="0" w:line="259" w:lineRule="auto"/>
        <w:tabs>
          <w:tab w:leader="none" w:pos="2273"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The Company and each of the Subsidiaries is an entity duly incorporated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ind w:left="-460" w:firstLine="644"/>
        <w:spacing w:after="0" w:line="287" w:lineRule="auto"/>
        <w:tabs>
          <w:tab w:leader="none" w:pos="1116"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w:t>
      </w:r>
      <w:r>
        <w:rPr>
          <w:rFonts w:ascii="Arial" w:cs="Arial" w:eastAsia="Arial" w:hAnsi="Arial"/>
          <w:sz w:val="16"/>
          <w:szCs w:val="16"/>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71" w:lineRule="exact"/>
        <w:rPr>
          <w:rFonts w:ascii="Arial" w:cs="Arial" w:eastAsia="Arial" w:hAnsi="Arial"/>
          <w:sz w:val="16"/>
          <w:szCs w:val="16"/>
          <w:color w:val="auto"/>
        </w:rPr>
      </w:pPr>
    </w:p>
    <w:p>
      <w:pPr>
        <w:jc w:val="both"/>
        <w:ind w:left="-460" w:firstLine="644"/>
        <w:spacing w:after="0" w:line="268" w:lineRule="auto"/>
        <w:tabs>
          <w:tab w:leader="none" w:pos="1369"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xml:space="preserve">.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(ii) except as set forth on </w:t>
      </w:r>
      <w:r>
        <w:rPr>
          <w:rFonts w:ascii="Arial" w:cs="Arial" w:eastAsia="Arial" w:hAnsi="Arial"/>
          <w:sz w:val="17"/>
          <w:szCs w:val="17"/>
          <w:u w:val="single" w:color="auto"/>
          <w:color w:val="auto"/>
        </w:rPr>
        <w:t>Schedule 3.1(d)</w:t>
      </w:r>
      <w:r>
        <w:rPr>
          <w:rFonts w:ascii="Arial" w:cs="Arial" w:eastAsia="Arial" w:hAnsi="Arial"/>
          <w:sz w:val="17"/>
          <w:szCs w:val="17"/>
          <w:color w:val="auto"/>
        </w:rPr>
        <w:t>,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a material adverse effect on the legality, validity or enforceability of any Transaction Document, B) a material adverse effect on the results of operations, assets, business, prospects or condition (financial or otherwise) of the Company and the Subsidiaries, taken as a whole, or (C) a material adverse effect on the Company’s ability to perform in any material respect on a timely basis its obligations under any Transaction Document (any of (A), (B) or (C), a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w:t>
      </w:r>
    </w:p>
    <w:p>
      <w:pPr>
        <w:spacing w:after="0" w:line="39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2" w:name="page33"/>
    <w:bookmarkEnd w:id="32"/>
    <w:p>
      <w:pPr>
        <w:jc w:val="both"/>
        <w:ind w:left="-460" w:firstLine="644"/>
        <w:spacing w:after="0" w:line="293" w:lineRule="auto"/>
        <w:tabs>
          <w:tab w:leader="none" w:pos="1103"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Filings, Consents and Approvals</w:t>
      </w:r>
      <w:r>
        <w:rPr>
          <w:rFonts w:ascii="Arial" w:cs="Arial" w:eastAsia="Arial" w:hAnsi="Arial"/>
          <w:sz w:val="16"/>
          <w:szCs w:val="16"/>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and Pre-Funded Warrant Shares for trading thereon in the time and manner required thereby, and (iv) such filings as are required to be made under applicable state securities laws (collectively, the “</w:t>
      </w:r>
      <w:r>
        <w:rPr>
          <w:rFonts w:ascii="Arial" w:cs="Arial" w:eastAsia="Arial" w:hAnsi="Arial"/>
          <w:sz w:val="16"/>
          <w:szCs w:val="16"/>
          <w:u w:val="single" w:color="auto"/>
          <w:color w:val="auto"/>
        </w:rPr>
        <w:t>Required Approvals</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jc w:val="both"/>
        <w:ind w:left="-460" w:firstLine="644"/>
        <w:spacing w:after="0" w:line="284" w:lineRule="auto"/>
        <w:tabs>
          <w:tab w:leader="none" w:pos="1101"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Issuance of the Securities; Registration</w:t>
      </w:r>
      <w:r>
        <w:rPr>
          <w:rFonts w:ascii="Arial" w:cs="Arial" w:eastAsia="Arial" w:hAnsi="Arial"/>
          <w:sz w:val="16"/>
          <w:szCs w:val="16"/>
          <w:color w:val="auto"/>
        </w:rPr>
        <w:t>. The Shares are duly authorized and, when issued and paid for in accordance with the applicable Transaction Documents, will be duly and validly issued, fully paid and nonassessable, free and clear of all Liens imposed by the Company. The Pre-Funded Warrant Shares, when issued in accordance with the terms of the Pre-Funded Warrants, will be validly issued, fully paid and nonassessable, free and clear of all Liens imposed by the Company. The Company has reserved from its duly authorized capital stock the maximum number of shares of Common Stock issuable pursuant to this Agreement. The Company has prepared and filed the Registration Statement in conformity with the requirements of the Securities Act, which became effective on July 30, 2019,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(12) months prior to this offering, as set forth in General Instruction I.B.6 of Form S-3.</w:t>
      </w:r>
    </w:p>
    <w:p>
      <w:pPr>
        <w:spacing w:after="0" w:line="3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3" w:name="page34"/>
    <w:bookmarkEnd w:id="33"/>
    <w:p>
      <w:pPr>
        <w:jc w:val="both"/>
        <w:ind w:left="-460" w:firstLine="644"/>
        <w:spacing w:after="0" w:line="284" w:lineRule="auto"/>
        <w:tabs>
          <w:tab w:leader="none" w:pos="1207"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xml:space="preserve">. The capitalization of the Company as of the date hereof is as set forth on </w:t>
      </w:r>
      <w:r>
        <w:rPr>
          <w:rFonts w:ascii="Arial" w:cs="Arial" w:eastAsia="Arial" w:hAnsi="Arial"/>
          <w:sz w:val="16"/>
          <w:szCs w:val="16"/>
          <w:u w:val="single" w:color="auto"/>
          <w:color w:val="auto"/>
        </w:rPr>
        <w:t>Schedule 3.1(g)</w:t>
      </w:r>
      <w:r>
        <w:rPr>
          <w:rFonts w:ascii="Arial" w:cs="Arial" w:eastAsia="Arial" w:hAnsi="Arial"/>
          <w:sz w:val="16"/>
          <w:szCs w:val="16"/>
          <w:color w:val="auto"/>
        </w:rPr>
        <w:t xml:space="preserve">, which Schedule 3.1(g) shall also include the number of shares of Common Stock owned beneficially, and of record, by Affiliates of the Company as of the date hereof. The Company has not issued any capital stock since its most recently filed periodic report under the Exchange Act, other than (i) pursuant to the exercise of employee stock options under the Company’s stock option plans, (ii) the issuance of shares of Common Stock to employees pursuant to the Company’s employee stock purchase plans, (iii) pursuant to the conversion and/or exercise of Common Stock Equivalents outstanding as of the date of the most recently filed periodic report under the Exchange Act and (iv) as the payment of interest with respect to outstanding indebtedness. No Person has any right of first refusal, preemptive right, right of participation, or any similar right to participate in the transactions contemplated by the Transaction Documents. Except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Except as set forth on </w:t>
      </w:r>
      <w:r>
        <w:rPr>
          <w:rFonts w:ascii="Arial" w:cs="Arial" w:eastAsia="Arial" w:hAnsi="Arial"/>
          <w:sz w:val="16"/>
          <w:szCs w:val="16"/>
          <w:u w:val="single" w:color="auto"/>
          <w:color w:val="auto"/>
        </w:rPr>
        <w:t>Schedule 3.1(g)</w:t>
      </w:r>
      <w:r>
        <w:rPr>
          <w:rFonts w:ascii="Arial" w:cs="Arial" w:eastAsia="Arial" w:hAnsi="Arial"/>
          <w:sz w:val="16"/>
          <w:szCs w:val="16"/>
          <w:color w:val="auto"/>
        </w:rPr>
        <w:t xml:space="preserve">,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material compliance with all federal and state securities laws, and none of such outstanding shares was issued in violation of any preemptive rights or similar rights to subscribe for or purchase securities. Except as contemplated by </w:t>
      </w:r>
      <w:r>
        <w:rPr>
          <w:rFonts w:ascii="Arial" w:cs="Arial" w:eastAsia="Arial" w:hAnsi="Arial"/>
          <w:sz w:val="16"/>
          <w:szCs w:val="16"/>
          <w:u w:val="single" w:color="auto"/>
          <w:color w:val="auto"/>
        </w:rPr>
        <w:t>Section 3.1(e)</w:t>
      </w:r>
      <w:r>
        <w:rPr>
          <w:rFonts w:ascii="Arial" w:cs="Arial" w:eastAsia="Arial" w:hAnsi="Arial"/>
          <w:sz w:val="16"/>
          <w:szCs w:val="16"/>
          <w:color w:val="auto"/>
        </w:rPr>
        <w:t>,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394" w:lineRule="exact"/>
        <w:rPr>
          <w:rFonts w:ascii="Arial" w:cs="Arial" w:eastAsia="Arial" w:hAnsi="Arial"/>
          <w:sz w:val="16"/>
          <w:szCs w:val="16"/>
          <w:color w:val="auto"/>
        </w:rPr>
      </w:pPr>
    </w:p>
    <w:p>
      <w:pPr>
        <w:jc w:val="both"/>
        <w:ind w:left="-460" w:firstLine="644"/>
        <w:spacing w:after="0" w:line="285" w:lineRule="auto"/>
        <w:tabs>
          <w:tab w:leader="none" w:pos="1207"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SEC Reports; Financial Statements</w:t>
      </w:r>
      <w:r>
        <w:rPr>
          <w:rFonts w:ascii="Arial" w:cs="Arial" w:eastAsia="Arial" w:hAnsi="Arial"/>
          <w:sz w:val="16"/>
          <w:szCs w:val="16"/>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Arial" w:cs="Arial" w:eastAsia="Arial" w:hAnsi="Arial"/>
          <w:sz w:val="16"/>
          <w:szCs w:val="16"/>
          <w:u w:val="single" w:color="auto"/>
          <w:color w:val="auto"/>
        </w:rPr>
        <w:t>SEC 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Arial" w:cs="Arial" w:eastAsia="Arial" w:hAnsi="Arial"/>
          <w:sz w:val="16"/>
          <w:szCs w:val="16"/>
          <w:u w:val="single" w:color="auto"/>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3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4" w:name="page35"/>
    <w:bookmarkEnd w:id="34"/>
    <w:p>
      <w:pPr>
        <w:jc w:val="both"/>
        <w:ind w:left="4" w:firstLine="644"/>
        <w:spacing w:after="0" w:line="285" w:lineRule="auto"/>
        <w:tabs>
          <w:tab w:leader="none" w:pos="1613"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Material Changes; Undisclosed Events, Liabilities or Developments</w:t>
      </w:r>
      <w:r>
        <w:rPr>
          <w:rFonts w:ascii="Arial" w:cs="Arial" w:eastAsia="Arial" w:hAnsi="Arial"/>
          <w:sz w:val="16"/>
          <w:szCs w:val="16"/>
          <w:color w:val="auto"/>
        </w:rPr>
        <w:t xml:space="preserve">. Since the date of the latest audited financial statements included within the SEC Reports, except as set forth on </w:t>
      </w:r>
      <w:r>
        <w:rPr>
          <w:rFonts w:ascii="Arial" w:cs="Arial" w:eastAsia="Arial" w:hAnsi="Arial"/>
          <w:sz w:val="16"/>
          <w:szCs w:val="16"/>
          <w:u w:val="single" w:color="auto"/>
          <w:color w:val="auto"/>
        </w:rPr>
        <w:t>Schedule 3.1(i)</w:t>
      </w:r>
      <w:r>
        <w:rPr>
          <w:rFonts w:ascii="Arial" w:cs="Arial" w:eastAsia="Arial" w:hAnsi="Arial"/>
          <w:sz w:val="16"/>
          <w:szCs w:val="16"/>
          <w:color w:val="auto"/>
        </w:rPr>
        <w:t>, (i) there has been no event, occurrence or development that has had or that could reasonably be expected to result in a Material Adverse Effect, (ii) the Company has not incurred any material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w:t>
      </w:r>
    </w:p>
    <w:p>
      <w:pPr>
        <w:spacing w:after="0" w:line="1" w:lineRule="exact"/>
        <w:rPr>
          <w:rFonts w:ascii="Arial" w:cs="Arial" w:eastAsia="Arial" w:hAnsi="Arial"/>
          <w:sz w:val="16"/>
          <w:szCs w:val="16"/>
          <w:color w:val="auto"/>
        </w:rPr>
      </w:pPr>
    </w:p>
    <w:p>
      <w:pPr>
        <w:jc w:val="both"/>
        <w:ind w:left="4" w:hanging="4"/>
        <w:spacing w:after="0" w:line="251" w:lineRule="auto"/>
        <w:tabs>
          <w:tab w:leader="none" w:pos="3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as set forth on </w:t>
      </w:r>
      <w:r>
        <w:rPr>
          <w:rFonts w:ascii="Arial" w:cs="Arial" w:eastAsia="Arial" w:hAnsi="Arial"/>
          <w:sz w:val="18"/>
          <w:szCs w:val="18"/>
          <w:u w:val="single" w:color="auto"/>
          <w:color w:val="auto"/>
        </w:rPr>
        <w:t>Schedule 3.1(i)</w:t>
      </w:r>
      <w:r>
        <w:rPr>
          <w:rFonts w:ascii="Arial" w:cs="Arial" w:eastAsia="Arial" w:hAnsi="Arial"/>
          <w:sz w:val="18"/>
          <w:szCs w:val="18"/>
          <w:color w:val="auto"/>
        </w:rPr>
        <w: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97" w:lineRule="exact"/>
        <w:rPr>
          <w:rFonts w:ascii="Arial" w:cs="Arial" w:eastAsia="Arial" w:hAnsi="Arial"/>
          <w:sz w:val="18"/>
          <w:szCs w:val="18"/>
          <w:color w:val="auto"/>
        </w:rPr>
      </w:pPr>
    </w:p>
    <w:p>
      <w:pPr>
        <w:jc w:val="both"/>
        <w:ind w:left="4" w:firstLine="644"/>
        <w:spacing w:after="0" w:line="288" w:lineRule="auto"/>
        <w:tabs>
          <w:tab w:leader="none" w:pos="1654"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6"/>
          <w:szCs w:val="16"/>
          <w:u w:val="single" w:color="auto"/>
          <w:color w:val="auto"/>
        </w:rPr>
        <w:t>Action</w:t>
      </w:r>
      <w:r>
        <w:rPr>
          <w:rFonts w:ascii="Arial" w:cs="Arial" w:eastAsia="Arial" w:hAnsi="Arial"/>
          <w:sz w:val="16"/>
          <w:szCs w:val="16"/>
          <w:color w:val="auto"/>
        </w:rPr>
        <w:t xml:space="preserve">”) which (i) adversely affects or challenges the legality, validity or enforceability of any of the Transaction Documents or the Securities or (ii) except as set forth in </w:t>
      </w:r>
      <w:r>
        <w:rPr>
          <w:rFonts w:ascii="Arial" w:cs="Arial" w:eastAsia="Arial" w:hAnsi="Arial"/>
          <w:sz w:val="16"/>
          <w:szCs w:val="16"/>
          <w:u w:val="single" w:color="auto"/>
          <w:color w:val="auto"/>
        </w:rPr>
        <w:t>Schedule 3.1(j)</w:t>
      </w:r>
      <w:r>
        <w:rPr>
          <w:rFonts w:ascii="Arial" w:cs="Arial" w:eastAsia="Arial" w:hAnsi="Arial"/>
          <w:sz w:val="16"/>
          <w:szCs w:val="16"/>
          <w:color w:val="auto"/>
        </w:rPr>
        <w:t>, could, if there were an unfavorable decision, have or reasonably be expected to result in a Material Adverse Effect. Neither the Company nor any Subsidiary, nor, to the Company’s knowledge,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to the Company’s knowledge,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38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5" w:name="page36"/>
    <w:bookmarkEnd w:id="35"/>
    <w:p>
      <w:pPr>
        <w:jc w:val="both"/>
        <w:ind w:left="-460" w:firstLine="644"/>
        <w:spacing w:after="0" w:line="287" w:lineRule="auto"/>
        <w:tabs>
          <w:tab w:leader="none" w:pos="1342"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Labor Relations</w:t>
      </w:r>
      <w:r>
        <w:rPr>
          <w:rFonts w:ascii="Arial" w:cs="Arial" w:eastAsia="Arial" w:hAnsi="Arial"/>
          <w:sz w:val="16"/>
          <w:szCs w:val="16"/>
          <w:color w:val="auto"/>
        </w:rPr>
        <w:t xml:space="preserve">. No labor dispute exists or, to the knowledge of the Company, is imminent with respect to any of the employees of the Company, which could reasonably be expected to result in a Material Adverse Effect. Except as disclosed on </w:t>
      </w:r>
      <w:r>
        <w:rPr>
          <w:rFonts w:ascii="Arial" w:cs="Arial" w:eastAsia="Arial" w:hAnsi="Arial"/>
          <w:sz w:val="16"/>
          <w:szCs w:val="16"/>
          <w:u w:val="single" w:color="auto"/>
          <w:color w:val="auto"/>
        </w:rPr>
        <w:t>Section 3.1(k)</w:t>
      </w:r>
      <w:r>
        <w:rPr>
          <w:rFonts w:ascii="Arial" w:cs="Arial" w:eastAsia="Arial" w:hAnsi="Arial"/>
          <w:sz w:val="16"/>
          <w:szCs w:val="16"/>
          <w:color w:val="auto"/>
        </w:rPr>
        <w:t xml:space="preserve"> of the Disclosure Schedules,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71" w:lineRule="exact"/>
        <w:rPr>
          <w:rFonts w:ascii="Arial" w:cs="Arial" w:eastAsia="Arial" w:hAnsi="Arial"/>
          <w:sz w:val="16"/>
          <w:szCs w:val="16"/>
          <w:color w:val="auto"/>
        </w:rPr>
      </w:pPr>
    </w:p>
    <w:p>
      <w:pPr>
        <w:jc w:val="both"/>
        <w:ind w:left="-460" w:firstLine="644"/>
        <w:spacing w:after="0" w:line="270" w:lineRule="auto"/>
        <w:tabs>
          <w:tab w:leader="none" w:pos="1284"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Compliance</w:t>
      </w:r>
      <w:r>
        <w:rPr>
          <w:rFonts w:ascii="Arial" w:cs="Arial" w:eastAsia="Arial" w:hAnsi="Arial"/>
          <w:sz w:val="17"/>
          <w:szCs w:val="17"/>
          <w:color w:val="auto"/>
        </w:rPr>
        <w:t xml:space="preserve">. To the Company’s knowledge, neither the Company nor any Subsidiary: (i) except as set forth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3.1(l)(i)</w:t>
      </w:r>
      <w:r>
        <w:rPr>
          <w:rFonts w:ascii="Arial" w:cs="Arial" w:eastAsia="Arial" w:hAnsi="Arial"/>
          <w:sz w:val="17"/>
          <w:szCs w:val="17"/>
          <w:color w:val="auto"/>
        </w:rPr>
        <w:t xml:space="preserve"> of the Disclosure Schedules,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180" w:lineRule="exact"/>
        <w:rPr>
          <w:rFonts w:ascii="Arial" w:cs="Arial" w:eastAsia="Arial" w:hAnsi="Arial"/>
          <w:sz w:val="17"/>
          <w:szCs w:val="17"/>
          <w:color w:val="auto"/>
        </w:rPr>
      </w:pPr>
    </w:p>
    <w:p>
      <w:pPr>
        <w:jc w:val="both"/>
        <w:ind w:left="-460" w:firstLine="644"/>
        <w:spacing w:after="0" w:line="269" w:lineRule="auto"/>
        <w:tabs>
          <w:tab w:leader="none" w:pos="1127"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Environmental Laws</w:t>
      </w:r>
      <w:r>
        <w:rPr>
          <w:rFonts w:ascii="Arial" w:cs="Arial" w:eastAsia="Arial" w:hAnsi="Arial"/>
          <w:sz w:val="17"/>
          <w:szCs w:val="17"/>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Arial" w:cs="Arial" w:eastAsia="Arial" w:hAnsi="Arial"/>
          <w:sz w:val="17"/>
          <w:szCs w:val="17"/>
          <w:u w:val="single" w:color="auto"/>
          <w:color w:val="auto"/>
        </w:rPr>
        <w:t>Hazardous Materials</w:t>
      </w:r>
      <w:r>
        <w:rPr>
          <w:rFonts w:ascii="Arial" w:cs="Arial" w:eastAsia="Arial" w:hAnsi="Arial"/>
          <w:sz w:val="17"/>
          <w:szCs w:val="17"/>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6" w:name="page37"/>
    <w:bookmarkEnd w:id="36"/>
    <w:p>
      <w:pPr>
        <w:jc w:val="both"/>
        <w:ind w:left="-460" w:firstLine="644"/>
        <w:spacing w:after="0" w:line="301" w:lineRule="auto"/>
        <w:tabs>
          <w:tab w:leader="none" w:pos="1275"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Regulatory Permits</w:t>
      </w:r>
      <w:r>
        <w:rPr>
          <w:rFonts w:ascii="Arial" w:cs="Arial" w:eastAsia="Arial" w:hAnsi="Arial"/>
          <w:sz w:val="16"/>
          <w:szCs w:val="16"/>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Arial" w:cs="Arial" w:eastAsia="Arial" w:hAnsi="Arial"/>
          <w:sz w:val="16"/>
          <w:szCs w:val="16"/>
          <w:u w:val="single" w:color="auto"/>
          <w:color w:val="auto"/>
        </w:rPr>
        <w:t>Material Permits</w:t>
      </w:r>
      <w:r>
        <w:rPr>
          <w:rFonts w:ascii="Arial" w:cs="Arial" w:eastAsia="Arial" w:hAnsi="Arial"/>
          <w:sz w:val="16"/>
          <w:szCs w:val="16"/>
          <w:color w:val="auto"/>
        </w:rPr>
        <w:t>”), and neither the Company nor any Subsidiary has received any notice of proceedings relating to the revocation or modification of any Material Permit.</w:t>
      </w:r>
    </w:p>
    <w:p>
      <w:pPr>
        <w:spacing w:after="0" w:line="157" w:lineRule="exact"/>
        <w:rPr>
          <w:rFonts w:ascii="Arial" w:cs="Arial" w:eastAsia="Arial" w:hAnsi="Arial"/>
          <w:sz w:val="16"/>
          <w:szCs w:val="16"/>
          <w:color w:val="auto"/>
        </w:rPr>
      </w:pPr>
    </w:p>
    <w:p>
      <w:pPr>
        <w:jc w:val="both"/>
        <w:ind w:left="-460" w:firstLine="644"/>
        <w:spacing w:after="0" w:line="291" w:lineRule="auto"/>
        <w:tabs>
          <w:tab w:leader="none" w:pos="1086"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Title to Assets</w:t>
      </w:r>
      <w:r>
        <w:rPr>
          <w:rFonts w:ascii="Arial" w:cs="Arial" w:eastAsia="Arial" w:hAnsi="Arial"/>
          <w:sz w:val="16"/>
          <w:szCs w:val="16"/>
          <w:color w:val="auto"/>
        </w:rPr>
        <w:t>. The Company and the Subsidiaries have good and marketable title in fee simple to all real property owned by them and good and marketable title in all personal property (if any) owned by them that is material to the business of the Company and the Subsidiaries, in each case free and clear of all Liens except for Permitted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66" w:lineRule="exact"/>
        <w:rPr>
          <w:rFonts w:ascii="Arial" w:cs="Arial" w:eastAsia="Arial" w:hAnsi="Arial"/>
          <w:sz w:val="16"/>
          <w:szCs w:val="16"/>
          <w:color w:val="auto"/>
        </w:rPr>
      </w:pPr>
    </w:p>
    <w:p>
      <w:pPr>
        <w:jc w:val="both"/>
        <w:ind w:left="-460" w:firstLine="644"/>
        <w:spacing w:after="0" w:line="287" w:lineRule="auto"/>
        <w:tabs>
          <w:tab w:leader="none" w:pos="141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3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7" w:name="page38"/>
    <w:bookmarkEnd w:id="37"/>
    <w:p>
      <w:pPr>
        <w:jc w:val="both"/>
        <w:ind w:left="-460" w:firstLine="644"/>
        <w:spacing w:after="0" w:line="296" w:lineRule="auto"/>
        <w:tabs>
          <w:tab w:leader="none" w:pos="1275"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61" w:lineRule="exact"/>
        <w:rPr>
          <w:rFonts w:ascii="Arial" w:cs="Arial" w:eastAsia="Arial" w:hAnsi="Arial"/>
          <w:sz w:val="16"/>
          <w:szCs w:val="16"/>
          <w:color w:val="auto"/>
        </w:rPr>
      </w:pPr>
    </w:p>
    <w:p>
      <w:pPr>
        <w:jc w:val="both"/>
        <w:ind w:left="-460" w:firstLine="644"/>
        <w:spacing w:after="0" w:line="270" w:lineRule="auto"/>
        <w:tabs>
          <w:tab w:leader="none" w:pos="1182"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Transactions With Affiliates and Employees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3.1(r)</w:t>
      </w:r>
      <w:r>
        <w:rPr>
          <w:rFonts w:ascii="Arial" w:cs="Arial" w:eastAsia="Arial" w:hAnsi="Arial"/>
          <w:sz w:val="17"/>
          <w:szCs w:val="17"/>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or any Subsidiary and (iii) other employee benefits, including stock option agreements under any stock option plan of the Company.</w:t>
      </w:r>
    </w:p>
    <w:p>
      <w:pPr>
        <w:spacing w:after="0" w:line="180" w:lineRule="exact"/>
        <w:rPr>
          <w:rFonts w:ascii="Arial" w:cs="Arial" w:eastAsia="Arial" w:hAnsi="Arial"/>
          <w:sz w:val="17"/>
          <w:szCs w:val="17"/>
          <w:color w:val="auto"/>
        </w:rPr>
      </w:pPr>
    </w:p>
    <w:p>
      <w:pPr>
        <w:jc w:val="both"/>
        <w:ind w:left="-460" w:firstLine="644"/>
        <w:spacing w:after="0" w:line="285" w:lineRule="auto"/>
        <w:tabs>
          <w:tab w:leader="none" w:pos="1165"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Sarbanes-Oxley; Internal Accounting Controls</w:t>
      </w:r>
      <w:r>
        <w:rPr>
          <w:rFonts w:ascii="Arial" w:cs="Arial" w:eastAsia="Arial" w:hAnsi="Arial"/>
          <w:sz w:val="16"/>
          <w:szCs w:val="16"/>
          <w:color w:val="auto"/>
        </w:rPr>
        <w:t>. The Company and the Subsidiaries are in material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Arial" w:cs="Arial" w:eastAsia="Arial" w:hAnsi="Arial"/>
          <w:sz w:val="16"/>
          <w:szCs w:val="16"/>
          <w:u w:val="single" w:color="auto"/>
          <w:color w:val="auto"/>
        </w:rPr>
        <w:t>Evaluation Date</w:t>
      </w:r>
      <w:r>
        <w:rPr>
          <w:rFonts w:ascii="Arial" w:cs="Arial" w:eastAsia="Arial" w:hAnsi="Arial"/>
          <w:sz w:val="16"/>
          <w:szCs w:val="16"/>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39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8" w:name="page39"/>
    <w:bookmarkEnd w:id="38"/>
    <w:p>
      <w:pPr>
        <w:jc w:val="both"/>
        <w:ind w:left="-460" w:firstLine="644"/>
        <w:spacing w:after="0" w:line="296" w:lineRule="auto"/>
        <w:tabs>
          <w:tab w:leader="none" w:pos="1365"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Certain Fees</w:t>
      </w:r>
      <w:r>
        <w:rPr>
          <w:rFonts w:ascii="Arial" w:cs="Arial" w:eastAsia="Arial" w:hAnsi="Arial"/>
          <w:sz w:val="16"/>
          <w:szCs w:val="16"/>
          <w:color w:val="auto"/>
        </w:rPr>
        <w:t xml:space="preserve">. Except as set forth in the Prospectus Supplement and on </w:t>
      </w:r>
      <w:r>
        <w:rPr>
          <w:rFonts w:ascii="Arial" w:cs="Arial" w:eastAsia="Arial" w:hAnsi="Arial"/>
          <w:sz w:val="16"/>
          <w:szCs w:val="16"/>
          <w:u w:val="single" w:color="auto"/>
          <w:color w:val="auto"/>
        </w:rPr>
        <w:t>Schedule 3.1(t)</w:t>
      </w:r>
      <w:r>
        <w:rPr>
          <w:rFonts w:ascii="Arial" w:cs="Arial" w:eastAsia="Arial" w:hAnsi="Arial"/>
          <w:sz w:val="16"/>
          <w:szCs w:val="16"/>
          <w:color w:val="auto"/>
        </w:rPr>
        <w:t xml:space="preserve"> of the Disclosure Schedules,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61" w:lineRule="exact"/>
        <w:rPr>
          <w:rFonts w:ascii="Arial" w:cs="Arial" w:eastAsia="Arial" w:hAnsi="Arial"/>
          <w:sz w:val="16"/>
          <w:szCs w:val="16"/>
          <w:color w:val="auto"/>
        </w:rPr>
      </w:pPr>
    </w:p>
    <w:p>
      <w:pPr>
        <w:jc w:val="both"/>
        <w:ind w:left="-460" w:firstLine="644"/>
        <w:spacing w:after="0" w:line="259" w:lineRule="auto"/>
        <w:tabs>
          <w:tab w:leader="none" w:pos="1302"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86" w:lineRule="exact"/>
        <w:rPr>
          <w:rFonts w:ascii="Arial" w:cs="Arial" w:eastAsia="Arial" w:hAnsi="Arial"/>
          <w:sz w:val="18"/>
          <w:szCs w:val="18"/>
          <w:color w:val="auto"/>
        </w:rPr>
      </w:pPr>
    </w:p>
    <w:p>
      <w:pPr>
        <w:ind w:left="-460" w:firstLine="644"/>
        <w:spacing w:after="0" w:line="277" w:lineRule="auto"/>
        <w:tabs>
          <w:tab w:leader="none" w:pos="124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No Person has any right to cause the Company or any Subsidiary to effect the registration under the Securities Act of any securities of the Company or any Subsidiary.</w:t>
      </w:r>
    </w:p>
    <w:p>
      <w:pPr>
        <w:spacing w:after="0" w:line="170" w:lineRule="exact"/>
        <w:rPr>
          <w:rFonts w:ascii="Arial" w:cs="Arial" w:eastAsia="Arial" w:hAnsi="Arial"/>
          <w:sz w:val="18"/>
          <w:szCs w:val="18"/>
          <w:color w:val="auto"/>
        </w:rPr>
      </w:pPr>
    </w:p>
    <w:p>
      <w:pPr>
        <w:jc w:val="both"/>
        <w:ind w:left="-460" w:firstLine="644"/>
        <w:spacing w:after="0" w:line="289" w:lineRule="auto"/>
        <w:tabs>
          <w:tab w:leader="none" w:pos="1063"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Listing and Maintenance Requirements</w:t>
      </w:r>
      <w:r>
        <w:rPr>
          <w:rFonts w:ascii="Arial" w:cs="Arial" w:eastAsia="Arial" w:hAnsi="Arial"/>
          <w:sz w:val="16"/>
          <w:szCs w:val="16"/>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year following the Closing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3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9" w:name="page40"/>
    <w:bookmarkEnd w:id="39"/>
    <w:p>
      <w:pPr>
        <w:jc w:val="both"/>
        <w:ind w:left="-460" w:firstLine="644"/>
        <w:spacing w:after="0" w:line="255" w:lineRule="auto"/>
        <w:tabs>
          <w:tab w:leader="none" w:pos="123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Application of Takeover Protections</w:t>
      </w:r>
      <w:r>
        <w:rPr>
          <w:rFonts w:ascii="Arial" w:cs="Arial" w:eastAsia="Arial" w:hAnsi="Arial"/>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92" w:lineRule="exact"/>
        <w:rPr>
          <w:rFonts w:ascii="Arial" w:cs="Arial" w:eastAsia="Arial" w:hAnsi="Arial"/>
          <w:sz w:val="18"/>
          <w:szCs w:val="18"/>
          <w:color w:val="auto"/>
        </w:rPr>
      </w:pPr>
    </w:p>
    <w:p>
      <w:pPr>
        <w:jc w:val="both"/>
        <w:ind w:left="-460" w:firstLine="644"/>
        <w:spacing w:after="0" w:line="268" w:lineRule="auto"/>
        <w:tabs>
          <w:tab w:leader="none" w:pos="1248"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when taken together as a whole,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86" w:lineRule="exact"/>
        <w:rPr>
          <w:rFonts w:ascii="Arial" w:cs="Arial" w:eastAsia="Arial" w:hAnsi="Arial"/>
          <w:sz w:val="17"/>
          <w:szCs w:val="17"/>
          <w:color w:val="auto"/>
        </w:rPr>
      </w:pPr>
    </w:p>
    <w:p>
      <w:pPr>
        <w:jc w:val="both"/>
        <w:ind w:left="-460" w:firstLine="644"/>
        <w:spacing w:after="0" w:line="275" w:lineRule="auto"/>
        <w:tabs>
          <w:tab w:leader="none" w:pos="1224"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No Integrated Offering</w:t>
      </w:r>
      <w:r>
        <w:rPr>
          <w:rFonts w:ascii="Arial" w:cs="Arial" w:eastAsia="Arial" w:hAnsi="Arial"/>
          <w:sz w:val="17"/>
          <w:szCs w:val="17"/>
          <w:color w:val="auto"/>
        </w:rPr>
        <w:t>. Assuming the accuracy of the Purchasers’ representations and warranties set forth in Section 3.2, neither the Company, nor, to the Company’s knowledge, any of its Affiliates, nor any Person acting on its or, to the Company’s knowledge,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spacing w:after="0" w:line="3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0" w:name="page41"/>
    <w:bookmarkEnd w:id="40"/>
    <w:p>
      <w:pPr>
        <w:jc w:val="both"/>
        <w:ind w:left="-460" w:firstLine="644"/>
        <w:spacing w:after="0" w:line="285" w:lineRule="auto"/>
        <w:tabs>
          <w:tab w:leader="none" w:pos="1223"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(aa)</w:t>
      </w:r>
      <w:r>
        <w:rPr>
          <w:rFonts w:ascii="Arial" w:cs="Arial" w:eastAsia="Arial" w:hAnsi="Arial"/>
          <w:sz w:val="16"/>
          <w:szCs w:val="16"/>
          <w:color w:val="auto"/>
        </w:rPr>
        <w:t>, based on the consolidated financial condition of the Company as of the Closing Date, and the Company’s good faith estimate of the fair market value of its assets,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hereof all outstanding secured and unsecured Indebtedness of the Company or any Subsidiary, or for which the Company or any Subsidiary has commitments. For the purposes of this Agreement, “</w:t>
      </w:r>
      <w:r>
        <w:rPr>
          <w:rFonts w:ascii="Arial" w:cs="Arial" w:eastAsia="Arial" w:hAnsi="Arial"/>
          <w:sz w:val="16"/>
          <w:szCs w:val="16"/>
          <w:u w:val="single" w:color="auto"/>
          <w:color w:val="auto"/>
        </w:rPr>
        <w:t>Indebtedness</w:t>
      </w:r>
      <w:r>
        <w:rPr>
          <w:rFonts w:ascii="Arial" w:cs="Arial" w:eastAsia="Arial" w:hAnsi="Arial"/>
          <w:sz w:val="16"/>
          <w:szCs w:val="16"/>
          <w:color w:val="auto"/>
        </w:rPr>
        <w:t>” means (x) any liabilities for borrowed money or amounts owed in excess of $100,000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$100,000 due under leases required to be capitalized in accordance with GAAP. Neither the Company nor any Subsidiary is in default with respect to any Indebtedness.</w:t>
      </w:r>
    </w:p>
    <w:p>
      <w:pPr>
        <w:spacing w:after="0" w:line="168" w:lineRule="exact"/>
        <w:rPr>
          <w:rFonts w:ascii="Arial" w:cs="Arial" w:eastAsia="Arial" w:hAnsi="Arial"/>
          <w:sz w:val="16"/>
          <w:szCs w:val="16"/>
          <w:color w:val="auto"/>
        </w:rPr>
      </w:pPr>
    </w:p>
    <w:p>
      <w:pPr>
        <w:jc w:val="both"/>
        <w:ind w:left="-460" w:firstLine="644"/>
        <w:spacing w:after="0" w:line="254" w:lineRule="auto"/>
        <w:tabs>
          <w:tab w:leader="none" w:pos="1063"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Tax Status</w:t>
      </w:r>
      <w:r>
        <w:rPr>
          <w:rFonts w:ascii="Arial" w:cs="Arial" w:eastAsia="Arial" w:hAnsi="Arial"/>
          <w:sz w:val="18"/>
          <w:szCs w:val="18"/>
          <w:color w:val="auto"/>
        </w:rPr>
        <w:t xml:space="preserve">. Except for matters that would not, individually or in the aggregate, have or reasonably be expected to result in a Material Adverse Effect, the Company and its Subsidiaries each (i) has made or filed all required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Except as set forth on </w:t>
      </w:r>
      <w:r>
        <w:rPr>
          <w:rFonts w:ascii="Arial" w:cs="Arial" w:eastAsia="Arial" w:hAnsi="Arial"/>
          <w:sz w:val="18"/>
          <w:szCs w:val="18"/>
          <w:u w:val="single" w:color="auto"/>
          <w:color w:val="auto"/>
        </w:rPr>
        <w:t>Schedule 3.1(aa)</w:t>
      </w:r>
      <w:r>
        <w:rPr>
          <w:rFonts w:ascii="Arial" w:cs="Arial" w:eastAsia="Arial" w:hAnsi="Arial"/>
          <w:sz w:val="18"/>
          <w:szCs w:val="18"/>
          <w:color w:val="auto"/>
        </w:rPr>
        <w:t>, there are no unpaid taxes in any material amount claimed to be due by the taxing authority of any jurisdiction, and the officers of the Company or of any Subsidiary know of no reasonable basis for any such claim.</w:t>
      </w:r>
    </w:p>
    <w:p>
      <w:pPr>
        <w:spacing w:after="0" w:line="191" w:lineRule="exact"/>
        <w:rPr>
          <w:rFonts w:ascii="Arial" w:cs="Arial" w:eastAsia="Arial" w:hAnsi="Arial"/>
          <w:sz w:val="18"/>
          <w:szCs w:val="18"/>
          <w:color w:val="auto"/>
        </w:rPr>
      </w:pPr>
    </w:p>
    <w:p>
      <w:pPr>
        <w:jc w:val="both"/>
        <w:ind w:left="-460" w:firstLine="644"/>
        <w:spacing w:after="0" w:line="273" w:lineRule="auto"/>
        <w:tabs>
          <w:tab w:leader="none" w:pos="1021"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Foreign Corrupt Practices</w:t>
      </w:r>
      <w:r>
        <w:rPr>
          <w:rFonts w:ascii="Arial" w:cs="Arial" w:eastAsia="Arial" w:hAnsi="Arial"/>
          <w:sz w:val="17"/>
          <w:szCs w:val="17"/>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1" w:name="page42"/>
    <w:bookmarkEnd w:id="41"/>
    <w:p>
      <w:pPr>
        <w:jc w:val="both"/>
        <w:ind w:left="4" w:firstLine="644"/>
        <w:spacing w:after="0" w:line="286" w:lineRule="auto"/>
        <w:tabs>
          <w:tab w:leader="none" w:pos="1662"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Accountants</w:t>
      </w:r>
      <w:r>
        <w:rPr>
          <w:rFonts w:ascii="Arial" w:cs="Arial" w:eastAsia="Arial" w:hAnsi="Arial"/>
          <w:sz w:val="17"/>
          <w:szCs w:val="17"/>
          <w:color w:val="auto"/>
        </w:rPr>
        <w:t>. The Company’s accounting firm is CohnReznick LLP.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2019.</w:t>
      </w:r>
    </w:p>
    <w:p>
      <w:pPr>
        <w:spacing w:after="0" w:line="165" w:lineRule="exact"/>
        <w:rPr>
          <w:rFonts w:ascii="Arial" w:cs="Arial" w:eastAsia="Arial" w:hAnsi="Arial"/>
          <w:sz w:val="17"/>
          <w:szCs w:val="17"/>
          <w:color w:val="auto"/>
        </w:rPr>
      </w:pPr>
    </w:p>
    <w:p>
      <w:pPr>
        <w:jc w:val="both"/>
        <w:ind w:left="4" w:firstLine="644"/>
        <w:spacing w:after="0" w:line="271" w:lineRule="auto"/>
        <w:tabs>
          <w:tab w:leader="none" w:pos="1633"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Acknowledgment Regarding Purchasers’ Purchase of</w:t>
      </w:r>
      <w:r>
        <w:rPr>
          <w:rFonts w:ascii="Arial" w:cs="Arial" w:eastAsia="Arial" w:hAnsi="Arial"/>
          <w:sz w:val="17"/>
          <w:szCs w:val="17"/>
          <w:color w:val="auto"/>
        </w:rPr>
        <w:t xml:space="preserve"> Securities.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78" w:lineRule="exact"/>
        <w:rPr>
          <w:rFonts w:ascii="Arial" w:cs="Arial" w:eastAsia="Arial" w:hAnsi="Arial"/>
          <w:sz w:val="17"/>
          <w:szCs w:val="17"/>
          <w:color w:val="auto"/>
        </w:rPr>
      </w:pPr>
    </w:p>
    <w:p>
      <w:pPr>
        <w:jc w:val="both"/>
        <w:ind w:left="4" w:firstLine="644"/>
        <w:spacing w:after="0" w:line="268" w:lineRule="auto"/>
        <w:tabs>
          <w:tab w:leader="none" w:pos="1626"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Acknowledgment Regarding Purchaser’s Trading Activity</w:t>
      </w:r>
      <w:r>
        <w:rPr>
          <w:rFonts w:ascii="Arial" w:cs="Arial" w:eastAsia="Arial" w:hAnsi="Arial"/>
          <w:sz w:val="17"/>
          <w:szCs w:val="17"/>
          <w:color w:val="auto"/>
        </w:rPr>
        <w:t>. Anything in this Agreement or elsewhere herein to the contrary notwithstanding (except for Sections 3.2(f)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6" w:lineRule="exact"/>
        <w:rPr>
          <w:rFonts w:ascii="Arial" w:cs="Arial" w:eastAsia="Arial" w:hAnsi="Arial"/>
          <w:sz w:val="17"/>
          <w:szCs w:val="17"/>
          <w:color w:val="auto"/>
        </w:rPr>
      </w:pPr>
    </w:p>
    <w:p>
      <w:pPr>
        <w:jc w:val="both"/>
        <w:ind w:left="4" w:firstLine="644"/>
        <w:spacing w:after="0" w:line="287" w:lineRule="auto"/>
        <w:tabs>
          <w:tab w:leader="none" w:pos="1500"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Regulation M Compliance</w:t>
      </w:r>
      <w:r>
        <w:rPr>
          <w:rFonts w:ascii="Arial" w:cs="Arial" w:eastAsia="Arial" w:hAnsi="Arial"/>
          <w:sz w:val="16"/>
          <w:szCs w:val="16"/>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w:t>
      </w:r>
    </w:p>
    <w:p>
      <w:pPr>
        <w:spacing w:after="0" w:line="2" w:lineRule="exact"/>
        <w:rPr>
          <w:rFonts w:ascii="Arial" w:cs="Arial" w:eastAsia="Arial" w:hAnsi="Arial"/>
          <w:sz w:val="16"/>
          <w:szCs w:val="16"/>
          <w:color w:val="auto"/>
        </w:rPr>
      </w:pPr>
    </w:p>
    <w:p>
      <w:pPr>
        <w:ind w:left="4" w:hanging="4"/>
        <w:spacing w:after="0" w:line="323" w:lineRule="auto"/>
        <w:tabs>
          <w:tab w:leader="none" w:pos="319" w:val="left"/>
        </w:tabs>
        <w:numPr>
          <w:ilvl w:val="0"/>
          <w:numId w:val="42"/>
        </w:numPr>
        <w:rPr>
          <w:rFonts w:ascii="Arial" w:cs="Arial" w:eastAsia="Arial" w:hAnsi="Arial"/>
          <w:sz w:val="16"/>
          <w:szCs w:val="16"/>
          <w:color w:val="auto"/>
        </w:rPr>
      </w:pPr>
      <w:r>
        <w:rPr>
          <w:rFonts w:ascii="Arial" w:cs="Arial" w:eastAsia="Arial" w:hAnsi="Arial"/>
          <w:sz w:val="16"/>
          <w:szCs w:val="16"/>
          <w:color w:val="auto"/>
        </w:rPr>
        <w:t>paid or agreed to pay to any Person any compensation for soliciting another to purchase any other securities of the Company, other than, in the case of clauses (ii) and (iii), compensation paid to the Company’s placement agent in connection with the placement of the Securities.</w:t>
      </w:r>
    </w:p>
    <w:p>
      <w:pPr>
        <w:spacing w:after="0" w:line="35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2" w:name="page43"/>
    <w:bookmarkEnd w:id="42"/>
    <w:p>
      <w:pPr>
        <w:ind w:left="980" w:hanging="796"/>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225" w:lineRule="exact"/>
        <w:rPr>
          <w:rFonts w:ascii="Arial" w:cs="Arial" w:eastAsia="Arial" w:hAnsi="Arial"/>
          <w:sz w:val="18"/>
          <w:szCs w:val="18"/>
          <w:color w:val="auto"/>
        </w:rPr>
      </w:pPr>
    </w:p>
    <w:p>
      <w:pPr>
        <w:jc w:val="both"/>
        <w:ind w:left="-460" w:firstLine="644"/>
        <w:spacing w:after="0" w:line="293" w:lineRule="auto"/>
        <w:tabs>
          <w:tab w:leader="none" w:pos="1172"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Stock Option Plans</w:t>
      </w:r>
      <w:r>
        <w:rPr>
          <w:rFonts w:ascii="Arial" w:cs="Arial" w:eastAsia="Arial" w:hAnsi="Arial"/>
          <w:sz w:val="16"/>
          <w:szCs w:val="16"/>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64" w:lineRule="exact"/>
        <w:rPr>
          <w:rFonts w:ascii="Arial" w:cs="Arial" w:eastAsia="Arial" w:hAnsi="Arial"/>
          <w:sz w:val="16"/>
          <w:szCs w:val="16"/>
          <w:color w:val="auto"/>
        </w:rPr>
      </w:pPr>
    </w:p>
    <w:p>
      <w:pPr>
        <w:jc w:val="both"/>
        <w:ind w:left="-460" w:firstLine="644"/>
        <w:spacing w:after="0" w:line="263" w:lineRule="auto"/>
        <w:tabs>
          <w:tab w:leader="none" w:pos="113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Office of Foreign Assets Control</w:t>
      </w:r>
      <w:r>
        <w:rPr>
          <w:rFonts w:ascii="Arial" w:cs="Arial" w:eastAsia="Arial" w:hAnsi="Arial"/>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460" w:firstLine="644"/>
        <w:spacing w:after="0" w:line="342" w:lineRule="auto"/>
        <w:tabs>
          <w:tab w:leader="none" w:pos="1104"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U.S. Real Property Holding Corporation</w:t>
      </w:r>
      <w:r>
        <w:rPr>
          <w:rFonts w:ascii="Arial" w:cs="Arial" w:eastAsia="Arial" w:hAnsi="Arial"/>
          <w:sz w:val="16"/>
          <w:szCs w:val="16"/>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23" w:lineRule="exact"/>
        <w:rPr>
          <w:rFonts w:ascii="Arial" w:cs="Arial" w:eastAsia="Arial" w:hAnsi="Arial"/>
          <w:sz w:val="16"/>
          <w:szCs w:val="16"/>
          <w:color w:val="auto"/>
        </w:rPr>
      </w:pPr>
    </w:p>
    <w:p>
      <w:pPr>
        <w:jc w:val="both"/>
        <w:ind w:left="-460" w:firstLine="644"/>
        <w:spacing w:after="0" w:line="273" w:lineRule="auto"/>
        <w:tabs>
          <w:tab w:leader="none" w:pos="1159"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Bank Holding Company Act</w:t>
      </w:r>
      <w:r>
        <w:rPr>
          <w:rFonts w:ascii="Arial" w:cs="Arial" w:eastAsia="Arial" w:hAnsi="Arial"/>
          <w:sz w:val="17"/>
          <w:szCs w:val="17"/>
          <w:color w:val="auto"/>
        </w:rPr>
        <w:t>. Neither the Company nor any of its Subsidiaries or Affiliates is subject to the Bank Holding Company Act of 1956, as amended (the “</w:t>
      </w:r>
      <w:r>
        <w:rPr>
          <w:rFonts w:ascii="Arial" w:cs="Arial" w:eastAsia="Arial" w:hAnsi="Arial"/>
          <w:sz w:val="17"/>
          <w:szCs w:val="17"/>
          <w:u w:val="single" w:color="auto"/>
          <w:color w:val="auto"/>
        </w:rPr>
        <w:t>BHCA</w:t>
      </w:r>
      <w:r>
        <w:rPr>
          <w:rFonts w:ascii="Arial" w:cs="Arial" w:eastAsia="Arial" w:hAnsi="Arial"/>
          <w:sz w:val="17"/>
          <w:szCs w:val="17"/>
          <w:color w:val="auto"/>
        </w:rPr>
        <w:t>”) and to regulation by the Board of Governors of the Federal Reserve System (the “</w:t>
      </w:r>
      <w:r>
        <w:rPr>
          <w:rFonts w:ascii="Arial" w:cs="Arial" w:eastAsia="Arial" w:hAnsi="Arial"/>
          <w:sz w:val="17"/>
          <w:szCs w:val="17"/>
          <w:u w:val="single" w:color="auto"/>
          <w:color w:val="auto"/>
        </w:rPr>
        <w:t>Federal</w:t>
      </w:r>
      <w:r>
        <w:rPr>
          <w:rFonts w:ascii="Arial" w:cs="Arial" w:eastAsia="Arial" w:hAnsi="Arial"/>
          <w:sz w:val="17"/>
          <w:szCs w:val="17"/>
          <w:color w:val="auto"/>
        </w:rPr>
        <w:t xml:space="preserve"> </w:t>
      </w:r>
      <w:r>
        <w:rPr>
          <w:rFonts w:ascii="Arial" w:cs="Arial" w:eastAsia="Arial" w:hAnsi="Arial"/>
          <w:sz w:val="17"/>
          <w:szCs w:val="17"/>
          <w:u w:val="single" w:color="auto"/>
          <w:color w:val="auto"/>
        </w:rPr>
        <w:t>Reserve</w:t>
      </w:r>
      <w:r>
        <w:rPr>
          <w:rFonts w:ascii="Arial" w:cs="Arial" w:eastAsia="Arial" w:hAnsi="Arial"/>
          <w:sz w:val="17"/>
          <w:szCs w:val="17"/>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77" w:lineRule="exact"/>
        <w:rPr>
          <w:rFonts w:ascii="Arial" w:cs="Arial" w:eastAsia="Arial" w:hAnsi="Arial"/>
          <w:sz w:val="17"/>
          <w:szCs w:val="17"/>
          <w:color w:val="auto"/>
        </w:rPr>
      </w:pPr>
    </w:p>
    <w:p>
      <w:pPr>
        <w:jc w:val="both"/>
        <w:ind w:left="-460" w:firstLine="644"/>
        <w:spacing w:after="0" w:line="296" w:lineRule="auto"/>
        <w:tabs>
          <w:tab w:leader="none" w:pos="858"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Money Laundering</w:t>
      </w:r>
      <w:r>
        <w:rPr>
          <w:rFonts w:ascii="Arial" w:cs="Arial" w:eastAsia="Arial" w:hAnsi="Arial"/>
          <w:sz w:val="16"/>
          <w:szCs w:val="16"/>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37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3" w:name="page44"/>
    <w:bookmarkEnd w:id="43"/>
    <w:p>
      <w:pPr>
        <w:jc w:val="both"/>
        <w:ind w:left="660" w:firstLine="644"/>
        <w:spacing w:after="0" w:line="263" w:lineRule="auto"/>
        <w:tabs>
          <w:tab w:leader="none" w:pos="2251"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Other Covered Persons</w:t>
      </w:r>
      <w:r>
        <w:rPr>
          <w:rFonts w:ascii="Arial" w:cs="Arial" w:eastAsia="Arial" w:hAnsi="Arial"/>
          <w:sz w:val="18"/>
          <w:szCs w:val="18"/>
          <w:color w:val="auto"/>
        </w:rPr>
        <w:t>. Other than the Financial Advisor, the Company is not aware of any person (other than any Issuer Covered Person) that has been or will be paid (directly or indirectly) remuneration for solicitation of purchasers in connection with the sale of any Securities.</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223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Notice of Disqualification Events</w:t>
      </w:r>
      <w:r>
        <w:rPr>
          <w:rFonts w:ascii="Arial" w:cs="Arial" w:eastAsia="Arial" w:hAnsi="Arial"/>
          <w:sz w:val="18"/>
          <w:szCs w:val="18"/>
          <w:color w:val="auto"/>
        </w:rPr>
        <w:t>. The Company will notify the Purchasers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Representations and Warranties of the Purchasers</w:t>
      </w:r>
      <w:r>
        <w:rPr>
          <w:rFonts w:ascii="Arial" w:cs="Arial" w:eastAsia="Arial" w:hAnsi="Arial"/>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84" w:lineRule="exact"/>
        <w:rPr>
          <w:sz w:val="20"/>
          <w:szCs w:val="20"/>
          <w:color w:val="auto"/>
        </w:rPr>
      </w:pPr>
    </w:p>
    <w:p>
      <w:pPr>
        <w:jc w:val="both"/>
        <w:ind w:left="380" w:firstLine="924"/>
        <w:spacing w:after="0" w:line="269" w:lineRule="auto"/>
        <w:tabs>
          <w:tab w:leader="none" w:pos="2199"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Organization; Authority</w:t>
      </w:r>
      <w:r>
        <w:rPr>
          <w:rFonts w:ascii="Arial" w:cs="Arial" w:eastAsia="Arial" w:hAnsi="Arial"/>
          <w:sz w:val="17"/>
          <w:szCs w:val="17"/>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1" w:lineRule="exact"/>
        <w:rPr>
          <w:rFonts w:ascii="Arial" w:cs="Arial" w:eastAsia="Arial" w:hAnsi="Arial"/>
          <w:sz w:val="17"/>
          <w:szCs w:val="17"/>
          <w:color w:val="auto"/>
        </w:rPr>
      </w:pPr>
    </w:p>
    <w:p>
      <w:pPr>
        <w:jc w:val="both"/>
        <w:ind w:left="380" w:firstLine="924"/>
        <w:spacing w:after="0" w:line="301" w:lineRule="auto"/>
        <w:tabs>
          <w:tab w:leader="none" w:pos="2371"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Understandings or Arrangements</w:t>
      </w:r>
      <w:r>
        <w:rPr>
          <w:rFonts w:ascii="Arial" w:cs="Arial" w:eastAsia="Arial" w:hAnsi="Arial"/>
          <w:sz w:val="16"/>
          <w:szCs w:val="16"/>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157" w:lineRule="exact"/>
        <w:rPr>
          <w:rFonts w:ascii="Arial" w:cs="Arial" w:eastAsia="Arial" w:hAnsi="Arial"/>
          <w:sz w:val="16"/>
          <w:szCs w:val="16"/>
          <w:color w:val="auto"/>
        </w:rPr>
      </w:pPr>
    </w:p>
    <w:p>
      <w:pPr>
        <w:jc w:val="both"/>
        <w:ind w:left="380" w:firstLine="924"/>
        <w:spacing w:after="0" w:line="263" w:lineRule="auto"/>
        <w:tabs>
          <w:tab w:leader="none" w:pos="22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Purchaser Status</w:t>
      </w:r>
      <w:r>
        <w:rPr>
          <w:rFonts w:ascii="Arial" w:cs="Arial" w:eastAsia="Arial" w:hAnsi="Arial"/>
          <w:sz w:val="18"/>
          <w:szCs w:val="18"/>
          <w:color w:val="auto"/>
        </w:rPr>
        <w:t>. At the time such Purchaser was offered the Securities, it was, and as of the date hereof it is, either: (i) an “accredited investor” as defined in Rule 501(a)(1), (a)(2), (a)(3), (a)(7) or (a)(8) under the Securities Act or (ii) a “qualified institutional buyer” as defined in Rule 144A(a) under the Securities Act.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ind w:firstLine="924"/>
        <w:spacing w:after="0" w:line="259" w:lineRule="auto"/>
        <w:tabs>
          <w:tab w:leader="none" w:pos="2113"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Experience of Such Purchaser</w:t>
      </w:r>
      <w:r>
        <w:rPr>
          <w:rFonts w:ascii="Arial" w:cs="Arial" w:eastAsia="Arial" w:hAnsi="Arial"/>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86" w:lineRule="exact"/>
        <w:rPr>
          <w:rFonts w:ascii="Arial" w:cs="Arial" w:eastAsia="Arial" w:hAnsi="Arial"/>
          <w:sz w:val="18"/>
          <w:szCs w:val="18"/>
          <w:color w:val="auto"/>
        </w:rPr>
      </w:pPr>
    </w:p>
    <w:p>
      <w:pPr>
        <w:jc w:val="both"/>
        <w:ind w:firstLine="924"/>
        <w:spacing w:after="0" w:line="287" w:lineRule="auto"/>
        <w:tabs>
          <w:tab w:leader="none" w:pos="1914"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Access to Information</w:t>
      </w:r>
      <w:r>
        <w:rPr>
          <w:rFonts w:ascii="Arial" w:cs="Arial" w:eastAsia="Arial" w:hAnsi="Arial"/>
          <w:sz w:val="16"/>
          <w:szCs w:val="16"/>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Financial Advisor nor any Affiliate of the Financial Advisor has provided such Purchaser with any information or advice with respect to the Securities nor is such information or advice necessary or desired. Neither the Financial Advisor nor any Affiliate has made or makes any representation as to the Company or the quality of the Securities and the Financial Advisor and any Affiliate may have acquired non-public information with respect to the Company which such Purchaser agrees need not be provided to it. In connection with the issuance of the Securities to such Purchaser, neither the Financial Advisor nor any of its Affiliates has acted as a financial advisor or fiduciary to such Purchaser.</w:t>
      </w:r>
    </w:p>
    <w:p>
      <w:pPr>
        <w:spacing w:after="0" w:line="167" w:lineRule="exact"/>
        <w:rPr>
          <w:rFonts w:ascii="Arial" w:cs="Arial" w:eastAsia="Arial" w:hAnsi="Arial"/>
          <w:sz w:val="16"/>
          <w:szCs w:val="16"/>
          <w:color w:val="auto"/>
        </w:rPr>
      </w:pPr>
    </w:p>
    <w:p>
      <w:pPr>
        <w:jc w:val="both"/>
        <w:ind w:firstLine="924"/>
        <w:spacing w:after="0" w:line="286" w:lineRule="auto"/>
        <w:tabs>
          <w:tab w:leader="none" w:pos="1831"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r>
        <w:rPr>
          <w:rFonts w:ascii="Arial" w:cs="Arial" w:eastAsia="Arial" w:hAnsi="Arial"/>
          <w:sz w:val="16"/>
          <w:szCs w:val="16"/>
          <w:u w:val="single" w:color="auto"/>
          <w:color w:val="auto"/>
        </w:rPr>
        <w:t>.</w:t>
      </w:r>
    </w:p>
    <w:p>
      <w:pPr>
        <w:spacing w:after="0" w:line="39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0"/>
          </w:cols>
          <w:pgMar w:left="700" w:top="908" w:right="339" w:bottom="1440" w:gutter="0" w:footer="0" w:header="0"/>
        </w:sectPr>
      </w:pPr>
    </w:p>
    <w:bookmarkStart w:id="45" w:name="page46"/>
    <w:bookmarkEnd w:id="45"/>
    <w:p>
      <w:pPr>
        <w:jc w:val="both"/>
        <w:ind w:left="380" w:firstLine="924"/>
        <w:spacing w:after="0" w:line="286" w:lineRule="auto"/>
        <w:tabs>
          <w:tab w:leader="none" w:pos="2223"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General Solicitation</w:t>
      </w:r>
      <w:r>
        <w:rPr>
          <w:rFonts w:ascii="Arial" w:cs="Arial" w:eastAsia="Arial" w:hAnsi="Arial"/>
          <w:sz w:val="17"/>
          <w:szCs w:val="17"/>
          <w:color w:val="auto"/>
        </w:rPr>
        <w:t>. Such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65" w:lineRule="exact"/>
        <w:rPr>
          <w:rFonts w:ascii="Arial" w:cs="Arial" w:eastAsia="Arial" w:hAnsi="Arial"/>
          <w:sz w:val="17"/>
          <w:szCs w:val="17"/>
          <w:color w:val="auto"/>
        </w:rPr>
      </w:pPr>
    </w:p>
    <w:p>
      <w:pPr>
        <w:jc w:val="both"/>
        <w:ind w:left="380" w:firstLine="924"/>
        <w:spacing w:after="0" w:line="269" w:lineRule="auto"/>
        <w:tabs>
          <w:tab w:leader="none" w:pos="2398"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of this Agreement and performance under the other Transaction Documents and the consummation by such Purchaser of the transactions contemplated hereby and thereby or relating hereto or thereto do not and will not (i) result in a violation of such Purchaser’s charter documents, bylaws or other organizational documents, if applicable, (ii) conflict with nor constitute a default (or an event which with notice or lapse of time or both would become a default) under any agreement to which such Purchaser is a party, nor (iii) result in a violation of any law, rule, or regulation, or any order, judgment or decree of any court or governmental agency applicable to such Purchaser or its properties (except for such conflicts, defaults and violations as would not, individually or in the aggregate, have a material adverse effect on such Purchaser). Such Purchaser is not required to obtain any consent, authorization or order of, or make any filing or registration with, any court or governmental agency in order for it to execute, deliver or perform any of its obligations under this Agreement or perform under the other Transaction Documents nor to purchase the Securities in accordance with the terms hereof, provided that for purposes of the representation made in this sentence, such Purchaser is assuming and relying upon the accuracy of the relevant representations and agreements of the Company herein.</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740" w:type="dxa"/>
            <w:vAlign w:val="bottom"/>
          </w:tcPr>
          <w:p>
            <w:pPr>
              <w:jc w:val="center"/>
              <w:ind w:right="3370"/>
              <w:spacing w:after="0"/>
              <w:rPr>
                <w:sz w:val="20"/>
                <w:szCs w:val="20"/>
                <w:color w:val="auto"/>
              </w:rPr>
            </w:pPr>
            <w:r>
              <w:rPr>
                <w:rFonts w:ascii="Arial" w:cs="Arial" w:eastAsia="Arial" w:hAnsi="Arial"/>
                <w:sz w:val="18"/>
                <w:szCs w:val="18"/>
                <w:b w:val="1"/>
                <w:bCs w:val="1"/>
                <w:color w:val="auto"/>
              </w:rPr>
              <w:t>ARTICLE IV.</w:t>
            </w:r>
          </w:p>
        </w:tc>
      </w:tr>
      <w:tr>
        <w:trPr>
          <w:trHeight w:val="230"/>
        </w:trPr>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740" w:type="dxa"/>
            <w:vAlign w:val="bottom"/>
          </w:tcPr>
          <w:p>
            <w:pPr>
              <w:jc w:val="center"/>
              <w:ind w:right="3370"/>
              <w:spacing w:after="0"/>
              <w:rPr>
                <w:sz w:val="20"/>
                <w:szCs w:val="20"/>
                <w:color w:val="auto"/>
              </w:rPr>
            </w:pPr>
            <w:r>
              <w:rPr>
                <w:rFonts w:ascii="Arial" w:cs="Arial" w:eastAsia="Arial" w:hAnsi="Arial"/>
                <w:sz w:val="18"/>
                <w:szCs w:val="18"/>
                <w:color w:val="auto"/>
                <w:w w:val="94"/>
              </w:rPr>
              <w:t>OTHER AGREEMENTS OF THE PARTIES</w:t>
            </w:r>
          </w:p>
        </w:tc>
      </w:tr>
      <w:tr>
        <w:trPr>
          <w:trHeight w:val="391"/>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4.1</w:t>
            </w:r>
          </w:p>
        </w:tc>
        <w:tc>
          <w:tcPr>
            <w:tcW w:w="9700" w:type="dxa"/>
            <w:vAlign w:val="bottom"/>
            <w:gridSpan w:val="4"/>
          </w:tcPr>
          <w:p>
            <w:pPr>
              <w:spacing w:after="0"/>
              <w:rPr>
                <w:sz w:val="20"/>
                <w:szCs w:val="20"/>
                <w:color w:val="auto"/>
              </w:rPr>
            </w:pPr>
            <w:r>
              <w:rPr>
                <w:rFonts w:ascii="Arial" w:cs="Arial" w:eastAsia="Arial" w:hAnsi="Arial"/>
                <w:sz w:val="18"/>
                <w:szCs w:val="18"/>
                <w:color w:val="auto"/>
              </w:rPr>
              <w:t>[Reserved].</w:t>
            </w:r>
          </w:p>
        </w:tc>
      </w:tr>
      <w:tr>
        <w:trPr>
          <w:trHeight w:val="20"/>
        </w:trPr>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r>
        <w:trPr>
          <w:trHeight w:val="412"/>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4.2</w:t>
            </w:r>
          </w:p>
        </w:tc>
        <w:tc>
          <w:tcPr>
            <w:tcW w:w="80" w:type="dxa"/>
            <w:vAlign w:val="bottom"/>
          </w:tcPr>
          <w:p>
            <w:pPr>
              <w:spacing w:after="0"/>
              <w:rPr>
                <w:sz w:val="24"/>
                <w:szCs w:val="24"/>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w w:val="92"/>
              </w:rPr>
              <w:t>Furnishing of Information. Until the earliest of the time that no Purchaser owns Securities, the Company covenants to timely file (or</w:t>
            </w:r>
          </w:p>
        </w:tc>
      </w:tr>
      <w:tr>
        <w:trPr>
          <w:trHeight w:val="20"/>
        </w:trPr>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ind w:firstLine="648"/>
        <w:spacing w:after="0" w:line="279"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Integration</w:t>
      </w:r>
      <w:r>
        <w:rPr>
          <w:rFonts w:ascii="Arial" w:cs="Arial" w:eastAsia="Arial" w:hAnsi="Arial"/>
          <w:sz w:val="17"/>
          <w:szCs w:val="17"/>
          <w:color w:val="auto"/>
        </w:rPr>
        <w:t>. The Company shall not sell, offer for sale or solicit offers to buy or otherwise negotiate in respect of any security (as defined in Section 2 of the Securities Act) that would be integrated with the offer or sale of the Securities in a manner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7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Securities Laws Disclosure; Publicity</w:t>
      </w:r>
      <w:r>
        <w:rPr>
          <w:rFonts w:ascii="Arial" w:cs="Arial" w:eastAsia="Arial" w:hAnsi="Arial"/>
          <w:sz w:val="16"/>
          <w:szCs w:val="16"/>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w:t>
      </w:r>
    </w:p>
    <w:p>
      <w:pPr>
        <w:spacing w:after="0" w:line="3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Shareholder Rights Plan</w:t>
      </w:r>
      <w:r>
        <w:rPr>
          <w:rFonts w:ascii="Arial" w:cs="Arial" w:eastAsia="Arial" w:hAnsi="Arial"/>
          <w:sz w:val="18"/>
          <w:szCs w:val="18"/>
          <w:color w:val="auto"/>
        </w:rPr>
        <w:t>. No claim will be made or enforced by the Company or, with the consent of the Company, any other Person, that any Purchaser is an “</w:t>
      </w:r>
      <w:r>
        <w:rPr>
          <w:rFonts w:ascii="Arial" w:cs="Arial" w:eastAsia="Arial" w:hAnsi="Arial"/>
          <w:sz w:val="18"/>
          <w:szCs w:val="18"/>
          <w:u w:val="single" w:color="auto"/>
          <w:color w:val="auto"/>
        </w:rPr>
        <w:t>Acquiring Person</w:t>
      </w:r>
      <w:r>
        <w:rPr>
          <w:rFonts w:ascii="Arial" w:cs="Arial" w:eastAsia="Arial" w:hAnsi="Arial"/>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ind w:firstLine="648"/>
        <w:spacing w:after="0" w:line="268"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Non-Public Information</w:t>
      </w:r>
      <w:r>
        <w:rPr>
          <w:rFonts w:ascii="Arial" w:cs="Arial" w:eastAsia="Arial" w:hAnsi="Arial"/>
          <w:sz w:val="17"/>
          <w:szCs w:val="17"/>
          <w:color w:val="auto"/>
        </w:rPr>
        <w:t xml:space="preserve">.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delivers any material, non-public information to a Purchaser without such Purchaser’s consent, the Company hereby covenants and agrees that such Purchaser shall not have any duty of confidentiality to </w:t>
      </w:r>
      <w:r>
        <w:rPr>
          <w:rFonts w:ascii="Arial" w:cs="Arial" w:eastAsia="Arial" w:hAnsi="Arial"/>
          <w:sz w:val="17"/>
          <w:szCs w:val="17"/>
          <w:u w:val="single" w:color="auto"/>
          <w:color w:val="auto"/>
        </w:rPr>
        <w:t>t</w:t>
      </w:r>
      <w:r>
        <w:rPr>
          <w:rFonts w:ascii="Arial" w:cs="Arial" w:eastAsia="Arial" w:hAnsi="Arial"/>
          <w:sz w:val="17"/>
          <w:szCs w:val="17"/>
          <w:color w:val="auto"/>
        </w:rPr>
        <w: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 The Company understands and confirms that each Purchaser shall be relying on the foregoing covenant in effecting transactions in securities of the Company.</w:t>
      </w:r>
    </w:p>
    <w:p>
      <w:pPr>
        <w:spacing w:after="0" w:line="18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Use of Proceeds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4.7</w:t>
      </w:r>
      <w:r>
        <w:rPr>
          <w:rFonts w:ascii="Arial" w:cs="Arial" w:eastAsia="Arial" w:hAnsi="Arial"/>
          <w:sz w:val="17"/>
          <w:szCs w:val="17"/>
          <w:color w:val="auto"/>
        </w:rPr>
        <w:t xml:space="preserve"> attached hereto,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ind w:firstLine="648"/>
        <w:spacing w:after="0" w:line="283"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Indemnification of Purchasers</w:t>
      </w:r>
      <w:r>
        <w:rPr>
          <w:rFonts w:ascii="Arial" w:cs="Arial" w:eastAsia="Arial" w:hAnsi="Arial"/>
          <w:sz w:val="16"/>
          <w:szCs w:val="16"/>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Arial" w:cs="Arial" w:eastAsia="Arial" w:hAnsi="Arial"/>
          <w:sz w:val="16"/>
          <w:szCs w:val="16"/>
          <w:u w:val="single" w:color="auto"/>
          <w:color w:val="auto"/>
        </w:rPr>
        <w:t>Purchaser Party</w:t>
      </w:r>
      <w:r>
        <w:rPr>
          <w:rFonts w:ascii="Arial" w:cs="Arial" w:eastAsia="Arial" w:hAnsi="Arial"/>
          <w:sz w:val="16"/>
          <w:szCs w:val="16"/>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the Company will indemnify each Purchaser Party, to the fullest extent permitted by applicable law, from and against any and all losses, claims, damages, liabilities, costs (including, without limitation, reasonable attorneys’ 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(ii) any violation or alleged violation by the Company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ind w:firstLine="648"/>
        <w:spacing w:after="0" w:line="286"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Reservation of Common Stock</w:t>
      </w:r>
      <w:r>
        <w:rPr>
          <w:rFonts w:ascii="Arial" w:cs="Arial" w:eastAsia="Arial" w:hAnsi="Arial"/>
          <w:sz w:val="17"/>
          <w:szCs w:val="17"/>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Pre-Funded Warrant Shares pursuant to any exercise of the Pre-Funded Warrants.</w:t>
      </w:r>
    </w:p>
    <w:p>
      <w:pPr>
        <w:spacing w:after="0" w:line="16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Listing of Common Stock</w:t>
      </w:r>
      <w:r>
        <w:rPr>
          <w:rFonts w:ascii="Arial" w:cs="Arial" w:eastAsia="Arial" w:hAnsi="Arial"/>
          <w:sz w:val="16"/>
          <w:szCs w:val="16"/>
          <w:color w:val="auto"/>
        </w:rPr>
        <w:t>. The Company hereby agrees to use best efforts to maintain the listing or quotation of the Common Stock on the Trading Market on which it is currently listed, and concurrently with the Closing, the Company shall apply to list or quote all of the Shares and Pre-Funded Warrant Shares on such Trading Market and promptly secure the listing of all of the Shares and Pre-Funded Warrant Shares on such Trading Market. The Company further agrees, if the Company applies to have the Common Stock traded on any other Trading Market, it will then include in such application all of the Share</w:t>
      </w:r>
      <w:r>
        <w:rPr>
          <w:rFonts w:ascii="Arial" w:cs="Arial" w:eastAsia="Arial" w:hAnsi="Arial"/>
          <w:sz w:val="16"/>
          <w:szCs w:val="16"/>
          <w:u w:val="single" w:color="auto"/>
          <w:color w:val="auto"/>
        </w:rPr>
        <w:t>s</w:t>
      </w:r>
      <w:r>
        <w:rPr>
          <w:rFonts w:ascii="Arial" w:cs="Arial" w:eastAsia="Arial" w:hAnsi="Arial"/>
          <w:sz w:val="16"/>
          <w:szCs w:val="16"/>
          <w:color w:val="auto"/>
        </w:rPr>
        <w:t xml:space="preserve"> and Pre-Funded Warrant Shares, and will take such other action as is necessary to cause all of the Shares and Pre-Funded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left="660"/>
        <w:spacing w:after="0"/>
        <w:tabs>
          <w:tab w:leader="none" w:pos="140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u w:val="single" w:color="auto"/>
          <w:color w:val="auto"/>
        </w:rPr>
        <w:t>[Reserved]</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Equal Treatment of Purchasers</w:t>
      </w:r>
      <w:r>
        <w:rPr>
          <w:rFonts w:ascii="Arial" w:cs="Arial" w:eastAsia="Arial" w:hAnsi="Arial"/>
          <w:sz w:val="16"/>
          <w:szCs w:val="16"/>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both"/>
        <w:ind w:firstLine="648"/>
        <w:spacing w:after="0" w:line="285"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74"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 xml:space="preserve">4.14 </w:t>
      </w:r>
      <w:r>
        <w:rPr>
          <w:rFonts w:ascii="Arial" w:cs="Arial" w:eastAsia="Arial" w:hAnsi="Arial"/>
          <w:sz w:val="17"/>
          <w:szCs w:val="17"/>
          <w:u w:val="single" w:color="auto"/>
          <w:color w:val="auto"/>
        </w:rPr>
        <w:t>Exercise Procedures</w:t>
      </w:r>
      <w:r>
        <w:rPr>
          <w:rFonts w:ascii="Arial" w:cs="Arial" w:eastAsia="Arial" w:hAnsi="Arial"/>
          <w:sz w:val="17"/>
          <w:szCs w:val="17"/>
          <w:color w:val="auto"/>
        </w:rPr>
        <w:t>. The form of Notice of Exercise included in the Pre-Funded Warrants sets forth the totality of the procedures required of the Purchasers in order to exercise the Pre-Funded Warrants. No additional legal opinion, other information or instructions shall be required of the Purchasers to exercise their Pre-Funded Warrants. Without limiting the preceding sentences, no ink-original Notice of Exercise shall be required, nor shall any medallion guarantee (or other type of guarantee or notarization) of any Notice of Exercise form be required in order to exercise the Pre-Funded Warrants. The Company shall honor exercises of the Pre-Funded Warrants and shall deliver Pre-Funded Warrant Shares in accordance with the terms, conditions and time periods set forth in the Transaction Documents.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jc w:val="both"/>
        <w:spacing w:after="0" w:line="209" w:lineRule="auto"/>
        <w:rPr>
          <w:sz w:val="20"/>
          <w:szCs w:val="20"/>
          <w:color w:val="auto"/>
        </w:rPr>
      </w:pPr>
      <w:r>
        <w:rPr>
          <w:rFonts w:ascii="Arial" w:cs="Arial" w:eastAsia="Arial" w:hAnsi="Arial"/>
          <w:sz w:val="18"/>
          <w:szCs w:val="18"/>
          <w:color w:val="auto"/>
        </w:rPr>
        <w:t>consummated on or before the fifth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Trading Day following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termination will affect the right of any party to sue for any breach by any other party (or parties).</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p.m. (New York City time) on any Trading Day, (c) the second (2</w:t>
      </w:r>
      <w:r>
        <w:rPr>
          <w:rFonts w:ascii="Arial" w:cs="Arial" w:eastAsia="Arial" w:hAnsi="Arial"/>
          <w:sz w:val="29"/>
          <w:szCs w:val="29"/>
          <w:color w:val="auto"/>
          <w:vertAlign w:val="superscript"/>
        </w:rPr>
        <w:t>nd</w:t>
      </w:r>
      <w:r>
        <w:rPr>
          <w:rFonts w:ascii="Arial" w:cs="Arial" w:eastAsia="Arial" w:hAnsi="Arial"/>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648"/>
        <w:spacing w:after="0" w:line="288"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Amendments; Waivers</w:t>
      </w:r>
      <w:r>
        <w:rPr>
          <w:rFonts w:ascii="Arial" w:cs="Arial" w:eastAsia="Arial" w:hAnsi="Arial"/>
          <w:sz w:val="16"/>
          <w:szCs w:val="16"/>
          <w:color w:val="auto"/>
        </w:rPr>
        <w:t>. No provision of this Agreement may be waived, modified, supplemented or amended except in a written instrument signed, in the case of an amendment, by the Company and Purchasers holding at least 70% in interest of the component of the affected Securities then outstanding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jc w:val="right"/>
              <w:ind w:right="550"/>
              <w:spacing w:after="0"/>
              <w:rPr>
                <w:sz w:val="20"/>
                <w:szCs w:val="20"/>
                <w:color w:val="auto"/>
              </w:rPr>
            </w:pPr>
            <w:r>
              <w:rPr>
                <w:rFonts w:ascii="Arial" w:cs="Arial" w:eastAsia="Arial" w:hAnsi="Arial"/>
                <w:sz w:val="18"/>
                <w:szCs w:val="18"/>
                <w:color w:val="auto"/>
              </w:rPr>
              <w:t>5.6</w:t>
            </w:r>
          </w:p>
        </w:tc>
        <w:tc>
          <w:tcPr>
            <w:tcW w:w="9720" w:type="dxa"/>
            <w:vAlign w:val="bottom"/>
            <w:gridSpan w:val="4"/>
          </w:tcPr>
          <w:p>
            <w:pPr>
              <w:spacing w:after="0"/>
              <w:rPr>
                <w:sz w:val="20"/>
                <w:szCs w:val="20"/>
                <w:color w:val="auto"/>
              </w:rPr>
            </w:pPr>
            <w:r>
              <w:rPr>
                <w:rFonts w:ascii="Arial" w:cs="Arial" w:eastAsia="Arial" w:hAnsi="Arial"/>
                <w:sz w:val="18"/>
                <w:szCs w:val="18"/>
                <w:color w:val="auto"/>
                <w:w w:val="90"/>
              </w:rPr>
              <w:t>Headings. The headings herein are for convenience only, do not constitute a part of this Agreement and shall not be deemed to limit or</w:t>
            </w:r>
          </w:p>
        </w:tc>
      </w:tr>
      <w:tr>
        <w:trPr>
          <w:trHeight w:val="20"/>
        </w:trPr>
        <w:tc>
          <w:tcPr>
            <w:tcW w:w="1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37"/>
        </w:trPr>
        <w:tc>
          <w:tcPr>
            <w:tcW w:w="11240" w:type="dxa"/>
            <w:vAlign w:val="bottom"/>
            <w:gridSpan w:val="5"/>
          </w:tcPr>
          <w:p>
            <w:pPr>
              <w:spacing w:after="0"/>
              <w:rPr>
                <w:sz w:val="20"/>
                <w:szCs w:val="20"/>
                <w:color w:val="auto"/>
              </w:rPr>
            </w:pPr>
            <w:r>
              <w:rPr>
                <w:rFonts w:ascii="Arial" w:cs="Arial" w:eastAsia="Arial" w:hAnsi="Arial"/>
                <w:sz w:val="18"/>
                <w:szCs w:val="18"/>
                <w:color w:val="auto"/>
              </w:rPr>
              <w:t>affect any of the provisions hereof.</w:t>
            </w:r>
          </w:p>
        </w:tc>
      </w:tr>
      <w:tr>
        <w:trPr>
          <w:trHeight w:val="391"/>
        </w:trPr>
        <w:tc>
          <w:tcPr>
            <w:tcW w:w="1520" w:type="dxa"/>
            <w:vAlign w:val="bottom"/>
          </w:tcPr>
          <w:p>
            <w:pPr>
              <w:jc w:val="right"/>
              <w:ind w:right="55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24"/>
                <w:szCs w:val="24"/>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w w:val="93"/>
              </w:rPr>
              <w:t>Successors and Assigns. This Agreement shall be binding upon and inure to the benefit of the parties and their successors and</w:t>
            </w:r>
          </w:p>
        </w:tc>
      </w:tr>
      <w:tr>
        <w:trPr>
          <w:trHeight w:val="20"/>
        </w:trPr>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The Financial Advisor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Governing Law</w:t>
      </w:r>
      <w:r>
        <w:rPr>
          <w:rFonts w:ascii="Arial" w:cs="Arial" w:eastAsia="Arial" w:hAnsi="Arial"/>
          <w:sz w:val="17"/>
          <w:szCs w:val="17"/>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ind w:left="660"/>
        <w:spacing w:after="0"/>
        <w:tabs>
          <w:tab w:leader="none" w:pos="140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 The representations and warranties contained herein shall survive the Closing and the delivery of the Securities.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Execution</w:t>
      </w:r>
      <w:r>
        <w:rPr>
          <w:rFonts w:ascii="Arial" w:cs="Arial" w:eastAsia="Arial" w:hAnsi="Arial"/>
          <w:sz w:val="17"/>
          <w:szCs w:val="17"/>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78"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Rescission and Withdrawal Right</w:t>
      </w:r>
      <w:r>
        <w:rPr>
          <w:rFonts w:ascii="Arial" w:cs="Arial" w:eastAsia="Arial" w:hAnsi="Arial"/>
          <w:sz w:val="17"/>
          <w:szCs w:val="17"/>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 rescission of an exercise of a Pre-Funded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Pre-Funded Warrant (including, issuance of a replacement warrant certificate evidencing such restored right).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Replacement of Securities</w:t>
      </w:r>
      <w:r>
        <w:rPr>
          <w:rFonts w:ascii="Arial" w:cs="Arial" w:eastAsia="Arial" w:hAnsi="Arial"/>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ind w:firstLine="648"/>
        <w:spacing w:after="0" w:line="301"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Remedies</w:t>
      </w:r>
      <w:r>
        <w:rPr>
          <w:rFonts w:ascii="Arial" w:cs="Arial" w:eastAsia="Arial" w:hAnsi="Arial"/>
          <w:sz w:val="16"/>
          <w:szCs w:val="16"/>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5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Payment Set Aside</w:t>
      </w:r>
      <w:r>
        <w:rPr>
          <w:rFonts w:ascii="Arial" w:cs="Arial" w:eastAsia="Arial" w:hAnsi="Arial"/>
          <w:sz w:val="16"/>
          <w:szCs w:val="16"/>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6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u w:val="single" w:color="auto"/>
          <w:color w:val="auto"/>
        </w:rPr>
        <w:t>Independent Nature of Purchasers’ Obligations and Rights</w:t>
      </w:r>
      <w:r>
        <w:rPr>
          <w:rFonts w:ascii="Arial" w:cs="Arial" w:eastAsia="Arial" w:hAnsi="Arial"/>
          <w:sz w:val="16"/>
          <w:szCs w:val="16"/>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both"/>
        <w:ind w:firstLine="648"/>
        <w:spacing w:after="0" w:line="259"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Liquidated Damages</w:t>
      </w:r>
      <w:r>
        <w:rPr>
          <w:rFonts w:ascii="Arial" w:cs="Arial" w:eastAsia="Arial" w:hAnsi="Arial"/>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5.19 </w:t>
      </w:r>
      <w:r>
        <w:rPr>
          <w:rFonts w:ascii="Arial" w:cs="Arial" w:eastAsia="Arial" w:hAnsi="Arial"/>
          <w:sz w:val="17"/>
          <w:szCs w:val="17"/>
          <w:u w:val="single" w:color="auto"/>
          <w:color w:val="auto"/>
        </w:rPr>
        <w:t>Saturdays, Sundays, Holidays, etc.</w:t>
      </w:r>
      <w:r>
        <w:rPr>
          <w:rFonts w:ascii="Arial" w:cs="Arial" w:eastAsia="Arial" w:hAnsi="Arial"/>
          <w:sz w:val="17"/>
          <w:szCs w:val="17"/>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5.20 </w:t>
      </w:r>
      <w:r>
        <w:rPr>
          <w:rFonts w:ascii="Arial" w:cs="Arial" w:eastAsia="Arial" w:hAnsi="Arial"/>
          <w:sz w:val="17"/>
          <w:szCs w:val="17"/>
          <w:u w:val="single" w:color="auto"/>
          <w:color w:val="auto"/>
        </w:rPr>
        <w:t>Construction</w:t>
      </w:r>
      <w:r>
        <w:rPr>
          <w:rFonts w:ascii="Arial" w:cs="Arial" w:eastAsia="Arial" w:hAnsi="Arial"/>
          <w:sz w:val="17"/>
          <w:szCs w:val="17"/>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2"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IN ANY ACTION, SUIT, OR PROCEEDING IN ANY JURISDICTION BROUGHT BY ANY</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b w:val="1"/>
          <w:bCs w:val="1"/>
          <w:u w:val="single" w:color="auto"/>
          <w:color w:val="auto"/>
        </w:rPr>
        <w:t>PARTY AGAINST ANY OTHER PARTY, THE PARTIES EACH KNOWINGLY AND INTENTIONALLY, TO THE GREATEST EXTENT PERMITTED BY APPLICABLE LAW, HEREBY ABSOLUTELY, UNCONDITIONALLY, IRREVOCABLY AND EXPRESSLY WAIVES FOREVER TRIAL BY JURY.</w:t>
      </w:r>
    </w:p>
    <w:p>
      <w:pPr>
        <w:spacing w:after="0" w:line="19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5.22 </w:t>
      </w:r>
      <w:r>
        <w:rPr>
          <w:rFonts w:ascii="Arial" w:cs="Arial" w:eastAsia="Arial" w:hAnsi="Arial"/>
          <w:sz w:val="18"/>
          <w:szCs w:val="18"/>
          <w:u w:val="single" w:color="auto"/>
          <w:color w:val="auto"/>
        </w:rPr>
        <w:t>Equitable Adjustment</w:t>
      </w:r>
      <w:r>
        <w:rPr>
          <w:rFonts w:ascii="Arial" w:cs="Arial" w:eastAsia="Arial" w:hAnsi="Arial"/>
          <w:sz w:val="18"/>
          <w:szCs w:val="18"/>
          <w:color w:val="auto"/>
        </w:rPr>
        <w:t>. Trading volume amounts, price/volume amounts, the amount of Pre-Funded Warrants, the amount of shares of Common Stock identified in this Agreement and similar figures in the Transaction Documents shall be equitably adjusted (but without duplication) to offset the effect of stock splits, similar events and as otherwise described in the Transaction Documents.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Securities Purchase Agreement to be duly executed by their respective authorized signatories as of the date first indicated above.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XPRESSPA GROUP, INC.</w:t>
            </w:r>
          </w:p>
        </w:tc>
        <w:tc>
          <w:tcPr>
            <w:tcW w:w="2500" w:type="dxa"/>
            <w:vAlign w:val="bottom"/>
            <w:gridSpan w:val="3"/>
          </w:tcPr>
          <w:p>
            <w:pPr>
              <w:ind w:left="100"/>
              <w:spacing w:after="0"/>
              <w:rPr>
                <w:sz w:val="20"/>
                <w:szCs w:val="20"/>
                <w:color w:val="auto"/>
              </w:rPr>
            </w:pPr>
            <w:r>
              <w:rPr>
                <w:rFonts w:ascii="Arial" w:cs="Arial" w:eastAsia="Arial" w:hAnsi="Arial"/>
                <w:sz w:val="18"/>
                <w:szCs w:val="18"/>
                <w:color w:val="auto"/>
              </w:rPr>
              <w:t>ADDRESS FOR NOTICE:</w:t>
            </w:r>
          </w:p>
        </w:tc>
      </w:tr>
      <w:tr>
        <w:trPr>
          <w:trHeight w:val="507"/>
        </w:trPr>
        <w:tc>
          <w:tcPr>
            <w:tcW w:w="5640" w:type="dxa"/>
            <w:vAlign w:val="bottom"/>
            <w:gridSpan w:val="2"/>
          </w:tcPr>
          <w:p>
            <w:pPr>
              <w:spacing w:after="0"/>
              <w:rPr>
                <w:sz w:val="20"/>
                <w:szCs w:val="20"/>
                <w:color w:val="auto"/>
              </w:rPr>
            </w:pPr>
            <w:r>
              <w:rPr>
                <w:rFonts w:ascii="Arial" w:cs="Arial" w:eastAsia="Arial" w:hAnsi="Arial"/>
                <w:sz w:val="18"/>
                <w:szCs w:val="18"/>
                <w:color w:val="auto"/>
              </w:rPr>
              <w:t>By:/s/ Douglas Satzman</w:t>
            </w:r>
          </w:p>
        </w:tc>
        <w:tc>
          <w:tcPr>
            <w:tcW w:w="100" w:type="dxa"/>
            <w:vAlign w:val="bottom"/>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r>
        <w:trPr>
          <w:trHeight w:val="224"/>
        </w:trPr>
        <w:tc>
          <w:tcPr>
            <w:tcW w:w="280" w:type="dxa"/>
            <w:vAlign w:val="bottom"/>
          </w:tcPr>
          <w:p>
            <w:pPr>
              <w:spacing w:after="0"/>
              <w:rPr>
                <w:sz w:val="19"/>
                <w:szCs w:val="19"/>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Douglas Satzman</w:t>
            </w:r>
          </w:p>
        </w:tc>
        <w:tc>
          <w:tcPr>
            <w:tcW w:w="2500" w:type="dxa"/>
            <w:vAlign w:val="bottom"/>
            <w:gridSpan w:val="3"/>
          </w:tcPr>
          <w:p>
            <w:pPr>
              <w:ind w:left="100"/>
              <w:spacing w:after="0"/>
              <w:rPr>
                <w:sz w:val="20"/>
                <w:szCs w:val="20"/>
                <w:color w:val="auto"/>
              </w:rPr>
            </w:pPr>
            <w:r>
              <w:rPr>
                <w:rFonts w:ascii="Arial" w:cs="Arial" w:eastAsia="Arial" w:hAnsi="Arial"/>
                <w:sz w:val="18"/>
                <w:szCs w:val="18"/>
                <w:color w:val="auto"/>
                <w:w w:val="90"/>
              </w:rPr>
              <w:t>E-Mail:dsatzman@xpresspa.com</w:t>
            </w:r>
          </w:p>
        </w:tc>
      </w:tr>
      <w:tr>
        <w:trPr>
          <w:trHeight w:val="242"/>
        </w:trPr>
        <w:tc>
          <w:tcPr>
            <w:tcW w:w="280" w:type="dxa"/>
            <w:vAlign w:val="bottom"/>
          </w:tcPr>
          <w:p>
            <w:pPr>
              <w:spacing w:after="0"/>
              <w:rPr>
                <w:sz w:val="21"/>
                <w:szCs w:val="21"/>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Title: CEO</w:t>
            </w:r>
          </w:p>
        </w:tc>
        <w:tc>
          <w:tcPr>
            <w:tcW w:w="2500" w:type="dxa"/>
            <w:vAlign w:val="bottom"/>
            <w:gridSpan w:val="3"/>
          </w:tcPr>
          <w:p>
            <w:pPr>
              <w:ind w:left="100"/>
              <w:spacing w:after="0"/>
              <w:rPr>
                <w:sz w:val="20"/>
                <w:szCs w:val="20"/>
                <w:color w:val="auto"/>
              </w:rPr>
            </w:pPr>
            <w:r>
              <w:rPr>
                <w:rFonts w:ascii="Arial" w:cs="Arial" w:eastAsia="Arial" w:hAnsi="Arial"/>
                <w:sz w:val="18"/>
                <w:szCs w:val="18"/>
                <w:color w:val="auto"/>
              </w:rPr>
              <w:t>Fax:</w:t>
            </w:r>
          </w:p>
        </w:tc>
      </w:tr>
      <w:tr>
        <w:trPr>
          <w:trHeight w:val="243"/>
        </w:trPr>
        <w:tc>
          <w:tcPr>
            <w:tcW w:w="5640" w:type="dxa"/>
            <w:vAlign w:val="bottom"/>
            <w:gridSpan w:val="2"/>
          </w:tcPr>
          <w:p>
            <w:pPr>
              <w:spacing w:after="0"/>
              <w:rPr>
                <w:sz w:val="20"/>
                <w:szCs w:val="20"/>
                <w:color w:val="auto"/>
              </w:rPr>
            </w:pPr>
            <w:r>
              <w:rPr>
                <w:rFonts w:ascii="Arial" w:cs="Arial" w:eastAsia="Arial" w:hAnsi="Arial"/>
                <w:sz w:val="18"/>
                <w:szCs w:val="18"/>
                <w:color w:val="auto"/>
              </w:rPr>
              <w:t>With a copy to (which shall not constitute notice):</w:t>
            </w:r>
          </w:p>
        </w:tc>
        <w:tc>
          <w:tcPr>
            <w:tcW w:w="1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420" w:type="dxa"/>
            <w:vAlign w:val="bottom"/>
          </w:tcPr>
          <w:p>
            <w:pPr>
              <w:spacing w:after="0"/>
              <w:rPr>
                <w:sz w:val="21"/>
                <w:szCs w:val="2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FOR PURCHASER FOLLOWS]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color w:val="auto"/>
        </w:rPr>
        <w:t>[PURCHASER SIGNATURE PAGES TO XPRESSPA GROUP, INC. SECURITIES PURCHASE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Name of Purchaser:</w:t>
      </w:r>
      <w:r>
        <w:rPr>
          <w:sz w:val="20"/>
          <w:szCs w:val="20"/>
          <w:color w:val="auto"/>
        </w:rPr>
        <w:tab/>
      </w:r>
      <w:r>
        <w:rPr>
          <w:rFonts w:ascii="Arial" w:cs="Arial" w:eastAsia="Arial" w:hAnsi="Arial"/>
          <w:sz w:val="16"/>
          <w:szCs w:val="16"/>
          <w:color w:val="auto"/>
        </w:rPr>
        <w:t>Intracoastal Capital, LLC</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7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r>
      <w:tr>
        <w:trPr>
          <w:trHeight w:val="189"/>
        </w:trPr>
        <w:tc>
          <w:tcPr>
            <w:tcW w:w="3940" w:type="dxa"/>
            <w:vAlign w:val="bottom"/>
            <w:gridSpan w:val="4"/>
          </w:tcPr>
          <w:p>
            <w:pPr>
              <w:spacing w:after="0" w:line="189" w:lineRule="exact"/>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w:t>
            </w:r>
          </w:p>
        </w:tc>
        <w:tc>
          <w:tcPr>
            <w:tcW w:w="73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Keith A. Goodman</w:t>
            </w:r>
          </w:p>
        </w:tc>
      </w:tr>
      <w:tr>
        <w:trPr>
          <w:trHeight w:val="210"/>
        </w:trPr>
        <w:tc>
          <w:tcPr>
            <w:tcW w:w="2820" w:type="dxa"/>
            <w:vAlign w:val="bottom"/>
            <w:gridSpan w:val="2"/>
          </w:tcPr>
          <w:p>
            <w:pPr>
              <w:spacing w:after="0"/>
              <w:rPr>
                <w:sz w:val="20"/>
                <w:szCs w:val="20"/>
                <w:color w:val="auto"/>
              </w:rPr>
            </w:pPr>
            <w:r>
              <w:rPr>
                <w:rFonts w:ascii="Arial" w:cs="Arial" w:eastAsia="Arial" w:hAnsi="Arial"/>
                <w:sz w:val="18"/>
                <w:szCs w:val="18"/>
                <w:color w:val="auto"/>
              </w:rPr>
              <w:t>Name of Authorized Signatory:</w:t>
            </w:r>
          </w:p>
        </w:tc>
        <w:tc>
          <w:tcPr>
            <w:tcW w:w="8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Keith A. Goodman</w:t>
            </w:r>
          </w:p>
        </w:tc>
      </w:tr>
      <w:tr>
        <w:trPr>
          <w:trHeight w:val="209"/>
        </w:trPr>
        <w:tc>
          <w:tcPr>
            <w:tcW w:w="2820" w:type="dxa"/>
            <w:vAlign w:val="bottom"/>
            <w:gridSpan w:val="2"/>
          </w:tcPr>
          <w:p>
            <w:pPr>
              <w:spacing w:after="0"/>
              <w:rPr>
                <w:sz w:val="20"/>
                <w:szCs w:val="20"/>
                <w:color w:val="auto"/>
              </w:rPr>
            </w:pPr>
            <w:r>
              <w:rPr>
                <w:rFonts w:ascii="Arial" w:cs="Arial" w:eastAsia="Arial" w:hAnsi="Arial"/>
                <w:sz w:val="18"/>
                <w:szCs w:val="18"/>
                <w:color w:val="auto"/>
              </w:rPr>
              <w:t>Title of Authorized Signatory:</w:t>
            </w:r>
          </w:p>
        </w:tc>
        <w:tc>
          <w:tcPr>
            <w:tcW w:w="8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Authorized Signatory</w:t>
            </w:r>
          </w:p>
        </w:tc>
      </w:tr>
      <w:tr>
        <w:trPr>
          <w:trHeight w:val="209"/>
        </w:trPr>
        <w:tc>
          <w:tcPr>
            <w:tcW w:w="2820" w:type="dxa"/>
            <w:vAlign w:val="bottom"/>
            <w:gridSpan w:val="2"/>
          </w:tcPr>
          <w:p>
            <w:pPr>
              <w:spacing w:after="0"/>
              <w:rPr>
                <w:sz w:val="20"/>
                <w:szCs w:val="20"/>
                <w:color w:val="auto"/>
              </w:rPr>
            </w:pPr>
            <w:r>
              <w:rPr>
                <w:rFonts w:ascii="Arial" w:cs="Arial" w:eastAsia="Arial" w:hAnsi="Arial"/>
                <w:sz w:val="18"/>
                <w:szCs w:val="18"/>
                <w:color w:val="auto"/>
                <w:w w:val="89"/>
              </w:rPr>
              <w:t>Email Address of Authorized Signatory:</w:t>
            </w:r>
          </w:p>
        </w:tc>
        <w:tc>
          <w:tcPr>
            <w:tcW w:w="560" w:type="dxa"/>
            <w:vAlign w:val="bottom"/>
          </w:tcPr>
          <w:p>
            <w:pPr>
              <w:spacing w:after="0"/>
              <w:rPr>
                <w:sz w:val="18"/>
                <w:szCs w:val="18"/>
                <w:color w:val="auto"/>
              </w:rPr>
            </w:pPr>
          </w:p>
        </w:tc>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KG@intracc.com</w:t>
            </w:r>
          </w:p>
        </w:tc>
      </w:tr>
      <w:tr>
        <w:trPr>
          <w:trHeight w:val="210"/>
        </w:trPr>
        <w:tc>
          <w:tcPr>
            <w:tcW w:w="3380" w:type="dxa"/>
            <w:vAlign w:val="bottom"/>
            <w:gridSpan w:val="3"/>
          </w:tcPr>
          <w:p>
            <w:pPr>
              <w:spacing w:after="0"/>
              <w:rPr>
                <w:sz w:val="20"/>
                <w:szCs w:val="20"/>
                <w:color w:val="auto"/>
              </w:rPr>
            </w:pPr>
            <w:r>
              <w:rPr>
                <w:rFonts w:ascii="Arial" w:cs="Arial" w:eastAsia="Arial" w:hAnsi="Arial"/>
                <w:sz w:val="18"/>
                <w:szCs w:val="18"/>
                <w:color w:val="auto"/>
                <w:w w:val="98"/>
              </w:rPr>
              <w:t>Facsimile Number of Authorized Signatory:</w:t>
            </w:r>
          </w:p>
        </w:tc>
        <w:tc>
          <w:tcPr>
            <w:tcW w:w="560" w:type="dxa"/>
            <w:vAlign w:val="bottom"/>
            <w:tcBorders>
              <w:bottom w:val="single" w:sz="8" w:color="auto"/>
            </w:tcBorders>
          </w:tcPr>
          <w:p>
            <w:pPr>
              <w:spacing w:after="0"/>
              <w:rPr>
                <w:sz w:val="18"/>
                <w:szCs w:val="18"/>
                <w:color w:val="auto"/>
              </w:rPr>
            </w:pPr>
          </w:p>
        </w:tc>
        <w:tc>
          <w:tcPr>
            <w:tcW w:w="7300" w:type="dxa"/>
            <w:vAlign w:val="bottom"/>
            <w:tcBorders>
              <w:bottom w:val="single" w:sz="8" w:color="auto"/>
            </w:tcBorders>
          </w:tcPr>
          <w:p>
            <w:pPr>
              <w:spacing w:after="0"/>
              <w:rPr>
                <w:sz w:val="18"/>
                <w:szCs w:val="18"/>
                <w:color w:val="auto"/>
              </w:rPr>
            </w:pPr>
          </w:p>
        </w:tc>
      </w:tr>
      <w:tr>
        <w:trPr>
          <w:trHeight w:val="195"/>
        </w:trPr>
        <w:tc>
          <w:tcPr>
            <w:tcW w:w="2820" w:type="dxa"/>
            <w:vAlign w:val="bottom"/>
            <w:gridSpan w:val="2"/>
          </w:tcPr>
          <w:p>
            <w:pPr>
              <w:spacing w:after="0" w:line="195" w:lineRule="exact"/>
              <w:rPr>
                <w:sz w:val="20"/>
                <w:szCs w:val="20"/>
                <w:color w:val="auto"/>
              </w:rPr>
            </w:pPr>
            <w:r>
              <w:rPr>
                <w:rFonts w:ascii="Arial" w:cs="Arial" w:eastAsia="Arial" w:hAnsi="Arial"/>
                <w:sz w:val="18"/>
                <w:szCs w:val="18"/>
                <w:color w:val="auto"/>
              </w:rPr>
              <w:t>Address for Notice to Purchaser:</w:t>
            </w:r>
          </w:p>
        </w:tc>
        <w:tc>
          <w:tcPr>
            <w:tcW w:w="8420" w:type="dxa"/>
            <w:vAlign w:val="bottom"/>
            <w:gridSpan w:val="3"/>
          </w:tcPr>
          <w:p>
            <w:pPr>
              <w:spacing w:after="0" w:line="195" w:lineRule="exact"/>
              <w:rPr>
                <w:sz w:val="20"/>
                <w:szCs w:val="20"/>
                <w:color w:val="auto"/>
              </w:rPr>
            </w:pPr>
            <w:r>
              <w:rPr>
                <w:rFonts w:ascii="Arial" w:cs="Arial" w:eastAsia="Arial" w:hAnsi="Arial"/>
                <w:sz w:val="18"/>
                <w:szCs w:val="18"/>
                <w:color w:val="auto"/>
              </w:rPr>
              <w:t>Intracoastal Capital LLC</w:t>
            </w:r>
          </w:p>
        </w:tc>
      </w:tr>
      <w:tr>
        <w:trPr>
          <w:trHeight w:val="216"/>
        </w:trPr>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2211A Lakeside Drive</w:t>
            </w:r>
          </w:p>
        </w:tc>
      </w:tr>
      <w:tr>
        <w:trPr>
          <w:trHeight w:val="230"/>
        </w:trPr>
        <w:tc>
          <w:tcPr>
            <w:tcW w:w="1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Bannockbum, IL 60015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$240,000.00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60604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4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Shares:</w:t>
      </w:r>
      <w:r>
        <w:rPr>
          <w:sz w:val="20"/>
          <w:szCs w:val="20"/>
          <w:color w:val="auto"/>
        </w:rPr>
        <w:tab/>
      </w:r>
      <w:r>
        <w:rPr>
          <w:rFonts w:ascii="Arial" w:cs="Arial" w:eastAsia="Arial" w:hAnsi="Arial"/>
          <w:sz w:val="18"/>
          <w:szCs w:val="18"/>
          <w:color w:val="auto"/>
        </w:rPr>
        <w:t>1,200,000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46" w:lineRule="exact"/>
        <w:rPr>
          <w:sz w:val="20"/>
          <w:szCs w:val="20"/>
          <w:color w:val="auto"/>
        </w:rPr>
      </w:pPr>
    </w:p>
    <w:p>
      <w:pPr>
        <w:spacing w:after="0"/>
        <w:tabs>
          <w:tab w:leader="none" w:pos="2240" w:val="left"/>
        </w:tabs>
        <w:rPr>
          <w:sz w:val="20"/>
          <w:szCs w:val="20"/>
          <w:color w:val="auto"/>
        </w:rPr>
      </w:pPr>
      <w:r>
        <w:rPr>
          <w:rFonts w:ascii="Arial" w:cs="Arial" w:eastAsia="Arial" w:hAnsi="Arial"/>
          <w:sz w:val="18"/>
          <w:szCs w:val="18"/>
          <w:color w:val="auto"/>
        </w:rPr>
        <w:t>Pre-Funded Warrant Shares:</w:t>
      </w:r>
      <w:r>
        <w:rPr>
          <w:sz w:val="20"/>
          <w:szCs w:val="20"/>
          <w:color w:val="auto"/>
        </w:rPr>
        <w:tab/>
      </w: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57003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19" w:lineRule="exact"/>
        <w:rPr>
          <w:sz w:val="20"/>
          <w:szCs w:val="20"/>
          <w:color w:val="auto"/>
        </w:rPr>
      </w:pPr>
    </w:p>
    <w:p>
      <w:pPr>
        <w:jc w:val="both"/>
        <w:ind w:right="20" w:firstLine="8"/>
        <w:spacing w:after="0" w:line="291" w:lineRule="auto"/>
        <w:tabs>
          <w:tab w:leader="none" w:pos="220" w:val="left"/>
        </w:tabs>
        <w:numPr>
          <w:ilvl w:val="0"/>
          <w:numId w:val="48"/>
        </w:numPr>
        <w:rPr>
          <w:rFonts w:ascii="MS PGothic" w:cs="MS PGothic" w:eastAsia="MS PGothic" w:hAnsi="MS PGothic"/>
          <w:sz w:val="16"/>
          <w:szCs w:val="16"/>
          <w:color w:val="auto"/>
        </w:rPr>
      </w:pPr>
      <w:r>
        <w:rPr>
          <w:rFonts w:ascii="Arial" w:cs="Arial" w:eastAsia="Arial" w:hAnsi="Arial"/>
          <w:sz w:val="16"/>
          <w:szCs w:val="16"/>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w:t>
      </w:r>
    </w:p>
    <w:p>
      <w:pPr>
        <w:jc w:val="both"/>
        <w:spacing w:after="0" w:line="244" w:lineRule="auto"/>
        <w:rPr>
          <w:sz w:val="20"/>
          <w:szCs w:val="20"/>
          <w:color w:val="auto"/>
        </w:rPr>
      </w:pPr>
      <w:r>
        <w:rPr>
          <w:rFonts w:ascii="Arial" w:cs="Arial" w:eastAsia="Arial" w:hAnsi="Arial"/>
          <w:sz w:val="17"/>
          <w:szCs w:val="17"/>
          <w:color w:val="auto"/>
        </w:rPr>
        <w:t>the above-signed, shall be unconditional and all conditions to Closing shall be disregarded, (ii) the Closing shall occur on the second (2</w:t>
      </w:r>
      <w:r>
        <w:rPr>
          <w:rFonts w:ascii="Arial" w:cs="Arial" w:eastAsia="Arial" w:hAnsi="Arial"/>
          <w:sz w:val="28"/>
          <w:szCs w:val="28"/>
          <w:color w:val="auto"/>
          <w:vertAlign w:val="superscript"/>
        </w:rPr>
        <w:t>nd</w:t>
      </w:r>
      <w:r>
        <w:rPr>
          <w:rFonts w:ascii="Arial" w:cs="Arial" w:eastAsia="Arial" w:hAnsi="Arial"/>
          <w:sz w:val="17"/>
          <w:szCs w:val="17"/>
          <w:color w:val="auto"/>
        </w:rPr>
        <w: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color w:val="auto"/>
        </w:rPr>
        <w:t>[PURCHASER SIGNATURE PAGES TO XPRESSPA GROUP, INC. SECURITIES PURCHASE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Name of Purchaser:</w:t>
      </w:r>
      <w:r>
        <w:rPr>
          <w:sz w:val="20"/>
          <w:szCs w:val="20"/>
          <w:color w:val="auto"/>
        </w:rPr>
        <w:tab/>
      </w:r>
      <w:r>
        <w:rPr>
          <w:rFonts w:ascii="Arial" w:cs="Arial" w:eastAsia="Arial" w:hAnsi="Arial"/>
          <w:sz w:val="16"/>
          <w:szCs w:val="16"/>
          <w:color w:val="auto"/>
        </w:rPr>
        <w:t>L1 Capital Global Opportunities Master Fund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7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r>
      <w:tr>
        <w:trPr>
          <w:trHeight w:val="190"/>
        </w:trPr>
        <w:tc>
          <w:tcPr>
            <w:tcW w:w="3940" w:type="dxa"/>
            <w:vAlign w:val="bottom"/>
            <w:gridSpan w:val="4"/>
          </w:tcPr>
          <w:p>
            <w:pPr>
              <w:spacing w:after="0" w:line="189" w:lineRule="exact"/>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w:t>
            </w:r>
          </w:p>
        </w:tc>
        <w:tc>
          <w:tcPr>
            <w:tcW w:w="73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8"/>
                <w:szCs w:val="18"/>
                <w:color w:val="auto"/>
              </w:rPr>
              <w:t>/s/</w:t>
            </w:r>
            <w:r>
              <w:rPr>
                <w:rFonts w:ascii="Arial" w:cs="Arial" w:eastAsia="Arial" w:hAnsi="Arial"/>
                <w:sz w:val="18"/>
                <w:szCs w:val="18"/>
                <w:i w:val="1"/>
                <w:iCs w:val="1"/>
                <w:color w:val="auto"/>
              </w:rPr>
              <w:t>David Feldman</w:t>
            </w:r>
          </w:p>
        </w:tc>
      </w:tr>
      <w:tr>
        <w:trPr>
          <w:trHeight w:val="209"/>
        </w:trPr>
        <w:tc>
          <w:tcPr>
            <w:tcW w:w="2820" w:type="dxa"/>
            <w:vAlign w:val="bottom"/>
            <w:gridSpan w:val="2"/>
          </w:tcPr>
          <w:p>
            <w:pPr>
              <w:spacing w:after="0"/>
              <w:rPr>
                <w:sz w:val="20"/>
                <w:szCs w:val="20"/>
                <w:color w:val="auto"/>
              </w:rPr>
            </w:pPr>
            <w:r>
              <w:rPr>
                <w:rFonts w:ascii="Arial" w:cs="Arial" w:eastAsia="Arial" w:hAnsi="Arial"/>
                <w:sz w:val="18"/>
                <w:szCs w:val="18"/>
                <w:color w:val="auto"/>
              </w:rPr>
              <w:t>Name of Authorized Signatory:</w:t>
            </w: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David Feldman</w:t>
            </w:r>
          </w:p>
        </w:tc>
        <w:tc>
          <w:tcPr>
            <w:tcW w:w="7300" w:type="dxa"/>
            <w:vAlign w:val="bottom"/>
            <w:tcBorders>
              <w:bottom w:val="single" w:sz="8" w:color="auto"/>
            </w:tcBorders>
          </w:tcPr>
          <w:p>
            <w:pPr>
              <w:spacing w:after="0"/>
              <w:rPr>
                <w:sz w:val="18"/>
                <w:szCs w:val="18"/>
                <w:color w:val="auto"/>
              </w:rPr>
            </w:pPr>
          </w:p>
        </w:tc>
      </w:tr>
      <w:tr>
        <w:trPr>
          <w:trHeight w:val="210"/>
        </w:trPr>
        <w:tc>
          <w:tcPr>
            <w:tcW w:w="2820" w:type="dxa"/>
            <w:vAlign w:val="bottom"/>
            <w:gridSpan w:val="2"/>
          </w:tcPr>
          <w:p>
            <w:pPr>
              <w:spacing w:after="0"/>
              <w:rPr>
                <w:sz w:val="20"/>
                <w:szCs w:val="20"/>
                <w:color w:val="auto"/>
              </w:rPr>
            </w:pPr>
            <w:r>
              <w:rPr>
                <w:rFonts w:ascii="Arial" w:cs="Arial" w:eastAsia="Arial" w:hAnsi="Arial"/>
                <w:sz w:val="18"/>
                <w:szCs w:val="18"/>
                <w:color w:val="auto"/>
              </w:rPr>
              <w:t>Title of Authorized Signatory:</w:t>
            </w: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Director</w:t>
            </w:r>
          </w:p>
        </w:tc>
        <w:tc>
          <w:tcPr>
            <w:tcW w:w="7300" w:type="dxa"/>
            <w:vAlign w:val="bottom"/>
            <w:tcBorders>
              <w:bottom w:val="single" w:sz="8" w:color="auto"/>
            </w:tcBorders>
          </w:tcPr>
          <w:p>
            <w:pPr>
              <w:spacing w:after="0"/>
              <w:rPr>
                <w:sz w:val="18"/>
                <w:szCs w:val="18"/>
                <w:color w:val="auto"/>
              </w:rPr>
            </w:pPr>
          </w:p>
        </w:tc>
      </w:tr>
      <w:tr>
        <w:trPr>
          <w:trHeight w:val="209"/>
        </w:trPr>
        <w:tc>
          <w:tcPr>
            <w:tcW w:w="2820" w:type="dxa"/>
            <w:vAlign w:val="bottom"/>
            <w:gridSpan w:val="2"/>
          </w:tcPr>
          <w:p>
            <w:pPr>
              <w:spacing w:after="0"/>
              <w:rPr>
                <w:sz w:val="20"/>
                <w:szCs w:val="20"/>
                <w:color w:val="auto"/>
              </w:rPr>
            </w:pPr>
            <w:r>
              <w:rPr>
                <w:rFonts w:ascii="Arial" w:cs="Arial" w:eastAsia="Arial" w:hAnsi="Arial"/>
                <w:sz w:val="18"/>
                <w:szCs w:val="18"/>
                <w:color w:val="auto"/>
                <w:w w:val="89"/>
              </w:rPr>
              <w:t>Email Address of Authorized Signatory:</w:t>
            </w:r>
          </w:p>
        </w:tc>
        <w:tc>
          <w:tcPr>
            <w:tcW w:w="560" w:type="dxa"/>
            <w:vAlign w:val="bottom"/>
          </w:tcPr>
          <w:p>
            <w:pPr>
              <w:spacing w:after="0"/>
              <w:rPr>
                <w:sz w:val="18"/>
                <w:szCs w:val="18"/>
                <w:color w:val="auto"/>
              </w:rPr>
            </w:pPr>
          </w:p>
        </w:tc>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dfeldman@l1capitalglobal.com</w:t>
            </w:r>
          </w:p>
        </w:tc>
      </w:tr>
      <w:tr>
        <w:trPr>
          <w:trHeight w:val="209"/>
        </w:trPr>
        <w:tc>
          <w:tcPr>
            <w:tcW w:w="3380" w:type="dxa"/>
            <w:vAlign w:val="bottom"/>
            <w:gridSpan w:val="3"/>
          </w:tcPr>
          <w:p>
            <w:pPr>
              <w:spacing w:after="0"/>
              <w:rPr>
                <w:sz w:val="20"/>
                <w:szCs w:val="20"/>
                <w:color w:val="auto"/>
              </w:rPr>
            </w:pPr>
            <w:r>
              <w:rPr>
                <w:rFonts w:ascii="Arial" w:cs="Arial" w:eastAsia="Arial" w:hAnsi="Arial"/>
                <w:sz w:val="18"/>
                <w:szCs w:val="18"/>
                <w:color w:val="auto"/>
                <w:w w:val="98"/>
              </w:rPr>
              <w:t>Facsimile Number of Authorized Signatory:</w:t>
            </w:r>
          </w:p>
        </w:tc>
        <w:tc>
          <w:tcPr>
            <w:tcW w:w="560" w:type="dxa"/>
            <w:vAlign w:val="bottom"/>
            <w:tcBorders>
              <w:bottom w:val="single" w:sz="8" w:color="auto"/>
            </w:tcBorders>
          </w:tcPr>
          <w:p>
            <w:pPr>
              <w:spacing w:after="0"/>
              <w:rPr>
                <w:sz w:val="18"/>
                <w:szCs w:val="18"/>
                <w:color w:val="auto"/>
              </w:rPr>
            </w:pPr>
          </w:p>
        </w:tc>
        <w:tc>
          <w:tcPr>
            <w:tcW w:w="7300" w:type="dxa"/>
            <w:vAlign w:val="bottom"/>
            <w:tcBorders>
              <w:bottom w:val="single" w:sz="8" w:color="auto"/>
            </w:tcBorders>
          </w:tcPr>
          <w:p>
            <w:pPr>
              <w:spacing w:after="0"/>
              <w:rPr>
                <w:sz w:val="18"/>
                <w:szCs w:val="18"/>
                <w:color w:val="auto"/>
              </w:rPr>
            </w:pPr>
          </w:p>
        </w:tc>
      </w:tr>
      <w:tr>
        <w:trPr>
          <w:trHeight w:val="252"/>
        </w:trPr>
        <w:tc>
          <w:tcPr>
            <w:tcW w:w="2820" w:type="dxa"/>
            <w:vAlign w:val="bottom"/>
            <w:gridSpan w:val="2"/>
          </w:tcPr>
          <w:p>
            <w:pPr>
              <w:spacing w:after="0"/>
              <w:rPr>
                <w:sz w:val="20"/>
                <w:szCs w:val="20"/>
                <w:color w:val="auto"/>
              </w:rPr>
            </w:pPr>
            <w:r>
              <w:rPr>
                <w:rFonts w:ascii="Arial" w:cs="Arial" w:eastAsia="Arial" w:hAnsi="Arial"/>
                <w:sz w:val="18"/>
                <w:szCs w:val="18"/>
                <w:color w:val="auto"/>
              </w:rPr>
              <w:t>Address for Notice to Purchaser:</w:t>
            </w:r>
          </w:p>
        </w:tc>
        <w:tc>
          <w:tcPr>
            <w:tcW w:w="560" w:type="dxa"/>
            <w:vAlign w:val="bottom"/>
          </w:tcPr>
          <w:p>
            <w:pPr>
              <w:spacing w:after="0"/>
              <w:rPr>
                <w:sz w:val="20"/>
                <w:szCs w:val="20"/>
                <w:color w:val="auto"/>
              </w:rPr>
            </w:pPr>
            <w:r>
              <w:rPr>
                <w:rFonts w:ascii="Arial" w:cs="Arial" w:eastAsia="Arial" w:hAnsi="Arial"/>
                <w:sz w:val="18"/>
                <w:szCs w:val="18"/>
                <w:color w:val="auto"/>
                <w:w w:val="75"/>
              </w:rPr>
              <w:t>135 East</w:t>
            </w:r>
          </w:p>
        </w:tc>
        <w:tc>
          <w:tcPr>
            <w:tcW w:w="7860" w:type="dxa"/>
            <w:vAlign w:val="bottom"/>
            <w:gridSpan w:val="2"/>
          </w:tcPr>
          <w:p>
            <w:pPr>
              <w:ind w:left="100"/>
              <w:spacing w:after="0" w:line="252" w:lineRule="exact"/>
              <w:rPr>
                <w:sz w:val="20"/>
                <w:szCs w:val="20"/>
                <w:color w:val="auto"/>
              </w:rPr>
            </w:pPr>
            <w:r>
              <w:rPr>
                <w:rFonts w:ascii="Arial" w:cs="Arial" w:eastAsia="Arial" w:hAnsi="Arial"/>
                <w:sz w:val="18"/>
                <w:szCs w:val="18"/>
                <w:color w:val="auto"/>
              </w:rPr>
              <w:t>57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 23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w:t>
            </w:r>
          </w:p>
        </w:tc>
      </w:tr>
    </w:tbl>
    <w:p>
      <w:pPr>
        <w:ind w:left="2820"/>
        <w:spacing w:after="0"/>
        <w:rPr>
          <w:sz w:val="20"/>
          <w:szCs w:val="20"/>
          <w:color w:val="auto"/>
        </w:rPr>
      </w:pPr>
      <w:r>
        <w:rPr>
          <w:rFonts w:ascii="Arial" w:cs="Arial" w:eastAsia="Arial" w:hAnsi="Arial"/>
          <w:sz w:val="18"/>
          <w:szCs w:val="18"/>
          <w:color w:val="auto"/>
        </w:rPr>
        <w:t>New York, NY, 10022</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60604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Pre-Funded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57003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19" w:lineRule="exact"/>
        <w:rPr>
          <w:sz w:val="20"/>
          <w:szCs w:val="20"/>
          <w:color w:val="auto"/>
        </w:rPr>
      </w:pPr>
    </w:p>
    <w:p>
      <w:pPr>
        <w:jc w:val="both"/>
        <w:ind w:right="20" w:firstLine="8"/>
        <w:spacing w:after="0" w:line="291" w:lineRule="auto"/>
        <w:tabs>
          <w:tab w:leader="none" w:pos="228" w:val="left"/>
        </w:tabs>
        <w:numPr>
          <w:ilvl w:val="0"/>
          <w:numId w:val="49"/>
        </w:numPr>
        <w:rPr>
          <w:rFonts w:ascii="MS PGothic" w:cs="MS PGothic" w:eastAsia="MS PGothic" w:hAnsi="MS PGothic"/>
          <w:sz w:val="16"/>
          <w:szCs w:val="16"/>
          <w:color w:val="auto"/>
        </w:rPr>
      </w:pPr>
      <w:r>
        <w:rPr>
          <w:rFonts w:ascii="Arial" w:cs="Arial" w:eastAsia="Arial" w:hAnsi="Arial"/>
          <w:sz w:val="16"/>
          <w:szCs w:val="16"/>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w:t>
      </w:r>
    </w:p>
    <w:p>
      <w:pPr>
        <w:jc w:val="both"/>
        <w:spacing w:after="0" w:line="244" w:lineRule="auto"/>
        <w:rPr>
          <w:sz w:val="20"/>
          <w:szCs w:val="20"/>
          <w:color w:val="auto"/>
        </w:rPr>
      </w:pPr>
      <w:r>
        <w:rPr>
          <w:rFonts w:ascii="Arial" w:cs="Arial" w:eastAsia="Arial" w:hAnsi="Arial"/>
          <w:sz w:val="17"/>
          <w:szCs w:val="17"/>
          <w:color w:val="auto"/>
        </w:rPr>
        <w:t>the above-signed, shall be unconditional and all conditions to Closing shall be disregarded, (ii) the Closing shall occur on the second (2</w:t>
      </w:r>
      <w:r>
        <w:rPr>
          <w:rFonts w:ascii="Arial" w:cs="Arial" w:eastAsia="Arial" w:hAnsi="Arial"/>
          <w:sz w:val="28"/>
          <w:szCs w:val="28"/>
          <w:color w:val="auto"/>
          <w:vertAlign w:val="superscript"/>
        </w:rPr>
        <w:t>nd</w:t>
      </w:r>
      <w:r>
        <w:rPr>
          <w:rFonts w:ascii="Arial" w:cs="Arial" w:eastAsia="Arial" w:hAnsi="Arial"/>
          <w:sz w:val="17"/>
          <w:szCs w:val="17"/>
          <w:color w:val="auto"/>
        </w:rPr>
        <w: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color w:val="auto"/>
        </w:rPr>
        <w:t>[PURCHASER SIGNATURE PAGES TO XPRESSPA GROUP, INC. SECURITIES PURCHASE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Name of Purchaser:</w:t>
      </w:r>
      <w:r>
        <w:rPr>
          <w:sz w:val="20"/>
          <w:szCs w:val="20"/>
          <w:color w:val="auto"/>
        </w:rPr>
        <w:tab/>
      </w:r>
      <w:r>
        <w:rPr>
          <w:rFonts w:ascii="Arial" w:cs="Arial" w:eastAsia="Arial" w:hAnsi="Arial"/>
          <w:sz w:val="16"/>
          <w:szCs w:val="16"/>
          <w:color w:val="auto"/>
        </w:rPr>
        <w:t>Brio Capital Master Fund Ltd.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r>
      <w:tr>
        <w:trPr>
          <w:trHeight w:val="190"/>
        </w:trPr>
        <w:tc>
          <w:tcPr>
            <w:tcW w:w="3940" w:type="dxa"/>
            <w:vAlign w:val="bottom"/>
            <w:gridSpan w:val="5"/>
          </w:tcPr>
          <w:p>
            <w:pPr>
              <w:spacing w:after="0" w:line="189" w:lineRule="exact"/>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w:t>
            </w:r>
          </w:p>
        </w:tc>
        <w:tc>
          <w:tcPr>
            <w:tcW w:w="73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8"/>
                <w:szCs w:val="18"/>
                <w:color w:val="auto"/>
              </w:rPr>
              <w:t>/s/</w:t>
            </w:r>
            <w:r>
              <w:rPr>
                <w:rFonts w:ascii="Arial" w:cs="Arial" w:eastAsia="Arial" w:hAnsi="Arial"/>
                <w:sz w:val="18"/>
                <w:szCs w:val="18"/>
                <w:i w:val="1"/>
                <w:iCs w:val="1"/>
                <w:color w:val="auto"/>
              </w:rPr>
              <w:t>Shaye Hirsch</w:t>
            </w:r>
          </w:p>
        </w:tc>
      </w:tr>
      <w:tr>
        <w:trPr>
          <w:trHeight w:val="209"/>
        </w:trPr>
        <w:tc>
          <w:tcPr>
            <w:tcW w:w="2820" w:type="dxa"/>
            <w:vAlign w:val="bottom"/>
            <w:gridSpan w:val="3"/>
          </w:tcPr>
          <w:p>
            <w:pPr>
              <w:spacing w:after="0"/>
              <w:rPr>
                <w:sz w:val="20"/>
                <w:szCs w:val="20"/>
                <w:color w:val="auto"/>
              </w:rPr>
            </w:pPr>
            <w:r>
              <w:rPr>
                <w:rFonts w:ascii="Arial" w:cs="Arial" w:eastAsia="Arial" w:hAnsi="Arial"/>
                <w:sz w:val="18"/>
                <w:szCs w:val="18"/>
                <w:color w:val="auto"/>
              </w:rPr>
              <w:t>Name of Authorized Signatory:</w:t>
            </w: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Shaye Hirsch</w:t>
            </w:r>
          </w:p>
        </w:tc>
        <w:tc>
          <w:tcPr>
            <w:tcW w:w="7300" w:type="dxa"/>
            <w:vAlign w:val="bottom"/>
            <w:tcBorders>
              <w:bottom w:val="single" w:sz="8" w:color="auto"/>
            </w:tcBorders>
          </w:tcPr>
          <w:p>
            <w:pPr>
              <w:spacing w:after="0"/>
              <w:rPr>
                <w:sz w:val="18"/>
                <w:szCs w:val="18"/>
                <w:color w:val="auto"/>
              </w:rPr>
            </w:pPr>
          </w:p>
        </w:tc>
      </w:tr>
      <w:tr>
        <w:trPr>
          <w:trHeight w:val="210"/>
        </w:trPr>
        <w:tc>
          <w:tcPr>
            <w:tcW w:w="2820" w:type="dxa"/>
            <w:vAlign w:val="bottom"/>
            <w:gridSpan w:val="3"/>
          </w:tcPr>
          <w:p>
            <w:pPr>
              <w:spacing w:after="0"/>
              <w:rPr>
                <w:sz w:val="20"/>
                <w:szCs w:val="20"/>
                <w:color w:val="auto"/>
              </w:rPr>
            </w:pPr>
            <w:r>
              <w:rPr>
                <w:rFonts w:ascii="Arial" w:cs="Arial" w:eastAsia="Arial" w:hAnsi="Arial"/>
                <w:sz w:val="18"/>
                <w:szCs w:val="18"/>
                <w:color w:val="auto"/>
              </w:rPr>
              <w:t>Title of Authorized Signatory:</w:t>
            </w: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Director</w:t>
            </w:r>
          </w:p>
        </w:tc>
        <w:tc>
          <w:tcPr>
            <w:tcW w:w="7300" w:type="dxa"/>
            <w:vAlign w:val="bottom"/>
            <w:tcBorders>
              <w:bottom w:val="single" w:sz="8" w:color="auto"/>
            </w:tcBorders>
          </w:tcPr>
          <w:p>
            <w:pPr>
              <w:spacing w:after="0"/>
              <w:rPr>
                <w:sz w:val="18"/>
                <w:szCs w:val="18"/>
                <w:color w:val="auto"/>
              </w:rPr>
            </w:pPr>
          </w:p>
        </w:tc>
      </w:tr>
      <w:tr>
        <w:trPr>
          <w:trHeight w:val="209"/>
        </w:trPr>
        <w:tc>
          <w:tcPr>
            <w:tcW w:w="2820" w:type="dxa"/>
            <w:vAlign w:val="bottom"/>
            <w:gridSpan w:val="3"/>
          </w:tcPr>
          <w:p>
            <w:pPr>
              <w:spacing w:after="0"/>
              <w:rPr>
                <w:sz w:val="20"/>
                <w:szCs w:val="20"/>
                <w:color w:val="auto"/>
              </w:rPr>
            </w:pPr>
            <w:r>
              <w:rPr>
                <w:rFonts w:ascii="Arial" w:cs="Arial" w:eastAsia="Arial" w:hAnsi="Arial"/>
                <w:sz w:val="18"/>
                <w:szCs w:val="18"/>
                <w:color w:val="auto"/>
                <w:w w:val="89"/>
              </w:rPr>
              <w:t>Email Address of Authorized Signatory:</w:t>
            </w:r>
          </w:p>
        </w:tc>
        <w:tc>
          <w:tcPr>
            <w:tcW w:w="560" w:type="dxa"/>
            <w:vAlign w:val="bottom"/>
          </w:tcPr>
          <w:p>
            <w:pPr>
              <w:spacing w:after="0"/>
              <w:rPr>
                <w:sz w:val="18"/>
                <w:szCs w:val="18"/>
                <w:color w:val="auto"/>
              </w:rPr>
            </w:pPr>
          </w:p>
        </w:tc>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shaye@briocapital.com</w:t>
            </w:r>
          </w:p>
        </w:tc>
      </w:tr>
      <w:tr>
        <w:trPr>
          <w:trHeight w:val="209"/>
        </w:trPr>
        <w:tc>
          <w:tcPr>
            <w:tcW w:w="3380" w:type="dxa"/>
            <w:vAlign w:val="bottom"/>
            <w:gridSpan w:val="4"/>
          </w:tcPr>
          <w:p>
            <w:pPr>
              <w:spacing w:after="0"/>
              <w:rPr>
                <w:sz w:val="20"/>
                <w:szCs w:val="20"/>
                <w:color w:val="auto"/>
              </w:rPr>
            </w:pPr>
            <w:r>
              <w:rPr>
                <w:rFonts w:ascii="Arial" w:cs="Arial" w:eastAsia="Arial" w:hAnsi="Arial"/>
                <w:sz w:val="18"/>
                <w:szCs w:val="18"/>
                <w:color w:val="auto"/>
                <w:w w:val="98"/>
              </w:rPr>
              <w:t>Facsimile Number of Authorized Signatory:</w:t>
            </w:r>
          </w:p>
        </w:tc>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646-390-2158</w:t>
            </w:r>
          </w:p>
        </w:tc>
      </w:tr>
      <w:tr>
        <w:trPr>
          <w:trHeight w:val="195"/>
        </w:trPr>
        <w:tc>
          <w:tcPr>
            <w:tcW w:w="2820" w:type="dxa"/>
            <w:vAlign w:val="bottom"/>
            <w:gridSpan w:val="3"/>
          </w:tcPr>
          <w:p>
            <w:pPr>
              <w:spacing w:after="0" w:line="195" w:lineRule="exact"/>
              <w:rPr>
                <w:sz w:val="20"/>
                <w:szCs w:val="20"/>
                <w:color w:val="auto"/>
              </w:rPr>
            </w:pPr>
            <w:r>
              <w:rPr>
                <w:rFonts w:ascii="Arial" w:cs="Arial" w:eastAsia="Arial" w:hAnsi="Arial"/>
                <w:sz w:val="18"/>
                <w:szCs w:val="18"/>
                <w:color w:val="auto"/>
              </w:rPr>
              <w:t>Address for Notice to Purchaser:</w:t>
            </w:r>
          </w:p>
        </w:tc>
        <w:tc>
          <w:tcPr>
            <w:tcW w:w="560" w:type="dxa"/>
            <w:vAlign w:val="bottom"/>
          </w:tcPr>
          <w:p>
            <w:pPr>
              <w:spacing w:after="0" w:line="195" w:lineRule="exact"/>
              <w:rPr>
                <w:sz w:val="20"/>
                <w:szCs w:val="20"/>
                <w:color w:val="auto"/>
              </w:rPr>
            </w:pPr>
            <w:r>
              <w:rPr>
                <w:rFonts w:ascii="Arial" w:cs="Arial" w:eastAsia="Arial" w:hAnsi="Arial"/>
                <w:sz w:val="18"/>
                <w:szCs w:val="18"/>
                <w:color w:val="auto"/>
                <w:w w:val="88"/>
              </w:rPr>
              <w:t>c/o Brio</w:t>
            </w:r>
          </w:p>
        </w:tc>
        <w:tc>
          <w:tcPr>
            <w:tcW w:w="7860" w:type="dxa"/>
            <w:vAlign w:val="bottom"/>
            <w:gridSpan w:val="2"/>
          </w:tcPr>
          <w:p>
            <w:pPr>
              <w:ind w:left="60"/>
              <w:spacing w:after="0" w:line="195" w:lineRule="exact"/>
              <w:rPr>
                <w:sz w:val="20"/>
                <w:szCs w:val="20"/>
                <w:color w:val="auto"/>
              </w:rPr>
            </w:pPr>
            <w:r>
              <w:rPr>
                <w:rFonts w:ascii="Arial" w:cs="Arial" w:eastAsia="Arial" w:hAnsi="Arial"/>
                <w:sz w:val="18"/>
                <w:szCs w:val="18"/>
                <w:color w:val="auto"/>
              </w:rPr>
              <w:t>Capital Management LLC</w:t>
            </w:r>
          </w:p>
        </w:tc>
      </w:tr>
      <w:tr>
        <w:trPr>
          <w:trHeight w:val="216"/>
        </w:trPr>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100 Merrick Road, Suite 401W</w:t>
            </w:r>
          </w:p>
        </w:tc>
      </w:tr>
      <w:tr>
        <w:trPr>
          <w:trHeight w:val="230"/>
        </w:trPr>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Rockville Centre, NY 11570</w:t>
            </w:r>
          </w:p>
        </w:tc>
      </w:tr>
      <w:tr>
        <w:trPr>
          <w:trHeight w:val="432"/>
        </w:trPr>
        <w:tc>
          <w:tcPr>
            <w:tcW w:w="2820" w:type="dxa"/>
            <w:vAlign w:val="bottom"/>
            <w:gridSpan w:val="3"/>
          </w:tcPr>
          <w:p>
            <w:pPr>
              <w:spacing w:after="0"/>
              <w:rPr>
                <w:sz w:val="20"/>
                <w:szCs w:val="20"/>
                <w:color w:val="auto"/>
              </w:rPr>
            </w:pPr>
            <w:r>
              <w:rPr>
                <w:rFonts w:ascii="Arial" w:cs="Arial" w:eastAsia="Arial" w:hAnsi="Arial"/>
                <w:sz w:val="18"/>
                <w:szCs w:val="18"/>
                <w:color w:val="auto"/>
              </w:rPr>
              <w:t>Subscription Amount: $200,000</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300" w:type="dxa"/>
            <w:vAlign w:val="bottom"/>
          </w:tcPr>
          <w:p>
            <w:pPr>
              <w:spacing w:after="0"/>
              <w:rPr>
                <w:sz w:val="24"/>
                <w:szCs w:val="24"/>
                <w:color w:val="auto"/>
              </w:rPr>
            </w:pPr>
          </w:p>
        </w:tc>
      </w:tr>
      <w:tr>
        <w:trPr>
          <w:trHeight w:val="453"/>
        </w:trPr>
        <w:tc>
          <w:tcPr>
            <w:tcW w:w="920" w:type="dxa"/>
            <w:vAlign w:val="bottom"/>
          </w:tcPr>
          <w:p>
            <w:pPr>
              <w:spacing w:after="0"/>
              <w:rPr>
                <w:sz w:val="20"/>
                <w:szCs w:val="20"/>
                <w:color w:val="auto"/>
              </w:rPr>
            </w:pPr>
            <w:r>
              <w:rPr>
                <w:rFonts w:ascii="Arial" w:cs="Arial" w:eastAsia="Arial" w:hAnsi="Arial"/>
                <w:sz w:val="18"/>
                <w:szCs w:val="18"/>
                <w:color w:val="auto"/>
              </w:rPr>
              <w:t>Shares: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1,000,000</w:t>
            </w:r>
          </w:p>
        </w:tc>
        <w:tc>
          <w:tcPr>
            <w:tcW w:w="112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7300" w:type="dxa"/>
            <w:vAlign w:val="bottom"/>
            <w:tcBorders>
              <w:top w:val="single" w:sz="8" w:color="auto"/>
              <w:bottom w:val="single" w:sz="8" w:color="auto"/>
            </w:tcBorders>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Pre-Funded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57003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219" w:lineRule="exact"/>
        <w:rPr>
          <w:sz w:val="20"/>
          <w:szCs w:val="20"/>
          <w:color w:val="auto"/>
        </w:rPr>
      </w:pPr>
    </w:p>
    <w:p>
      <w:pPr>
        <w:jc w:val="both"/>
        <w:ind w:right="20" w:firstLine="8"/>
        <w:spacing w:after="0" w:line="291" w:lineRule="auto"/>
        <w:tabs>
          <w:tab w:leader="none" w:pos="228" w:val="left"/>
        </w:tabs>
        <w:numPr>
          <w:ilvl w:val="0"/>
          <w:numId w:val="50"/>
        </w:numPr>
        <w:rPr>
          <w:rFonts w:ascii="MS PGothic" w:cs="MS PGothic" w:eastAsia="MS PGothic" w:hAnsi="MS PGothic"/>
          <w:sz w:val="16"/>
          <w:szCs w:val="16"/>
          <w:color w:val="auto"/>
        </w:rPr>
      </w:pPr>
      <w:r>
        <w:rPr>
          <w:rFonts w:ascii="Arial" w:cs="Arial" w:eastAsia="Arial" w:hAnsi="Arial"/>
          <w:sz w:val="16"/>
          <w:szCs w:val="16"/>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w:t>
      </w:r>
    </w:p>
    <w:p>
      <w:pPr>
        <w:jc w:val="both"/>
        <w:spacing w:after="0" w:line="244" w:lineRule="auto"/>
        <w:rPr>
          <w:sz w:val="20"/>
          <w:szCs w:val="20"/>
          <w:color w:val="auto"/>
        </w:rPr>
      </w:pPr>
      <w:r>
        <w:rPr>
          <w:rFonts w:ascii="Arial" w:cs="Arial" w:eastAsia="Arial" w:hAnsi="Arial"/>
          <w:sz w:val="17"/>
          <w:szCs w:val="17"/>
          <w:color w:val="auto"/>
        </w:rPr>
        <w:t>the above-signed, shall be unconditional and all conditions to Closing shall be disregarded, (ii) the Closing shall occur on the second (2</w:t>
      </w:r>
      <w:r>
        <w:rPr>
          <w:rFonts w:ascii="Arial" w:cs="Arial" w:eastAsia="Arial" w:hAnsi="Arial"/>
          <w:sz w:val="28"/>
          <w:szCs w:val="28"/>
          <w:color w:val="auto"/>
          <w:vertAlign w:val="superscript"/>
        </w:rPr>
        <w:t>nd</w:t>
      </w:r>
      <w:r>
        <w:rPr>
          <w:rFonts w:ascii="Arial" w:cs="Arial" w:eastAsia="Arial" w:hAnsi="Arial"/>
          <w:sz w:val="17"/>
          <w:szCs w:val="17"/>
          <w:color w:val="auto"/>
        </w:rPr>
        <w: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color w:val="auto"/>
        </w:rPr>
        <w:t>[PURCHASER SIGNATURE PAGES TO XPRESSPA GROUP, INC. SECURITIES PURCHASE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Name of Purchaser:</w:t>
      </w:r>
      <w:r>
        <w:rPr>
          <w:sz w:val="20"/>
          <w:szCs w:val="20"/>
          <w:color w:val="auto"/>
        </w:rPr>
        <w:tab/>
      </w:r>
      <w:r>
        <w:rPr>
          <w:rFonts w:ascii="Arial" w:cs="Arial" w:eastAsia="Arial" w:hAnsi="Arial"/>
          <w:sz w:val="16"/>
          <w:szCs w:val="16"/>
          <w:color w:val="auto"/>
        </w:rPr>
        <w:t>Alpha Capital Anstalt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r>
      <w:tr>
        <w:trPr>
          <w:trHeight w:val="190"/>
        </w:trPr>
        <w:tc>
          <w:tcPr>
            <w:tcW w:w="3940" w:type="dxa"/>
            <w:vAlign w:val="bottom"/>
            <w:gridSpan w:val="5"/>
          </w:tcPr>
          <w:p>
            <w:pPr>
              <w:spacing w:after="0" w:line="189" w:lineRule="exact"/>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w:t>
            </w:r>
          </w:p>
        </w:tc>
        <w:tc>
          <w:tcPr>
            <w:tcW w:w="73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8"/>
                <w:szCs w:val="18"/>
                <w:color w:val="auto"/>
              </w:rPr>
              <w:t>/s/</w:t>
            </w:r>
            <w:r>
              <w:rPr>
                <w:rFonts w:ascii="Arial" w:cs="Arial" w:eastAsia="Arial" w:hAnsi="Arial"/>
                <w:sz w:val="18"/>
                <w:szCs w:val="18"/>
                <w:i w:val="1"/>
                <w:iCs w:val="1"/>
                <w:color w:val="auto"/>
              </w:rPr>
              <w:t>Nicola Feuerstein</w:t>
            </w:r>
          </w:p>
        </w:tc>
      </w:tr>
      <w:tr>
        <w:trPr>
          <w:trHeight w:val="209"/>
        </w:trPr>
        <w:tc>
          <w:tcPr>
            <w:tcW w:w="2820" w:type="dxa"/>
            <w:vAlign w:val="bottom"/>
            <w:gridSpan w:val="3"/>
          </w:tcPr>
          <w:p>
            <w:pPr>
              <w:spacing w:after="0"/>
              <w:rPr>
                <w:sz w:val="20"/>
                <w:szCs w:val="20"/>
                <w:color w:val="auto"/>
              </w:rPr>
            </w:pPr>
            <w:r>
              <w:rPr>
                <w:rFonts w:ascii="Arial" w:cs="Arial" w:eastAsia="Arial" w:hAnsi="Arial"/>
                <w:sz w:val="18"/>
                <w:szCs w:val="18"/>
                <w:color w:val="auto"/>
              </w:rPr>
              <w:t>Name of Authorized Signatory:</w:t>
            </w: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78"/>
              </w:rPr>
              <w:t>Nicola Feuerstein</w:t>
            </w:r>
          </w:p>
        </w:tc>
        <w:tc>
          <w:tcPr>
            <w:tcW w:w="7300" w:type="dxa"/>
            <w:vAlign w:val="bottom"/>
            <w:tcBorders>
              <w:bottom w:val="single" w:sz="8" w:color="auto"/>
            </w:tcBorders>
          </w:tcPr>
          <w:p>
            <w:pPr>
              <w:spacing w:after="0"/>
              <w:rPr>
                <w:sz w:val="18"/>
                <w:szCs w:val="18"/>
                <w:color w:val="auto"/>
              </w:rPr>
            </w:pPr>
          </w:p>
        </w:tc>
      </w:tr>
      <w:tr>
        <w:trPr>
          <w:trHeight w:val="210"/>
        </w:trPr>
        <w:tc>
          <w:tcPr>
            <w:tcW w:w="2820" w:type="dxa"/>
            <w:vAlign w:val="bottom"/>
            <w:gridSpan w:val="3"/>
          </w:tcPr>
          <w:p>
            <w:pPr>
              <w:spacing w:after="0"/>
              <w:rPr>
                <w:sz w:val="20"/>
                <w:szCs w:val="20"/>
                <w:color w:val="auto"/>
              </w:rPr>
            </w:pPr>
            <w:r>
              <w:rPr>
                <w:rFonts w:ascii="Arial" w:cs="Arial" w:eastAsia="Arial" w:hAnsi="Arial"/>
                <w:sz w:val="18"/>
                <w:szCs w:val="18"/>
                <w:color w:val="auto"/>
              </w:rPr>
              <w:t>Title of Authorized Signatory:</w:t>
            </w: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Secretary</w:t>
            </w:r>
          </w:p>
        </w:tc>
        <w:tc>
          <w:tcPr>
            <w:tcW w:w="7300" w:type="dxa"/>
            <w:vAlign w:val="bottom"/>
            <w:tcBorders>
              <w:bottom w:val="single" w:sz="8" w:color="auto"/>
            </w:tcBorders>
          </w:tcPr>
          <w:p>
            <w:pPr>
              <w:spacing w:after="0"/>
              <w:rPr>
                <w:sz w:val="18"/>
                <w:szCs w:val="18"/>
                <w:color w:val="auto"/>
              </w:rPr>
            </w:pPr>
          </w:p>
        </w:tc>
      </w:tr>
      <w:tr>
        <w:trPr>
          <w:trHeight w:val="209"/>
        </w:trPr>
        <w:tc>
          <w:tcPr>
            <w:tcW w:w="2820" w:type="dxa"/>
            <w:vAlign w:val="bottom"/>
            <w:gridSpan w:val="3"/>
          </w:tcPr>
          <w:p>
            <w:pPr>
              <w:spacing w:after="0"/>
              <w:rPr>
                <w:sz w:val="20"/>
                <w:szCs w:val="20"/>
                <w:color w:val="auto"/>
              </w:rPr>
            </w:pPr>
            <w:r>
              <w:rPr>
                <w:rFonts w:ascii="Arial" w:cs="Arial" w:eastAsia="Arial" w:hAnsi="Arial"/>
                <w:sz w:val="18"/>
                <w:szCs w:val="18"/>
                <w:color w:val="auto"/>
                <w:w w:val="89"/>
              </w:rPr>
              <w:t>Email Address of Authorized Signatory:</w:t>
            </w:r>
          </w:p>
        </w:tc>
        <w:tc>
          <w:tcPr>
            <w:tcW w:w="560" w:type="dxa"/>
            <w:vAlign w:val="bottom"/>
          </w:tcPr>
          <w:p>
            <w:pPr>
              <w:spacing w:after="0"/>
              <w:rPr>
                <w:sz w:val="18"/>
                <w:szCs w:val="18"/>
                <w:color w:val="auto"/>
              </w:rPr>
            </w:pPr>
          </w:p>
        </w:tc>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feuerstein@alphacapital.li</w:t>
            </w:r>
          </w:p>
        </w:tc>
      </w:tr>
      <w:tr>
        <w:trPr>
          <w:trHeight w:val="209"/>
        </w:trPr>
        <w:tc>
          <w:tcPr>
            <w:tcW w:w="3380" w:type="dxa"/>
            <w:vAlign w:val="bottom"/>
            <w:gridSpan w:val="4"/>
          </w:tcPr>
          <w:p>
            <w:pPr>
              <w:spacing w:after="0"/>
              <w:rPr>
                <w:sz w:val="20"/>
                <w:szCs w:val="20"/>
                <w:color w:val="auto"/>
              </w:rPr>
            </w:pPr>
            <w:r>
              <w:rPr>
                <w:rFonts w:ascii="Arial" w:cs="Arial" w:eastAsia="Arial" w:hAnsi="Arial"/>
                <w:sz w:val="18"/>
                <w:szCs w:val="18"/>
                <w:color w:val="auto"/>
                <w:w w:val="98"/>
              </w:rPr>
              <w:t>Facsimile Number of Authorized Signatory:</w:t>
            </w:r>
          </w:p>
        </w:tc>
        <w:tc>
          <w:tcPr>
            <w:tcW w:w="560" w:type="dxa"/>
            <w:vAlign w:val="bottom"/>
            <w:tcBorders>
              <w:bottom w:val="single" w:sz="8" w:color="auto"/>
            </w:tcBorders>
          </w:tcPr>
          <w:p>
            <w:pPr>
              <w:spacing w:after="0"/>
              <w:rPr>
                <w:sz w:val="18"/>
                <w:szCs w:val="18"/>
                <w:color w:val="auto"/>
              </w:rPr>
            </w:pPr>
          </w:p>
        </w:tc>
        <w:tc>
          <w:tcPr>
            <w:tcW w:w="7300" w:type="dxa"/>
            <w:vAlign w:val="bottom"/>
            <w:tcBorders>
              <w:bottom w:val="single" w:sz="8" w:color="auto"/>
            </w:tcBorders>
          </w:tcPr>
          <w:p>
            <w:pPr>
              <w:spacing w:after="0"/>
              <w:rPr>
                <w:sz w:val="18"/>
                <w:szCs w:val="18"/>
                <w:color w:val="auto"/>
              </w:rPr>
            </w:pPr>
          </w:p>
        </w:tc>
      </w:tr>
      <w:tr>
        <w:trPr>
          <w:trHeight w:val="195"/>
        </w:trPr>
        <w:tc>
          <w:tcPr>
            <w:tcW w:w="2820" w:type="dxa"/>
            <w:vAlign w:val="bottom"/>
            <w:gridSpan w:val="3"/>
          </w:tcPr>
          <w:p>
            <w:pPr>
              <w:spacing w:after="0" w:line="195" w:lineRule="exact"/>
              <w:rPr>
                <w:sz w:val="20"/>
                <w:szCs w:val="20"/>
                <w:color w:val="auto"/>
              </w:rPr>
            </w:pPr>
            <w:r>
              <w:rPr>
                <w:rFonts w:ascii="Arial" w:cs="Arial" w:eastAsia="Arial" w:hAnsi="Arial"/>
                <w:sz w:val="18"/>
                <w:szCs w:val="18"/>
                <w:color w:val="auto"/>
              </w:rPr>
              <w:t>Address for Notice to Purchaser:</w:t>
            </w:r>
          </w:p>
        </w:tc>
        <w:tc>
          <w:tcPr>
            <w:tcW w:w="8420" w:type="dxa"/>
            <w:vAlign w:val="bottom"/>
            <w:gridSpan w:val="3"/>
          </w:tcPr>
          <w:p>
            <w:pPr>
              <w:spacing w:after="0" w:line="195" w:lineRule="exact"/>
              <w:rPr>
                <w:sz w:val="20"/>
                <w:szCs w:val="20"/>
                <w:color w:val="auto"/>
              </w:rPr>
            </w:pPr>
            <w:r>
              <w:rPr>
                <w:rFonts w:ascii="Arial" w:cs="Arial" w:eastAsia="Arial" w:hAnsi="Arial"/>
                <w:sz w:val="18"/>
                <w:szCs w:val="18"/>
                <w:color w:val="auto"/>
              </w:rPr>
              <w:t>LH Financial Services</w:t>
            </w:r>
          </w:p>
        </w:tc>
      </w:tr>
      <w:tr>
        <w:trPr>
          <w:trHeight w:val="216"/>
        </w:trPr>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510 Madison Avenue</w:t>
            </w:r>
          </w:p>
        </w:tc>
      </w:tr>
      <w:tr>
        <w:trPr>
          <w:trHeight w:val="216"/>
        </w:trPr>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Suite 1400</w:t>
            </w:r>
          </w:p>
        </w:tc>
        <w:tc>
          <w:tcPr>
            <w:tcW w:w="730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New York, N.Y., 10022</w:t>
            </w:r>
          </w:p>
        </w:tc>
      </w:tr>
      <w:tr>
        <w:trPr>
          <w:trHeight w:val="432"/>
        </w:trPr>
        <w:tc>
          <w:tcPr>
            <w:tcW w:w="2820" w:type="dxa"/>
            <w:vAlign w:val="bottom"/>
            <w:gridSpan w:val="3"/>
          </w:tcPr>
          <w:p>
            <w:pPr>
              <w:spacing w:after="0"/>
              <w:rPr>
                <w:sz w:val="20"/>
                <w:szCs w:val="20"/>
                <w:color w:val="auto"/>
              </w:rPr>
            </w:pPr>
            <w:r>
              <w:rPr>
                <w:rFonts w:ascii="Arial" w:cs="Arial" w:eastAsia="Arial" w:hAnsi="Arial"/>
                <w:sz w:val="18"/>
                <w:szCs w:val="18"/>
                <w:color w:val="auto"/>
              </w:rPr>
              <w:t>Subscription Amount: $500,000.00</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300" w:type="dxa"/>
            <w:vAlign w:val="bottom"/>
          </w:tcPr>
          <w:p>
            <w:pPr>
              <w:spacing w:after="0"/>
              <w:rPr>
                <w:sz w:val="24"/>
                <w:szCs w:val="24"/>
                <w:color w:val="auto"/>
              </w:rPr>
            </w:pPr>
          </w:p>
        </w:tc>
      </w:tr>
      <w:tr>
        <w:trPr>
          <w:trHeight w:val="453"/>
        </w:trPr>
        <w:tc>
          <w:tcPr>
            <w:tcW w:w="920" w:type="dxa"/>
            <w:vAlign w:val="bottom"/>
          </w:tcPr>
          <w:p>
            <w:pPr>
              <w:spacing w:after="0"/>
              <w:rPr>
                <w:sz w:val="20"/>
                <w:szCs w:val="20"/>
                <w:color w:val="auto"/>
              </w:rPr>
            </w:pPr>
            <w:r>
              <w:rPr>
                <w:rFonts w:ascii="Arial" w:cs="Arial" w:eastAsia="Arial" w:hAnsi="Arial"/>
                <w:sz w:val="18"/>
                <w:szCs w:val="18"/>
                <w:color w:val="auto"/>
              </w:rPr>
              <w:t>Shares: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1,000,000</w:t>
            </w:r>
          </w:p>
        </w:tc>
        <w:tc>
          <w:tcPr>
            <w:tcW w:w="112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7300" w:type="dxa"/>
            <w:vAlign w:val="bottom"/>
            <w:tcBorders>
              <w:top w:val="single" w:sz="8" w:color="auto"/>
              <w:bottom w:val="single" w:sz="8" w:color="auto"/>
            </w:tcBorders>
          </w:tcPr>
          <w:p>
            <w:pPr>
              <w:spacing w:after="0"/>
              <w:rPr>
                <w:sz w:val="24"/>
                <w:szCs w:val="24"/>
                <w:color w:val="auto"/>
              </w:rPr>
            </w:pPr>
          </w:p>
        </w:tc>
      </w:tr>
    </w:tbl>
    <w:p>
      <w:pPr>
        <w:spacing w:after="0" w:line="229" w:lineRule="exact"/>
        <w:rPr>
          <w:sz w:val="20"/>
          <w:szCs w:val="20"/>
          <w:color w:val="auto"/>
        </w:rPr>
      </w:pPr>
    </w:p>
    <w:p>
      <w:pPr>
        <w:spacing w:after="0"/>
        <w:tabs>
          <w:tab w:leader="none" w:pos="2240" w:val="left"/>
        </w:tabs>
        <w:rPr>
          <w:sz w:val="20"/>
          <w:szCs w:val="20"/>
          <w:color w:val="auto"/>
        </w:rPr>
      </w:pPr>
      <w:r>
        <w:rPr>
          <w:rFonts w:ascii="Arial" w:cs="Arial" w:eastAsia="Arial" w:hAnsi="Arial"/>
          <w:sz w:val="18"/>
          <w:szCs w:val="18"/>
          <w:color w:val="auto"/>
        </w:rPr>
        <w:t>Pre-Funded Warrant Shares:</w:t>
      </w:r>
      <w:r>
        <w:rPr>
          <w:sz w:val="20"/>
          <w:szCs w:val="20"/>
          <w:color w:val="auto"/>
        </w:rPr>
        <w:tab/>
      </w:r>
      <w:r>
        <w:rPr>
          <w:rFonts w:ascii="Arial" w:cs="Arial" w:eastAsia="Arial" w:hAnsi="Arial"/>
          <w:sz w:val="16"/>
          <w:szCs w:val="16"/>
          <w:color w:val="auto"/>
        </w:rPr>
        <w:t>1,500,000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57003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19" w:lineRule="exact"/>
        <w:rPr>
          <w:sz w:val="20"/>
          <w:szCs w:val="20"/>
          <w:color w:val="auto"/>
        </w:rPr>
      </w:pPr>
    </w:p>
    <w:p>
      <w:pPr>
        <w:jc w:val="both"/>
        <w:ind w:right="20" w:firstLine="8"/>
        <w:spacing w:after="0" w:line="291" w:lineRule="auto"/>
        <w:tabs>
          <w:tab w:leader="none" w:pos="220" w:val="left"/>
        </w:tabs>
        <w:numPr>
          <w:ilvl w:val="0"/>
          <w:numId w:val="51"/>
        </w:numPr>
        <w:rPr>
          <w:rFonts w:ascii="MS PGothic" w:cs="MS PGothic" w:eastAsia="MS PGothic" w:hAnsi="MS PGothic"/>
          <w:sz w:val="16"/>
          <w:szCs w:val="16"/>
          <w:color w:val="auto"/>
        </w:rPr>
      </w:pPr>
      <w:r>
        <w:rPr>
          <w:rFonts w:ascii="Arial" w:cs="Arial" w:eastAsia="Arial" w:hAnsi="Arial"/>
          <w:sz w:val="16"/>
          <w:szCs w:val="16"/>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w:t>
      </w:r>
    </w:p>
    <w:p>
      <w:pPr>
        <w:jc w:val="both"/>
        <w:spacing w:after="0" w:line="244" w:lineRule="auto"/>
        <w:rPr>
          <w:sz w:val="20"/>
          <w:szCs w:val="20"/>
          <w:color w:val="auto"/>
        </w:rPr>
      </w:pPr>
      <w:r>
        <w:rPr>
          <w:rFonts w:ascii="Arial" w:cs="Arial" w:eastAsia="Arial" w:hAnsi="Arial"/>
          <w:sz w:val="17"/>
          <w:szCs w:val="17"/>
          <w:color w:val="auto"/>
        </w:rPr>
        <w:t>the above-signed, shall be unconditional and all conditions to Closing shall be disregarded, (ii) the Closing shall occur on the second (2</w:t>
      </w:r>
      <w:r>
        <w:rPr>
          <w:rFonts w:ascii="Arial" w:cs="Arial" w:eastAsia="Arial" w:hAnsi="Arial"/>
          <w:sz w:val="28"/>
          <w:szCs w:val="28"/>
          <w:color w:val="auto"/>
          <w:vertAlign w:val="superscript"/>
        </w:rPr>
        <w:t>nd</w:t>
      </w:r>
      <w:r>
        <w:rPr>
          <w:rFonts w:ascii="Arial" w:cs="Arial" w:eastAsia="Arial" w:hAnsi="Arial"/>
          <w:sz w:val="17"/>
          <w:szCs w:val="17"/>
          <w:color w:val="auto"/>
        </w:rPr>
        <w: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color w:val="auto"/>
        </w:rPr>
        <w:t>[PURCHASER SIGNATURE PAGES TO XPRESSPA GROUP, INC. SECURITIES PURCHASE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Name of Purchaser:</w:t>
      </w:r>
      <w:r>
        <w:rPr>
          <w:sz w:val="20"/>
          <w:szCs w:val="20"/>
          <w:color w:val="auto"/>
        </w:rPr>
        <w:tab/>
      </w:r>
      <w:r>
        <w:rPr>
          <w:rFonts w:ascii="Arial" w:cs="Arial" w:eastAsia="Arial" w:hAnsi="Arial"/>
          <w:sz w:val="16"/>
          <w:szCs w:val="16"/>
          <w:color w:val="auto"/>
        </w:rPr>
        <w:t>Anson Investments Master Fund LP</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7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r>
      <w:tr>
        <w:trPr>
          <w:trHeight w:val="189"/>
        </w:trPr>
        <w:tc>
          <w:tcPr>
            <w:tcW w:w="3940" w:type="dxa"/>
            <w:vAlign w:val="bottom"/>
            <w:gridSpan w:val="4"/>
          </w:tcPr>
          <w:p>
            <w:pPr>
              <w:spacing w:after="0" w:line="189" w:lineRule="exact"/>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w:t>
            </w:r>
          </w:p>
        </w:tc>
        <w:tc>
          <w:tcPr>
            <w:tcW w:w="73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8"/>
                <w:szCs w:val="18"/>
                <w:color w:val="auto"/>
              </w:rPr>
              <w:t>/s/</w:t>
            </w:r>
            <w:r>
              <w:rPr>
                <w:rFonts w:ascii="Arial" w:cs="Arial" w:eastAsia="Arial" w:hAnsi="Arial"/>
                <w:sz w:val="18"/>
                <w:szCs w:val="18"/>
                <w:i w:val="1"/>
                <w:iCs w:val="1"/>
                <w:color w:val="auto"/>
              </w:rPr>
              <w:t>Amin Nathoo</w:t>
            </w:r>
          </w:p>
        </w:tc>
      </w:tr>
      <w:tr>
        <w:trPr>
          <w:trHeight w:val="209"/>
        </w:trPr>
        <w:tc>
          <w:tcPr>
            <w:tcW w:w="2820" w:type="dxa"/>
            <w:vAlign w:val="bottom"/>
            <w:gridSpan w:val="2"/>
          </w:tcPr>
          <w:p>
            <w:pPr>
              <w:spacing w:after="0"/>
              <w:rPr>
                <w:sz w:val="20"/>
                <w:szCs w:val="20"/>
                <w:color w:val="auto"/>
              </w:rPr>
            </w:pPr>
            <w:r>
              <w:rPr>
                <w:rFonts w:ascii="Arial" w:cs="Arial" w:eastAsia="Arial" w:hAnsi="Arial"/>
                <w:sz w:val="18"/>
                <w:szCs w:val="18"/>
                <w:color w:val="auto"/>
              </w:rPr>
              <w:t>Name of Authorized Signatory:</w:t>
            </w: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Amin Nathoo</w:t>
            </w:r>
          </w:p>
        </w:tc>
        <w:tc>
          <w:tcPr>
            <w:tcW w:w="7300" w:type="dxa"/>
            <w:vAlign w:val="bottom"/>
            <w:tcBorders>
              <w:bottom w:val="single" w:sz="8" w:color="auto"/>
            </w:tcBorders>
          </w:tcPr>
          <w:p>
            <w:pPr>
              <w:spacing w:after="0"/>
              <w:rPr>
                <w:sz w:val="18"/>
                <w:szCs w:val="18"/>
                <w:color w:val="auto"/>
              </w:rPr>
            </w:pPr>
          </w:p>
        </w:tc>
      </w:tr>
      <w:tr>
        <w:trPr>
          <w:trHeight w:val="210"/>
        </w:trPr>
        <w:tc>
          <w:tcPr>
            <w:tcW w:w="2820" w:type="dxa"/>
            <w:vAlign w:val="bottom"/>
            <w:gridSpan w:val="2"/>
          </w:tcPr>
          <w:p>
            <w:pPr>
              <w:spacing w:after="0"/>
              <w:rPr>
                <w:sz w:val="20"/>
                <w:szCs w:val="20"/>
                <w:color w:val="auto"/>
              </w:rPr>
            </w:pPr>
            <w:r>
              <w:rPr>
                <w:rFonts w:ascii="Arial" w:cs="Arial" w:eastAsia="Arial" w:hAnsi="Arial"/>
                <w:sz w:val="18"/>
                <w:szCs w:val="18"/>
                <w:color w:val="auto"/>
              </w:rPr>
              <w:t>Title of Authorized Signatory:</w:t>
            </w:r>
          </w:p>
        </w:tc>
        <w:tc>
          <w:tcPr>
            <w:tcW w:w="8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Director of Anson Advisors Inc., co-investment advisor of the Purchaser</w:t>
            </w:r>
          </w:p>
        </w:tc>
      </w:tr>
      <w:tr>
        <w:trPr>
          <w:trHeight w:val="209"/>
        </w:trPr>
        <w:tc>
          <w:tcPr>
            <w:tcW w:w="2820" w:type="dxa"/>
            <w:vAlign w:val="bottom"/>
            <w:gridSpan w:val="2"/>
          </w:tcPr>
          <w:p>
            <w:pPr>
              <w:spacing w:after="0"/>
              <w:rPr>
                <w:sz w:val="20"/>
                <w:szCs w:val="20"/>
                <w:color w:val="auto"/>
              </w:rPr>
            </w:pPr>
            <w:r>
              <w:rPr>
                <w:rFonts w:ascii="Arial" w:cs="Arial" w:eastAsia="Arial" w:hAnsi="Arial"/>
                <w:sz w:val="18"/>
                <w:szCs w:val="18"/>
                <w:color w:val="auto"/>
                <w:w w:val="89"/>
              </w:rPr>
              <w:t>Email Address of Authorized Signatory:</w:t>
            </w:r>
          </w:p>
        </w:tc>
        <w:tc>
          <w:tcPr>
            <w:tcW w:w="560" w:type="dxa"/>
            <w:vAlign w:val="bottom"/>
          </w:tcPr>
          <w:p>
            <w:pPr>
              <w:spacing w:after="0"/>
              <w:rPr>
                <w:sz w:val="18"/>
                <w:szCs w:val="18"/>
                <w:color w:val="auto"/>
              </w:rPr>
            </w:pPr>
          </w:p>
        </w:tc>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notices@ansonfunds.com</w:t>
            </w:r>
          </w:p>
        </w:tc>
      </w:tr>
      <w:tr>
        <w:trPr>
          <w:trHeight w:val="209"/>
        </w:trPr>
        <w:tc>
          <w:tcPr>
            <w:tcW w:w="3380" w:type="dxa"/>
            <w:vAlign w:val="bottom"/>
            <w:gridSpan w:val="3"/>
          </w:tcPr>
          <w:p>
            <w:pPr>
              <w:spacing w:after="0"/>
              <w:rPr>
                <w:sz w:val="20"/>
                <w:szCs w:val="20"/>
                <w:color w:val="auto"/>
              </w:rPr>
            </w:pPr>
            <w:r>
              <w:rPr>
                <w:rFonts w:ascii="Arial" w:cs="Arial" w:eastAsia="Arial" w:hAnsi="Arial"/>
                <w:sz w:val="18"/>
                <w:szCs w:val="18"/>
                <w:color w:val="auto"/>
                <w:w w:val="98"/>
              </w:rPr>
              <w:t>Facsimile Number of Authorized Signatory:</w:t>
            </w:r>
          </w:p>
        </w:tc>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416-352-1880</w:t>
            </w:r>
          </w:p>
        </w:tc>
      </w:tr>
      <w:tr>
        <w:trPr>
          <w:trHeight w:val="195"/>
        </w:trPr>
        <w:tc>
          <w:tcPr>
            <w:tcW w:w="2820" w:type="dxa"/>
            <w:vAlign w:val="bottom"/>
            <w:gridSpan w:val="2"/>
          </w:tcPr>
          <w:p>
            <w:pPr>
              <w:spacing w:after="0" w:line="195" w:lineRule="exact"/>
              <w:rPr>
                <w:sz w:val="20"/>
                <w:szCs w:val="20"/>
                <w:color w:val="auto"/>
              </w:rPr>
            </w:pPr>
            <w:r>
              <w:rPr>
                <w:rFonts w:ascii="Arial" w:cs="Arial" w:eastAsia="Arial" w:hAnsi="Arial"/>
                <w:sz w:val="18"/>
                <w:szCs w:val="18"/>
                <w:color w:val="auto"/>
              </w:rPr>
              <w:t>Address for Notice to Purchaser:</w:t>
            </w:r>
          </w:p>
        </w:tc>
        <w:tc>
          <w:tcPr>
            <w:tcW w:w="8420" w:type="dxa"/>
            <w:vAlign w:val="bottom"/>
            <w:gridSpan w:val="3"/>
          </w:tcPr>
          <w:p>
            <w:pPr>
              <w:spacing w:after="0" w:line="195" w:lineRule="exact"/>
              <w:rPr>
                <w:sz w:val="20"/>
                <w:szCs w:val="20"/>
                <w:color w:val="auto"/>
              </w:rPr>
            </w:pPr>
            <w:r>
              <w:rPr>
                <w:rFonts w:ascii="Arial" w:cs="Arial" w:eastAsia="Arial" w:hAnsi="Arial"/>
                <w:sz w:val="18"/>
                <w:szCs w:val="18"/>
                <w:color w:val="auto"/>
              </w:rPr>
              <w:t>155 University Avenue, Suite 207</w:t>
            </w:r>
          </w:p>
        </w:tc>
      </w:tr>
      <w:tr>
        <w:trPr>
          <w:trHeight w:val="216"/>
        </w:trPr>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Toronto, Ontario, Canada</w:t>
            </w:r>
          </w:p>
        </w:tc>
      </w:tr>
      <w:tr>
        <w:trPr>
          <w:trHeight w:val="216"/>
        </w:trPr>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M5H 3B7</w:t>
            </w:r>
          </w:p>
        </w:tc>
        <w:tc>
          <w:tcPr>
            <w:tcW w:w="730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Attn: Amin Nathoo</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Securities to Purchaser (if not same as addresses for notice):</w:t>
      </w:r>
    </w:p>
    <w:p>
      <w:pPr>
        <w:spacing w:after="0" w:line="2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Same as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$650,000,000.00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60604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4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Shares:</w:t>
      </w:r>
      <w:r>
        <w:rPr>
          <w:sz w:val="20"/>
          <w:szCs w:val="20"/>
          <w:color w:val="auto"/>
        </w:rPr>
        <w:tab/>
      </w:r>
      <w:r>
        <w:rPr>
          <w:rFonts w:ascii="Arial" w:cs="Arial" w:eastAsia="Arial" w:hAnsi="Arial"/>
          <w:sz w:val="18"/>
          <w:szCs w:val="18"/>
          <w:color w:val="auto"/>
        </w:rPr>
        <w:t>3,250,000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EIN Number:</w:t>
            </w:r>
          </w:p>
        </w:tc>
        <w:tc>
          <w:tcPr>
            <w:tcW w:w="8980" w:type="dxa"/>
            <w:vAlign w:val="bottom"/>
            <w:tcBorders>
              <w:bottom w:val="single" w:sz="8" w:color="auto"/>
            </w:tcBorders>
          </w:tcPr>
          <w:p>
            <w:pPr>
              <w:jc w:val="right"/>
              <w:ind w:right="8010"/>
              <w:spacing w:after="0"/>
              <w:rPr>
                <w:sz w:val="20"/>
                <w:szCs w:val="20"/>
                <w:color w:val="auto"/>
              </w:rPr>
            </w:pPr>
            <w:r>
              <w:rPr>
                <w:rFonts w:ascii="Arial" w:cs="Arial" w:eastAsia="Arial" w:hAnsi="Arial"/>
                <w:sz w:val="18"/>
                <w:szCs w:val="18"/>
                <w:color w:val="auto"/>
                <w:w w:val="89"/>
              </w:rPr>
              <w:t>98-0538788</w:t>
            </w:r>
          </w:p>
        </w:tc>
      </w:tr>
    </w:tbl>
    <w:p>
      <w:pPr>
        <w:spacing w:after="0" w:line="202" w:lineRule="exact"/>
        <w:rPr>
          <w:sz w:val="20"/>
          <w:szCs w:val="20"/>
          <w:color w:val="auto"/>
        </w:rPr>
      </w:pPr>
    </w:p>
    <w:p>
      <w:pPr>
        <w:jc w:val="both"/>
        <w:ind w:right="20" w:firstLine="8"/>
        <w:spacing w:after="0" w:line="291" w:lineRule="auto"/>
        <w:tabs>
          <w:tab w:leader="none" w:pos="220" w:val="left"/>
        </w:tabs>
        <w:numPr>
          <w:ilvl w:val="0"/>
          <w:numId w:val="52"/>
        </w:numPr>
        <w:rPr>
          <w:rFonts w:ascii="MS PGothic" w:cs="MS PGothic" w:eastAsia="MS PGothic" w:hAnsi="MS PGothic"/>
          <w:sz w:val="16"/>
          <w:szCs w:val="16"/>
          <w:color w:val="auto"/>
        </w:rPr>
      </w:pPr>
      <w:r>
        <w:rPr>
          <w:rFonts w:ascii="Arial" w:cs="Arial" w:eastAsia="Arial" w:hAnsi="Arial"/>
          <w:sz w:val="16"/>
          <w:szCs w:val="16"/>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w:t>
      </w:r>
    </w:p>
    <w:p>
      <w:pPr>
        <w:jc w:val="both"/>
        <w:spacing w:after="0" w:line="244" w:lineRule="auto"/>
        <w:rPr>
          <w:sz w:val="20"/>
          <w:szCs w:val="20"/>
          <w:color w:val="auto"/>
        </w:rPr>
      </w:pPr>
      <w:r>
        <w:rPr>
          <w:rFonts w:ascii="Arial" w:cs="Arial" w:eastAsia="Arial" w:hAnsi="Arial"/>
          <w:sz w:val="17"/>
          <w:szCs w:val="17"/>
          <w:color w:val="auto"/>
        </w:rPr>
        <w:t>the above-signed, shall be unconditional and all conditions to Closing shall be disregarded, (ii) the Closing shall occur on the second (2</w:t>
      </w:r>
      <w:r>
        <w:rPr>
          <w:rFonts w:ascii="Arial" w:cs="Arial" w:eastAsia="Arial" w:hAnsi="Arial"/>
          <w:sz w:val="28"/>
          <w:szCs w:val="28"/>
          <w:color w:val="auto"/>
          <w:vertAlign w:val="superscript"/>
        </w:rPr>
        <w:t>nd</w:t>
      </w:r>
      <w:r>
        <w:rPr>
          <w:rFonts w:ascii="Arial" w:cs="Arial" w:eastAsia="Arial" w:hAnsi="Arial"/>
          <w:sz w:val="17"/>
          <w:szCs w:val="17"/>
          <w:color w:val="auto"/>
        </w:rPr>
        <w: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22"/>
          <w:szCs w:val="22"/>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Announces Pricing of $1,790,000 Registered Direct Offering Priced At-The-Market</w:t>
      </w:r>
    </w:p>
    <w:p>
      <w:pPr>
        <w:spacing w:after="0" w:line="225" w:lineRule="exact"/>
        <w:rPr>
          <w:sz w:val="20"/>
          <w:szCs w:val="20"/>
          <w:color w:val="auto"/>
        </w:rPr>
      </w:pPr>
    </w:p>
    <w:p>
      <w:pPr>
        <w:ind w:right="480"/>
        <w:spacing w:after="0" w:line="289" w:lineRule="auto"/>
        <w:rPr>
          <w:sz w:val="20"/>
          <w:szCs w:val="20"/>
          <w:color w:val="auto"/>
        </w:rPr>
      </w:pPr>
      <w:r>
        <w:rPr>
          <w:rFonts w:ascii="Arial" w:cs="Arial" w:eastAsia="Arial" w:hAnsi="Arial"/>
          <w:sz w:val="17"/>
          <w:szCs w:val="17"/>
          <w:b w:val="1"/>
          <w:bCs w:val="1"/>
          <w:color w:val="auto"/>
        </w:rPr>
        <w:t xml:space="preserve">NEW YORK, March 25, 2020 </w:t>
      </w:r>
      <w:r>
        <w:rPr>
          <w:rFonts w:ascii="Arial" w:cs="Arial" w:eastAsia="Arial" w:hAnsi="Arial"/>
          <w:sz w:val="17"/>
          <w:szCs w:val="17"/>
          <w:color w:val="auto"/>
        </w:rPr>
        <w:t>– XpresSpa Group, Inc. (Nasdaq: XSPA) (“XpresSpa” or the “Company”), today announced that it has entered into a</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purchase agreement with institutional investors to purchase approximately $1.79 million of its common shares (or pre-funded warrants to purchase common shares in lieu thereof) in a registered direct offering priced at-the-market under Nasdaq rules.</w:t>
      </w:r>
    </w:p>
    <w:p>
      <w:pPr>
        <w:spacing w:after="0" w:line="1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terms of the securities purchase agreement, XpresSpa has agreed to sell approximately 8,750,000 common shares (or pre-funded warrants to purchase common shares in lieu thereof). The gross proceeds to the Company from the registered direct offering is expected to be approximately $1.79 million before deducting fees and other estimated offering expenses. The registered direct offering is expected to close on or about March 27, 2020, subject to the satisfaction of customary closing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Palladium Capital Advisors, LLC acted as a finder in connection with the offering.</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common shares and pre-funded warrants are being offered pursuant to a shelf registration statement on Form S-3 (File No. 333-232764) previously filed and declared effective by the Securities and Exchange Commission (SEC).</w:t>
      </w:r>
    </w:p>
    <w:p>
      <w:pPr>
        <w:spacing w:after="0" w:line="17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This press release does not constitute an offer to sell or the solicitation of an offer to buy, nor will there be any sales of these securities in any jurisdiction in which such offer, solicitation or sale would be unlawful prior to registration or qualification under the securities laws of such jurisdiction.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XpresSpa Group, Inc.</w:t>
      </w:r>
    </w:p>
    <w:p>
      <w:pPr>
        <w:spacing w:after="0" w:line="2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XpresSpa Group, Inc. (Nasdaq: XSPA) is a health and wellness holding company. XpresSpa Group’s core asset, XpresSpa, is a leading airport retailer of spa services and related health and wellness products, with 51 locations in 25 airports globally. XpresSpa offers services that are tailored specifically to the busy travel customer. XpresSpa is committed to providing exceptional customer experiences with its innovative premium spa services, as well as luxury travel products and accessories. XpresSpa provides almost one million services to customers per year at its locations in the United States, Netherlands, and the United Arab Emirates. To learn more about XpresSpa Group, visit: </w:t>
      </w:r>
      <w:r>
        <w:rPr>
          <w:rFonts w:ascii="Arial" w:cs="Arial" w:eastAsia="Arial" w:hAnsi="Arial"/>
          <w:sz w:val="18"/>
          <w:szCs w:val="18"/>
          <w:u w:val="single" w:color="auto"/>
          <w:color w:val="auto"/>
        </w:rPr>
        <w:t>www.XpresSpaGroup.com</w:t>
      </w:r>
      <w:r>
        <w:rPr>
          <w:rFonts w:ascii="Arial" w:cs="Arial" w:eastAsia="Arial" w:hAnsi="Arial"/>
          <w:sz w:val="18"/>
          <w:szCs w:val="18"/>
          <w:color w:val="auto"/>
        </w:rPr>
        <w:t xml:space="preserve">. To learn more about XpresSpa, visit </w:t>
      </w:r>
      <w:r>
        <w:rPr>
          <w:rFonts w:ascii="Arial" w:cs="Arial" w:eastAsia="Arial" w:hAnsi="Arial"/>
          <w:sz w:val="18"/>
          <w:szCs w:val="18"/>
          <w:u w:val="single" w:color="auto"/>
          <w:color w:val="auto"/>
        </w:rPr>
        <w:t>www.XpresSpa.com</w:t>
      </w:r>
      <w:r>
        <w:rPr>
          <w:rFonts w:ascii="Arial" w:cs="Arial" w:eastAsia="Arial" w:hAnsi="Arial"/>
          <w:sz w:val="18"/>
          <w:szCs w:val="18"/>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These statements include, without limitation, statements related to our ability to close the offering and the gross proceeds from the offering.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 on Form 10-Q, recent Current Reports on Form 8-K and other Securities and Exchange Commission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Raphael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 682-8253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165100</wp:posOffset>
            </wp:positionV>
            <wp:extent cx="2099945" cy="3511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0999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XpresSpa Announces Partnership with Relevant Healthcare</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Novel Coronavirus (COVID-19) Testing in U.S. Airports</w:t>
      </w:r>
    </w:p>
    <w:p>
      <w:pPr>
        <w:spacing w:after="0" w:line="20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NEW YORK, March 25, 2020</w:t>
      </w:r>
      <w:r>
        <w:rPr>
          <w:rFonts w:ascii="Arial" w:cs="Arial" w:eastAsia="Arial" w:hAnsi="Arial"/>
          <w:sz w:val="18"/>
          <w:szCs w:val="18"/>
          <w:color w:val="auto"/>
        </w:rPr>
        <w:t>– XpresSpa Group, Inc. (Nasdaq: XSPA) (“XpresSpa” or the “Company”), today announced an update to discussions in</w:t>
      </w:r>
      <w:r>
        <w:rPr>
          <w:rFonts w:ascii="Arial" w:cs="Arial" w:eastAsia="Arial" w:hAnsi="Arial"/>
          <w:sz w:val="18"/>
          <w:szCs w:val="18"/>
          <w:b w:val="1"/>
          <w:bCs w:val="1"/>
          <w:color w:val="auto"/>
        </w:rPr>
        <w:t xml:space="preserve"> </w:t>
      </w:r>
      <w:r>
        <w:rPr>
          <w:rFonts w:ascii="Arial" w:cs="Arial" w:eastAsia="Arial" w:hAnsi="Arial"/>
          <w:sz w:val="18"/>
          <w:szCs w:val="18"/>
          <w:color w:val="auto"/>
        </w:rPr>
        <w:t>converting its spa locations into novel coronavirus (“COVID-19”) testing locations.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XpresSpa will be partnering (the “Partnership”) with Relevant Healthcare Cost Containment®, the registered trade name of Contain Holdings, LLC, an Illinois limited liability company (“Relevant Healthcare”), a Chicago-area healthcare cost containment, payment integrity and transparency company. Relevant Healthcare had previously announced that it is offering testing for COVID-19 (the “COVID-19 testing”) through its contracts with both Laboratory Corporation of America® (“LabCorp”) and Quest Diagnostics™ (“Quest”). Both LabCorp and Quest are the leading laboratory companies in the U.S. and have the current capacity to process tens of thousands of COVID-19 tests per day. All COVID-19 testing will be done by appropriately licensed health professionals in accordance with applicable federal and state laws.</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With our global spas temporarily closing due to recent local government mandates categorizing our traditional services as “non-essential services”, XpresSpa is actively advancing conversations with COVID-19 testing partners to develop a model for testing in U.S. airports including point of entry cities such as New York, Los Angeles, San Francisco, Chicago, Miami, Atlanta and Washington D.C. We have had dialog with the offices of U.S. Senators, Governors, federal authorities and other various agencies to assist in the effort to expedite COVID-19 testing as a much-needed public service.</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airport real estate portfolio of 46 locations across 23 U.S. airports is ready to reactivate and be redeployed in partnership with local airport authorities in short order.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Doug Satzman, CEO, XpresSpa said, “This is a rapidly developing environment with private and public sectors working in unprecedented ways to partner for the benefit and protection of our citizens. We believe XpresSpa has a significant role to play in the fight against COVID-19 within the travel sector given our airport relationships, infrastructure, workforce with TSA clearance and strong desire to keep travelers and those who work in the airline industries safe.”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approached by XpresSpa with a potential partnership, Raymond McGaugh, CEO, Relevant Healthcare responded, “I believe this is much needed as the U.S. is mobilizing to implement the first part of the recognized strategy to combat the COVID-19 pandemic, which is mitigation with social distancing, and is rapidly moving to implement the second step of testing for the COVID-19 virus on a mass scale to combat the pandemic. U.S. airports are undoubtedly one of the most important gateway targets with a large population of U.S. airport workers, vendors, TSA security and screeners personnel, airline personnel and, of course, travelers.”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5" w:name="page66"/>
    <w:bookmarkEnd w:id="65"/>
    <w:p>
      <w:pPr>
        <w:jc w:val="both"/>
        <w:spacing w:after="0" w:line="263" w:lineRule="auto"/>
        <w:rPr>
          <w:sz w:val="20"/>
          <w:szCs w:val="20"/>
          <w:color w:val="auto"/>
        </w:rPr>
      </w:pPr>
      <w:r>
        <w:rPr>
          <w:rFonts w:ascii="Arial" w:cs="Arial" w:eastAsia="Arial" w:hAnsi="Arial"/>
          <w:sz w:val="18"/>
          <w:szCs w:val="18"/>
          <w:color w:val="auto"/>
        </w:rPr>
        <w:t>XpresSpa has a significant role to play in the fight against COVID-19 as we, as a nation, become more vigilant in fighting the spread of COVID-19 and other highly contagious diseases in the future. We hope to use our infrastructure and the processes being developed today to work in coordination with the federal and state governments to assist in combating future pandemics.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XpresSpa Group, Inc.</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XpresSpa Group, Inc. (Nasdaq: XSPA) is a health and wellness holding company. XpresSpa Group’s core asset, XpresSpa, is a leading airport retailer of spa services and related health and wellness products, with 51 locations in 25 airports globally. XpresSpa offers services that are tailored specifically to the busy travel customer. XpresSpa is committed to providing exceptional customer experiences with its innovative premium spa services, as well as luxury travel products and accessories. XpresSpa provides almost one million services to customers per year at its locations in the United States, Netherlands, and the United Arab Emirates. To learn more about XpresSpa Group, visit: www.XpresSpaGroup.com. To learn more about XpresSpa, visit www.XpresSpa.com.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 on Form 10-Q, recent Current Reports on Form 8-K and other Securities and Exchange Commission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Raphael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 682-8253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1)"/>
      <w:numFmt w:val="lowerRoman"/>
      <w:start w:val="2"/>
    </w:lvl>
  </w:abstractNum>
  <w:abstractNum w:abstractNumId="2">
    <w:nsid w:val="71F32454"/>
    <w:multiLevelType w:val="hybridMultilevel"/>
    <w:lvl w:ilvl="0">
      <w:lvlJc w:val="left"/>
      <w:lvlText w:val="(%1)"/>
      <w:numFmt w:val="lowerLetter"/>
      <w:start w:val="4"/>
    </w:lvl>
  </w:abstractNum>
  <w:abstractNum w:abstractNumId="3">
    <w:nsid w:val="2CA88611"/>
    <w:multiLevelType w:val="hybridMultilevel"/>
    <w:lvl w:ilvl="0">
      <w:lvlJc w:val="left"/>
      <w:lvlText w:val="%1."/>
      <w:numFmt w:val="decimal"/>
      <w:start w:val="1"/>
    </w:lvl>
    <w:lvl w:ilvl="1">
      <w:lvlJc w:val="left"/>
      <w:lvlText w:val="(%2)"/>
      <w:numFmt w:val="lowerLetter"/>
      <w:start w:val="1"/>
    </w:lvl>
  </w:abstractNum>
  <w:abstractNum w:abstractNumId="4">
    <w:nsid w:val="836C40E"/>
    <w:multiLevelType w:val="hybridMultilevel"/>
    <w:lvl w:ilvl="0">
      <w:lvlJc w:val="left"/>
      <w:lvlText w:val="(%1)"/>
      <w:numFmt w:val="lowerLetter"/>
      <w:start w:val="2"/>
    </w:lvl>
  </w:abstractNum>
  <w:abstractNum w:abstractNumId="5">
    <w:nsid w:val="2901D82"/>
    <w:multiLevelType w:val="hybridMultilevel"/>
    <w:lvl w:ilvl="0">
      <w:lvlJc w:val="left"/>
      <w:lvlText w:val="(%1)"/>
      <w:numFmt w:val="lowerLetter"/>
      <w:start w:val="4"/>
    </w:lvl>
  </w:abstractNum>
  <w:abstractNum w:abstractNumId="6">
    <w:nsid w:val="3A95F874"/>
    <w:multiLevelType w:val="hybridMultilevel"/>
    <w:lvl w:ilvl="0">
      <w:lvlJc w:val="left"/>
      <w:lvlText w:val="(%1)"/>
      <w:numFmt w:val="lowerLetter"/>
      <w:start w:val="5"/>
    </w:lvl>
  </w:abstractNum>
  <w:abstractNum w:abstractNumId="7">
    <w:nsid w:val="8138641"/>
    <w:multiLevelType w:val="hybridMultilevel"/>
    <w:lvl w:ilvl="0">
      <w:lvlJc w:val="left"/>
      <w:lvlText w:val="%1"/>
      <w:numFmt w:val="decimal"/>
      <w:start w:val="1"/>
    </w:lvl>
    <w:lvl w:ilvl="1">
      <w:lvlJc w:val="left"/>
      <w:lvlText w:val="(%2)"/>
      <w:numFmt w:val="lowerLetter"/>
      <w:start w:val="7"/>
    </w:lvl>
  </w:abstractNum>
  <w:abstractNum w:abstractNumId="8">
    <w:nsid w:val="1E7FF521"/>
    <w:multiLevelType w:val="hybridMultilevel"/>
    <w:lvl w:ilvl="0">
      <w:lvlJc w:val="left"/>
      <w:lvlText w:val="%1."/>
      <w:numFmt w:val="decimal"/>
      <w:start w:val="2"/>
    </w:lvl>
    <w:lvl w:ilvl="1">
      <w:lvlJc w:val="left"/>
      <w:lvlText w:val="(%2)"/>
      <w:numFmt w:val="lowerLetter"/>
      <w:start w:val="1"/>
    </w:lvl>
  </w:abstractNum>
  <w:abstractNum w:abstractNumId="9">
    <w:nsid w:val="7C3DBD3D"/>
    <w:multiLevelType w:val="hybridMultilevel"/>
    <w:lvl w:ilvl="0">
      <w:lvlJc w:val="left"/>
      <w:lvlText w:val="%1."/>
      <w:numFmt w:val="decimal"/>
      <w:start w:val="3"/>
    </w:lvl>
    <w:lvl w:ilvl="1">
      <w:lvlJc w:val="left"/>
      <w:lvlText w:val="(%2)"/>
      <w:numFmt w:val="lowerLetter"/>
      <w:start w:val="1"/>
    </w:lvl>
  </w:abstractNum>
  <w:abstractNum w:abstractNumId="10">
    <w:nsid w:val="737B8DDC"/>
    <w:multiLevelType w:val="hybridMultilevel"/>
    <w:lvl w:ilvl="0">
      <w:lvlJc w:val="left"/>
      <w:lvlText w:val="%1"/>
      <w:numFmt w:val="lowerLetter"/>
      <w:start w:val="1"/>
    </w:lvl>
    <w:lvl w:ilvl="1">
      <w:lvlJc w:val="left"/>
      <w:lvlText w:val="(%2)"/>
      <w:numFmt w:val="lowerLetter"/>
      <w:start w:val="2"/>
    </w:lvl>
  </w:abstractNum>
  <w:abstractNum w:abstractNumId="11">
    <w:nsid w:val="6CEAF087"/>
    <w:multiLevelType w:val="hybridMultilevel"/>
    <w:lvl w:ilvl="0">
      <w:lvlJc w:val="left"/>
      <w:lvlText w:val="(%1)"/>
      <w:numFmt w:val="lowerLetter"/>
      <w:start w:val="61"/>
    </w:lvl>
    <w:lvl w:ilvl="1">
      <w:lvlJc w:val="left"/>
      <w:lvlText w:val="%2"/>
      <w:numFmt w:val="lowerLetter"/>
      <w:start w:val="1"/>
    </w:lvl>
  </w:abstractNum>
  <w:abstractNum w:abstractNumId="12">
    <w:nsid w:val="22221A70"/>
    <w:multiLevelType w:val="hybridMultilevel"/>
    <w:lvl w:ilvl="0">
      <w:lvlJc w:val="left"/>
      <w:lvlText w:val="%1."/>
      <w:numFmt w:val="decimal"/>
      <w:start w:val="5"/>
    </w:lvl>
    <w:lvl w:ilvl="1">
      <w:lvlJc w:val="left"/>
      <w:lvlText w:val="(%2)"/>
      <w:numFmt w:val="lowerLetter"/>
      <w:start w:val="1"/>
    </w:lvl>
  </w:abstractNum>
  <w:abstractNum w:abstractNumId="13">
    <w:nsid w:val="4516DDE9"/>
    <w:multiLevelType w:val="hybridMultilevel"/>
    <w:lvl w:ilvl="0">
      <w:lvlJc w:val="left"/>
      <w:lvlText w:val="%1."/>
      <w:numFmt w:val="decimal"/>
      <w:start w:val="8"/>
    </w:lvl>
  </w:abstractNum>
  <w:abstractNum w:abstractNumId="14">
    <w:nsid w:val="3006C83E"/>
    <w:multiLevelType w:val="hybridMultilevel"/>
    <w:lvl w:ilvl="0">
      <w:lvlJc w:val="left"/>
      <w:lvlText w:val="%1."/>
      <w:numFmt w:val="decimal"/>
      <w:start w:val="9"/>
    </w:lvl>
  </w:abstractNum>
  <w:abstractNum w:abstractNumId="15">
    <w:nsid w:val="614FD4A1"/>
    <w:multiLevelType w:val="hybridMultilevel"/>
    <w:lvl w:ilvl="0">
      <w:lvlJc w:val="left"/>
      <w:lvlText w:val="%1."/>
      <w:numFmt w:val="decimal"/>
      <w:start w:val="11"/>
    </w:lvl>
  </w:abstractNum>
  <w:abstractNum w:abstractNumId="16">
    <w:nsid w:val="419AC241"/>
    <w:multiLevelType w:val="hybridMultilevel"/>
    <w:lvl w:ilvl="0">
      <w:lvlJc w:val="left"/>
      <w:lvlText w:val="%1."/>
      <w:numFmt w:val="decimal"/>
      <w:start w:val="14"/>
    </w:lvl>
    <w:lvl w:ilvl="1">
      <w:lvlJc w:val="left"/>
      <w:lvlText w:val="(%2)"/>
      <w:numFmt w:val="lowerLetter"/>
      <w:start w:val="1"/>
    </w:lvl>
  </w:abstractNum>
  <w:abstractNum w:abstractNumId="17">
    <w:nsid w:val="5577F8E1"/>
    <w:multiLevelType w:val="hybridMultilevel"/>
    <w:lvl w:ilvl="0">
      <w:lvlJc w:val="left"/>
      <w:lvlText w:val="(%1)"/>
      <w:numFmt w:val="lowerLetter"/>
      <w:start w:val="4"/>
    </w:lvl>
  </w:abstractNum>
  <w:abstractNum w:abstractNumId="18">
    <w:nsid w:val="440BADFC"/>
    <w:multiLevelType w:val="hybridMultilevel"/>
    <w:lvl w:ilvl="0">
      <w:lvlJc w:val="left"/>
      <w:lvlText w:val="(%1)"/>
      <w:numFmt w:val="lowerLetter"/>
      <w:start w:val="8"/>
    </w:lvl>
  </w:abstractNum>
  <w:abstractNum w:abstractNumId="19">
    <w:nsid w:val="5072367"/>
    <w:multiLevelType w:val="hybridMultilevel"/>
    <w:lvl w:ilvl="0">
      <w:lvlJc w:val="left"/>
      <w:lvlText w:val="(%1)"/>
      <w:numFmt w:val="lowerLetter"/>
      <w:start w:val="20"/>
    </w:lvl>
  </w:abstractNum>
  <w:abstractNum w:abstractNumId="20">
    <w:nsid w:val="3804823E"/>
    <w:multiLevelType w:val="hybridMultilevel"/>
    <w:lvl w:ilvl="0">
      <w:lvlJc w:val="left"/>
      <w:lvlText w:val="%1."/>
      <w:numFmt w:val="decimal"/>
      <w:start w:val="2"/>
    </w:lvl>
  </w:abstractNum>
  <w:abstractNum w:abstractNumId="21">
    <w:nsid w:val="77465F01"/>
    <w:multiLevelType w:val="hybridMultilevel"/>
    <w:lvl w:ilvl="0">
      <w:lvlJc w:val="left"/>
      <w:lvlText w:val="(%1)"/>
      <w:numFmt w:val="lowerRoman"/>
      <w:start w:val="1"/>
    </w:lvl>
  </w:abstractNum>
  <w:abstractNum w:abstractNumId="22">
    <w:nsid w:val="7724C67E"/>
    <w:multiLevelType w:val="hybridMultilevel"/>
    <w:lvl w:ilvl="0">
      <w:lvlJc w:val="left"/>
      <w:lvlText w:val="(%1)"/>
      <w:numFmt w:val="decimal"/>
      <w:start w:val="5"/>
    </w:lvl>
  </w:abstractNum>
  <w:abstractNum w:abstractNumId="23">
    <w:nsid w:val="5C482A97"/>
    <w:multiLevelType w:val="hybridMultilevel"/>
    <w:lvl w:ilvl="0">
      <w:lvlJc w:val="left"/>
      <w:lvlText w:val="(%1)"/>
      <w:numFmt w:val="lowerLetter"/>
      <w:start w:val="1"/>
    </w:lvl>
    <w:lvl w:ilvl="1">
      <w:lvlJc w:val="left"/>
      <w:lvlText w:val="(%2)"/>
      <w:numFmt w:val="lowerRoman"/>
      <w:start w:val="1"/>
    </w:lvl>
  </w:abstractNum>
  <w:abstractNum w:abstractNumId="24">
    <w:nsid w:val="2463B9EA"/>
    <w:multiLevelType w:val="hybridMultilevel"/>
    <w:lvl w:ilvl="0">
      <w:lvlJc w:val="left"/>
      <w:lvlText w:val="%1"/>
      <w:numFmt w:val="lowerLetter"/>
      <w:start w:val="1"/>
    </w:lvl>
    <w:lvl w:ilvl="1">
      <w:lvlJc w:val="left"/>
      <w:lvlText w:val="(%2)"/>
      <w:numFmt w:val="lowerRoman"/>
      <w:start w:val="4"/>
    </w:lvl>
  </w:abstractNum>
  <w:abstractNum w:abstractNumId="25">
    <w:nsid w:val="5E884ADC"/>
    <w:multiLevelType w:val="hybridMultilevel"/>
    <w:lvl w:ilvl="0">
      <w:lvlJc w:val="left"/>
      <w:lvlText w:val="(%1)"/>
      <w:numFmt w:val="lowerLetter"/>
      <w:start w:val="2"/>
    </w:lvl>
    <w:lvl w:ilvl="1">
      <w:lvlJc w:val="left"/>
      <w:lvlText w:val="(%2)"/>
      <w:numFmt w:val="lowerRoman"/>
      <w:start w:val="1"/>
    </w:lvl>
  </w:abstractNum>
  <w:abstractNum w:abstractNumId="26">
    <w:nsid w:val="51EAD36B"/>
    <w:multiLevelType w:val="hybridMultilevel"/>
    <w:lvl w:ilvl="0">
      <w:lvlJc w:val="left"/>
      <w:lvlText w:val="(%1)"/>
      <w:numFmt w:val="lowerLetter"/>
      <w:start w:val="1"/>
    </w:lvl>
    <w:lvl w:ilvl="1">
      <w:lvlJc w:val="left"/>
      <w:lvlText w:val="(%2)"/>
      <w:numFmt w:val="lowerRoman"/>
      <w:start w:val="1"/>
    </w:lvl>
  </w:abstractNum>
  <w:abstractNum w:abstractNumId="27">
    <w:nsid w:val="2D517796"/>
    <w:multiLevelType w:val="hybridMultilevel"/>
    <w:lvl w:ilvl="0">
      <w:lvlJc w:val="left"/>
      <w:lvlText w:val="(%1)"/>
      <w:numFmt w:val="lowerRoman"/>
      <w:start w:val="2"/>
    </w:lvl>
  </w:abstractNum>
  <w:abstractNum w:abstractNumId="28">
    <w:nsid w:val="580BD78F"/>
    <w:multiLevelType w:val="hybridMultilevel"/>
    <w:lvl w:ilvl="0">
      <w:lvlJc w:val="left"/>
      <w:lvlText w:val="(%1)"/>
      <w:numFmt w:val="lowerLetter"/>
      <w:start w:val="1"/>
    </w:lvl>
  </w:abstractNum>
  <w:abstractNum w:abstractNumId="29">
    <w:nsid w:val="153EA438"/>
    <w:multiLevelType w:val="hybridMultilevel"/>
    <w:lvl w:ilvl="0">
      <w:lvlJc w:val="left"/>
      <w:lvlText w:val="(%1)"/>
      <w:numFmt w:val="lowerLetter"/>
      <w:start w:val="3"/>
    </w:lvl>
  </w:abstractNum>
  <w:abstractNum w:abstractNumId="30">
    <w:nsid w:val="3855585C"/>
    <w:multiLevelType w:val="hybridMultilevel"/>
    <w:lvl w:ilvl="0">
      <w:lvlJc w:val="left"/>
      <w:lvlText w:val="(%1)"/>
      <w:numFmt w:val="lowerLetter"/>
      <w:start w:val="5"/>
    </w:lvl>
  </w:abstractNum>
  <w:abstractNum w:abstractNumId="31">
    <w:nsid w:val="70A64E2A"/>
    <w:multiLevelType w:val="hybridMultilevel"/>
    <w:lvl w:ilvl="0">
      <w:lvlJc w:val="left"/>
      <w:lvlText w:val="(%1)"/>
      <w:numFmt w:val="lowerLetter"/>
      <w:start w:val="7"/>
    </w:lvl>
  </w:abstractNum>
  <w:abstractNum w:abstractNumId="32">
    <w:nsid w:val="6A2342EC"/>
    <w:multiLevelType w:val="hybridMultilevel"/>
    <w:lvl w:ilvl="0">
      <w:lvlJc w:val="left"/>
      <w:lvlText w:val="%1"/>
      <w:numFmt w:val="lowerLetter"/>
      <w:start w:val="1"/>
    </w:lvl>
    <w:lvl w:ilvl="1">
      <w:lvlJc w:val="left"/>
      <w:lvlText w:val="(%2)"/>
      <w:numFmt w:val="lowerLetter"/>
      <w:start w:val="9"/>
    </w:lvl>
  </w:abstractNum>
  <w:abstractNum w:abstractNumId="33">
    <w:nsid w:val="2A487CB0"/>
    <w:multiLevelType w:val="hybridMultilevel"/>
    <w:lvl w:ilvl="0">
      <w:lvlJc w:val="left"/>
      <w:lvlText w:val="(%1)"/>
      <w:numFmt w:val="lowerLetter"/>
      <w:start w:val="61"/>
    </w:lvl>
    <w:lvl w:ilvl="1">
      <w:lvlJc w:val="left"/>
      <w:lvlText w:val="(%2)"/>
      <w:numFmt w:val="lowerLetter"/>
      <w:start w:val="10"/>
    </w:lvl>
  </w:abstractNum>
  <w:abstractNum w:abstractNumId="34">
    <w:nsid w:val="1D4ED43B"/>
    <w:multiLevelType w:val="hybridMultilevel"/>
    <w:lvl w:ilvl="0">
      <w:lvlJc w:val="left"/>
      <w:lvlText w:val="(%1)"/>
      <w:numFmt w:val="lowerLetter"/>
      <w:start w:val="11"/>
    </w:lvl>
  </w:abstractNum>
  <w:abstractNum w:abstractNumId="35">
    <w:nsid w:val="725A06FB"/>
    <w:multiLevelType w:val="hybridMultilevel"/>
    <w:lvl w:ilvl="0">
      <w:lvlJc w:val="left"/>
      <w:lvlText w:val="(%1)"/>
      <w:numFmt w:val="lowerLetter"/>
      <w:start w:val="14"/>
    </w:lvl>
  </w:abstractNum>
  <w:abstractNum w:abstractNumId="36">
    <w:nsid w:val="2CD89A32"/>
    <w:multiLevelType w:val="hybridMultilevel"/>
    <w:lvl w:ilvl="0">
      <w:lvlJc w:val="left"/>
      <w:lvlText w:val="(%1)"/>
      <w:numFmt w:val="lowerLetter"/>
      <w:start w:val="17"/>
    </w:lvl>
  </w:abstractNum>
  <w:abstractNum w:abstractNumId="37">
    <w:nsid w:val="57E4CCAF"/>
    <w:multiLevelType w:val="hybridMultilevel"/>
    <w:lvl w:ilvl="0">
      <w:lvlJc w:val="left"/>
      <w:lvlText w:val="(%1)"/>
      <w:numFmt w:val="lowerLetter"/>
      <w:start w:val="20"/>
    </w:lvl>
  </w:abstractNum>
  <w:abstractNum w:abstractNumId="38">
    <w:nsid w:val="7A6D8D3C"/>
    <w:multiLevelType w:val="hybridMultilevel"/>
    <w:lvl w:ilvl="0">
      <w:lvlJc w:val="left"/>
      <w:lvlText w:val="(%1)"/>
      <w:numFmt w:val="lowerLetter"/>
      <w:start w:val="24"/>
    </w:lvl>
  </w:abstractNum>
  <w:abstractNum w:abstractNumId="39">
    <w:nsid w:val="4B588F54"/>
    <w:multiLevelType w:val="hybridMultilevel"/>
    <w:lvl w:ilvl="0">
      <w:lvlJc w:val="left"/>
      <w:lvlText w:val="(%1)"/>
      <w:numFmt w:val="lowerLetter"/>
      <w:start w:val="27"/>
    </w:lvl>
  </w:abstractNum>
  <w:abstractNum w:abstractNumId="40">
    <w:nsid w:val="542289EC"/>
    <w:multiLevelType w:val="hybridMultilevel"/>
    <w:lvl w:ilvl="0">
      <w:lvlJc w:val="left"/>
      <w:lvlText w:val="%1"/>
      <w:numFmt w:val="lowerLetter"/>
      <w:start w:val="1"/>
    </w:lvl>
    <w:lvl w:ilvl="1">
      <w:lvlJc w:val="left"/>
      <w:lvlText w:val="(%2)"/>
      <w:numFmt w:val="lowerLetter"/>
      <w:start w:val="30"/>
    </w:lvl>
  </w:abstractNum>
  <w:abstractNum w:abstractNumId="41">
    <w:nsid w:val="6DE91B18"/>
    <w:multiLevelType w:val="hybridMultilevel"/>
    <w:lvl w:ilvl="0">
      <w:lvlJc w:val="left"/>
      <w:lvlText w:val="(%1)"/>
      <w:numFmt w:val="lowerLetter"/>
      <w:start w:val="61"/>
    </w:lvl>
    <w:lvl w:ilvl="1">
      <w:lvlJc w:val="left"/>
      <w:lvlText w:val="%2"/>
      <w:numFmt w:val="lowerLetter"/>
      <w:start w:val="1"/>
    </w:lvl>
  </w:abstractNum>
  <w:abstractNum w:abstractNumId="42">
    <w:nsid w:val="38437FDB"/>
    <w:multiLevelType w:val="hybridMultilevel"/>
    <w:lvl w:ilvl="0">
      <w:lvlJc w:val="left"/>
      <w:lvlText w:val="(%1)"/>
      <w:numFmt w:val="lowerLetter"/>
      <w:start w:val="34"/>
    </w:lvl>
  </w:abstractNum>
  <w:abstractNum w:abstractNumId="43">
    <w:nsid w:val="7644A45C"/>
    <w:multiLevelType w:val="hybridMultilevel"/>
    <w:lvl w:ilvl="0">
      <w:lvlJc w:val="left"/>
      <w:lvlText w:val="(%1)"/>
      <w:numFmt w:val="lowerLetter"/>
      <w:start w:val="40"/>
    </w:lvl>
  </w:abstractNum>
  <w:abstractNum w:abstractNumId="44">
    <w:nsid w:val="32FFF902"/>
    <w:multiLevelType w:val="hybridMultilevel"/>
    <w:lvl w:ilvl="0">
      <w:lvlJc w:val="left"/>
      <w:lvlText w:val="(%1)"/>
      <w:numFmt w:val="lowerLetter"/>
      <w:start w:val="1"/>
    </w:lvl>
  </w:abstractNum>
  <w:abstractNum w:abstractNumId="45">
    <w:nsid w:val="684A481A"/>
    <w:multiLevelType w:val="hybridMultilevel"/>
    <w:lvl w:ilvl="0">
      <w:lvlJc w:val="left"/>
      <w:lvlText w:val="(%1)"/>
      <w:numFmt w:val="lowerLetter"/>
      <w:start w:val="4"/>
    </w:lvl>
  </w:abstractNum>
  <w:abstractNum w:abstractNumId="46">
    <w:nsid w:val="579478FE"/>
    <w:multiLevelType w:val="hybridMultilevel"/>
    <w:lvl w:ilvl="0">
      <w:lvlJc w:val="left"/>
      <w:lvlText w:val="(%1)"/>
      <w:numFmt w:val="lowerLetter"/>
      <w:start w:val="7"/>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jpe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jpeg"/><Relationship Id="rId88" Type="http://schemas.openxmlformats.org/officeDocument/2006/relationships/image" Target="media/image80.png"/><Relationship Id="rId89" Type="http://schemas.openxmlformats.org/officeDocument/2006/relationships/image" Target="media/image81.png"/><Relationship Id="rId14" Type="http://schemas.openxmlformats.org/officeDocument/2006/relationships/hyperlink" Target="http://www.sec.gov/Archives/edgar/data/1410428/000110465920035631/tm2013177d1_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2020-03-26T07:34:05Z</dcterms:created>
  <dcterms:modified xsi:type="dcterms:W3CDTF">2020-03-26T07:34:05Z</dcterms:modified>
</cp:coreProperties>
</file>