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-236220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21590</wp:posOffset>
            </wp:positionV>
            <wp:extent cx="7047230" cy="4451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451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Bernstein Bruce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gridSpan w:val="7"/>
          </w:tcPr>
          <w:p>
            <w:pPr>
              <w:ind w:left="60"/>
              <w:spacing w:after="0" w:line="102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XWELL,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XWEL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C/O XWELL, INC.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01/05/2023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254 WEST 31ST STREET, 11TH FLOOR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2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1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0.3293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01/05/2023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600,000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01/05/2033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600,000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  <w:r>
        <w:rPr>
          <w:rFonts w:ascii="Times New Roman" w:cs="Times New Roman" w:eastAsia="Times New Roman" w:hAnsi="Times New Roman"/>
          <w:sz w:val="21"/>
          <w:szCs w:val="21"/>
          <w:color w:val="008000"/>
          <w:vertAlign w:val="superscript"/>
        </w:rPr>
        <w:t>(1)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securities were issued as part of the Issuer's equity grant to directors.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vests in equal quarterly installments over a one-year period, with one-fourth vesting at the end of each fiscal quarter, such that the options will be fully vested as of December 31, 2023.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1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Cara Soffer, Attorney-in-Fact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01/09/2023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-26035</wp:posOffset>
            </wp:positionV>
            <wp:extent cx="13639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39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for Bruce Bernstein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-21590</wp:posOffset>
            </wp:positionV>
            <wp:extent cx="8280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0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-86360</wp:posOffset>
            </wp:positionV>
            <wp:extent cx="4781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65472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2023-01-09T13:06:53Z</dcterms:created>
  <dcterms:modified xsi:type="dcterms:W3CDTF">2023-01-09T13:06:53Z</dcterms:modified>
</cp:coreProperties>
</file>