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36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3651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Stout Donald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8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4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44 W. 28TH STREET, SUITE 1414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00" w:type="dxa"/>
            <w:vAlign w:val="bottom"/>
          </w:tcPr>
          <w:p>
            <w:pPr>
              <w:ind w:left="80"/>
              <w:spacing w:after="0"/>
              <w:rPr>
                <w:sz w:val="20"/>
                <w:szCs w:val="20"/>
                <w:color w:val="auto"/>
              </w:rPr>
            </w:pPr>
            <w:r>
              <w:rPr>
                <w:rFonts w:ascii="Arial" w:cs="Arial" w:eastAsia="Arial" w:hAnsi="Arial"/>
                <w:sz w:val="18"/>
                <w:szCs w:val="18"/>
                <w:color w:val="0000FF"/>
              </w:rPr>
              <w:t>NY</w:t>
            </w:r>
          </w:p>
        </w:tc>
        <w:tc>
          <w:tcPr>
            <w:tcW w:w="1400" w:type="dxa"/>
            <w:vAlign w:val="bottom"/>
          </w:tcPr>
          <w:p>
            <w:pPr>
              <w:ind w:left="360"/>
              <w:spacing w:after="0"/>
              <w:rPr>
                <w:sz w:val="20"/>
                <w:szCs w:val="20"/>
                <w:color w:val="auto"/>
              </w:rPr>
            </w:pPr>
            <w:r>
              <w:rPr>
                <w:rFonts w:ascii="Arial" w:cs="Arial" w:eastAsia="Arial" w:hAnsi="Arial"/>
                <w:sz w:val="18"/>
                <w:szCs w:val="18"/>
                <w:color w:val="0000FF"/>
              </w:rPr>
              <w:t>10001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ind w:left="600"/>
              <w:spacing w:after="0"/>
              <w:rPr>
                <w:sz w:val="20"/>
                <w:szCs w:val="20"/>
                <w:color w:val="auto"/>
              </w:rPr>
            </w:pPr>
            <w:r>
              <w:rPr>
                <w:rFonts w:ascii="Arial" w:cs="Arial" w:eastAsia="Arial" w:hAnsi="Arial"/>
                <w:sz w:val="18"/>
                <w:szCs w:val="18"/>
                <w:color w:val="0000FF"/>
              </w:rPr>
              <w:t>243,178</w:t>
            </w:r>
          </w:p>
        </w:tc>
        <w:tc>
          <w:tcPr>
            <w:tcW w:w="1160" w:type="dxa"/>
            <w:vAlign w:val="bottom"/>
          </w:tcPr>
          <w:p>
            <w:pPr>
              <w:ind w:left="940"/>
              <w:spacing w:after="0"/>
              <w:rPr>
                <w:sz w:val="20"/>
                <w:szCs w:val="20"/>
                <w:color w:val="auto"/>
              </w:rPr>
            </w:pPr>
            <w:r>
              <w:rPr>
                <w:rFonts w:ascii="Arial" w:cs="Arial" w:eastAsia="Arial" w:hAnsi="Arial"/>
                <w:sz w:val="18"/>
                <w:szCs w:val="18"/>
                <w:color w:val="0000FF"/>
              </w:rPr>
              <w:t>I</w:t>
            </w:r>
          </w:p>
        </w:tc>
        <w:tc>
          <w:tcPr>
            <w:tcW w:w="180" w:type="dxa"/>
            <w:vAlign w:val="bottom"/>
          </w:tcPr>
          <w:p>
            <w:pPr>
              <w:spacing w:after="0"/>
              <w:rPr>
                <w:sz w:val="19"/>
                <w:szCs w:val="19"/>
                <w:color w:val="auto"/>
              </w:rPr>
            </w:pPr>
          </w:p>
        </w:tc>
        <w:tc>
          <w:tcPr>
            <w:tcW w:w="3220" w:type="dxa"/>
            <w:vAlign w:val="bottom"/>
            <w:gridSpan w:val="6"/>
          </w:tcPr>
          <w:p>
            <w:pPr>
              <w:ind w:left="320"/>
              <w:spacing w:after="0"/>
              <w:rPr>
                <w:sz w:val="20"/>
                <w:szCs w:val="20"/>
                <w:color w:val="auto"/>
              </w:rPr>
            </w:pPr>
            <w:r>
              <w:rPr>
                <w:rFonts w:ascii="Arial" w:cs="Arial" w:eastAsia="Arial" w:hAnsi="Arial"/>
                <w:sz w:val="18"/>
                <w:szCs w:val="18"/>
                <w:color w:val="0000FF"/>
              </w:rPr>
              <w:t>By Donald E. and Mary Stout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4.</w:t>
            </w:r>
          </w:p>
        </w:tc>
        <w:tc>
          <w:tcPr>
            <w:tcW w:w="700" w:type="dxa"/>
            <w:vAlign w:val="bottom"/>
          </w:tcPr>
          <w:p>
            <w:pPr>
              <w:spacing w:after="0"/>
              <w:rPr>
                <w:sz w:val="16"/>
                <w:szCs w:val="16"/>
                <w:color w:val="auto"/>
              </w:rPr>
            </w:pP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20" w:type="dxa"/>
            <w:vAlign w:val="bottom"/>
          </w:tcPr>
          <w:p>
            <w:pPr>
              <w:spacing w:after="0"/>
              <w:rPr>
                <w:sz w:val="12"/>
                <w:szCs w:val="12"/>
                <w:color w:val="auto"/>
              </w:rPr>
            </w:pP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Series 1 Warrants</w:t>
            </w:r>
          </w:p>
        </w:tc>
        <w:tc>
          <w:tcPr>
            <w:tcW w:w="128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620" w:type="dxa"/>
            <w:vAlign w:val="bottom"/>
            <w:vMerge w:val="restart"/>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vMerge w:val="restart"/>
          </w:tcPr>
          <w:p>
            <w:pPr>
              <w:jc w:val="center"/>
              <w:ind w:left="363"/>
              <w:spacing w:after="0"/>
              <w:rPr>
                <w:sz w:val="20"/>
                <w:szCs w:val="20"/>
                <w:color w:val="auto"/>
              </w:rPr>
            </w:pPr>
            <w:r>
              <w:rPr>
                <w:rFonts w:ascii="Arial" w:cs="Arial" w:eastAsia="Arial" w:hAnsi="Arial"/>
                <w:sz w:val="18"/>
                <w:szCs w:val="18"/>
                <w:color w:val="0000FF"/>
                <w:w w:val="86"/>
              </w:rPr>
              <w:t>157,146</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1"/>
              </w:rPr>
              <w:t>1.76</w:t>
            </w:r>
          </w:p>
        </w:tc>
        <w:tc>
          <w:tcPr>
            <w:tcW w:w="260" w:type="dxa"/>
            <w:vAlign w:val="bottom"/>
          </w:tcPr>
          <w:p>
            <w:pPr>
              <w:spacing w:after="0"/>
              <w:rPr>
                <w:sz w:val="22"/>
                <w:szCs w:val="22"/>
                <w:color w:val="auto"/>
              </w:rPr>
            </w:pPr>
          </w:p>
        </w:tc>
        <w:tc>
          <w:tcPr>
            <w:tcW w:w="620" w:type="dxa"/>
            <w:vAlign w:val="bottom"/>
            <w:vMerge w:val="restart"/>
          </w:tcPr>
          <w:p>
            <w:pPr>
              <w:ind w:left="180"/>
              <w:spacing w:after="0"/>
              <w:rPr>
                <w:sz w:val="20"/>
                <w:szCs w:val="20"/>
                <w:color w:val="auto"/>
              </w:rPr>
            </w:pPr>
            <w:r>
              <w:rPr>
                <w:rFonts w:ascii="Arial" w:cs="Arial" w:eastAsia="Arial" w:hAnsi="Arial"/>
                <w:sz w:val="18"/>
                <w:szCs w:val="18"/>
                <w:color w:val="0000FF"/>
              </w:rPr>
              <w:t>I</w:t>
            </w:r>
          </w:p>
        </w:tc>
        <w:tc>
          <w:tcPr>
            <w:tcW w:w="1640" w:type="dxa"/>
            <w:vAlign w:val="bottom"/>
            <w:gridSpan w:val="3"/>
          </w:tcPr>
          <w:p>
            <w:pPr>
              <w:ind w:left="100"/>
              <w:spacing w:after="0"/>
              <w:rPr>
                <w:sz w:val="20"/>
                <w:szCs w:val="20"/>
                <w:color w:val="auto"/>
              </w:rPr>
            </w:pPr>
            <w:r>
              <w:rPr>
                <w:rFonts w:ascii="Arial" w:cs="Arial" w:eastAsia="Arial" w:hAnsi="Arial"/>
                <w:sz w:val="18"/>
                <w:szCs w:val="18"/>
                <w:color w:val="0000FF"/>
              </w:rPr>
              <w:t>By Donald E. 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Mary Stout 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Series 2 Warrants</w:t>
            </w:r>
          </w:p>
        </w:tc>
        <w:tc>
          <w:tcPr>
            <w:tcW w:w="128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620" w:type="dxa"/>
            <w:vAlign w:val="bottom"/>
            <w:vMerge w:val="restart"/>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vMerge w:val="restart"/>
          </w:tcPr>
          <w:p>
            <w:pPr>
              <w:jc w:val="center"/>
              <w:ind w:left="363"/>
              <w:spacing w:after="0"/>
              <w:rPr>
                <w:sz w:val="20"/>
                <w:szCs w:val="20"/>
                <w:color w:val="auto"/>
              </w:rPr>
            </w:pPr>
            <w:r>
              <w:rPr>
                <w:rFonts w:ascii="Arial" w:cs="Arial" w:eastAsia="Arial" w:hAnsi="Arial"/>
                <w:sz w:val="18"/>
                <w:szCs w:val="18"/>
                <w:color w:val="0000FF"/>
                <w:w w:val="86"/>
              </w:rPr>
              <w:t>145,057</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1"/>
              </w:rPr>
              <w:t>1.76</w:t>
            </w:r>
          </w:p>
        </w:tc>
        <w:tc>
          <w:tcPr>
            <w:tcW w:w="260" w:type="dxa"/>
            <w:vAlign w:val="bottom"/>
          </w:tcPr>
          <w:p>
            <w:pPr>
              <w:spacing w:after="0"/>
              <w:rPr>
                <w:sz w:val="22"/>
                <w:szCs w:val="22"/>
                <w:color w:val="auto"/>
              </w:rPr>
            </w:pPr>
          </w:p>
        </w:tc>
        <w:tc>
          <w:tcPr>
            <w:tcW w:w="620" w:type="dxa"/>
            <w:vAlign w:val="bottom"/>
            <w:vMerge w:val="restart"/>
          </w:tcPr>
          <w:p>
            <w:pPr>
              <w:ind w:left="180"/>
              <w:spacing w:after="0"/>
              <w:rPr>
                <w:sz w:val="20"/>
                <w:szCs w:val="20"/>
                <w:color w:val="auto"/>
              </w:rPr>
            </w:pPr>
            <w:r>
              <w:rPr>
                <w:rFonts w:ascii="Arial" w:cs="Arial" w:eastAsia="Arial" w:hAnsi="Arial"/>
                <w:sz w:val="18"/>
                <w:szCs w:val="18"/>
                <w:color w:val="0000FF"/>
              </w:rPr>
              <w:t>I</w:t>
            </w:r>
          </w:p>
        </w:tc>
        <w:tc>
          <w:tcPr>
            <w:tcW w:w="1640" w:type="dxa"/>
            <w:vAlign w:val="bottom"/>
            <w:gridSpan w:val="3"/>
          </w:tcPr>
          <w:p>
            <w:pPr>
              <w:ind w:left="100"/>
              <w:spacing w:after="0"/>
              <w:rPr>
                <w:sz w:val="20"/>
                <w:szCs w:val="20"/>
                <w:color w:val="auto"/>
              </w:rPr>
            </w:pPr>
            <w:r>
              <w:rPr>
                <w:rFonts w:ascii="Arial" w:cs="Arial" w:eastAsia="Arial" w:hAnsi="Arial"/>
                <w:sz w:val="18"/>
                <w:szCs w:val="18"/>
                <w:color w:val="0000FF"/>
              </w:rPr>
              <w:t>By Donald E. 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Mary Stout 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Stock Options</w:t>
            </w:r>
          </w:p>
        </w:tc>
        <w:tc>
          <w:tcPr>
            <w:tcW w:w="128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11/07/2011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11/06/2016</w:t>
            </w:r>
          </w:p>
        </w:tc>
        <w:tc>
          <w:tcPr>
            <w:tcW w:w="1620" w:type="dxa"/>
            <w:vAlign w:val="bottom"/>
            <w:vMerge w:val="restart"/>
          </w:tcPr>
          <w:p>
            <w:pPr>
              <w:ind w:left="480"/>
              <w:spacing w:after="0"/>
              <w:rPr>
                <w:sz w:val="20"/>
                <w:szCs w:val="20"/>
                <w:color w:val="auto"/>
              </w:rPr>
            </w:pPr>
            <w:r>
              <w:rPr>
                <w:rFonts w:ascii="Arial" w:cs="Arial" w:eastAsia="Arial" w:hAnsi="Arial"/>
                <w:sz w:val="18"/>
                <w:szCs w:val="18"/>
                <w:color w:val="0000FF"/>
                <w:w w:val="90"/>
              </w:rPr>
              <w:t>Common Stock</w:t>
            </w:r>
          </w:p>
        </w:tc>
        <w:tc>
          <w:tcPr>
            <w:tcW w:w="1160" w:type="dxa"/>
            <w:vAlign w:val="bottom"/>
            <w:vMerge w:val="restart"/>
          </w:tcPr>
          <w:p>
            <w:pPr>
              <w:jc w:val="center"/>
              <w:ind w:left="363"/>
              <w:spacing w:after="0"/>
              <w:rPr>
                <w:sz w:val="20"/>
                <w:szCs w:val="20"/>
                <w:color w:val="auto"/>
              </w:rPr>
            </w:pPr>
            <w:r>
              <w:rPr>
                <w:rFonts w:ascii="Arial" w:cs="Arial" w:eastAsia="Arial" w:hAnsi="Arial"/>
                <w:sz w:val="18"/>
                <w:szCs w:val="18"/>
                <w:color w:val="0000FF"/>
                <w:w w:val="87"/>
              </w:rPr>
              <w:t>41,178</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0.994</w:t>
            </w:r>
          </w:p>
        </w:tc>
        <w:tc>
          <w:tcPr>
            <w:tcW w:w="260" w:type="dxa"/>
            <w:vAlign w:val="bottom"/>
          </w:tcPr>
          <w:p>
            <w:pPr>
              <w:spacing w:after="0"/>
              <w:rPr>
                <w:sz w:val="22"/>
                <w:szCs w:val="22"/>
                <w:color w:val="auto"/>
              </w:rPr>
            </w:pPr>
          </w:p>
        </w:tc>
        <w:tc>
          <w:tcPr>
            <w:tcW w:w="620" w:type="dxa"/>
            <w:vAlign w:val="bottom"/>
            <w:vMerge w:val="restart"/>
          </w:tcPr>
          <w:p>
            <w:pPr>
              <w:ind w:left="180"/>
              <w:spacing w:after="0"/>
              <w:rPr>
                <w:sz w:val="20"/>
                <w:szCs w:val="20"/>
                <w:color w:val="auto"/>
              </w:rPr>
            </w:pPr>
            <w:r>
              <w:rPr>
                <w:rFonts w:ascii="Arial" w:cs="Arial" w:eastAsia="Arial" w:hAnsi="Arial"/>
                <w:sz w:val="18"/>
                <w:szCs w:val="18"/>
                <w:color w:val="0000FF"/>
              </w:rPr>
              <w:t>I</w:t>
            </w:r>
          </w:p>
        </w:tc>
        <w:tc>
          <w:tcPr>
            <w:tcW w:w="1640" w:type="dxa"/>
            <w:vAlign w:val="bottom"/>
            <w:gridSpan w:val="3"/>
          </w:tcPr>
          <w:p>
            <w:pPr>
              <w:ind w:left="100"/>
              <w:spacing w:after="0"/>
              <w:rPr>
                <w:sz w:val="20"/>
                <w:szCs w:val="20"/>
                <w:color w:val="auto"/>
              </w:rPr>
            </w:pPr>
            <w:r>
              <w:rPr>
                <w:rFonts w:ascii="Arial" w:cs="Arial" w:eastAsia="Arial" w:hAnsi="Arial"/>
                <w:sz w:val="18"/>
                <w:szCs w:val="18"/>
                <w:color w:val="0000FF"/>
              </w:rPr>
              <w:t>By Donald E. 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Mary Stout 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color w:val="008000"/>
              </w:rPr>
              <w:t>Exhibit List - Exhibit 24 - Power of Attorney</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Donald E. Stout</w:t>
            </w: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07/25/2012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48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the undersigned has made, constituted and appointed, and by this instrument does make, constitute and appoint KENNETH R. KOCH, JEFFREY SCHULTZ, MERAV GERSHTENMAN and MICHAEL BROWN, acting individually, as his or her true and lawful attorney, for him or her, and in his or her name, place and stead, to affix, as attorney-in-fact, the signature of the undersigned to any reports or filings to the Securities and Exchange Commission on or in connection with Forms 3, 4, 5 or 144 with respect to transactions or holdings by the undersigned in equity securities issued by VRINGO, INC., a Delaware company, and to any and all amendments to such reports, giving and granting unto each such attorney-in-fact full power and authority to do and perform every act and thing whatsoever necessary to be done in the premises, as fully as the undersigned might or could do if personally present, hereby ratifying and confirming all that each such attorney-in-fact shall lawfully do or cause to be done by virtue hereof.</w:t>
      </w:r>
    </w:p>
    <w:p>
      <w:pPr>
        <w:spacing w:after="0" w:line="1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This Power of Attorney shall expire on the date the undersigned is no longer required to file Forms 3, 4, 5 or 144 reports with the Securities and Exchange Commission with respect to holdings of and transactions in securities issued by VRINGO, INC., unless revoked in writing prior thereto.</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25th day of July,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940"/>
        <w:spacing w:after="0"/>
        <w:rPr>
          <w:sz w:val="20"/>
          <w:szCs w:val="20"/>
          <w:color w:val="auto"/>
        </w:rPr>
      </w:pPr>
      <w:r>
        <w:rPr>
          <w:rFonts w:ascii="Arial" w:cs="Arial" w:eastAsia="Arial" w:hAnsi="Arial"/>
          <w:sz w:val="18"/>
          <w:szCs w:val="18"/>
          <w:color w:val="auto"/>
        </w:rPr>
        <w:t>/s/ Donald E. Stout</w:t>
      </w:r>
    </w:p>
    <w:p>
      <w:pPr>
        <w:spacing w:after="0" w:line="23"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Donald E. Stout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-130810</wp:posOffset>
            </wp:positionV>
            <wp:extent cx="3164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sectPr>
      <w:pgSz w:w="11900" w:h="16838" w:orient="portrait"/>
      <w:cols w:equalWidth="0" w:num="1">
        <w:col w:w="10600"/>
      </w:cols>
      <w:pgMar w:left="900" w:top="5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509502"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2019-12-17T05:57:10Z</dcterms:created>
  <dcterms:modified xsi:type="dcterms:W3CDTF">2019-12-17T05:57:10Z</dcterms:modified>
</cp:coreProperties>
</file>