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Lang Andrew Kennedy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Vringo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VRNG</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12/31/2013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CTO</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14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8"/>
                <w:szCs w:val="18"/>
                <w:color w:val="0000FF"/>
              </w:rPr>
              <w:t>12/31/2013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5,209</w:t>
            </w:r>
          </w:p>
        </w:tc>
        <w:tc>
          <w:tcPr>
            <w:tcW w:w="5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2.9505</w:t>
            </w:r>
          </w:p>
        </w:tc>
        <w:tc>
          <w:tcPr>
            <w:tcW w:w="1200" w:type="dxa"/>
            <w:vAlign w:val="bottom"/>
            <w:tcBorders>
              <w:bottom w:val="single" w:sz="8" w:color="2C2C2C"/>
            </w:tcBorders>
            <w:gridSpan w:val="2"/>
          </w:tcPr>
          <w:p>
            <w:pPr>
              <w:jc w:val="center"/>
              <w:ind w:right="99"/>
              <w:spacing w:after="0"/>
              <w:rPr>
                <w:sz w:val="20"/>
                <w:szCs w:val="20"/>
                <w:color w:val="auto"/>
              </w:rPr>
            </w:pPr>
            <w:r>
              <w:rPr>
                <w:rFonts w:ascii="Times New Roman" w:cs="Times New Roman" w:eastAsia="Times New Roman" w:hAnsi="Times New Roman"/>
                <w:sz w:val="18"/>
                <w:szCs w:val="18"/>
                <w:color w:val="0000FF"/>
              </w:rPr>
              <w:t>2,769,204</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Innovation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8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Spring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8"/>
                <w:szCs w:val="18"/>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Of which, 106,772 shares of common stock are represented by unvested restricted stock units.</w:t>
      </w:r>
    </w:p>
    <w:p>
      <w:pPr>
        <w:spacing w:after="0" w:line="41" w:lineRule="exact"/>
        <w:rPr>
          <w:rFonts w:ascii="Times New Roman" w:cs="Times New Roman" w:eastAsia="Times New Roman" w:hAnsi="Times New Roman"/>
          <w:sz w:val="14"/>
          <w:szCs w:val="14"/>
          <w:color w:val="008000"/>
        </w:rPr>
      </w:pPr>
    </w:p>
    <w:p>
      <w:pPr>
        <w:ind w:left="40" w:right="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The transactions reported in this Form 4 were effected pursuant to a Rule 10b5-1 trading plan adopted by the reporting person on November 25, 2013 to cover tax liabilities.</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Andrew Kennedy Lang</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12/31/2013</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2019-12-17T07:34:00Z</dcterms:created>
  <dcterms:modified xsi:type="dcterms:W3CDTF">2019-12-17T07:34:00Z</dcterms:modified>
</cp:coreProperties>
</file>