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December 18, 2018</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8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68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29" w:right="259" w:bottom="1440" w:gutter="0" w:footer="0" w:header="0"/>
        </w:sectPr>
      </w:pPr>
    </w:p>
    <w:bookmarkStart w:id="1" w:name="page2"/>
    <w:bookmarkEnd w:id="1"/>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December 18, 2018, Mr. Richard Abbe notified the board of directors of XpresSpa Group, Inc. (the “Company”) of his resignation as a member of the board of directors of the Company to pursue other options, effective immediately.</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December 26, 2018, the Company entered into an indemnification agreement (the “Indemnification Agreement”) with Mr. Abbe pursuant to which the Company will indemnify, and advance expenses to, Mr. Abbe to the fullest extent permitted by applicable law, for any costs, expenses, fees, judgments, penalties, fines and settlement amounts incurred by Mr. Abbe in any action or proceeding, including any action or proceeding by or in right of the Company, arising out of Mr. Abbe’s service as a director.</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foregoing description of the Indemnification Agreement does not purport to be complete and is qualified in its entirety by reference to the full text of the Indemnification Agreement, which is attached as Exhibit 10.1 to this Current Report on Form 8-K and is incorporated by reference herein.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7300" w:type="dxa"/>
            <w:vAlign w:val="bottom"/>
          </w:tcPr>
          <w:p>
            <w:pPr>
              <w:spacing w:after="0"/>
              <w:rPr>
                <w:sz w:val="20"/>
                <w:szCs w:val="20"/>
                <w:color w:val="auto"/>
              </w:rPr>
            </w:pPr>
          </w:p>
        </w:tc>
        <w:tc>
          <w:tcPr>
            <w:tcW w:w="2820" w:type="dxa"/>
            <w:vAlign w:val="bottom"/>
          </w:tcPr>
          <w:p>
            <w:pPr>
              <w:spacing w:after="0"/>
              <w:rPr>
                <w:sz w:val="20"/>
                <w:szCs w:val="20"/>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73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1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Indemnification Agreement between the Company and Mr. Richard Abbe, dated December 26, 2018.</w:t>
              </w:r>
            </w:hyperlink>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300" w:type="dxa"/>
            <w:vAlign w:val="bottom"/>
            <w:tcBorders>
              <w:top w:val="single" w:sz="8" w:color="0000EE"/>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900" w:type="dxa"/>
            <w:vAlign w:val="bottom"/>
            <w:gridSpan w:val="2"/>
          </w:tcPr>
          <w:p>
            <w:pPr>
              <w:ind w:left="25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Dated: December 26, 2018</w:t>
            </w:r>
          </w:p>
        </w:tc>
        <w:tc>
          <w:tcPr>
            <w:tcW w:w="6900" w:type="dxa"/>
            <w:vAlign w:val="bottom"/>
            <w:gridSpan w:val="2"/>
          </w:tcPr>
          <w:p>
            <w:pPr>
              <w:ind w:left="2560"/>
              <w:spacing w:after="0"/>
              <w:rPr>
                <w:sz w:val="20"/>
                <w:szCs w:val="20"/>
                <w:color w:val="auto"/>
              </w:rPr>
            </w:pPr>
            <w:r>
              <w:rPr>
                <w:rFonts w:ascii="Arial" w:cs="Arial" w:eastAsia="Arial" w:hAnsi="Arial"/>
                <w:sz w:val="18"/>
                <w:szCs w:val="18"/>
                <w:color w:val="auto"/>
              </w:rPr>
              <w:t>By: /s/ Edward Jankowski</w:t>
            </w:r>
          </w:p>
        </w:tc>
      </w:tr>
      <w:tr>
        <w:trPr>
          <w:trHeight w:val="195"/>
        </w:trPr>
        <w:tc>
          <w:tcPr>
            <w:tcW w:w="45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Edward Jankowski</w:t>
            </w:r>
          </w:p>
        </w:tc>
      </w:tr>
      <w:tr>
        <w:trPr>
          <w:trHeight w:val="230"/>
        </w:trPr>
        <w:tc>
          <w:tcPr>
            <w:tcW w:w="45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45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INDEMNITY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Indemnity Agreement (the “Agreement”) is made as of December 26, 2018 by and between XpresSpa Group Inc., a Delaware corporation (the “Company”), and Richard Abbe (“Indemnitee”). This Agreement supersedes and replaces any and all previous agreements between the Company and Indemnitee covering the subject matter of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highly competent persons have become more reluctant to serve publicly-held corporations as directors or officers or in other capacities unless they are provided with adequate protection through indemnification against inordinate risks of claims and actions against them arising out of their service to and activities on behalf of the corporation.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WHEREAS, the Company’s amended and restated certificate of incorporation and amended and restated bylaws (collectively, the “Organizational Documents”) require indemnification of the officers and directors of the Company, and Indemnitee may also be entitled to indemnification pursuant to applicable provisions of the Delaware General Corporation Law (“DGCL”). The Organizational Documents and the DGCL expressly provide that the indemnification provisions set forth therein are not exclusive, and thereby contemplate that contracts may be entered into between the Company and members of the board of directors (the “Board”), officers and other persons with respect to indemnification.</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it is reasonable, prudent and necessary for the Company contractually to obligate itself to indemnify, and to advance expenses on behalf of, such persons to the fullest extent permitted by applicable law so that they will be free from undue concern that they will not be so indemnified.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this Agreement is a supplement to and in furtherance of the Organizational Documents and any resolutions adopted pursuant thereto, and shall not be deemed a substitute therefor, nor to diminish or abrogate any rights of Indemnitee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WHEREAS, the Indemnitee may be party to a previous indemnification agreement or agreements with the Company (each, a “Prior Agreement”).</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the parties desire to supersede and replace each Prior Agreement, if any, in its entirety and hereby agree that this Agreement shall govern the rights of Indemnitee with respect to the subject matter of this Agreement henceforth.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166" w:lineRule="exact"/>
        <w:rPr>
          <w:sz w:val="20"/>
          <w:szCs w:val="20"/>
          <w:color w:val="auto"/>
        </w:rPr>
      </w:pPr>
    </w:p>
    <w:p>
      <w:pPr>
        <w:ind w:firstLine="656"/>
        <w:spacing w:after="0" w:line="282" w:lineRule="auto"/>
        <w:tabs>
          <w:tab w:leader="none" w:pos="17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Services to the Company. </w:t>
      </w:r>
      <w:r>
        <w:rPr>
          <w:rFonts w:ascii="Arial" w:cs="Arial" w:eastAsia="Arial" w:hAnsi="Arial"/>
          <w:sz w:val="18"/>
          <w:szCs w:val="18"/>
          <w:color w:val="auto"/>
        </w:rPr>
        <w:t>Indemnitee will serve or continue to serve as an officer, director or key employee of the Company for so</w:t>
      </w:r>
      <w:r>
        <w:rPr>
          <w:rFonts w:ascii="Arial" w:cs="Arial" w:eastAsia="Arial" w:hAnsi="Arial"/>
          <w:sz w:val="18"/>
          <w:szCs w:val="18"/>
          <w:b w:val="1"/>
          <w:bCs w:val="1"/>
          <w:color w:val="auto"/>
        </w:rPr>
        <w:t xml:space="preserve"> </w:t>
      </w:r>
      <w:r>
        <w:rPr>
          <w:rFonts w:ascii="Arial" w:cs="Arial" w:eastAsia="Arial" w:hAnsi="Arial"/>
          <w:sz w:val="18"/>
          <w:szCs w:val="18"/>
          <w:color w:val="auto"/>
        </w:rPr>
        <w:t>long as Indemnitee is duly elected or appointed or until Indemnitee tenders his resignation or is terminated.</w:t>
      </w:r>
    </w:p>
    <w:p>
      <w:pPr>
        <w:spacing w:after="0" w:line="161" w:lineRule="exact"/>
        <w:rPr>
          <w:rFonts w:ascii="Arial" w:cs="Arial" w:eastAsia="Arial" w:hAnsi="Arial"/>
          <w:sz w:val="18"/>
          <w:szCs w:val="18"/>
          <w:color w:val="auto"/>
        </w:rPr>
      </w:pPr>
    </w:p>
    <w:p>
      <w:pPr>
        <w:ind w:left="1640" w:hanging="984"/>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 Agreement:</w:t>
      </w:r>
    </w:p>
    <w:p>
      <w:pPr>
        <w:spacing w:after="0" w:line="229" w:lineRule="exact"/>
        <w:rPr>
          <w:rFonts w:ascii="Arial" w:cs="Arial" w:eastAsia="Arial" w:hAnsi="Arial"/>
          <w:sz w:val="18"/>
          <w:szCs w:val="18"/>
          <w:color w:val="auto"/>
        </w:rPr>
      </w:pPr>
    </w:p>
    <w:p>
      <w:pPr>
        <w:jc w:val="both"/>
        <w:ind w:firstLine="1305"/>
        <w:spacing w:after="0" w:line="264" w:lineRule="auto"/>
        <w:tabs>
          <w:tab w:leader="none" w:pos="2216" w:val="left"/>
        </w:tabs>
        <w:numPr>
          <w:ilvl w:val="1"/>
          <w:numId w:val="2"/>
        </w:numPr>
        <w:rPr>
          <w:rFonts w:ascii="Arial" w:cs="Arial" w:eastAsia="Arial" w:hAnsi="Arial"/>
          <w:sz w:val="18"/>
          <w:szCs w:val="18"/>
          <w:color w:val="auto"/>
        </w:rPr>
      </w:pPr>
      <w:r>
        <w:rPr>
          <w:rFonts w:ascii="Arial" w:cs="Arial" w:eastAsia="Arial" w:hAnsi="Arial"/>
          <w:sz w:val="18"/>
          <w:szCs w:val="18"/>
          <w:color w:val="auto"/>
        </w:rPr>
        <w:t>“Corporate Status” describes the status of a person who is or was a director, officer, trustee, general partner, managing member, fiduciary, employee or agent of the Company or of any other Enterprise (as defined below) which such person is or was serving at the request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20" w:firstLine="1305"/>
        <w:spacing w:after="0" w:line="277" w:lineRule="auto"/>
        <w:tabs>
          <w:tab w:leader="none" w:pos="2328"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“Disinterested Director” shall mean a director of the Company who is not and was not a party to the Proceeding (as defined below) in respect of which indemnification is sought by Indemnitee.</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2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“Enterprise”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86" w:lineRule="exact"/>
        <w:rPr>
          <w:rFonts w:ascii="Arial" w:cs="Arial" w:eastAsia="Arial" w:hAnsi="Arial"/>
          <w:sz w:val="18"/>
          <w:szCs w:val="18"/>
          <w:color w:val="auto"/>
        </w:rPr>
      </w:pPr>
    </w:p>
    <w:p>
      <w:pPr>
        <w:ind w:left="2220" w:hanging="935"/>
        <w:spacing w:after="0"/>
        <w:tabs>
          <w:tab w:leader="none" w:pos="2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Act” shall mean the Securities Exchange Act of 1934, as amended.</w:t>
      </w:r>
    </w:p>
    <w:p>
      <w:pPr>
        <w:spacing w:after="0" w:line="225" w:lineRule="exact"/>
        <w:rPr>
          <w:rFonts w:ascii="Arial" w:cs="Arial" w:eastAsia="Arial" w:hAnsi="Arial"/>
          <w:sz w:val="18"/>
          <w:szCs w:val="18"/>
          <w:color w:val="auto"/>
        </w:rPr>
      </w:pPr>
    </w:p>
    <w:p>
      <w:pPr>
        <w:jc w:val="both"/>
        <w:ind w:left="-20" w:firstLine="1305"/>
        <w:spacing w:after="0" w:line="272" w:lineRule="auto"/>
        <w:tabs>
          <w:tab w:leader="none" w:pos="221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“Expenses” shall mean all reasonable costs, expenses, fees and charges, including, without limitation, attorneys’ fees and costs, retainers, court costs, transcript costs, fees of experts, witness fees, travel expenses, duplicating costs, printing and binding costs, telephone charges, postage, delivery service fees, any federal, state, local or foreign taxes imposed on Indemnitee as a result of the actual or deemed receipt of any payments under this Agreement, ERISA excise taxes and penalties, and all other disbursements or expenses in connection with prosecuting, defending, preparing to prosecute or defend, investigating, being or preparing to be a witness in, or otherwise participating in, a Proceeding (as defined below). Expenses also shall include Expenses incurred in connection with any appeal resulting from any Proceeding (as defined below), including, without limitation, the premium, security for, and other costs relating to any cost bond, supersede as bond, or other appeal bond or its equivalent.</w:t>
      </w:r>
    </w:p>
    <w:p>
      <w:pPr>
        <w:spacing w:after="0" w:line="177" w:lineRule="exact"/>
        <w:rPr>
          <w:rFonts w:ascii="Arial" w:cs="Arial" w:eastAsia="Arial" w:hAnsi="Arial"/>
          <w:sz w:val="17"/>
          <w:szCs w:val="17"/>
          <w:color w:val="auto"/>
        </w:rPr>
      </w:pPr>
    </w:p>
    <w:p>
      <w:pPr>
        <w:ind w:left="-20" w:firstLine="1305"/>
        <w:spacing w:after="0" w:line="277" w:lineRule="auto"/>
        <w:tabs>
          <w:tab w:leader="none" w:pos="254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“Indemnity Obligations” shall mean all obligations of the Company to Indemnitee under this Agreement, including the Company’s obligations to provide indemnification to Indemnitee and advance Expenses to Indemnitee under this Agreement.</w:t>
      </w:r>
    </w:p>
    <w:p>
      <w:pPr>
        <w:spacing w:after="0" w:line="170" w:lineRule="exact"/>
        <w:rPr>
          <w:rFonts w:ascii="Arial" w:cs="Arial" w:eastAsia="Arial" w:hAnsi="Arial"/>
          <w:sz w:val="18"/>
          <w:szCs w:val="18"/>
          <w:color w:val="auto"/>
        </w:rPr>
      </w:pPr>
    </w:p>
    <w:p>
      <w:pPr>
        <w:jc w:val="both"/>
        <w:ind w:left="-20" w:firstLine="1305"/>
        <w:spacing w:after="0" w:line="259" w:lineRule="auto"/>
        <w:tabs>
          <w:tab w:leader="none" w:pos="2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“Independent Counsel” shall mean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other indemnitees under similar indemnification agreements); or (ii) any other party to the Proceeding (as defined below) giving rise to a claim for indemnification hereunder.</w:t>
      </w:r>
    </w:p>
    <w:p>
      <w:pPr>
        <w:spacing w:after="0" w:line="186" w:lineRule="exact"/>
        <w:rPr>
          <w:rFonts w:ascii="Arial" w:cs="Arial" w:eastAsia="Arial" w:hAnsi="Arial"/>
          <w:sz w:val="18"/>
          <w:szCs w:val="18"/>
          <w:color w:val="auto"/>
        </w:rPr>
      </w:pPr>
    </w:p>
    <w:p>
      <w:pPr>
        <w:jc w:val="both"/>
        <w:ind w:left="-20" w:firstLine="1305"/>
        <w:spacing w:after="0" w:line="259" w:lineRule="auto"/>
        <w:tabs>
          <w:tab w:leader="none" w:pos="2368" w:val="left"/>
        </w:tabs>
        <w:numPr>
          <w:ilvl w:val="0"/>
          <w:numId w:val="3"/>
        </w:numPr>
        <w:rPr>
          <w:rFonts w:ascii="Arial" w:cs="Arial" w:eastAsia="Arial" w:hAnsi="Arial"/>
          <w:sz w:val="18"/>
          <w:szCs w:val="18"/>
          <w:color w:val="auto"/>
        </w:rPr>
      </w:pPr>
      <w:r>
        <w:rPr>
          <w:rFonts w:ascii="Arial" w:cs="Arial" w:eastAsia="Arial" w:hAnsi="Arial"/>
          <w:sz w:val="18"/>
          <w:szCs w:val="18"/>
          <w:color w:val="auto"/>
        </w:rPr>
        <w:t>“Liabilities” means all claims, liabilities, damages, losses, judgments, orders, fines, penalties and other amounts payable in connection with, arising out of, or in respect of or relating to any Proceeding, including, without limitation, amounts paid in settlement in any Proceeding and all costs and expenses in complying with any judgment, order or decree issued or entered in connection with any Proceeding or any settlement agreement, stipulation or consent decree entered into or issued in settlement of any Proceeding.</w:t>
      </w:r>
    </w:p>
    <w:p>
      <w:pPr>
        <w:spacing w:after="0" w:line="186" w:lineRule="exact"/>
        <w:rPr>
          <w:rFonts w:ascii="Arial" w:cs="Arial" w:eastAsia="Arial" w:hAnsi="Arial"/>
          <w:sz w:val="18"/>
          <w:szCs w:val="18"/>
          <w:color w:val="auto"/>
        </w:rPr>
      </w:pPr>
    </w:p>
    <w:p>
      <w:pPr>
        <w:jc w:val="both"/>
        <w:ind w:left="-20" w:firstLine="1305"/>
        <w:spacing w:after="0" w:line="259" w:lineRule="auto"/>
        <w:tabs>
          <w:tab w:leader="none" w:pos="2238"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References to “serving at the request of the Company” shall include any service as a director, officer, employee or agent of the Company which imposes duties on such persons, including duties relating to an employee benefit plan, its participants or beneficiaries; and references to “not opposed to the best interest of the corporation” describes the actions of a person who acts in good faith and in a manner he or she reasonably believes to be in the best interests of the participants and beneficiaries of an employee benefit plan.</w:t>
      </w:r>
    </w:p>
    <w:p>
      <w:pPr>
        <w:spacing w:after="0" w:line="186" w:lineRule="exact"/>
        <w:rPr>
          <w:rFonts w:ascii="Arial" w:cs="Arial" w:eastAsia="Arial" w:hAnsi="Arial"/>
          <w:sz w:val="18"/>
          <w:szCs w:val="18"/>
          <w:color w:val="auto"/>
        </w:rPr>
      </w:pPr>
    </w:p>
    <w:p>
      <w:pPr>
        <w:jc w:val="both"/>
        <w:ind w:left="-20" w:firstLine="1305"/>
        <w:spacing w:after="0" w:line="273" w:lineRule="auto"/>
        <w:tabs>
          <w:tab w:leader="none" w:pos="223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term “Person” shall have the meaning as set forth in Sections 13(d) and 14(d) of the Exchange Act as in effect on the date hereof; provided, however, that “Person” shall exclude: (i) the Company; (ii) any Subsidiaries (as defined below) of the Company; (iii) any employee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5" w:name="page6"/>
    <w:bookmarkEnd w:id="5"/>
    <w:p>
      <w:pPr>
        <w:jc w:val="both"/>
        <w:ind w:left="-20" w:firstLine="1305"/>
        <w:spacing w:after="0" w:line="270" w:lineRule="auto"/>
        <w:tabs>
          <w:tab w:leader="none" w:pos="2382"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term “Proceeding” shall include any threatened, pending or completed action, claim, suit, arbitration, alternate dispute resolution mechanism, investigation, inquiry, administrative hearing or any other threatened, pending or completed proceeding, whether brought in the right of the Company or otherwise and whether of a civil (including intentional or unintentional tort claims), criminal, administrative, investigative, formal or informal nature, including any appeal therefrom, in each case, in which Indemnitee was, is or will be, or is threatened to be, involved as a party, witness or otherwise by reason of the fact that Indemnitee is or was a director or officer of the Company, by reason of any action (or failure to act) taken by him or of any action (or failure to act) on his part while acting as a director or officer of the Company, or by reason of the fact that 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 If the Indemnitee believes in good faith that a given situation may lead to or culminate in the institution of a Proceeding, such situation shall be considered a Proceeding under this paragraph.</w:t>
      </w:r>
    </w:p>
    <w:p>
      <w:pPr>
        <w:spacing w:after="0" w:line="177" w:lineRule="exact"/>
        <w:rPr>
          <w:rFonts w:ascii="Arial" w:cs="Arial" w:eastAsia="Arial" w:hAnsi="Arial"/>
          <w:sz w:val="17"/>
          <w:szCs w:val="17"/>
          <w:color w:val="auto"/>
        </w:rPr>
      </w:pPr>
    </w:p>
    <w:p>
      <w:pPr>
        <w:ind w:left="-20" w:right="20" w:firstLine="1305"/>
        <w:spacing w:after="0" w:line="277" w:lineRule="auto"/>
        <w:tabs>
          <w:tab w:leader="none" w:pos="2225"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term “Subsidiary,” with respect to any Person, shall mean any corporation or other entity of which a majority of the voting power of the voting equity securities or equity interest is owned, directly or indirectly, by that Person.</w:t>
      </w:r>
    </w:p>
    <w:p>
      <w:pPr>
        <w:spacing w:after="0" w:line="166" w:lineRule="exact"/>
        <w:rPr>
          <w:rFonts w:ascii="Arial" w:cs="Arial" w:eastAsia="Arial" w:hAnsi="Arial"/>
          <w:sz w:val="18"/>
          <w:szCs w:val="18"/>
          <w:color w:val="auto"/>
        </w:rPr>
      </w:pPr>
    </w:p>
    <w:p>
      <w:pPr>
        <w:jc w:val="both"/>
        <w:ind w:left="-20" w:firstLine="656"/>
        <w:spacing w:after="0" w:line="272" w:lineRule="auto"/>
        <w:tabs>
          <w:tab w:leader="none" w:pos="1672"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Indemnity in Third-Party Proceedings. </w:t>
      </w:r>
      <w:r>
        <w:rPr>
          <w:rFonts w:ascii="Arial" w:cs="Arial" w:eastAsia="Arial" w:hAnsi="Arial"/>
          <w:sz w:val="17"/>
          <w:szCs w:val="17"/>
          <w:color w:val="auto"/>
        </w:rPr>
        <w:t>The Company shall indemnify and hold harmless Indemnitee,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in accordance with the provisions of this Section 3 if Indemnitee was or is a party to or a participant (as a witness or otherwise) in any Proceeding, other than a Proceeding by or in the right of the Company to procure a judgment in its favor. Pursuant to this Section 3, Indemnitee shall be indemnified against all Liabilities and Expenses incurred by Indemnitee or on his behalf in connection with such Proceeding or any claim, issue or matter therein, if Indemnitee acted in good faith and in a manner he reasonably believed to be in or not opposed to the best interest of the Company and, in the case of a criminal Proceeding, had no reasonable cause to believe that his conduct was unlawful. The parties hereto intend that this Agreement shall provide to the fullest extent permitted by law for indemnification in excess of that expressly permitted by statute, including, without limitation, any indemnification provided by the Organizational Documents, vote of its stockholders or Disinterested Directors or applicable law.</w:t>
      </w:r>
    </w:p>
    <w:p>
      <w:pPr>
        <w:spacing w:after="0" w:line="172" w:lineRule="exact"/>
        <w:rPr>
          <w:rFonts w:ascii="Arial" w:cs="Arial" w:eastAsia="Arial" w:hAnsi="Arial"/>
          <w:sz w:val="17"/>
          <w:szCs w:val="17"/>
          <w:color w:val="auto"/>
        </w:rPr>
      </w:pPr>
    </w:p>
    <w:p>
      <w:pPr>
        <w:jc w:val="both"/>
        <w:ind w:left="-20" w:firstLine="656"/>
        <w:spacing w:after="0" w:line="291" w:lineRule="auto"/>
        <w:tabs>
          <w:tab w:leader="none" w:pos="1685"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Indemnity in Proceedings by or in the Right of the Company. </w:t>
      </w:r>
      <w:r>
        <w:rPr>
          <w:rFonts w:ascii="Arial" w:cs="Arial" w:eastAsia="Arial" w:hAnsi="Arial"/>
          <w:sz w:val="16"/>
          <w:szCs w:val="16"/>
          <w:color w:val="auto"/>
        </w:rPr>
        <w:t>The Company shall indemnify and hold harmless Indemnitee,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fullest extent permitted by applicable law, in accordance with the provisions of this Section 4 if Indemnitee was or is a party to or a participant (as a witness or otherwise) in any Proceeding by or in the right of the Company to procure a judgment in its favor. Pursuant to this Section 4, Indemnitee shall be indemnified against all Liabilities and Expenses incurred in connection with the Proceeding, if Indemnitee acted in good faith and in a manner he reasonably believed to be in or not opposed to the best interests of the Company. No indemnification for Liabilities and Expenses shall be made under this Section 4 in respect of any claim, issue or matter as to which Indemnitee shall have been finally adjudged by a court to be liable to the Company, unless and only to the extent that any court in which the Proceeding was brought or any court of competent jurisdiction shall determine upon application that, despite the adjudication of liability but in view of all the circumstances of the case, Indemnitee is fairly and reasonably entitled to indemnification.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6" w:name="page7"/>
    <w:bookmarkEnd w:id="6"/>
    <w:p>
      <w:pPr>
        <w:jc w:val="both"/>
        <w:ind w:left="-20" w:firstLine="656"/>
        <w:spacing w:after="0" w:line="271" w:lineRule="auto"/>
        <w:tabs>
          <w:tab w:leader="none" w:pos="1956"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Indemnification for Expenses of a Party Who is Wholly or Partly Successful. </w:t>
      </w:r>
      <w:r>
        <w:rPr>
          <w:rFonts w:ascii="Arial" w:cs="Arial" w:eastAsia="Arial" w:hAnsi="Arial"/>
          <w:sz w:val="17"/>
          <w:szCs w:val="17"/>
          <w:color w:val="auto"/>
        </w:rPr>
        <w:t>Notwithstanding any other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without limiting the rights of Indemnitee under any other provision hereof, to the fullest extent permitted by applicable law, to the extent that Indemnitee is a party to (or a participant in) and is successful, on the merits or otherwise, in any Proceeding or in defense of any claim, issue or matter therein, in whole or in part, the Company shall indemnify and hold harmless Indemnitee against all Expenses incurred by him in connection therewith. If Indemnitee is not wholly successful in such Proceeding but is successful, on the merits or otherwise, as to one or more but less than all claims, issues or matters in such Proceeding, the Company shall indemnify and hold harmless Indemnitee against all Liabilities and Expenses incurred by him or on his behalf in connection with each successfully resolved claim, issue or matter. For purposes of this Section and without limitation, the termination of any claim, issue or matter in such a Proceeding by settlement, entry of a plea of nolo contendere or by dismissal, with or without prejudice, shall be deemed to be a successful result as to such claim, issue or matter.</w:t>
      </w:r>
    </w:p>
    <w:p>
      <w:pPr>
        <w:spacing w:after="0" w:line="174" w:lineRule="exact"/>
        <w:rPr>
          <w:rFonts w:ascii="Arial" w:cs="Arial" w:eastAsia="Arial" w:hAnsi="Arial"/>
          <w:sz w:val="17"/>
          <w:szCs w:val="17"/>
          <w:color w:val="auto"/>
        </w:rPr>
      </w:pPr>
    </w:p>
    <w:p>
      <w:pPr>
        <w:jc w:val="both"/>
        <w:ind w:left="-20" w:firstLine="656"/>
        <w:spacing w:after="0" w:line="261" w:lineRule="auto"/>
        <w:tabs>
          <w:tab w:leader="none" w:pos="1713"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Indemnification For Expenses of a Witness. </w:t>
      </w:r>
      <w:r>
        <w:rPr>
          <w:rFonts w:ascii="Arial" w:cs="Arial" w:eastAsia="Arial" w:hAnsi="Arial"/>
          <w:sz w:val="18"/>
          <w:szCs w:val="18"/>
          <w:color w:val="auto"/>
        </w:rPr>
        <w:t>Notwithstanding any other provision of this Agreement, to the fullest extent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by applicable law and to the extent that Indemnitee is, by reason of Indemnitee’s Corporate Status, a witness or otherwise asked to participate in any Proceeding to which Indemnitee is not a party, he shall be indemnified against all Liabilities and Expenses suffered or incurred by him or on his behalf in connection therewith.</w:t>
      </w:r>
    </w:p>
    <w:p>
      <w:pPr>
        <w:spacing w:after="0" w:line="180" w:lineRule="exact"/>
        <w:rPr>
          <w:rFonts w:ascii="Arial" w:cs="Arial" w:eastAsia="Arial" w:hAnsi="Arial"/>
          <w:sz w:val="18"/>
          <w:szCs w:val="18"/>
          <w:color w:val="auto"/>
        </w:rPr>
      </w:pPr>
    </w:p>
    <w:p>
      <w:pPr>
        <w:jc w:val="both"/>
        <w:ind w:left="-20" w:firstLine="656"/>
        <w:spacing w:after="0" w:line="266" w:lineRule="auto"/>
        <w:tabs>
          <w:tab w:leader="none" w:pos="1631"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Partial Indemnification. </w:t>
      </w:r>
      <w:r>
        <w:rPr>
          <w:rFonts w:ascii="Arial" w:cs="Arial" w:eastAsia="Arial" w:hAnsi="Arial"/>
          <w:sz w:val="18"/>
          <w:szCs w:val="18"/>
          <w:color w:val="auto"/>
        </w:rPr>
        <w:t>If Indemnitee is entitled under any provision of this Agreement to indemnification by the Company for some</w:t>
      </w:r>
      <w:r>
        <w:rPr>
          <w:rFonts w:ascii="Arial" w:cs="Arial" w:eastAsia="Arial" w:hAnsi="Arial"/>
          <w:sz w:val="18"/>
          <w:szCs w:val="18"/>
          <w:b w:val="1"/>
          <w:bCs w:val="1"/>
          <w:color w:val="auto"/>
        </w:rPr>
        <w:t xml:space="preserve"> </w:t>
      </w:r>
      <w:r>
        <w:rPr>
          <w:rFonts w:ascii="Arial" w:cs="Arial" w:eastAsia="Arial" w:hAnsi="Arial"/>
          <w:sz w:val="18"/>
          <w:szCs w:val="18"/>
          <w:color w:val="auto"/>
        </w:rPr>
        <w:t>or a portion of Liabilities and Expenses, but not, however, for the total amount thereof, the Company shall nevertheless indemnify Indemnitee for the portion thereof to which Indemnitee is entitled.</w:t>
      </w:r>
    </w:p>
    <w:p>
      <w:pPr>
        <w:spacing w:after="0" w:line="176" w:lineRule="exact"/>
        <w:rPr>
          <w:rFonts w:ascii="Arial" w:cs="Arial" w:eastAsia="Arial" w:hAnsi="Arial"/>
          <w:sz w:val="18"/>
          <w:szCs w:val="18"/>
          <w:color w:val="auto"/>
        </w:rPr>
      </w:pPr>
    </w:p>
    <w:p>
      <w:pPr>
        <w:ind w:left="1620" w:hanging="984"/>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Additional Indemnification.</w:t>
      </w:r>
    </w:p>
    <w:p>
      <w:pPr>
        <w:spacing w:after="0" w:line="229" w:lineRule="exact"/>
        <w:rPr>
          <w:rFonts w:ascii="Arial" w:cs="Arial" w:eastAsia="Arial" w:hAnsi="Arial"/>
          <w:sz w:val="18"/>
          <w:szCs w:val="18"/>
          <w:color w:val="auto"/>
        </w:rPr>
      </w:pPr>
    </w:p>
    <w:p>
      <w:pPr>
        <w:jc w:val="both"/>
        <w:ind w:left="-20" w:firstLine="1305"/>
        <w:spacing w:after="0" w:line="253" w:lineRule="auto"/>
        <w:tabs>
          <w:tab w:leader="none" w:pos="2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Notwithstanding any limitation in Sections 3, 4, or 5, the Company hereby covenants and agrees to indemnify and hold harmless Indemnitee to the fullest extent permitted by applicable law if Indemnitee is a party to or threatened to be made a party to any Proceeding (including a Proceeding by or in the right of the Company to procure a judgment in its favor) against all liabilities, obligations to pay a judgment, settlement, penalty, fine (including an excise tax assessed with respect to any employee benefit plan), and Liabilities and Expenses incurred by Indemnitee in connection with the Proceeding. In furtherance and not in limitation of the foregoing, the Company shall indemnify and hold harmless Indemnitee (i) to the fullest extent permitted by the provision of the DGCL that authorizes or contemplates additional indemnification by agreement, or the corresponding provision of any amendment to or replacement of the DGCL, and (ii) to the fullest extent authorized or permitted by any amendments to or replacements of the DGCL adopted after the date of this Agreement that increase the extent to which a limited liability company, corporation or other business enterprise may indemnify its officers and directors.</w:t>
      </w:r>
    </w:p>
    <w:p>
      <w:pPr>
        <w:spacing w:after="0" w:line="197" w:lineRule="exact"/>
        <w:rPr>
          <w:rFonts w:ascii="Arial" w:cs="Arial" w:eastAsia="Arial" w:hAnsi="Arial"/>
          <w:sz w:val="18"/>
          <w:szCs w:val="18"/>
          <w:color w:val="auto"/>
        </w:rPr>
      </w:pPr>
    </w:p>
    <w:p>
      <w:pPr>
        <w:jc w:val="both"/>
        <w:ind w:left="-20" w:firstLine="1305"/>
        <w:spacing w:after="0" w:line="286" w:lineRule="auto"/>
        <w:tabs>
          <w:tab w:leader="none" w:pos="2247" w:val="left"/>
        </w:tabs>
        <w:numPr>
          <w:ilvl w:val="1"/>
          <w:numId w:val="6"/>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and to the fullest extent permitted by applicable law, Indemnitee shall be indemnified for any Expenses associated with Indemnitee’s contemplated or actual departure from the Board of Directors of XpresSpa Group, Inc., including but not limited to, Indemnitee’s legal fees in connection with Indemnitee’s contemplated or actual departure from the Board.</w:t>
      </w:r>
    </w:p>
    <w:p>
      <w:pPr>
        <w:spacing w:after="0" w:line="165" w:lineRule="exact"/>
        <w:rPr>
          <w:rFonts w:ascii="Arial" w:cs="Arial" w:eastAsia="Arial" w:hAnsi="Arial"/>
          <w:sz w:val="17"/>
          <w:szCs w:val="17"/>
          <w:color w:val="auto"/>
        </w:rPr>
      </w:pPr>
    </w:p>
    <w:p>
      <w:pPr>
        <w:jc w:val="both"/>
        <w:ind w:left="-20" w:firstLine="1305"/>
        <w:spacing w:after="0" w:line="276" w:lineRule="auto"/>
        <w:tabs>
          <w:tab w:leader="none" w:pos="2453" w:val="left"/>
        </w:tabs>
        <w:numPr>
          <w:ilvl w:val="1"/>
          <w:numId w:val="6"/>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of this Agreement and notwithstanding any concurrent or ongoing representation of Indemnitee by the Company’s legal counsel, Indemnitee shall be indemnified for any Expenses and legal fees incurred by Indemnitee in connection with the litigation or appeal of the case captioned </w:t>
      </w:r>
      <w:r>
        <w:rPr>
          <w:rFonts w:ascii="Arial" w:cs="Arial" w:eastAsia="Arial" w:hAnsi="Arial"/>
          <w:sz w:val="17"/>
          <w:szCs w:val="17"/>
          <w:i w:val="1"/>
          <w:iCs w:val="1"/>
          <w:color w:val="auto"/>
        </w:rPr>
        <w:t>Moreton Binn and Marisol F, LLC v. Bernstein et al.</w:t>
      </w:r>
      <w:r>
        <w:rPr>
          <w:rFonts w:ascii="Arial" w:cs="Arial" w:eastAsia="Arial" w:hAnsi="Arial"/>
          <w:sz w:val="17"/>
          <w:szCs w:val="17"/>
          <w:color w:val="auto"/>
        </w:rPr>
        <w:t>, Civil Action No. 1:17-cv-08594-LLS (the “Binn Litigation”), including but not limited to any Expenses and legal fees incurred by separate or concurrent counsel retained by Indemnitee in the Binn Litigation. The Company acknowledges Indemnitee’s right to engage separate or concurrent counsel with respect to the Binn Litigation.</w:t>
      </w:r>
    </w:p>
    <w:p>
      <w:pPr>
        <w:spacing w:after="0" w:line="168" w:lineRule="exact"/>
        <w:rPr>
          <w:rFonts w:ascii="Arial" w:cs="Arial" w:eastAsia="Arial" w:hAnsi="Arial"/>
          <w:sz w:val="17"/>
          <w:szCs w:val="17"/>
          <w:color w:val="auto"/>
        </w:rPr>
      </w:pPr>
    </w:p>
    <w:p>
      <w:pPr>
        <w:jc w:val="both"/>
        <w:ind w:left="-20" w:firstLine="656"/>
        <w:spacing w:after="0" w:line="258" w:lineRule="auto"/>
        <w:tabs>
          <w:tab w:leader="none" w:pos="1685"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Exclusions. </w:t>
      </w:r>
      <w:r>
        <w:rPr>
          <w:rFonts w:ascii="Arial" w:cs="Arial" w:eastAsia="Arial" w:hAnsi="Arial"/>
          <w:sz w:val="18"/>
          <w:szCs w:val="18"/>
          <w:color w:val="auto"/>
        </w:rPr>
        <w:t>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in connection with any claim made against Indemnitee, except as otherwise provided in Section 14(e) hereof, in connection with any Proceeding (or any part of any Proceeding) initiated by Indemnitee, including any Proceeding (or any part of any Proceeding) initiated by Indemnitee against the Company or its directors, officers, employees or other indemnitees, unless the Board authorized the Proceeding (or any part of any Proceeding) prior to its initiation.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7" w:name="page8"/>
    <w:bookmarkEnd w:id="7"/>
    <w:p>
      <w:pPr>
        <w:ind w:left="1540" w:hanging="904"/>
        <w:spacing w:after="0"/>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Advances of Expenses; Defense of Claim.</w:t>
      </w:r>
    </w:p>
    <w:p>
      <w:pPr>
        <w:spacing w:after="0" w:line="229" w:lineRule="exact"/>
        <w:rPr>
          <w:rFonts w:ascii="Arial" w:cs="Arial" w:eastAsia="Arial" w:hAnsi="Arial"/>
          <w:sz w:val="18"/>
          <w:szCs w:val="18"/>
          <w:color w:val="auto"/>
        </w:rPr>
      </w:pPr>
    </w:p>
    <w:p>
      <w:pPr>
        <w:jc w:val="both"/>
        <w:ind w:left="-20" w:firstLine="1305"/>
        <w:spacing w:after="0" w:line="269" w:lineRule="auto"/>
        <w:tabs>
          <w:tab w:leader="none" w:pos="2385" w:val="left"/>
        </w:tabs>
        <w:numPr>
          <w:ilvl w:val="1"/>
          <w:numId w:val="7"/>
        </w:numPr>
        <w:rPr>
          <w:rFonts w:ascii="Arial" w:cs="Arial" w:eastAsia="Arial" w:hAnsi="Arial"/>
          <w:sz w:val="17"/>
          <w:szCs w:val="17"/>
          <w:color w:val="auto"/>
        </w:rPr>
      </w:pPr>
      <w:r>
        <w:rPr>
          <w:rFonts w:ascii="Arial" w:cs="Arial" w:eastAsia="Arial" w:hAnsi="Arial"/>
          <w:sz w:val="17"/>
          <w:szCs w:val="17"/>
          <w:color w:val="auto"/>
        </w:rPr>
        <w:t>Notwithstanding any provision of this Agreement to the contrary, and to the fullest extent permitted by applicable law, the Company shall advance the Expenses incurred by Indemnitee in connection with any Proceeding within ten (10) days after the receipt by the Company of a statement or statements requesting such advances from time to time, whether prior to or after final disposition of any Proceeding. Advances shall be unsecured and interest free. Advances shall be made without regard to Indemnitee’s ability to repay the Expenses and without regard to Indemnitee’s ultimate entitlement to indemnification under the other provisions of this Agreement. Advances shall include any and all Expenses incurred pursuing a Proceeding to enforce this right of advancement. The Indemnitee shall qualify for advances upon the execution and delivery to the Company of this Agreement, which shall constitute an undertaking providing that the Indemnitee undertakes to the fullest extent permitted by law to repay the advance (without interest) if and to the extent that it is ultimately determined by a court of competent jurisdiction in a final judgment, not subject to appeal, or, if no such determination is made by a court of competent jurisdiction, then by the Board, that Indemnitee is not entitled to be indemnified by the Company. No other form of undertaking shall be required other than the execution of this Agreement. This Section 10(a) shall not apply to any claim made by Indemnitee for which indemnity is excluded pursuant to Section 9.</w:t>
      </w:r>
    </w:p>
    <w:p>
      <w:pPr>
        <w:spacing w:after="0" w:line="182" w:lineRule="exact"/>
        <w:rPr>
          <w:rFonts w:ascii="Arial" w:cs="Arial" w:eastAsia="Arial" w:hAnsi="Arial"/>
          <w:sz w:val="17"/>
          <w:szCs w:val="17"/>
          <w:color w:val="auto"/>
        </w:rPr>
      </w:pPr>
    </w:p>
    <w:p>
      <w:pPr>
        <w:ind w:left="2220" w:hanging="935"/>
        <w:spacing w:after="0"/>
        <w:tabs>
          <w:tab w:leader="none" w:pos="2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will be entitled to participate in the Proceeding at its own expense.</w:t>
      </w:r>
    </w:p>
    <w:p>
      <w:pPr>
        <w:spacing w:after="0" w:line="221" w:lineRule="exact"/>
        <w:rPr>
          <w:rFonts w:ascii="Arial" w:cs="Arial" w:eastAsia="Arial" w:hAnsi="Arial"/>
          <w:sz w:val="18"/>
          <w:szCs w:val="18"/>
          <w:color w:val="auto"/>
        </w:rPr>
      </w:pPr>
    </w:p>
    <w:p>
      <w:pPr>
        <w:ind w:left="1520" w:hanging="884"/>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Procedure for Notification and Defense of Proceeding.</w:t>
      </w:r>
    </w:p>
    <w:p>
      <w:pPr>
        <w:spacing w:after="0" w:line="229" w:lineRule="exact"/>
        <w:rPr>
          <w:rFonts w:ascii="Arial" w:cs="Arial" w:eastAsia="Arial" w:hAnsi="Arial"/>
          <w:sz w:val="18"/>
          <w:szCs w:val="18"/>
          <w:color w:val="auto"/>
        </w:rPr>
      </w:pPr>
    </w:p>
    <w:p>
      <w:pPr>
        <w:jc w:val="both"/>
        <w:ind w:left="-20" w:firstLine="1305"/>
        <w:spacing w:after="0" w:line="270" w:lineRule="auto"/>
        <w:tabs>
          <w:tab w:leader="none" w:pos="2601" w:val="left"/>
        </w:tabs>
        <w:numPr>
          <w:ilvl w:val="1"/>
          <w:numId w:val="7"/>
        </w:numPr>
        <w:rPr>
          <w:rFonts w:ascii="Arial" w:cs="Arial" w:eastAsia="Arial" w:hAnsi="Arial"/>
          <w:sz w:val="17"/>
          <w:szCs w:val="17"/>
          <w:color w:val="auto"/>
        </w:rPr>
      </w:pPr>
      <w:r>
        <w:rPr>
          <w:rFonts w:ascii="Arial" w:cs="Arial" w:eastAsia="Arial" w:hAnsi="Arial"/>
          <w:sz w:val="17"/>
          <w:szCs w:val="17"/>
          <w:color w:val="auto"/>
        </w:rPr>
        <w:t>Indemnitee shall notify the Company in writing of any Proceeding with respect to which Indemnitee intends to seek indemnification or advancement of Expenses hereunder as soon as reasonably practicable following the receipt by Indemnitee of written notice thereof. The written notification to the Company shall include a description of the nature of the Proceeding and the facts underlying the Proceeding.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action, suit or proceeding. Any delay or failure by Indemnitee to notify the Company hereunder will not relieve the Company from any liability which it may have to Indemnitee hereunder or otherwise than under this Agreement, and any delay or failure in so notifying the Company shall not constitute a waiver by Indemnitee of any rights under this Agreement. The Secretary of the Company shall, promptly upon receipt of such a request for indemnification, advise the Board in writing that Indemnitee has requested indemnification.</w:t>
      </w:r>
    </w:p>
    <w:p>
      <w:pPr>
        <w:spacing w:after="0" w:line="181" w:lineRule="exact"/>
        <w:rPr>
          <w:rFonts w:ascii="Arial" w:cs="Arial" w:eastAsia="Arial" w:hAnsi="Arial"/>
          <w:sz w:val="17"/>
          <w:szCs w:val="17"/>
          <w:color w:val="auto"/>
        </w:rPr>
      </w:pPr>
    </w:p>
    <w:p>
      <w:pPr>
        <w:jc w:val="both"/>
        <w:ind w:left="-20" w:firstLine="1305"/>
        <w:spacing w:after="0" w:line="284" w:lineRule="auto"/>
        <w:tabs>
          <w:tab w:leader="none" w:pos="2220"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Subject to Section 8(c), in the event Indemnitee is entitled to indemnifications and/or advancement of Expenses with respect to any Proceeding, Indemnitee may, at Indemnitee’s option, (i) retain counsel selected by Indemnitee and approved by the Company (which approval shall not be unreasonably withheld, conditioned or delayed) to defend Indemnitee in such Proceeding, at the sole expense of the Company, or (ii) have the Company assume the defense of Indemnitee in such Proceeding, in which case the Company shall assume the defense of such Proceeding with counsel selected by the Company and approved by Indemnitee (which approval shall not be unreasonably withheld, conditioned or delayed) within ten (10) days of the Company’s receipt of written notice of Indemnitee’s election to cause the Company to do so. If the Company is required to assume the defense of any such Proceeding, it shall engage legal counsel for such defense, and the Company shall be solely responsible for all fees and Expenses of such legal counsel and otherwise of such defense. Such legal counsel may represent both Indemnitee and the Company (and/or any other party or parties entitled to be indemnified by the Company with respect to such matter) unless, in the reasonable opinion of legal counsel to Indemnitee, there is a conflict of interest between Indemnitee and the Company (or any other such party or parties) or there are legal defenses available to Indemnitee that are not available to the Company (or any such other party or parties). Notwithstanding either party’s assumption of responsibility for defense of a Proceeding, each party shall have the right to engage separate counsel at its own expense. The party having responsibility for defense of a Proceeding shall provide the other party and its counsel with all copies of pleadings and material correspondence relating to the proceeding. Indemnitee and the Company shall reasonably cooperate in the defense of any Proceeding with respect to which indemnification is sought hereunder, regardless of whether the Company or Indemnitee assumes the defense thereof. Indemnitee may not settle or compromise any Proceeding without the prior written consent of the Company, which consent shall not be unreasonably withheld, conditioned or delayed. The Company may not settle or compromise any proceeding without the prior written consent of Indemnitee, which consent shall not be unreasonably withheld, conditioned or delayed. For the avoidance of doubt and notwithstanding any concurrent or ongoing representation of Indemnitee by the Company’s legal counsel, Indemnitee shall be indemnified for any Expenses and legal fees incurred by Indemnitee in connection with the litigation or appeal of the case captioned </w:t>
      </w:r>
      <w:r>
        <w:rPr>
          <w:rFonts w:ascii="Arial" w:cs="Arial" w:eastAsia="Arial" w:hAnsi="Arial"/>
          <w:sz w:val="16"/>
          <w:szCs w:val="16"/>
          <w:i w:val="1"/>
          <w:iCs w:val="1"/>
          <w:color w:val="auto"/>
        </w:rPr>
        <w:t>Moreton Binn and Marisol F, LLC v. Bernstein et al.</w:t>
      </w:r>
      <w:r>
        <w:rPr>
          <w:rFonts w:ascii="Arial" w:cs="Arial" w:eastAsia="Arial" w:hAnsi="Arial"/>
          <w:sz w:val="16"/>
          <w:szCs w:val="16"/>
          <w:color w:val="auto"/>
        </w:rPr>
        <w:t>, Civil Action No. 1:17-cv-08594-LLS (the “Binn Litigation”), including but not limited to any Expenses and legal fees incurred by separate or concurrent counsel retained by Indemnitee in the Binn Litigation. The Company acknowledges Indemnitee’s right to engage separate or concurrent counsel with respect to the Binn Litigation.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8" w:name="page9"/>
    <w:bookmarkEnd w:id="8"/>
    <w:p>
      <w:pPr>
        <w:ind w:left="1540" w:hanging="904"/>
        <w:spacing w:after="0"/>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Procedure Upon Application for Indemnification.</w:t>
      </w:r>
    </w:p>
    <w:p>
      <w:pPr>
        <w:spacing w:after="0" w:line="229" w:lineRule="exact"/>
        <w:rPr>
          <w:rFonts w:ascii="Arial" w:cs="Arial" w:eastAsia="Arial" w:hAnsi="Arial"/>
          <w:sz w:val="18"/>
          <w:szCs w:val="18"/>
          <w:color w:val="auto"/>
        </w:rPr>
      </w:pPr>
    </w:p>
    <w:p>
      <w:pPr>
        <w:jc w:val="both"/>
        <w:ind w:left="-20" w:firstLine="1305"/>
        <w:spacing w:after="0" w:line="286" w:lineRule="auto"/>
        <w:tabs>
          <w:tab w:leader="none" w:pos="2210" w:val="left"/>
        </w:tabs>
        <w:numPr>
          <w:ilvl w:val="1"/>
          <w:numId w:val="8"/>
        </w:numPr>
        <w:rPr>
          <w:rFonts w:ascii="Arial" w:cs="Arial" w:eastAsia="Arial" w:hAnsi="Arial"/>
          <w:sz w:val="16"/>
          <w:szCs w:val="16"/>
          <w:color w:val="auto"/>
        </w:rPr>
      </w:pPr>
      <w:r>
        <w:rPr>
          <w:rFonts w:ascii="Arial" w:cs="Arial" w:eastAsia="Arial" w:hAnsi="Arial"/>
          <w:sz w:val="16"/>
          <w:szCs w:val="16"/>
          <w:color w:val="auto"/>
        </w:rPr>
        <w:t>A determination, if required by applicable law, with respect to Indemnitee’s entitlement to indemnification shall be made in the specific case by one of the following methods, which shall be at the election of Indemnitee: (i) by a majority vote of a quorum of the Disinterested Directors; or (ii) by Independent Counsel in a written opinion to the Board, a copy of which shall be delivered to Indemnitee.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Expenses (including attorneys’ fees and disbursements) incurred by Indemnitee in so cooperating with the person, persons or entity making such determination shall be borne by the Company (irrespective of the determination as to Indemnitee's entitlement to indemnification) and the Company hereby indemnifies and agrees to hold Indemnitee harmless therefrom. The Company will not deny any written request for indemnification hereunder made in good faith by Indemnitee unless a determination as to Indemnitee’s entitlement to such indemnification described in this Section 12(a) has been made.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71" w:lineRule="exact"/>
        <w:rPr>
          <w:rFonts w:ascii="Arial" w:cs="Arial" w:eastAsia="Arial" w:hAnsi="Arial"/>
          <w:sz w:val="16"/>
          <w:szCs w:val="16"/>
          <w:color w:val="auto"/>
        </w:rPr>
      </w:pPr>
    </w:p>
    <w:p>
      <w:pPr>
        <w:jc w:val="both"/>
        <w:ind w:left="-20" w:firstLine="1305"/>
        <w:spacing w:after="0" w:line="287" w:lineRule="auto"/>
        <w:tabs>
          <w:tab w:leader="none" w:pos="2382" w:val="left"/>
        </w:tabs>
        <w:numPr>
          <w:ilvl w:val="1"/>
          <w:numId w:val="8"/>
        </w:numPr>
        <w:rPr>
          <w:rFonts w:ascii="Arial" w:cs="Arial" w:eastAsia="Arial" w:hAnsi="Arial"/>
          <w:sz w:val="16"/>
          <w:szCs w:val="16"/>
          <w:color w:val="auto"/>
        </w:rPr>
      </w:pPr>
      <w:r>
        <w:rPr>
          <w:rFonts w:ascii="Arial" w:cs="Arial" w:eastAsia="Arial" w:hAnsi="Arial"/>
          <w:sz w:val="16"/>
          <w:szCs w:val="16"/>
          <w:color w:val="auto"/>
        </w:rPr>
        <w:t>In the event the determination of entitlement to indemnification is to be made by Independent Counsel pursuant to Section 12(a) hereof, (i) the Independent Counsel shall be selected by the Company within ten (10) days of the Submission Date (as defined below) (the cost of each such counsel to be paid by the Company), (ii) the Company shall give written notice to Indemnitee advising him of the identity of the Independent Counsel so selected and (iii) Indemnitee may, within ten (10) days after such written notice of selection shall have been given, deliver to the Company Indemnitee’s written objection to such selection. Absent a timely objection, the person so selected shall act as Independent Counsel. If a written objection is so made by Indemnitee, the Independent Counsel so selected may not serve as Independent Counsel unless and until such objection is withdrawn. If no Independent Counsel shall have been selected and not objected to before thirty (30) days after the submission by Indemnitee of a written request for indemnification pursuant to Section 12(a) hereof (the “</w:t>
      </w:r>
      <w:r>
        <w:rPr>
          <w:rFonts w:ascii="Arial" w:cs="Arial" w:eastAsia="Arial" w:hAnsi="Arial"/>
          <w:sz w:val="16"/>
          <w:szCs w:val="16"/>
          <w:u w:val="single" w:color="auto"/>
          <w:color w:val="auto"/>
        </w:rPr>
        <w:t>Submission Date</w:t>
      </w:r>
      <w:r>
        <w:rPr>
          <w:rFonts w:ascii="Arial" w:cs="Arial" w:eastAsia="Arial" w:hAnsi="Arial"/>
          <w:sz w:val="16"/>
          <w:szCs w:val="16"/>
          <w:color w:val="auto"/>
        </w:rPr>
        <w:t>”), each of the Company and Indemnitee shall select a law firm or member of a law firm meeting the qualifications to serve as Independent Counsel, and such law firms or members of law firms shall select the Independent Counsel.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9" w:name="page10"/>
    <w:bookmarkEnd w:id="9"/>
    <w:p>
      <w:pPr>
        <w:ind w:left="1540" w:hanging="904"/>
        <w:spacing w:after="0"/>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Presumptions and Effect of Certain Proceedings.</w:t>
      </w:r>
    </w:p>
    <w:p>
      <w:pPr>
        <w:spacing w:after="0" w:line="229" w:lineRule="exact"/>
        <w:rPr>
          <w:rFonts w:ascii="Arial" w:cs="Arial" w:eastAsia="Arial" w:hAnsi="Arial"/>
          <w:sz w:val="18"/>
          <w:szCs w:val="18"/>
          <w:color w:val="auto"/>
        </w:rPr>
      </w:pPr>
    </w:p>
    <w:p>
      <w:pPr>
        <w:jc w:val="both"/>
        <w:ind w:left="-20" w:firstLine="1305"/>
        <w:spacing w:after="0" w:line="253" w:lineRule="auto"/>
        <w:tabs>
          <w:tab w:leader="none" w:pos="2358" w:val="left"/>
        </w:tabs>
        <w:numPr>
          <w:ilvl w:val="1"/>
          <w:numId w:val="9"/>
        </w:numPr>
        <w:rPr>
          <w:rFonts w:ascii="Arial" w:cs="Arial" w:eastAsia="Arial" w:hAnsi="Arial"/>
          <w:sz w:val="18"/>
          <w:szCs w:val="18"/>
          <w:color w:val="auto"/>
        </w:rPr>
      </w:pPr>
      <w:r>
        <w:rPr>
          <w:rFonts w:ascii="Arial" w:cs="Arial" w:eastAsia="Arial" w:hAnsi="Arial"/>
          <w:sz w:val="18"/>
          <w:szCs w:val="18"/>
          <w:color w:val="auto"/>
        </w:rPr>
        <w:t>In making a determination with respect to entitlement to indemnification hereunder, the person or persons or entity making such determination shall, to the fullest extent not prohibited by law, presume that Indemnitee is entitled to indemnification under this Agreement if Indemnitee has submitted a request for indemnification in accordance with Section 12(a) of this Agreement, and the Company shall, to the fullest extent not prohibited by law,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7" w:lineRule="exact"/>
        <w:rPr>
          <w:rFonts w:ascii="Arial" w:cs="Arial" w:eastAsia="Arial" w:hAnsi="Arial"/>
          <w:sz w:val="18"/>
          <w:szCs w:val="18"/>
          <w:color w:val="auto"/>
        </w:rPr>
      </w:pPr>
    </w:p>
    <w:p>
      <w:pPr>
        <w:jc w:val="both"/>
        <w:ind w:left="-20" w:firstLine="1305"/>
        <w:spacing w:after="0" w:line="272" w:lineRule="auto"/>
        <w:tabs>
          <w:tab w:leader="none" w:pos="2517" w:val="left"/>
        </w:tabs>
        <w:numPr>
          <w:ilvl w:val="1"/>
          <w:numId w:val="9"/>
        </w:numPr>
        <w:rPr>
          <w:rFonts w:ascii="Arial" w:cs="Arial" w:eastAsia="Arial" w:hAnsi="Arial"/>
          <w:sz w:val="17"/>
          <w:szCs w:val="17"/>
          <w:color w:val="auto"/>
        </w:rPr>
      </w:pPr>
      <w:r>
        <w:rPr>
          <w:rFonts w:ascii="Arial" w:cs="Arial" w:eastAsia="Arial" w:hAnsi="Arial"/>
          <w:sz w:val="17"/>
          <w:szCs w:val="17"/>
          <w:color w:val="auto"/>
        </w:rPr>
        <w:t>Subject to Section 14(f), if the person, persons or entity empowered or selected under Section 12 of this Agreement to determine whether Indemnitee is entitled to indemnification shall not have made a determination within sixty (60) days after receipt by the Company of the request therefor, the requisite determination of entitlement to indemnification shall, to the fullest extent not prohibited by law, be deemed to have been made and Indemnitee shall be entitled to such indemnification, absent a prohibition of such indemnification under applicable law; provided, however, that such 60-day period may be extended for a reasonable time, not to exceed an additional thirty (30) days, if (i) the determination is to be made by Independent Counsel and Indemnitee objects to the Company’s selection of Independent Counsel and (ii) the Independent Counsel ultimately selected requires such additional time for the obtaining or evaluating of documentation and/or information relating thereto.</w:t>
      </w:r>
    </w:p>
    <w:p>
      <w:pPr>
        <w:spacing w:after="0" w:line="177" w:lineRule="exact"/>
        <w:rPr>
          <w:rFonts w:ascii="Arial" w:cs="Arial" w:eastAsia="Arial" w:hAnsi="Arial"/>
          <w:sz w:val="17"/>
          <w:szCs w:val="17"/>
          <w:color w:val="auto"/>
        </w:rPr>
      </w:pPr>
    </w:p>
    <w:p>
      <w:pPr>
        <w:jc w:val="both"/>
        <w:ind w:left="-20" w:firstLine="1305"/>
        <w:spacing w:after="0" w:line="302" w:lineRule="auto"/>
        <w:tabs>
          <w:tab w:leader="none" w:pos="2345"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termination of any Proceeding or of any claim, issue or matter therein, by judgment, order, settlement or conviction, or upon a plea of nolo contendere or its equivalent, shall not (except as otherwise expressly provided in this Agreement)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154" w:lineRule="exact"/>
        <w:rPr>
          <w:rFonts w:ascii="Arial" w:cs="Arial" w:eastAsia="Arial" w:hAnsi="Arial"/>
          <w:sz w:val="16"/>
          <w:szCs w:val="16"/>
          <w:color w:val="auto"/>
        </w:rPr>
      </w:pPr>
    </w:p>
    <w:p>
      <w:pPr>
        <w:jc w:val="both"/>
        <w:ind w:left="-20" w:firstLine="1305"/>
        <w:spacing w:after="0" w:line="264" w:lineRule="auto"/>
        <w:tabs>
          <w:tab w:leader="none" w:pos="2557"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the greatest extent permitted by applicable law, settlement of any Proceeding without any finding of responsibility, wrongdoing or guilt on the part of the Indemnitee with respect to claims asserted in such Proceeding shall constitute a conclusive determination that Indemnitee is entitled to indemnification hereunder with respect to such Proceeding.</w:t>
      </w:r>
    </w:p>
    <w:p>
      <w:pPr>
        <w:spacing w:after="0" w:line="181" w:lineRule="exact"/>
        <w:rPr>
          <w:rFonts w:ascii="Arial" w:cs="Arial" w:eastAsia="Arial" w:hAnsi="Arial"/>
          <w:sz w:val="18"/>
          <w:szCs w:val="18"/>
          <w:color w:val="auto"/>
        </w:rPr>
      </w:pPr>
    </w:p>
    <w:p>
      <w:pPr>
        <w:jc w:val="both"/>
        <w:ind w:left="-20" w:firstLine="1305"/>
        <w:spacing w:after="0" w:line="255" w:lineRule="auto"/>
        <w:tabs>
          <w:tab w:leader="none" w:pos="2223" w:val="left"/>
        </w:tabs>
        <w:numPr>
          <w:ilvl w:val="1"/>
          <w:numId w:val="9"/>
        </w:numPr>
        <w:rPr>
          <w:rFonts w:ascii="Arial" w:cs="Arial" w:eastAsia="Arial" w:hAnsi="Arial"/>
          <w:sz w:val="18"/>
          <w:szCs w:val="18"/>
          <w:color w:val="auto"/>
        </w:rPr>
      </w:pPr>
      <w:r>
        <w:rPr>
          <w:rFonts w:ascii="Arial" w:cs="Arial" w:eastAsia="Arial" w:hAnsi="Arial"/>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by the Enterprise. The provisions of this Section 13(e) shall not be deemed to be exclusive or to limit in any way the other circumstances in which the Indemnitee may be deemed or found to have met the applicable standard of conduct set forth in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0" w:name="page11"/>
    <w:bookmarkEnd w:id="10"/>
    <w:p>
      <w:pPr>
        <w:ind w:left="-20" w:right="20" w:firstLine="1305"/>
        <w:spacing w:after="0" w:line="342" w:lineRule="auto"/>
        <w:tabs>
          <w:tab w:leader="none" w:pos="23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19" w:lineRule="exact"/>
        <w:rPr>
          <w:rFonts w:ascii="Arial" w:cs="Arial" w:eastAsia="Arial" w:hAnsi="Arial"/>
          <w:sz w:val="16"/>
          <w:szCs w:val="16"/>
          <w:color w:val="auto"/>
        </w:rPr>
      </w:pPr>
    </w:p>
    <w:p>
      <w:pPr>
        <w:ind w:left="1540" w:hanging="904"/>
        <w:spacing w:after="0"/>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Remedies of Indemnitee.</w:t>
      </w:r>
    </w:p>
    <w:p>
      <w:pPr>
        <w:spacing w:after="0" w:line="229" w:lineRule="exact"/>
        <w:rPr>
          <w:rFonts w:ascii="Arial" w:cs="Arial" w:eastAsia="Arial" w:hAnsi="Arial"/>
          <w:sz w:val="18"/>
          <w:szCs w:val="18"/>
          <w:color w:val="auto"/>
        </w:rPr>
      </w:pPr>
    </w:p>
    <w:p>
      <w:pPr>
        <w:jc w:val="both"/>
        <w:ind w:left="-20" w:firstLine="1305"/>
        <w:spacing w:after="0" w:line="269" w:lineRule="auto"/>
        <w:tabs>
          <w:tab w:leader="none" w:pos="24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 of this Agreement within ten (10) days after receipt by the Company of the request for indemnification, (iv) payment of indemnification is not made pursuant to Section 5 or 6 or the last sentence of Section 12(a) of this Agreement within ten (10) days after receipt by the Company of a written request therefor, (v) payment of indemnification pursuant to Section 3, 4 or 8 of this Agreement is not made within ten (10) days after a determination has been made that Indemnitee is entitled to indemnification, or (vi) in the event that the Company or any other person takes or threatens to take any action to declare this Agreement void or unenforceable, or institutes any litigation or other action or Proceeding designed to deny, or to recover from, the Indemnitee the benefits provided or intended to be provided to the Indemnitee hereunder, Indemnitee shall be entitled to an adjudication by the Delaware Chancery Court (as defined below) to such indemnification, contribution or advancement of Expenses. Alternatively, Indemnitee, at Indemnitee’s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spacing w:after="0" w:line="179" w:lineRule="exact"/>
        <w:rPr>
          <w:rFonts w:ascii="Arial" w:cs="Arial" w:eastAsia="Arial" w:hAnsi="Arial"/>
          <w:sz w:val="17"/>
          <w:szCs w:val="17"/>
          <w:color w:val="auto"/>
        </w:rPr>
      </w:pPr>
    </w:p>
    <w:p>
      <w:pPr>
        <w:jc w:val="both"/>
        <w:ind w:left="-20" w:firstLine="1305"/>
        <w:spacing w:after="0" w:line="291" w:lineRule="auto"/>
        <w:tabs>
          <w:tab w:leader="none" w:pos="2395"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12(a) of this Agreement that Indemnitee is not entitled to indemnification, any judicial or arbitration proceeding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indemnification under this Agreement and the Company shall have the burden of proving Indemnitee is not entitled to indemnification or advancement of Expenses, as the case may be. If Indemnitee commences a judicial proceeding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67" w:lineRule="exact"/>
        <w:rPr>
          <w:rFonts w:ascii="Arial" w:cs="Arial" w:eastAsia="Arial" w:hAnsi="Arial"/>
          <w:sz w:val="16"/>
          <w:szCs w:val="16"/>
          <w:color w:val="auto"/>
        </w:rPr>
      </w:pPr>
    </w:p>
    <w:p>
      <w:pPr>
        <w:jc w:val="both"/>
        <w:ind w:left="-20" w:firstLine="1305"/>
        <w:spacing w:after="0" w:line="264" w:lineRule="auto"/>
        <w:tabs>
          <w:tab w:leader="none" w:pos="2669"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a prohibition of such indemnification under applicable law.</w:t>
      </w:r>
    </w:p>
    <w:p>
      <w:pPr>
        <w:spacing w:after="0" w:line="181" w:lineRule="exact"/>
        <w:rPr>
          <w:rFonts w:ascii="Arial" w:cs="Arial" w:eastAsia="Arial" w:hAnsi="Arial"/>
          <w:sz w:val="18"/>
          <w:szCs w:val="18"/>
          <w:color w:val="auto"/>
        </w:rPr>
      </w:pPr>
    </w:p>
    <w:p>
      <w:pPr>
        <w:jc w:val="both"/>
        <w:ind w:left="-20" w:firstLine="1305"/>
        <w:spacing w:after="0" w:line="255" w:lineRule="auto"/>
        <w:tabs>
          <w:tab w:leader="none" w:pos="24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Company shall, to the fullest extent not prohibited by law, be precluded from asserting in any judicial or arbitration proceeding commenced pursuant to this Section 14 that the procedures and presumptions of this Agreement are not valid, binding and enforceable and shall stipulate in any such court or before any such arbitrator that the Company is bound by all the provisions of this Agreement. It is the intent of the Company that the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the Indemnitee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 w:name="page12"/>
    <w:bookmarkEnd w:id="11"/>
    <w:p>
      <w:pPr>
        <w:jc w:val="both"/>
        <w:ind w:left="-20" w:firstLine="1305"/>
        <w:spacing w:after="0" w:line="255" w:lineRule="auto"/>
        <w:tabs>
          <w:tab w:leader="none" w:pos="22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Company shall indemnify and hold harmless Indemnitee to the fullest extent permitted by law against all Expenses and, if requested by Indemnitee, shall (within ten (10) days after the Company’s receipt of such written request) advance to Indemnitee, to the fullest extent permitted by applicable law, such Expenses which are incurred by Indemnitee in connection with any judicial proceeding brought by Indemnitee (i) to enforce his rights under, or to recover damages for breach of, this Agreement or any other indemnification, advancement or contribution agreement or provision of the Organizational Documents now or hereafter in effect; or (ii) for recovery or advances under any insurance policy maintained by any person for the benefit of Indemnitee, regardless of whether Indemnitee ultimately is determined to be entitled to such indemnification, advance, contribution or insurance recovery, as the case may be.</w:t>
      </w:r>
    </w:p>
    <w:p>
      <w:pPr>
        <w:spacing w:after="0" w:line="189" w:lineRule="exact"/>
        <w:rPr>
          <w:rFonts w:ascii="Arial" w:cs="Arial" w:eastAsia="Arial" w:hAnsi="Arial"/>
          <w:sz w:val="18"/>
          <w:szCs w:val="18"/>
          <w:color w:val="auto"/>
        </w:rPr>
      </w:pPr>
    </w:p>
    <w:p>
      <w:pPr>
        <w:jc w:val="both"/>
        <w:ind w:left="-20" w:firstLine="1305"/>
        <w:spacing w:after="0" w:line="259" w:lineRule="auto"/>
        <w:tabs>
          <w:tab w:leader="none" w:pos="2316" w:val="left"/>
        </w:tabs>
        <w:numPr>
          <w:ilvl w:val="1"/>
          <w:numId w:val="12"/>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 provided that, in absence of any such determination with respect to such Proceeding, the Company shall pay Liabilities and advance Expenses with respect to such Proceeding as if the Company had determined the Indemnitee to be entitled to indemnification and advancement of Expenses with respect to such Proceeding.</w:t>
      </w:r>
    </w:p>
    <w:p>
      <w:pPr>
        <w:spacing w:after="0" w:line="182" w:lineRule="exact"/>
        <w:rPr>
          <w:rFonts w:ascii="Arial" w:cs="Arial" w:eastAsia="Arial" w:hAnsi="Arial"/>
          <w:sz w:val="18"/>
          <w:szCs w:val="18"/>
          <w:color w:val="auto"/>
        </w:rPr>
      </w:pPr>
    </w:p>
    <w:p>
      <w:pPr>
        <w:ind w:left="1540" w:hanging="904"/>
        <w:spacing w:after="0"/>
        <w:tabs>
          <w:tab w:leader="none" w:pos="15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Non-Exclusivity; Survival of Rights; Insurance.</w:t>
      </w:r>
    </w:p>
    <w:p>
      <w:pPr>
        <w:spacing w:after="0" w:line="229" w:lineRule="exact"/>
        <w:rPr>
          <w:rFonts w:ascii="Arial" w:cs="Arial" w:eastAsia="Arial" w:hAnsi="Arial"/>
          <w:sz w:val="18"/>
          <w:szCs w:val="18"/>
          <w:color w:val="auto"/>
        </w:rPr>
      </w:pPr>
    </w:p>
    <w:p>
      <w:pPr>
        <w:jc w:val="both"/>
        <w:ind w:left="-20" w:firstLine="1305"/>
        <w:spacing w:after="0" w:line="270" w:lineRule="auto"/>
        <w:tabs>
          <w:tab w:leader="none" w:pos="2372"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of Expenses as provided by this Agreement shall not be deemed exclusive of any other rights to which Indemnitee may at any time be entitled under applicable law, the Organizational Documents, any agreement, a vote of stockholders or a resolution of the Board, or otherwise.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applicable law, whether by statute or judicial decision, permits greater indemnification or advancement of Expenses than would be afforded currently under the Organizational Documents or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77" w:lineRule="exact"/>
        <w:rPr>
          <w:rFonts w:ascii="Arial" w:cs="Arial" w:eastAsia="Arial" w:hAnsi="Arial"/>
          <w:sz w:val="17"/>
          <w:szCs w:val="17"/>
          <w:color w:val="auto"/>
        </w:rPr>
      </w:pPr>
    </w:p>
    <w:p>
      <w:pPr>
        <w:jc w:val="both"/>
        <w:ind w:left="-20" w:firstLine="1305"/>
        <w:spacing w:after="0" w:line="270" w:lineRule="auto"/>
        <w:tabs>
          <w:tab w:leader="none" w:pos="231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officers, employees, or agents of the Company or of any other corporation, partnership, joint venture, trust, employee benefit plan or other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The Company shall be obligated to maintain any such insurance policy or policies for so long as Indemnitee shall be subject to any possible Proceeding by reason of his Corporate Status, whether or not he is acting in such capacity at the time any liability or expense is incurred.</w:t>
      </w:r>
    </w:p>
    <w:p>
      <w:pPr>
        <w:spacing w:after="0" w:line="181" w:lineRule="exact"/>
        <w:rPr>
          <w:rFonts w:ascii="Arial" w:cs="Arial" w:eastAsia="Arial" w:hAnsi="Arial"/>
          <w:sz w:val="17"/>
          <w:szCs w:val="17"/>
          <w:color w:val="auto"/>
        </w:rPr>
      </w:pPr>
    </w:p>
    <w:p>
      <w:pPr>
        <w:ind w:left="-20" w:firstLine="1305"/>
        <w:spacing w:after="0" w:line="277" w:lineRule="auto"/>
        <w:tabs>
          <w:tab w:leader="none" w:pos="23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indemnification and contribution provided for in this Agreement will remain in full force and effect regardless of any investigation made by or on behalf of Indemnitee.</w:t>
      </w:r>
    </w:p>
    <w:p>
      <w:pPr>
        <w:spacing w:after="0" w:line="166" w:lineRule="exact"/>
        <w:rPr>
          <w:rFonts w:ascii="Arial" w:cs="Arial" w:eastAsia="Arial" w:hAnsi="Arial"/>
          <w:sz w:val="18"/>
          <w:szCs w:val="18"/>
          <w:color w:val="auto"/>
        </w:rPr>
      </w:pPr>
    </w:p>
    <w:p>
      <w:pPr>
        <w:ind w:left="-20" w:firstLine="656"/>
        <w:spacing w:after="0" w:line="282" w:lineRule="auto"/>
        <w:tabs>
          <w:tab w:leader="none" w:pos="165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Form 8-K and Publicity</w:t>
      </w:r>
      <w:r>
        <w:rPr>
          <w:rFonts w:ascii="Arial" w:cs="Arial" w:eastAsia="Arial" w:hAnsi="Arial"/>
          <w:sz w:val="18"/>
          <w:szCs w:val="18"/>
          <w:color w:val="auto"/>
        </w:rPr>
        <w:t>. Indemnitee hereby acknowledges and agrees that the statements included in the form of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Form 8-K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true and correct.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 w:name="page13"/>
    <w:bookmarkEnd w:id="12"/>
    <w:p>
      <w:pPr>
        <w:jc w:val="both"/>
        <w:ind w:firstLine="656"/>
        <w:spacing w:after="0" w:line="255" w:lineRule="auto"/>
        <w:tabs>
          <w:tab w:leader="none" w:pos="1589"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Duration of Agreement. </w:t>
      </w:r>
      <w:r>
        <w:rPr>
          <w:rFonts w:ascii="Arial" w:cs="Arial" w:eastAsia="Arial" w:hAnsi="Arial"/>
          <w:sz w:val="18"/>
          <w:szCs w:val="18"/>
          <w:color w:val="auto"/>
        </w:rPr>
        <w:t>All agreements and obligations of the Company contained herein shall continue during the period Indemnitee</w:t>
      </w:r>
      <w:r>
        <w:rPr>
          <w:rFonts w:ascii="Arial" w:cs="Arial" w:eastAsia="Arial" w:hAnsi="Arial"/>
          <w:sz w:val="18"/>
          <w:szCs w:val="18"/>
          <w:b w:val="1"/>
          <w:bCs w:val="1"/>
          <w:color w:val="auto"/>
        </w:rPr>
        <w:t xml:space="preserve"> </w:t>
      </w:r>
      <w:r>
        <w:rPr>
          <w:rFonts w:ascii="Arial" w:cs="Arial" w:eastAsia="Arial" w:hAnsi="Arial"/>
          <w:sz w:val="18"/>
          <w:szCs w:val="18"/>
          <w:color w:val="auto"/>
        </w:rPr>
        <w:t>serves as a director or officer of the Company or as a director, officer, trustee, partner,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can be provided under this Agreement, and shall inure to the benefit of the heirs, executors and administrators of Indemnitee.</w:t>
      </w:r>
    </w:p>
    <w:p>
      <w:pPr>
        <w:spacing w:after="0" w:line="189" w:lineRule="exact"/>
        <w:rPr>
          <w:rFonts w:ascii="Arial" w:cs="Arial" w:eastAsia="Arial" w:hAnsi="Arial"/>
          <w:sz w:val="18"/>
          <w:szCs w:val="18"/>
          <w:color w:val="auto"/>
        </w:rPr>
      </w:pPr>
    </w:p>
    <w:p>
      <w:pPr>
        <w:ind w:left="1820" w:hanging="1164"/>
        <w:spacing w:after="0"/>
        <w:tabs>
          <w:tab w:leader="none" w:pos="182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or provisions of this Agreement shall be held to be invalid, illegal or unenforceable for any reason</w:t>
      </w:r>
    </w:p>
    <w:p>
      <w:pPr>
        <w:spacing w:after="0" w:line="38" w:lineRule="exact"/>
        <w:rPr>
          <w:rFonts w:ascii="Arial" w:cs="Arial" w:eastAsia="Arial" w:hAnsi="Arial"/>
          <w:sz w:val="17"/>
          <w:szCs w:val="17"/>
          <w:color w:val="auto"/>
        </w:rPr>
      </w:pPr>
    </w:p>
    <w:p>
      <w:pPr>
        <w:jc w:val="both"/>
        <w:spacing w:after="0" w:line="252" w:lineRule="auto"/>
        <w:rPr>
          <w:rFonts w:ascii="Arial" w:cs="Arial" w:eastAsia="Arial" w:hAnsi="Arial"/>
          <w:sz w:val="17"/>
          <w:szCs w:val="17"/>
          <w:color w:val="auto"/>
        </w:rPr>
      </w:pPr>
      <w:r>
        <w:rPr>
          <w:rFonts w:ascii="Arial" w:cs="Arial" w:eastAsia="Arial" w:hAnsi="Arial"/>
          <w:sz w:val="18"/>
          <w:szCs w:val="18"/>
          <w:color w:val="auto"/>
        </w:rPr>
        <w:t>whatsoever: (a) 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9" w:lineRule="exact"/>
        <w:rPr>
          <w:rFonts w:ascii="Arial" w:cs="Arial" w:eastAsia="Arial" w:hAnsi="Arial"/>
          <w:sz w:val="17"/>
          <w:szCs w:val="17"/>
          <w:color w:val="auto"/>
        </w:rPr>
      </w:pPr>
    </w:p>
    <w:p>
      <w:pPr>
        <w:ind w:left="1560" w:hanging="904"/>
        <w:spacing w:after="0"/>
        <w:tabs>
          <w:tab w:leader="none" w:pos="15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Enforcement and Binding Effect.</w:t>
      </w:r>
    </w:p>
    <w:p>
      <w:pPr>
        <w:spacing w:after="0" w:line="229" w:lineRule="exact"/>
        <w:rPr>
          <w:rFonts w:ascii="Arial" w:cs="Arial" w:eastAsia="Arial" w:hAnsi="Arial"/>
          <w:sz w:val="18"/>
          <w:szCs w:val="18"/>
          <w:color w:val="auto"/>
        </w:rPr>
      </w:pPr>
    </w:p>
    <w:p>
      <w:pPr>
        <w:jc w:val="both"/>
        <w:ind w:firstLine="1305"/>
        <w:spacing w:after="0" w:line="302" w:lineRule="auto"/>
        <w:tabs>
          <w:tab w:leader="none" w:pos="2338" w:val="left"/>
        </w:tabs>
        <w:numPr>
          <w:ilvl w:val="1"/>
          <w:numId w:val="14"/>
        </w:numPr>
        <w:rPr>
          <w:rFonts w:ascii="Arial" w:cs="Arial" w:eastAsia="Arial" w:hAnsi="Arial"/>
          <w:sz w:val="16"/>
          <w:szCs w:val="16"/>
          <w:color w:val="auto"/>
        </w:rPr>
      </w:pPr>
      <w:r>
        <w:rPr>
          <w:rFonts w:ascii="Arial" w:cs="Arial" w:eastAsia="Arial" w:hAnsi="Arial"/>
          <w:sz w:val="16"/>
          <w:szCs w:val="16"/>
          <w:color w:val="auto"/>
        </w:rPr>
        <w:t>Without limiting any of the rights of Indemnitee under the Organizational Documents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 For the avoidance of doubt, this Agreement supersedes and replaces any Prior Agreement in its entirety and any such Prior Agreement shall terminate and be of no further force and effect.</w:t>
      </w:r>
    </w:p>
    <w:p>
      <w:pPr>
        <w:spacing w:after="0" w:line="154" w:lineRule="exact"/>
        <w:rPr>
          <w:rFonts w:ascii="Arial" w:cs="Arial" w:eastAsia="Arial" w:hAnsi="Arial"/>
          <w:sz w:val="16"/>
          <w:szCs w:val="16"/>
          <w:color w:val="auto"/>
        </w:rPr>
      </w:pPr>
    </w:p>
    <w:p>
      <w:pPr>
        <w:jc w:val="both"/>
        <w:ind w:firstLine="1305"/>
        <w:spacing w:after="0" w:line="276" w:lineRule="auto"/>
        <w:tabs>
          <w:tab w:leader="none" w:pos="2321" w:val="left"/>
        </w:tabs>
        <w:numPr>
          <w:ilvl w:val="1"/>
          <w:numId w:val="14"/>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of any other Enterprise at the Company’s request, and shall inure to the benefit of Indemnitee and his or her spouse, assigns, heirs, devisees, executors and administrators and other legal representatives.</w:t>
      </w:r>
    </w:p>
    <w:p>
      <w:pPr>
        <w:spacing w:after="0" w:line="172" w:lineRule="exact"/>
        <w:rPr>
          <w:rFonts w:ascii="Arial" w:cs="Arial" w:eastAsia="Arial" w:hAnsi="Arial"/>
          <w:sz w:val="17"/>
          <w:szCs w:val="17"/>
          <w:color w:val="auto"/>
        </w:rPr>
      </w:pPr>
    </w:p>
    <w:p>
      <w:pPr>
        <w:jc w:val="both"/>
        <w:ind w:firstLine="1305"/>
        <w:spacing w:after="0" w:line="259" w:lineRule="auto"/>
        <w:tabs>
          <w:tab w:leader="none" w:pos="2594"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6" w:lineRule="exact"/>
        <w:rPr>
          <w:rFonts w:ascii="Arial" w:cs="Arial" w:eastAsia="Arial" w:hAnsi="Arial"/>
          <w:sz w:val="18"/>
          <w:szCs w:val="18"/>
          <w:color w:val="auto"/>
        </w:rPr>
      </w:pPr>
    </w:p>
    <w:p>
      <w:pPr>
        <w:jc w:val="both"/>
        <w:ind w:firstLine="1305"/>
        <w:spacing w:after="0" w:line="290" w:lineRule="auto"/>
        <w:tabs>
          <w:tab w:leader="none" w:pos="2321"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both"/>
        <w:ind w:firstLine="656"/>
        <w:spacing w:after="0" w:line="266" w:lineRule="auto"/>
        <w:tabs>
          <w:tab w:leader="none" w:pos="1643"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Modification and Waiver. </w:t>
      </w:r>
      <w:r>
        <w:rPr>
          <w:rFonts w:ascii="Arial" w:cs="Arial" w:eastAsia="Arial" w:hAnsi="Arial"/>
          <w:sz w:val="18"/>
          <w:szCs w:val="18"/>
          <w:color w:val="auto"/>
        </w:rPr>
        <w:t>No supplement, modification or amendment of this Agreement shall be binding unless executed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parties hereto. No waiver of any of the provisions of this Agreement shall be deemed or shall constitute a waiver of any other provisions of this Agreement nor shall any waiver constitute a continuing waiver.</w:t>
      </w:r>
    </w:p>
    <w:p>
      <w:pPr>
        <w:spacing w:after="0" w:line="176" w:lineRule="exact"/>
        <w:rPr>
          <w:rFonts w:ascii="Arial" w:cs="Arial" w:eastAsia="Arial" w:hAnsi="Arial"/>
          <w:sz w:val="18"/>
          <w:szCs w:val="18"/>
          <w:color w:val="auto"/>
        </w:rPr>
      </w:pPr>
    </w:p>
    <w:p>
      <w:pPr>
        <w:jc w:val="both"/>
        <w:ind w:firstLine="656"/>
        <w:spacing w:after="0" w:line="281" w:lineRule="auto"/>
        <w:tabs>
          <w:tab w:leader="none" w:pos="1562"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requests, demands and other communications under this Agreement shall be in writing and shall be deemed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duly given (i) if delivered by hand and receipted for by the party to whom said notice or other communication shall have been directed, (ii) mailed by certified or registered mail with postage prepaid, on the third (3rd) business day after the date on which it is so mailed, or (iii) when sent by electronic mail if sent during normal business hours of the recipient, and if not so confirmed, then on the next business day:</w:t>
      </w:r>
    </w:p>
    <w:p>
      <w:pPr>
        <w:spacing w:after="0" w:line="168" w:lineRule="exact"/>
        <w:rPr>
          <w:rFonts w:ascii="Arial" w:cs="Arial" w:eastAsia="Arial" w:hAnsi="Arial"/>
          <w:sz w:val="17"/>
          <w:szCs w:val="17"/>
          <w:color w:val="auto"/>
        </w:rPr>
      </w:pPr>
    </w:p>
    <w:p>
      <w:pPr>
        <w:ind w:firstLine="1305"/>
        <w:spacing w:after="0" w:line="277" w:lineRule="auto"/>
        <w:tabs>
          <w:tab w:leader="none" w:pos="23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to Indemnitee, at the address indicated on the signature page of this Agreement, or such other address as Indemnitee shall provide in writing to the Company.</w:t>
      </w:r>
    </w:p>
    <w:p>
      <w:pPr>
        <w:spacing w:after="0" w:line="170" w:lineRule="exact"/>
        <w:rPr>
          <w:rFonts w:ascii="Arial" w:cs="Arial" w:eastAsia="Arial" w:hAnsi="Arial"/>
          <w:sz w:val="18"/>
          <w:szCs w:val="18"/>
          <w:color w:val="auto"/>
        </w:rPr>
      </w:pPr>
    </w:p>
    <w:p>
      <w:pPr>
        <w:ind w:left="2240" w:hanging="935"/>
        <w:spacing w:after="0"/>
        <w:tabs>
          <w:tab w:leader="none" w:pos="22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XpresSpa Group, Inc.</w:t>
      </w:r>
    </w:p>
    <w:p>
      <w:pPr>
        <w:ind w:left="1960"/>
        <w:spacing w:after="0" w:line="195" w:lineRule="auto"/>
        <w:rPr>
          <w:sz w:val="20"/>
          <w:szCs w:val="20"/>
          <w:color w:val="auto"/>
        </w:rPr>
      </w:pPr>
      <w:r>
        <w:rPr>
          <w:rFonts w:ascii="Arial" w:cs="Arial" w:eastAsia="Arial" w:hAnsi="Arial"/>
          <w:sz w:val="18"/>
          <w:szCs w:val="18"/>
          <w:color w:val="auto"/>
        </w:rPr>
        <w:t>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10017</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309-7549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firstLine="656"/>
        <w:spacing w:after="0" w:line="255" w:lineRule="auto"/>
        <w:tabs>
          <w:tab w:leader="none" w:pos="1926"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Contribution. </w:t>
      </w:r>
      <w:r>
        <w:rPr>
          <w:rFonts w:ascii="Arial" w:cs="Arial" w:eastAsia="Arial" w:hAnsi="Arial"/>
          <w:sz w:val="18"/>
          <w:szCs w:val="18"/>
          <w:color w:val="auto"/>
        </w:rPr>
        <w:t>To the fullest extent permissible under applicable law, if the indemnification provided for in this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and Indemnitee in connection with such event(s) and/or transaction(s).</w:t>
      </w:r>
    </w:p>
    <w:p>
      <w:pPr>
        <w:spacing w:after="0" w:line="189" w:lineRule="exact"/>
        <w:rPr>
          <w:rFonts w:ascii="Arial" w:cs="Arial" w:eastAsia="Arial" w:hAnsi="Arial"/>
          <w:sz w:val="18"/>
          <w:szCs w:val="18"/>
          <w:color w:val="auto"/>
        </w:rPr>
      </w:pPr>
    </w:p>
    <w:p>
      <w:pPr>
        <w:jc w:val="both"/>
        <w:ind w:firstLine="656"/>
        <w:spacing w:after="0" w:line="254" w:lineRule="auto"/>
        <w:tabs>
          <w:tab w:leader="none" w:pos="171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Applicable Law and Consent to Jurisdiction. </w:t>
      </w:r>
      <w:r>
        <w:rPr>
          <w:rFonts w:ascii="Arial" w:cs="Arial" w:eastAsia="Arial" w:hAnsi="Arial"/>
          <w:sz w:val="18"/>
          <w:szCs w:val="18"/>
          <w:color w:val="auto"/>
        </w:rPr>
        <w:t>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(i) agree that any action or proceeding arising out of or in connection with this Agreement shall be brought only in the Chancery Court of the State of Delaware (the “Delaware Chancery Court”), and not in any other state or federal court in the United States of America or any court in any other country, (ii) consent to submit to the exclusive jurisdiction of the Delaware Chancery Court for purposes of any action or proceeding arising out of or in connection with this Agreement, (iii) waive any objection to the laying of venue of any such action or proceeding in the Delaware Chancery Court, and (iv) waive, and agree not to plead or to make, any claim that any such action or proceeding brought in the Delaware Chancery Court has been brought in an improper or inconvenient forum.</w:t>
      </w:r>
    </w:p>
    <w:p>
      <w:pPr>
        <w:spacing w:after="0" w:line="189" w:lineRule="exact"/>
        <w:rPr>
          <w:rFonts w:ascii="Arial" w:cs="Arial" w:eastAsia="Arial" w:hAnsi="Arial"/>
          <w:sz w:val="18"/>
          <w:szCs w:val="18"/>
          <w:color w:val="auto"/>
        </w:rPr>
      </w:pPr>
    </w:p>
    <w:p>
      <w:pPr>
        <w:jc w:val="both"/>
        <w:ind w:firstLine="656"/>
        <w:spacing w:after="0" w:line="261" w:lineRule="auto"/>
        <w:tabs>
          <w:tab w:leader="none" w:pos="1805"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Identical Counterparts; Construction. </w:t>
      </w:r>
      <w:r>
        <w:rPr>
          <w:rFonts w:ascii="Arial" w:cs="Arial" w:eastAsia="Arial" w:hAnsi="Arial"/>
          <w:sz w:val="18"/>
          <w:szCs w:val="18"/>
          <w:color w:val="auto"/>
        </w:rPr>
        <w:t>This Agreement may be executed in one or more counterparts (including by facsimile or</w:t>
      </w:r>
      <w:r>
        <w:rPr>
          <w:rFonts w:ascii="Arial" w:cs="Arial" w:eastAsia="Arial" w:hAnsi="Arial"/>
          <w:sz w:val="18"/>
          <w:szCs w:val="18"/>
          <w:b w:val="1"/>
          <w:bCs w:val="1"/>
          <w:color w:val="auto"/>
        </w:rPr>
        <w:t xml:space="preserve"> </w:t>
      </w:r>
      <w:r>
        <w:rPr>
          <w:rFonts w:ascii="Arial" w:cs="Arial" w:eastAsia="Arial" w:hAnsi="Arial"/>
          <w:sz w:val="18"/>
          <w:szCs w:val="18"/>
          <w:color w:val="auto"/>
        </w:rPr>
        <w:t>electronic transmission),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 For purposes of this agreement, references to any gender include each other gender.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IN WITNESS WHEREOF, the parties have caused this Agreement to be signed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XPRESSPA GROUP, INC.</w:t>
            </w:r>
          </w:p>
        </w:tc>
        <w:tc>
          <w:tcPr>
            <w:tcW w:w="6360" w:type="dxa"/>
            <w:vAlign w:val="bottom"/>
            <w:gridSpan w:val="2"/>
          </w:tcPr>
          <w:p>
            <w:pPr>
              <w:ind w:left="1220"/>
              <w:spacing w:after="0"/>
              <w:rPr>
                <w:sz w:val="20"/>
                <w:szCs w:val="20"/>
                <w:color w:val="auto"/>
              </w:rPr>
            </w:pPr>
            <w:r>
              <w:rPr>
                <w:rFonts w:ascii="Arial" w:cs="Arial" w:eastAsia="Arial" w:hAnsi="Arial"/>
                <w:sz w:val="18"/>
                <w:szCs w:val="18"/>
                <w:color w:val="auto"/>
              </w:rPr>
              <w:t>INDEMNITEE</w:t>
            </w:r>
          </w:p>
        </w:tc>
      </w:tr>
      <w:tr>
        <w:trPr>
          <w:trHeight w:val="648"/>
        </w:trPr>
        <w:tc>
          <w:tcPr>
            <w:tcW w:w="5060" w:type="dxa"/>
            <w:vAlign w:val="bottom"/>
            <w:gridSpan w:val="2"/>
          </w:tcPr>
          <w:p>
            <w:pPr>
              <w:ind w:left="100"/>
              <w:spacing w:after="0"/>
              <w:rPr>
                <w:sz w:val="20"/>
                <w:szCs w:val="20"/>
                <w:color w:val="auto"/>
              </w:rPr>
            </w:pPr>
            <w:r>
              <w:rPr>
                <w:rFonts w:ascii="Arial" w:cs="Arial" w:eastAsia="Arial" w:hAnsi="Arial"/>
                <w:sz w:val="18"/>
                <w:szCs w:val="18"/>
                <w:color w:val="auto"/>
              </w:rPr>
              <w:t>By: /s/ Edward Jankowski</w:t>
            </w:r>
          </w:p>
        </w:tc>
        <w:tc>
          <w:tcPr>
            <w:tcW w:w="6360" w:type="dxa"/>
            <w:vAlign w:val="bottom"/>
            <w:gridSpan w:val="2"/>
          </w:tcPr>
          <w:p>
            <w:pPr>
              <w:ind w:left="1220"/>
              <w:spacing w:after="0"/>
              <w:rPr>
                <w:sz w:val="20"/>
                <w:szCs w:val="20"/>
                <w:color w:val="auto"/>
              </w:rPr>
            </w:pPr>
            <w:r>
              <w:rPr>
                <w:rFonts w:ascii="Arial" w:cs="Arial" w:eastAsia="Arial" w:hAnsi="Arial"/>
                <w:sz w:val="18"/>
                <w:szCs w:val="18"/>
                <w:color w:val="auto"/>
              </w:rPr>
              <w:t>/s/ Richard Abbe</w:t>
            </w:r>
          </w:p>
        </w:tc>
      </w:tr>
      <w:tr>
        <w:trPr>
          <w:trHeight w:val="216"/>
        </w:trPr>
        <w:tc>
          <w:tcPr>
            <w:tcW w:w="14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195"/>
        </w:trPr>
        <w:tc>
          <w:tcPr>
            <w:tcW w:w="1400" w:type="dxa"/>
            <w:vAlign w:val="bottom"/>
          </w:tcPr>
          <w:p>
            <w:pPr>
              <w:ind w:left="420"/>
              <w:spacing w:after="0" w:line="195" w:lineRule="exact"/>
              <w:rPr>
                <w:sz w:val="20"/>
                <w:szCs w:val="20"/>
                <w:color w:val="auto"/>
              </w:rPr>
            </w:pPr>
            <w:r>
              <w:rPr>
                <w:rFonts w:ascii="Arial" w:cs="Arial" w:eastAsia="Arial" w:hAnsi="Arial"/>
                <w:sz w:val="18"/>
                <w:szCs w:val="18"/>
                <w:color w:val="auto"/>
              </w:rPr>
              <w:t>Name:</w:t>
            </w:r>
          </w:p>
        </w:tc>
        <w:tc>
          <w:tcPr>
            <w:tcW w:w="3660" w:type="dxa"/>
            <w:vAlign w:val="bottom"/>
          </w:tcPr>
          <w:p>
            <w:pPr>
              <w:ind w:left="400"/>
              <w:spacing w:after="0" w:line="195" w:lineRule="exact"/>
              <w:rPr>
                <w:sz w:val="20"/>
                <w:szCs w:val="20"/>
                <w:color w:val="auto"/>
              </w:rPr>
            </w:pPr>
            <w:r>
              <w:rPr>
                <w:rFonts w:ascii="Arial" w:cs="Arial" w:eastAsia="Arial" w:hAnsi="Arial"/>
                <w:sz w:val="18"/>
                <w:szCs w:val="18"/>
                <w:color w:val="auto"/>
              </w:rPr>
              <w:t>Edward Jankowski</w:t>
            </w:r>
          </w:p>
        </w:tc>
        <w:tc>
          <w:tcPr>
            <w:tcW w:w="2020" w:type="dxa"/>
            <w:vAlign w:val="bottom"/>
          </w:tcPr>
          <w:p>
            <w:pPr>
              <w:ind w:left="1220"/>
              <w:spacing w:after="0" w:line="195" w:lineRule="exact"/>
              <w:rPr>
                <w:sz w:val="20"/>
                <w:szCs w:val="20"/>
                <w:color w:val="auto"/>
              </w:rPr>
            </w:pPr>
            <w:r>
              <w:rPr>
                <w:rFonts w:ascii="Arial" w:cs="Arial" w:eastAsia="Arial" w:hAnsi="Arial"/>
                <w:sz w:val="18"/>
                <w:szCs w:val="18"/>
                <w:color w:val="auto"/>
              </w:rPr>
              <w:t>Name:</w:t>
            </w:r>
          </w:p>
        </w:tc>
        <w:tc>
          <w:tcPr>
            <w:tcW w:w="4340" w:type="dxa"/>
            <w:vAlign w:val="bottom"/>
          </w:tcPr>
          <w:p>
            <w:pPr>
              <w:ind w:left="260"/>
              <w:spacing w:after="0" w:line="195" w:lineRule="exact"/>
              <w:rPr>
                <w:sz w:val="20"/>
                <w:szCs w:val="20"/>
                <w:color w:val="auto"/>
              </w:rPr>
            </w:pPr>
            <w:r>
              <w:rPr>
                <w:rFonts w:ascii="Arial" w:cs="Arial" w:eastAsia="Arial" w:hAnsi="Arial"/>
                <w:sz w:val="18"/>
                <w:szCs w:val="18"/>
                <w:color w:val="auto"/>
              </w:rPr>
              <w:t>Richard Abbe</w:t>
            </w:r>
          </w:p>
        </w:tc>
      </w:tr>
      <w:tr>
        <w:trPr>
          <w:trHeight w:val="220"/>
        </w:trPr>
        <w:tc>
          <w:tcPr>
            <w:tcW w:w="1400" w:type="dxa"/>
            <w:vAlign w:val="bottom"/>
          </w:tcPr>
          <w:p>
            <w:pPr>
              <w:ind w:left="420"/>
              <w:spacing w:after="0"/>
              <w:rPr>
                <w:sz w:val="20"/>
                <w:szCs w:val="20"/>
                <w:color w:val="auto"/>
              </w:rPr>
            </w:pPr>
            <w:r>
              <w:rPr>
                <w:rFonts w:ascii="Arial" w:cs="Arial" w:eastAsia="Arial" w:hAnsi="Arial"/>
                <w:sz w:val="18"/>
                <w:szCs w:val="18"/>
                <w:color w:val="auto"/>
              </w:rPr>
              <w:t>Address:</w:t>
            </w:r>
          </w:p>
        </w:tc>
        <w:tc>
          <w:tcPr>
            <w:tcW w:w="3660" w:type="dxa"/>
            <w:vAlign w:val="bottom"/>
          </w:tcPr>
          <w:p>
            <w:pPr>
              <w:ind w:left="340"/>
              <w:spacing w:after="0"/>
              <w:rPr>
                <w:sz w:val="20"/>
                <w:szCs w:val="20"/>
                <w:color w:val="auto"/>
              </w:rPr>
            </w:pPr>
            <w:r>
              <w:rPr>
                <w:rFonts w:ascii="Arial" w:cs="Arial" w:eastAsia="Arial" w:hAnsi="Arial"/>
                <w:sz w:val="18"/>
                <w:szCs w:val="18"/>
                <w:color w:val="auto"/>
              </w:rPr>
              <w:t>XpresSpa Group, Inc.</w:t>
            </w:r>
          </w:p>
        </w:tc>
        <w:tc>
          <w:tcPr>
            <w:tcW w:w="2020" w:type="dxa"/>
            <w:vAlign w:val="bottom"/>
          </w:tcPr>
          <w:p>
            <w:pPr>
              <w:ind w:left="1220"/>
              <w:spacing w:after="0"/>
              <w:rPr>
                <w:sz w:val="20"/>
                <w:szCs w:val="20"/>
                <w:color w:val="auto"/>
              </w:rPr>
            </w:pPr>
            <w:r>
              <w:rPr>
                <w:rFonts w:ascii="Arial" w:cs="Arial" w:eastAsia="Arial" w:hAnsi="Arial"/>
                <w:sz w:val="18"/>
                <w:szCs w:val="18"/>
                <w:color w:val="auto"/>
              </w:rPr>
              <w:t>Address:</w:t>
            </w:r>
          </w:p>
        </w:tc>
        <w:tc>
          <w:tcPr>
            <w:tcW w:w="4340" w:type="dxa"/>
            <w:vAlign w:val="bottom"/>
          </w:tcPr>
          <w:p>
            <w:pPr>
              <w:ind w:left="160"/>
              <w:spacing w:after="0" w:line="220" w:lineRule="exact"/>
              <w:rPr>
                <w:sz w:val="20"/>
                <w:szCs w:val="20"/>
                <w:color w:val="auto"/>
              </w:rPr>
            </w:pPr>
            <w:r>
              <w:rPr>
                <w:rFonts w:ascii="Arial" w:cs="Arial" w:eastAsia="Arial" w:hAnsi="Arial"/>
                <w:sz w:val="16"/>
                <w:szCs w:val="16"/>
                <w:color w:val="auto"/>
              </w:rPr>
              <w:t>205 East 42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St., 20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w:t>
            </w:r>
          </w:p>
        </w:tc>
      </w:tr>
      <w:tr>
        <w:trPr>
          <w:trHeight w:val="253"/>
        </w:trPr>
        <w:tc>
          <w:tcPr>
            <w:tcW w:w="1400" w:type="dxa"/>
            <w:vAlign w:val="bottom"/>
          </w:tcPr>
          <w:p>
            <w:pPr>
              <w:spacing w:after="0"/>
              <w:rPr>
                <w:sz w:val="21"/>
                <w:szCs w:val="21"/>
                <w:color w:val="auto"/>
              </w:rPr>
            </w:pPr>
          </w:p>
        </w:tc>
        <w:tc>
          <w:tcPr>
            <w:tcW w:w="3660" w:type="dxa"/>
            <w:vAlign w:val="bottom"/>
          </w:tcPr>
          <w:p>
            <w:pPr>
              <w:ind w:left="320"/>
              <w:spacing w:after="0" w:line="253" w:lineRule="exact"/>
              <w:rPr>
                <w:sz w:val="20"/>
                <w:szCs w:val="20"/>
                <w:color w:val="auto"/>
              </w:rPr>
            </w:pPr>
            <w:r>
              <w:rPr>
                <w:rFonts w:ascii="Arial" w:cs="Arial" w:eastAsia="Arial" w:hAnsi="Arial"/>
                <w:sz w:val="18"/>
                <w:szCs w:val="18"/>
                <w:color w:val="auto"/>
              </w:rPr>
              <w:t>780 Third Avenue,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tc>
        <w:tc>
          <w:tcPr>
            <w:tcW w:w="2020" w:type="dxa"/>
            <w:vAlign w:val="bottom"/>
          </w:tcPr>
          <w:p>
            <w:pPr>
              <w:spacing w:after="0"/>
              <w:rPr>
                <w:sz w:val="21"/>
                <w:szCs w:val="21"/>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New York, NY 10017</w:t>
            </w:r>
          </w:p>
        </w:tc>
      </w:tr>
      <w:tr>
        <w:trPr>
          <w:trHeight w:val="216"/>
        </w:trPr>
        <w:tc>
          <w:tcPr>
            <w:tcW w:w="1400" w:type="dxa"/>
            <w:vAlign w:val="bottom"/>
          </w:tcPr>
          <w:p>
            <w:pPr>
              <w:spacing w:after="0"/>
              <w:rPr>
                <w:sz w:val="18"/>
                <w:szCs w:val="18"/>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New York, NY 10017</w:t>
            </w:r>
          </w:p>
        </w:tc>
        <w:tc>
          <w:tcPr>
            <w:tcW w:w="20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Tel.: (212) 974-3070</w:t>
            </w:r>
          </w:p>
        </w:tc>
      </w:tr>
      <w:tr>
        <w:trPr>
          <w:trHeight w:val="230"/>
        </w:trPr>
        <w:tc>
          <w:tcPr>
            <w:tcW w:w="1400" w:type="dxa"/>
            <w:vAlign w:val="bottom"/>
          </w:tcPr>
          <w:p>
            <w:pPr>
              <w:spacing w:after="0"/>
              <w:rPr>
                <w:sz w:val="20"/>
                <w:szCs w:val="20"/>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Tel.: (212) 309-7549</w:t>
            </w:r>
          </w:p>
        </w:tc>
        <w:tc>
          <w:tcPr>
            <w:tcW w:w="20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Fax: (347) 408-0969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ectPr>
          <w:pgSz w:w="11900" w:h="16838" w:orient="portrait"/>
          <w:cols w:equalWidth="0" w:num="1">
            <w:col w:w="9019"/>
          </w:cols>
          <w:pgMar w:left="1440" w:top="1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12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2)"/>
      <w:numFmt w:val="lowerLetter"/>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decimal"/>
      <w:start w:val="1"/>
    </w:lvl>
    <w:lvl w:ilvl="1">
      <w:lvlJc w:val="left"/>
      <w:lvlText w:val="(%2)"/>
      <w:numFmt w:val="lowerLetter"/>
      <w:start w:val="11"/>
    </w:lvl>
  </w:abstractNum>
  <w:abstractNum w:abstractNumId="4">
    <w:nsid w:val="216231B"/>
    <w:multiLevelType w:val="hybridMultilevel"/>
    <w:lvl w:ilvl="0">
      <w:lvlJc w:val="left"/>
      <w:lvlText w:val="%1."/>
      <w:numFmt w:val="decimal"/>
      <w:start w:val="3"/>
    </w:lvl>
    <w:lvl w:ilvl="1">
      <w:lvlJc w:val="left"/>
      <w:lvlText w:val="%2"/>
      <w:numFmt w:val="lowerLetter"/>
      <w:start w:val="1"/>
    </w:lvl>
  </w:abstractNum>
  <w:abstractNum w:abstractNumId="5">
    <w:nsid w:val="1F16E9E8"/>
    <w:multiLevelType w:val="hybridMultilevel"/>
    <w:lvl w:ilvl="0">
      <w:lvlJc w:val="left"/>
      <w:lvlText w:val="%1."/>
      <w:numFmt w:val="decimal"/>
      <w:start w:val="5"/>
    </w:lvl>
    <w:lvl w:ilvl="1">
      <w:lvlJc w:val="left"/>
      <w:lvlText w:val="(%2)"/>
      <w:numFmt w:val="lowerLetter"/>
      <w:start w:val="1"/>
    </w:lvl>
  </w:abstractNum>
  <w:abstractNum w:abstractNumId="6">
    <w:nsid w:val="1190CDE7"/>
    <w:multiLevelType w:val="hybridMultilevel"/>
    <w:lvl w:ilvl="0">
      <w:lvlJc w:val="left"/>
      <w:lvlText w:val="%1."/>
      <w:numFmt w:val="decimal"/>
      <w:start w:val="10"/>
    </w:lvl>
    <w:lvl w:ilvl="1">
      <w:lvlJc w:val="left"/>
      <w:lvlText w:val="(%2)"/>
      <w:numFmt w:val="lowerLetter"/>
      <w:start w:val="1"/>
    </w:lvl>
  </w:abstractNum>
  <w:abstractNum w:abstractNumId="7">
    <w:nsid w:val="66EF438D"/>
    <w:multiLevelType w:val="hybridMultilevel"/>
    <w:lvl w:ilvl="0">
      <w:lvlJc w:val="left"/>
      <w:lvlText w:val="%1."/>
      <w:numFmt w:val="decimal"/>
      <w:start w:val="12"/>
    </w:lvl>
    <w:lvl w:ilvl="1">
      <w:lvlJc w:val="left"/>
      <w:lvlText w:val="(%2)"/>
      <w:numFmt w:val="lowerLetter"/>
      <w:start w:val="1"/>
    </w:lvl>
  </w:abstractNum>
  <w:abstractNum w:abstractNumId="8">
    <w:nsid w:val="140E0F76"/>
    <w:multiLevelType w:val="hybridMultilevel"/>
    <w:lvl w:ilvl="0">
      <w:lvlJc w:val="left"/>
      <w:lvlText w:val="%1."/>
      <w:numFmt w:val="decimal"/>
      <w:start w:val="13"/>
    </w:lvl>
    <w:lvl w:ilvl="1">
      <w:lvlJc w:val="left"/>
      <w:lvlText w:val="(%2)"/>
      <w:numFmt w:val="lowerLetter"/>
      <w:start w:val="1"/>
    </w:lvl>
  </w:abstractNum>
  <w:abstractNum w:abstractNumId="9">
    <w:nsid w:val="3352255A"/>
    <w:multiLevelType w:val="hybridMultilevel"/>
    <w:lvl w:ilvl="0">
      <w:lvlJc w:val="left"/>
      <w:lvlText w:val="%1"/>
      <w:numFmt w:val="decimal"/>
      <w:start w:val="1"/>
    </w:lvl>
    <w:lvl w:ilvl="1">
      <w:lvlJc w:val="left"/>
      <w:lvlText w:val="(%2)"/>
      <w:numFmt w:val="lowerLetter"/>
      <w:start w:val="6"/>
    </w:lvl>
  </w:abstractNum>
  <w:abstractNum w:abstractNumId="10">
    <w:nsid w:val="109CF92E"/>
    <w:multiLevelType w:val="hybridMultilevel"/>
    <w:lvl w:ilvl="0">
      <w:lvlJc w:val="left"/>
      <w:lvlText w:val="%1."/>
      <w:numFmt w:val="decimal"/>
      <w:start w:val="14"/>
    </w:lvl>
    <w:lvl w:ilvl="1">
      <w:lvlJc w:val="left"/>
      <w:lvlText w:val="(%2)"/>
      <w:numFmt w:val="lowerLetter"/>
      <w:start w:val="1"/>
    </w:lvl>
  </w:abstractNum>
  <w:abstractNum w:abstractNumId="11">
    <w:nsid w:val="DED7263"/>
    <w:multiLevelType w:val="hybridMultilevel"/>
    <w:lvl w:ilvl="0">
      <w:lvlJc w:val="left"/>
      <w:lvlText w:val="%1"/>
      <w:numFmt w:val="decimal"/>
      <w:start w:val="1"/>
    </w:lvl>
    <w:lvl w:ilvl="1">
      <w:lvlJc w:val="left"/>
      <w:lvlText w:val="(%2)"/>
      <w:numFmt w:val="lowerLetter"/>
      <w:start w:val="5"/>
    </w:lvl>
  </w:abstractNum>
  <w:abstractNum w:abstractNumId="12">
    <w:nsid w:val="7FDCC233"/>
    <w:multiLevelType w:val="hybridMultilevel"/>
    <w:lvl w:ilvl="0">
      <w:lvlJc w:val="left"/>
      <w:lvlText w:val="%1."/>
      <w:numFmt w:val="decimal"/>
      <w:start w:val="15"/>
    </w:lvl>
    <w:lvl w:ilvl="1">
      <w:lvlJc w:val="left"/>
      <w:lvlText w:val="(%2)"/>
      <w:numFmt w:val="lowerLetter"/>
      <w:start w:val="1"/>
    </w:lvl>
  </w:abstractNum>
  <w:abstractNum w:abstractNumId="13">
    <w:nsid w:val="1BEFD79F"/>
    <w:multiLevelType w:val="hybridMultilevel"/>
    <w:lvl w:ilvl="0">
      <w:lvlJc w:val="left"/>
      <w:lvlText w:val="%1."/>
      <w:numFmt w:val="decimal"/>
      <w:start w:val="17"/>
    </w:lvl>
    <w:lvl w:ilvl="1">
      <w:lvlJc w:val="left"/>
      <w:lvlText w:val="(%2)"/>
      <w:numFmt w:val="lowerLetter"/>
      <w:start w:val="1"/>
    </w:lvl>
  </w:abstractNum>
  <w:abstractNum w:abstractNumId="14">
    <w:nsid w:val="41A7C4C9"/>
    <w:multiLevelType w:val="hybridMultilevel"/>
    <w:lvl w:ilvl="0">
      <w:lvlJc w:val="left"/>
      <w:lvlText w:val="%1."/>
      <w:numFmt w:val="decimal"/>
      <w:start w:val="20"/>
    </w:lvl>
    <w:lvl w:ilvl="1">
      <w:lvlJc w:val="left"/>
      <w:lvlText w:val="(%2)"/>
      <w:numFmt w:val="lowerLetter"/>
      <w:start w:val="1"/>
    </w:lvl>
  </w:abstractNum>
  <w:abstractNum w:abstractNumId="15">
    <w:nsid w:val="6B68079A"/>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2019-12-28T17:18:19Z</dcterms:created>
  <dcterms:modified xsi:type="dcterms:W3CDTF">2019-12-28T17:18:19Z</dcterms:modified>
</cp:coreProperties>
</file>