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333-240084</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5, 2020)</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10,407,408 Shares of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Pre-Funded Warrants to Purchase 809,524 shares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Warrants to Purchase 11,216,932 shares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the shares of Common Stock underlying such Pre-Funded Warrants and Warrants)</w:t>
      </w:r>
    </w:p>
    <w:p>
      <w:pPr>
        <w:spacing w:after="0" w:line="211" w:lineRule="exact"/>
        <w:rPr>
          <w:sz w:val="24"/>
          <w:szCs w:val="24"/>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offering an aggregate of 10,407,408 shares of our common stock, par value $0.01 per share (the “Common Stock”) and warrants to purchase 11,216,932 shares of our Common Stock (the “Warrants”) at a combined purchase price equal to $3.15 per share. Each Warrant is exercisable for one share of our Common Stock at an exercise price of $3.02 per share. The Warrants are immediately exercisable and may be exercised at any time until August 29, 2022. We are also offering to certain purchasers pre-funded warrants to purchase an aggregate of 809,524 shares of Common Stock (the “Pre-Funded Warrants”), in lieu of shares of Common Stock. Each Pre-Funded Warrant is exercisable for one share of our Common Stock. The purchase price of each Pre-Funded Warrant is equal to the price at which a share of Common Stock is sold to the public in this offering, minus $0.001, and the exercise price of each pre Pre-Funded Warrant is $0.001 per share. The Pre-Funded Warrants are immediately exercisable and may be exercised at any time until all of the Pre-Funded Warrants are exercised in full. This offering also relates to the shares of Common Stock issuable upon exercise of the Warrants and Pre-Funded Warrants sold in this offering.</w:t>
      </w:r>
    </w:p>
    <w:p>
      <w:pPr>
        <w:spacing w:after="0" w:line="181"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listed on The Nasdaq Capital Market, or Nasdaq, under the symbol “XSPA.” The last reported sale price of our Common Stock on August 25, 2020 was $3.30 per share.</w:t>
      </w:r>
    </w:p>
    <w:p>
      <w:pPr>
        <w:spacing w:after="0" w:line="170" w:lineRule="exact"/>
        <w:rPr>
          <w:sz w:val="24"/>
          <w:szCs w:val="24"/>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You should read this prospectus supplement and the accompanying prospectus and the documents incorporated by reference in this prospectus supplement carefully before you invest.</w:t>
      </w:r>
    </w:p>
    <w:p>
      <w:pPr>
        <w:spacing w:after="0" w:line="166" w:lineRule="exact"/>
        <w:rPr>
          <w:sz w:val="24"/>
          <w:szCs w:val="24"/>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See “Risk Factors” on page S-6 of this prospectus supplement to read about factors you should consider before buying shares of our Common Stock.</w:t>
      </w:r>
    </w:p>
    <w:p>
      <w:pPr>
        <w:spacing w:after="0" w:line="162" w:lineRule="exact"/>
        <w:rPr>
          <w:sz w:val="24"/>
          <w:szCs w:val="24"/>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44"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engaged H.C. Wainwright &amp; Co., LLC, or the placement agent, as our exclusive placement agent in connection with this offering. The placement agent has no obligation to buy any of the securities from us or to arrange for the purchase or sale of any specific number or dollar amount of securities. We have agreed to pay the placement agent the placement agent fees set forth in the table below. Pursuant to this prospectus supplement and the accompanying prospectus, we will also issue warrants to purchase up to 897,355 shares of our common stock (the “Placement Agent Warrants”) to the placement agent, or its designees, as part of the compensation payable to the placement agent (the shares of common stock issuable upon exercise of the Placement Agent Warrants are also being registered hereby). The Placement Agent Warrants will have an exercise price of $3.9375 per share and will expire 24 months from the date of issuance. See “Plan of Distribution” beginning on page S-16 of this prospectus supplement for more information regarding these arrangements.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Per Share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3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35,333,335.80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Placement agent fees(1)</w:t>
            </w:r>
          </w:p>
        </w:tc>
        <w:tc>
          <w:tcPr>
            <w:tcW w:w="31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0.2363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2,650,000.19</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us</w:t>
            </w:r>
          </w:p>
        </w:tc>
        <w:tc>
          <w:tcPr>
            <w:tcW w:w="31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32,683,335.61</w:t>
            </w:r>
          </w:p>
        </w:tc>
      </w:tr>
    </w:tbl>
    <w:p>
      <w:pPr>
        <w:spacing w:after="0" w:line="229"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we have agreed to pay a management fee of 1.0% of the gross proceeds raised in this offering. See “Plan of Distribution” beginning on page S-16 for more information regarding the placement agent’s compensation.</w:t>
      </w:r>
    </w:p>
    <w:p>
      <w:pPr>
        <w:spacing w:after="0" w:line="170"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Delivery of the shares of our Common Stock, Warrants and Pre-Funded Warrants being offered pursuant to this prospectus supplement and the accompanying prospectus is expected to be made on or about August 28, 2020.</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H.C. Wainwright &amp; Co.</w:t>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August 25,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500" w:type="dxa"/>
            <w:vAlign w:val="bottom"/>
          </w:tcPr>
          <w:p>
            <w:pPr>
              <w:jc w:val="center"/>
              <w:ind w:left="650"/>
              <w:spacing w:after="0"/>
              <w:rPr>
                <w:sz w:val="20"/>
                <w:szCs w:val="20"/>
                <w:color w:val="auto"/>
              </w:rPr>
            </w:pPr>
            <w:r>
              <w:rPr>
                <w:rFonts w:ascii="Arial" w:cs="Arial" w:eastAsia="Arial" w:hAnsi="Arial"/>
                <w:sz w:val="18"/>
                <w:szCs w:val="18"/>
                <w:b w:val="1"/>
                <w:bCs w:val="1"/>
                <w:color w:val="auto"/>
                <w:w w:val="98"/>
              </w:rPr>
              <w:t>TABLE OF CONTENTS</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500" w:type="dxa"/>
            <w:vAlign w:val="bottom"/>
          </w:tcPr>
          <w:p>
            <w:pPr>
              <w:jc w:val="center"/>
              <w:ind w:left="650"/>
              <w:spacing w:after="0"/>
              <w:rPr>
                <w:sz w:val="20"/>
                <w:szCs w:val="20"/>
                <w:color w:val="auto"/>
              </w:rPr>
            </w:pPr>
            <w:r>
              <w:rPr>
                <w:rFonts w:ascii="Arial" w:cs="Arial" w:eastAsia="Arial" w:hAnsi="Arial"/>
                <w:sz w:val="18"/>
                <w:szCs w:val="18"/>
                <w:b w:val="1"/>
                <w:bCs w:val="1"/>
                <w:color w:val="auto"/>
                <w:w w:val="87"/>
              </w:rPr>
              <w:t>Prospectus Supplement</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0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105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w:t>
              </w:r>
            </w:hyperlink>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S-ii</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SPECIAL NOTE REGARDING FORWARD-LOOKING STATEMENTS</w:t>
              </w:r>
            </w:hyperlink>
          </w:p>
        </w:tc>
        <w:tc>
          <w:tcPr>
            <w:tcW w:w="360" w:type="dxa"/>
            <w:vAlign w:val="bottom"/>
          </w:tcPr>
          <w:p>
            <w:pPr>
              <w:spacing w:after="0"/>
              <w:rPr>
                <w:sz w:val="18"/>
                <w:szCs w:val="18"/>
                <w:color w:val="auto"/>
              </w:rPr>
            </w:pPr>
          </w:p>
        </w:tc>
        <w:tc>
          <w:tcPr>
            <w:tcW w:w="38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S-iii</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SUPPLEMENT SUMMARY</w:t>
              </w:r>
            </w:hyperlink>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tc>
        <w:tc>
          <w:tcPr>
            <w:tcW w:w="360" w:type="dxa"/>
            <w:vAlign w:val="bottom"/>
          </w:tcPr>
          <w:p>
            <w:pPr>
              <w:spacing w:after="0"/>
              <w:rPr>
                <w:sz w:val="18"/>
                <w:szCs w:val="18"/>
                <w:color w:val="auto"/>
              </w:rPr>
            </w:pPr>
          </w:p>
        </w:tc>
        <w:tc>
          <w:tcPr>
            <w:tcW w:w="38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S-6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USE OF PROCEEDS</w:t>
              </w:r>
            </w:hyperlink>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DIVIDEND POLICY</w:t>
              </w:r>
            </w:hyperlink>
          </w:p>
        </w:tc>
        <w:tc>
          <w:tcPr>
            <w:tcW w:w="360" w:type="dxa"/>
            <w:vAlign w:val="bottom"/>
          </w:tcPr>
          <w:p>
            <w:pPr>
              <w:spacing w:after="0"/>
              <w:rPr>
                <w:sz w:val="18"/>
                <w:szCs w:val="18"/>
                <w:color w:val="auto"/>
              </w:rPr>
            </w:pPr>
          </w:p>
        </w:tc>
        <w:tc>
          <w:tcPr>
            <w:tcW w:w="380" w:type="dxa"/>
            <w:vAlign w:val="bottom"/>
          </w:tcPr>
          <w:p>
            <w:pPr>
              <w:jc w:val="right"/>
              <w:spacing w:after="0"/>
              <w:rPr>
                <w:rFonts w:ascii="Arial" w:cs="Arial" w:eastAsia="Arial" w:hAnsi="Arial"/>
                <w:sz w:val="18"/>
                <w:szCs w:val="18"/>
                <w:u w:val="single" w:color="auto"/>
                <w:color w:val="0000EE"/>
                <w:w w:val="94"/>
              </w:rPr>
            </w:pPr>
            <w:hyperlink w:anchor="page16">
              <w:r>
                <w:rPr>
                  <w:rFonts w:ascii="Arial" w:cs="Arial" w:eastAsia="Arial" w:hAnsi="Arial"/>
                  <w:sz w:val="18"/>
                  <w:szCs w:val="18"/>
                  <w:u w:val="single" w:color="auto"/>
                  <w:color w:val="0000EE"/>
                  <w:w w:val="94"/>
                </w:rPr>
                <w:t>S-10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DILUTION</w:t>
              </w:r>
            </w:hyperlink>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rFonts w:ascii="Arial" w:cs="Arial" w:eastAsia="Arial" w:hAnsi="Arial"/>
                <w:sz w:val="18"/>
                <w:szCs w:val="18"/>
                <w:u w:val="single" w:color="auto"/>
                <w:color w:val="0000EE"/>
                <w:w w:val="94"/>
              </w:rPr>
            </w:pPr>
            <w:hyperlink w:anchor="page17">
              <w:r>
                <w:rPr>
                  <w:rFonts w:ascii="Arial" w:cs="Arial" w:eastAsia="Arial" w:hAnsi="Arial"/>
                  <w:sz w:val="18"/>
                  <w:szCs w:val="18"/>
                  <w:u w:val="single" w:color="auto"/>
                  <w:color w:val="0000EE"/>
                  <w:w w:val="94"/>
                </w:rPr>
                <w:t>S-11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DESCRIPTION OF THE SECURITIES WE ARE OFFERING</w:t>
              </w:r>
            </w:hyperlink>
          </w:p>
        </w:tc>
        <w:tc>
          <w:tcPr>
            <w:tcW w:w="360" w:type="dxa"/>
            <w:vAlign w:val="bottom"/>
          </w:tcPr>
          <w:p>
            <w:pPr>
              <w:spacing w:after="0"/>
              <w:rPr>
                <w:sz w:val="18"/>
                <w:szCs w:val="18"/>
                <w:color w:val="auto"/>
              </w:rPr>
            </w:pPr>
          </w:p>
        </w:tc>
        <w:tc>
          <w:tcPr>
            <w:tcW w:w="380" w:type="dxa"/>
            <w:vAlign w:val="bottom"/>
          </w:tcPr>
          <w:p>
            <w:pPr>
              <w:jc w:val="right"/>
              <w:spacing w:after="0"/>
              <w:rPr>
                <w:rFonts w:ascii="Arial" w:cs="Arial" w:eastAsia="Arial" w:hAnsi="Arial"/>
                <w:sz w:val="18"/>
                <w:szCs w:val="18"/>
                <w:u w:val="single" w:color="auto"/>
                <w:color w:val="0000EE"/>
                <w:w w:val="94"/>
              </w:rPr>
            </w:pPr>
            <w:hyperlink w:anchor="page19">
              <w:r>
                <w:rPr>
                  <w:rFonts w:ascii="Arial" w:cs="Arial" w:eastAsia="Arial" w:hAnsi="Arial"/>
                  <w:sz w:val="18"/>
                  <w:szCs w:val="18"/>
                  <w:u w:val="single" w:color="auto"/>
                  <w:color w:val="0000EE"/>
                  <w:w w:val="94"/>
                </w:rPr>
                <w:t>S-13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PLAN OF DISTRIBUTION</w:t>
              </w:r>
            </w:hyperlink>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rFonts w:ascii="Arial" w:cs="Arial" w:eastAsia="Arial" w:hAnsi="Arial"/>
                <w:sz w:val="18"/>
                <w:szCs w:val="18"/>
                <w:u w:val="single" w:color="auto"/>
                <w:color w:val="0000EE"/>
                <w:w w:val="94"/>
              </w:rPr>
            </w:pPr>
            <w:hyperlink w:anchor="page22">
              <w:r>
                <w:rPr>
                  <w:rFonts w:ascii="Arial" w:cs="Arial" w:eastAsia="Arial" w:hAnsi="Arial"/>
                  <w:sz w:val="18"/>
                  <w:szCs w:val="18"/>
                  <w:u w:val="single" w:color="auto"/>
                  <w:color w:val="0000EE"/>
                  <w:w w:val="94"/>
                </w:rPr>
                <w:t>S-16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LEGAL MATTERS</w:t>
              </w:r>
            </w:hyperlink>
          </w:p>
        </w:tc>
        <w:tc>
          <w:tcPr>
            <w:tcW w:w="360" w:type="dxa"/>
            <w:vAlign w:val="bottom"/>
          </w:tcPr>
          <w:p>
            <w:pPr>
              <w:spacing w:after="0"/>
              <w:rPr>
                <w:sz w:val="18"/>
                <w:szCs w:val="18"/>
                <w:color w:val="auto"/>
              </w:rPr>
            </w:pPr>
          </w:p>
        </w:tc>
        <w:tc>
          <w:tcPr>
            <w:tcW w:w="380" w:type="dxa"/>
            <w:vAlign w:val="bottom"/>
          </w:tcPr>
          <w:p>
            <w:pPr>
              <w:jc w:val="right"/>
              <w:spacing w:after="0"/>
              <w:rPr>
                <w:rFonts w:ascii="Arial" w:cs="Arial" w:eastAsia="Arial" w:hAnsi="Arial"/>
                <w:sz w:val="18"/>
                <w:szCs w:val="18"/>
                <w:u w:val="single" w:color="auto"/>
                <w:color w:val="0000EE"/>
                <w:w w:val="94"/>
              </w:rPr>
            </w:pPr>
            <w:hyperlink w:anchor="page24">
              <w:r>
                <w:rPr>
                  <w:rFonts w:ascii="Arial" w:cs="Arial" w:eastAsia="Arial" w:hAnsi="Arial"/>
                  <w:sz w:val="18"/>
                  <w:szCs w:val="18"/>
                  <w:u w:val="single" w:color="auto"/>
                  <w:color w:val="0000EE"/>
                  <w:w w:val="94"/>
                </w:rPr>
                <w:t>S-18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EXPERTS</w:t>
              </w:r>
            </w:hyperlink>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rFonts w:ascii="Arial" w:cs="Arial" w:eastAsia="Arial" w:hAnsi="Arial"/>
                <w:sz w:val="18"/>
                <w:szCs w:val="18"/>
                <w:u w:val="single" w:color="auto"/>
                <w:color w:val="0000EE"/>
                <w:w w:val="94"/>
              </w:rPr>
            </w:pPr>
            <w:hyperlink w:anchor="page24">
              <w:r>
                <w:rPr>
                  <w:rFonts w:ascii="Arial" w:cs="Arial" w:eastAsia="Arial" w:hAnsi="Arial"/>
                  <w:sz w:val="18"/>
                  <w:szCs w:val="18"/>
                  <w:u w:val="single" w:color="auto"/>
                  <w:color w:val="0000EE"/>
                  <w:w w:val="94"/>
                </w:rPr>
                <w:t>S-18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WHERE YOU CAN FIND MORE INFORMATION</w:t>
              </w:r>
            </w:hyperlink>
          </w:p>
        </w:tc>
        <w:tc>
          <w:tcPr>
            <w:tcW w:w="360" w:type="dxa"/>
            <w:vAlign w:val="bottom"/>
          </w:tcPr>
          <w:p>
            <w:pPr>
              <w:spacing w:after="0"/>
              <w:rPr>
                <w:sz w:val="18"/>
                <w:szCs w:val="18"/>
                <w:color w:val="auto"/>
              </w:rPr>
            </w:pPr>
          </w:p>
        </w:tc>
        <w:tc>
          <w:tcPr>
            <w:tcW w:w="380" w:type="dxa"/>
            <w:vAlign w:val="bottom"/>
          </w:tcPr>
          <w:p>
            <w:pPr>
              <w:jc w:val="right"/>
              <w:spacing w:after="0"/>
              <w:rPr>
                <w:rFonts w:ascii="Arial" w:cs="Arial" w:eastAsia="Arial" w:hAnsi="Arial"/>
                <w:sz w:val="18"/>
                <w:szCs w:val="18"/>
                <w:u w:val="single" w:color="auto"/>
                <w:color w:val="0000EE"/>
                <w:w w:val="94"/>
              </w:rPr>
            </w:pPr>
            <w:hyperlink w:anchor="page24">
              <w:r>
                <w:rPr>
                  <w:rFonts w:ascii="Arial" w:cs="Arial" w:eastAsia="Arial" w:hAnsi="Arial"/>
                  <w:sz w:val="18"/>
                  <w:szCs w:val="18"/>
                  <w:u w:val="single" w:color="auto"/>
                  <w:color w:val="0000EE"/>
                  <w:w w:val="94"/>
                </w:rPr>
                <w:t>S-18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INCORPORATION OF CERTAIN INFORMATION BY REFERENCE</w:t>
              </w:r>
            </w:hyperlink>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rFonts w:ascii="Arial" w:cs="Arial" w:eastAsia="Arial" w:hAnsi="Arial"/>
                <w:sz w:val="18"/>
                <w:szCs w:val="18"/>
                <w:u w:val="single" w:color="auto"/>
                <w:color w:val="0000EE"/>
                <w:w w:val="94"/>
              </w:rPr>
            </w:pPr>
            <w:hyperlink w:anchor="page24">
              <w:r>
                <w:rPr>
                  <w:rFonts w:ascii="Arial" w:cs="Arial" w:eastAsia="Arial" w:hAnsi="Arial"/>
                  <w:sz w:val="18"/>
                  <w:szCs w:val="18"/>
                  <w:u w:val="single" w:color="auto"/>
                  <w:color w:val="0000EE"/>
                  <w:w w:val="94"/>
                </w:rPr>
                <w:t>S-18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shd w:val="clear" w:color="auto" w:fill="CCEEFF"/>
          </w:tcPr>
          <w:p>
            <w:pPr>
              <w:jc w:val="center"/>
              <w:ind w:left="650"/>
              <w:spacing w:after="0"/>
              <w:rPr>
                <w:sz w:val="20"/>
                <w:szCs w:val="20"/>
                <w:color w:val="auto"/>
              </w:rPr>
            </w:pPr>
            <w:r>
              <w:rPr>
                <w:rFonts w:ascii="Arial" w:cs="Arial" w:eastAsia="Arial" w:hAnsi="Arial"/>
                <w:sz w:val="18"/>
                <w:szCs w:val="18"/>
                <w:b w:val="1"/>
                <w:bCs w:val="1"/>
                <w:color w:val="auto"/>
                <w:w w:val="85"/>
              </w:rPr>
              <w:t>Prospectus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ABOUT THIS PROSPECTUS</w:t>
              </w:r>
            </w:hyperlink>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ii</w:t>
              </w:r>
            </w:hyperlink>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50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PROSPECTUS SUMMARY</w:t>
              </w:r>
            </w:hyperlink>
          </w:p>
        </w:tc>
        <w:tc>
          <w:tcPr>
            <w:tcW w:w="740" w:type="dxa"/>
            <w:vAlign w:val="bottom"/>
            <w:gridSpan w:val="2"/>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74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50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SPECIAL NOTE REGARDING FORWARD-LOOKING STATEMENTS</w:t>
              </w:r>
            </w:hyperlink>
          </w:p>
        </w:tc>
        <w:tc>
          <w:tcPr>
            <w:tcW w:w="740" w:type="dxa"/>
            <w:vAlign w:val="bottom"/>
            <w:gridSpan w:val="2"/>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USE OF PROCEEDS</w:t>
              </w:r>
            </w:hyperlink>
          </w:p>
        </w:tc>
        <w:tc>
          <w:tcPr>
            <w:tcW w:w="74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50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PLAN OF DISTRIBUTION</w:t>
              </w:r>
            </w:hyperlink>
          </w:p>
        </w:tc>
        <w:tc>
          <w:tcPr>
            <w:tcW w:w="740" w:type="dxa"/>
            <w:vAlign w:val="bottom"/>
            <w:gridSpan w:val="2"/>
          </w:tcPr>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DESCRIPTION OF COMMON STOCK</w:t>
              </w:r>
            </w:hyperlink>
          </w:p>
        </w:tc>
        <w:tc>
          <w:tcPr>
            <w:tcW w:w="74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11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50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DESCRIPTION OF PREFERRED STOCK</w:t>
              </w:r>
            </w:hyperlink>
          </w:p>
        </w:tc>
        <w:tc>
          <w:tcPr>
            <w:tcW w:w="740" w:type="dxa"/>
            <w:vAlign w:val="bottom"/>
            <w:gridSpan w:val="2"/>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13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DESCRIPTION OF DEBT SECURITIES</w:t>
              </w:r>
            </w:hyperlink>
          </w:p>
        </w:tc>
        <w:tc>
          <w:tcPr>
            <w:tcW w:w="74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15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50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DESCRIPTION OF WARRANTS</w:t>
              </w:r>
            </w:hyperlink>
          </w:p>
        </w:tc>
        <w:tc>
          <w:tcPr>
            <w:tcW w:w="740" w:type="dxa"/>
            <w:vAlign w:val="bottom"/>
            <w:gridSpan w:val="2"/>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20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DESCRIPTION OF RIGHTS</w:t>
              </w:r>
            </w:hyperlink>
          </w:p>
        </w:tc>
        <w:tc>
          <w:tcPr>
            <w:tcW w:w="74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21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50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DESCRIPTION OF UNITS</w:t>
              </w:r>
            </w:hyperlink>
          </w:p>
        </w:tc>
        <w:tc>
          <w:tcPr>
            <w:tcW w:w="740" w:type="dxa"/>
            <w:vAlign w:val="bottom"/>
            <w:gridSpan w:val="2"/>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22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CERTAIN PROVISIONS OF DELAWARE LAW AND OF THE COMPANY’S CERTIFICATE OF INCORPORATION AND BYLAWS</w:t>
              </w:r>
            </w:hyperlink>
          </w:p>
        </w:tc>
        <w:tc>
          <w:tcPr>
            <w:tcW w:w="74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23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50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LEGAL MATTERS</w:t>
              </w:r>
            </w:hyperlink>
          </w:p>
        </w:tc>
        <w:tc>
          <w:tcPr>
            <w:tcW w:w="740" w:type="dxa"/>
            <w:vAlign w:val="bottom"/>
            <w:gridSpan w:val="2"/>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24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EXPERTS</w:t>
              </w:r>
            </w:hyperlink>
          </w:p>
        </w:tc>
        <w:tc>
          <w:tcPr>
            <w:tcW w:w="74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24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50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WHERE YOU CAN FIND MORE INFORMATION</w:t>
              </w:r>
            </w:hyperlink>
          </w:p>
        </w:tc>
        <w:tc>
          <w:tcPr>
            <w:tcW w:w="740" w:type="dxa"/>
            <w:vAlign w:val="bottom"/>
            <w:gridSpan w:val="2"/>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24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INCORPORATION OF DOCUMENTS BY REFERENCE</w:t>
              </w:r>
            </w:hyperlink>
          </w:p>
        </w:tc>
        <w:tc>
          <w:tcPr>
            <w:tcW w:w="74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25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This document consists of two parts. The first part is this prospectus supplement, which describes the specific terms of the offering and other matters relating to us. The second part is the accompanying prospectus, which provides more general information about the securities we may offer from time to time, some of which may not apply to this offering of Common Stock, Warrants and Pre-funded Warrants (and the shares of Common Stock underlying the Warrants and Pre-Funded Warrants). This prospectus supplement and the accompanying prospectus are part of a registration statement that we filed with the Securities and Exchange Commission (the “SEC”) using the SEC’s shelf registration rules. You should read both this prospectus supplement and the accompanying prospectus, together with the documents incorporated by reference and the additional information described under the heading “Where You Can Find More Information” in this prospectus supplement and the accompanying prospectus before making an investment decision.</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on the other hand, the information contained in this prospectus supplement shall control. If any statement in this prospectus supplement conflicts with any statement in a document that has been incorporated herein by reference, then you should consider only the statement in the more recent document. You should assume that the information contained in this prospectus supplement, the accompanying prospectus and the documents incorporated by reference is accurate only as of their respective dates.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not authorized, and the placement agent has not authorized, any person to provide you with any information or to make any representation other than as contained in this prospectus supplement or in the accompanying prospectus and the information incorporated by reference herein and therein. We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distribution of this prospectus supplement and the accompanying prospectus and the offering of the Common Stock, Warrants and Pre-funded Warrants (and the shares of Common Stock underlying the Warrants and Pre-Funded Warrants) in certain jurisdictions may be restricted by law. We are not making an offer of the Common Stock, Warrants or Pre-funded Warrants (or the shares of Common Stock underlying the Warrants or Pre-Funded Warrants)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68" w:lineRule="auto"/>
        <w:rPr>
          <w:rFonts w:ascii="Arial" w:cs="Arial" w:eastAsia="Arial" w:hAnsi="Arial"/>
          <w:sz w:val="17"/>
          <w:szCs w:val="17"/>
          <w:color w:val="0000EE"/>
        </w:rPr>
      </w:pPr>
      <w:r>
        <w:rPr>
          <w:rFonts w:ascii="Arial" w:cs="Arial" w:eastAsia="Arial" w:hAnsi="Arial"/>
          <w:sz w:val="17"/>
          <w:szCs w:val="17"/>
          <w:color w:val="auto"/>
        </w:rPr>
        <w:t xml:space="preserve">This prospectus supplement and the base prospectus and the documents incorporated by reference in this prospectus include forward-looking statements within the meaning of Section 27A of the Securities Act and Section 21E of the Securities Exchange Act of 1934, as amended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w:t>
      </w:r>
      <w:hyperlink r:id="rId11">
        <w:r>
          <w:rPr>
            <w:rFonts w:ascii="Arial" w:cs="Arial" w:eastAsia="Arial" w:hAnsi="Arial"/>
            <w:sz w:val="17"/>
            <w:szCs w:val="17"/>
            <w:color w:val="auto"/>
          </w:rPr>
          <w:t xml:space="preserve">these forward-looking statements, to differ. The sections in our periodic reports, including our </w:t>
        </w:r>
        <w:r>
          <w:rPr>
            <w:rFonts w:ascii="Arial" w:cs="Arial" w:eastAsia="Arial" w:hAnsi="Arial"/>
            <w:sz w:val="17"/>
            <w:szCs w:val="17"/>
            <w:u w:val="single" w:color="auto"/>
            <w:color w:val="0000EE"/>
          </w:rPr>
          <w:t>Annual Report on Form 10-K for the fiscal year ended</w:t>
        </w:r>
      </w:hyperlink>
      <w:r>
        <w:rPr>
          <w:rFonts w:ascii="Arial" w:cs="Arial" w:eastAsia="Arial" w:hAnsi="Arial"/>
          <w:sz w:val="17"/>
          <w:szCs w:val="17"/>
          <w:color w:val="auto"/>
        </w:rPr>
        <w:t xml:space="preserve"> </w:t>
      </w:r>
      <w:hyperlink r:id="rId11">
        <w:r>
          <w:rPr>
            <w:rFonts w:ascii="Arial" w:cs="Arial" w:eastAsia="Arial" w:hAnsi="Arial"/>
            <w:sz w:val="17"/>
            <w:szCs w:val="17"/>
            <w:u w:val="single" w:color="auto"/>
            <w:color w:val="0000EE"/>
          </w:rPr>
          <w:t>December 31, 2019</w:t>
        </w:r>
        <w:r>
          <w:rPr>
            <w:rFonts w:ascii="Arial" w:cs="Arial" w:eastAsia="Arial" w:hAnsi="Arial"/>
            <w:sz w:val="17"/>
            <w:szCs w:val="17"/>
            <w:color w:val="000000"/>
          </w:rPr>
          <w:t>, as amended, and our Quarterly</w:t>
        </w:r>
        <w:r>
          <w:rPr>
            <w:rFonts w:ascii="Arial" w:cs="Arial" w:eastAsia="Arial" w:hAnsi="Arial"/>
            <w:sz w:val="17"/>
            <w:szCs w:val="17"/>
            <w:color w:val="0000EE"/>
          </w:rPr>
          <w:t xml:space="preserve"> </w:t>
        </w:r>
      </w:hyperlink>
      <w:hyperlink r:id="rId12">
        <w:r>
          <w:rPr>
            <w:rFonts w:ascii="Arial" w:cs="Arial" w:eastAsia="Arial" w:hAnsi="Arial"/>
            <w:sz w:val="17"/>
            <w:szCs w:val="17"/>
            <w:u w:val="single" w:color="auto"/>
            <w:color w:val="0000EE"/>
          </w:rPr>
          <w:t>Report on Form 10-Q for the quarter ended June 30, 2020</w:t>
        </w:r>
      </w:hyperlink>
      <w:hyperlink r:id="rId11">
        <w:r>
          <w:rPr>
            <w:rFonts w:ascii="Arial" w:cs="Arial" w:eastAsia="Arial" w:hAnsi="Arial"/>
            <w:sz w:val="17"/>
            <w:szCs w:val="17"/>
            <w:color w:val="000000"/>
          </w:rPr>
          <w:t>, entitled “Business,” “Risk Factors,” and</w:t>
        </w:r>
      </w:hyperlink>
      <w:r>
        <w:rPr>
          <w:rFonts w:ascii="Arial" w:cs="Arial" w:eastAsia="Arial" w:hAnsi="Arial"/>
          <w:sz w:val="17"/>
          <w:szCs w:val="17"/>
          <w:color w:val="0000EE"/>
        </w:rPr>
        <w:t xml:space="preserve"> </w:t>
      </w:r>
      <w:r>
        <w:rPr>
          <w:rFonts w:ascii="Arial" w:cs="Arial" w:eastAsia="Arial" w:hAnsi="Arial"/>
          <w:sz w:val="17"/>
          <w:szCs w:val="17"/>
          <w:color w:val="000000"/>
        </w:rPr>
        <w:t>“Management’s Discussion and Analysis of Financial Condition and Results of Operations,” as well as other sections in this prospectus and the documents or reports incorporated by reference in this prospectus, discuss some of the factors that could contribute to these differences. These forward-looking statements include, among other things, statements about:</w:t>
      </w:r>
    </w:p>
    <w:p>
      <w:pPr>
        <w:spacing w:after="0" w:line="182" w:lineRule="exact"/>
        <w:rPr>
          <w:rFonts w:ascii="Arial" w:cs="Arial" w:eastAsia="Arial" w:hAnsi="Arial"/>
          <w:sz w:val="17"/>
          <w:szCs w:val="17"/>
          <w:color w:val="0000EE"/>
        </w:rPr>
      </w:pPr>
    </w:p>
    <w:p>
      <w:pPr>
        <w:ind w:left="340"/>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rFonts w:ascii="Arial" w:cs="Arial" w:eastAsia="Arial" w:hAnsi="Arial"/>
          <w:sz w:val="17"/>
          <w:szCs w:val="17"/>
          <w:color w:val="0000EE"/>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decision by our Board of Directors to pursue a restructuring in the event that our process to identify and evaluate potential business alternatives is not successful;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adverse effects of public health epidemics, including the recent coronavirus outbreak, on our business, results of operations and financial condition;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lack of operating history in the diagnostic testing industry and the risks associated with novel coronavirus COVID-19 testing locations;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limited number of formal contracts or relationships with COVID-19 testing suppliers;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any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performance by our Airport Concession Disadvantaged Business Enterprise partners on obligations set forth in our joint venture agreements;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00" w:lineRule="exact"/>
        <w:rPr>
          <w:rFonts w:ascii="Arial" w:cs="Arial" w:eastAsia="Arial" w:hAnsi="Arial"/>
          <w:sz w:val="17"/>
          <w:szCs w:val="17"/>
          <w:color w:val="0000EE"/>
        </w:rPr>
      </w:pPr>
    </w:p>
    <w:p>
      <w:pPr>
        <w:spacing w:after="0" w:line="241" w:lineRule="exact"/>
        <w:rPr>
          <w:rFonts w:ascii="Arial" w:cs="Arial" w:eastAsia="Arial" w:hAnsi="Arial"/>
          <w:sz w:val="17"/>
          <w:szCs w:val="17"/>
          <w:color w:val="0000EE"/>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loss of, or an adverse change with regard to, one or more of our significant suppliers, distributors, vendors or other business relationships;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changes in such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supplement and the base prospectus and in the documents incorporated by reference herein, particularly in the “Risk Factors” section, that we believe could cause actual results or events to differ materially from the forward-looking statements that we make. For a summary of such factors, please refer to the section entitled “Risk Factors” in this prospectus supplement and the base prospectus, as updated and supplemented by the discussion of risks and uncertainties under “Risk Factors” contained in any supplements to this prospectus supplement and the base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light of these assumptions, risks and uncertainties, the results and events discussed in the forward-looking statements contained in this prospectus supplement and the base prospectus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450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6130" cy="6450330"/>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The following is only a summary. We urge you to read the entire prospectus, including the more detailed consolidated financial statements, notes to the consolidated financial statements and other information included herein or incorporated by reference from our other filings with the Securities and Exchange Commission, or SEC. Investing in our securities involves risks. Therefore, please carefully consider the information provided under the heading “Risk Factors” starting on page S-6.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5, 2018, we changed our name to XpresSpa Group, Inc. (“XpresSpa Group” or the “Company”) from FORM Holdings Corp. We rebranded to XpresSpa Group to align our corporate strategy to build a pure-play health and wellness services company, which commenced following our acquisition of XpresSpa Holdings, LLC (“Holdings” or “XpresSpa”) on December 23, 2016 (XpresSpa Group, Inc. and Holdings consolidated is referred to as the “Company”).</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 result of the transition to a pure-play health and wellness services company, we currently have one operating segment that is also our sole reporting unit, XpresSpa, the leading airport retailer of spa services. XpresSpa offers travelers premium spa services, including massage, nail and skin care, as well as spa and travel products. XpresSpa is a well-recognized airport spa brand with 51 locations, consisting of 46 domestic and 5 international locations as of December 31, 2019. During 2019 and 2018, XpresSpa generated $48,515,000 and $50,094,000 in revenue, respectively. In 2019 and 2018, approximately 82% of XpresSpa’s total revenue in both years was generated by services, primarily massage and nailcare. In 2019 and 2018, retail products and travel accessories accounted for 15% and 16%, respectively, of revenue and 3% and 2%, respectively, was other revenue.</w:t>
      </w:r>
    </w:p>
    <w:p>
      <w:pPr>
        <w:spacing w:after="0" w:line="1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July 8, 2019, we entered into an amended and restated product sale and marketing agreement, with Calm, Inc. (“Calm”), a company that has developed the leading app for sleep, meditation and relaxation. The agreement primarily allows for the display, marketing, promotion, offer for sale and sale of Calm’s products in each of our branded stores worldwide. The agreement will remain in effect until July 31, 2021, unless terminated earlier in accordance with the terms of the agreement, and automatically renews for successive terms of six months unless either party provides written notice of termination no later than thirty days prior. On October 30, 2019, we entered into the second amendment to the agreement with Calm, which provides for the addition of other Calm branded products available for sale in XpresSpa spas.</w:t>
      </w:r>
    </w:p>
    <w:p>
      <w:pPr>
        <w:spacing w:after="0" w:line="178"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On October 30, 2019, we signed a strategic partnership with Persona™, a Nestlé Health Science company and leading personalized vitamin subscription program, to offer Persona’s products in all of our domestic airport locations with our staff trained on the products by Persona’s nutritionists. Customers are able to purchase three different nutrition packs designed especially for travelers to support relaxation, immunity or jet lag, with customers receiving an exclusive discount on their first order. XpresSpa launched Persona in its airport locations in December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launched XpresCheck™ brand</w:t>
      </w:r>
    </w:p>
    <w:p>
      <w:pPr>
        <w:spacing w:after="0" w:line="22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On May 22, 2020, the Company announced the signing of a contract with JFK International Air Terminal LLC (“JFKIAT”) to pilot test our concept of providing diagnostic COVID-19 tests located in Terminal 4. To facilitate the JFK pilot test, the Company signed an agreement with JFKIAT for a new modular constructed testing facility within the terminal that will host nine separate testing rooms with a capacity to administer over 500 tests per day. The pilot test at JFK launched on June 22, 2020.</w:t>
      </w:r>
    </w:p>
    <w:p>
      <w:pPr>
        <w:spacing w:after="0" w:line="18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On August 13, 2020, the Company announced that it had signed a contract with the Port Authority of New York and New Jersey to provide diagnostic COVID-19 testing at Newark Liberty International Airport through its XpresCheck brand. The Company opened its modular constructed testing facility within Terminal B, which hosts 6 separate testing rooms with a capacity to administer over 350 tests per day, on August 17, 2020.</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40" w:top="1228" w:right="439" w:bottom="1440" w:gutter="0" w:footer="0" w:header="0"/>
        </w:sectPr>
      </w:pPr>
    </w:p>
    <w:bookmarkStart w:id="6" w:name="page7"/>
    <w:bookmarkEnd w:id="6"/>
    <w:p>
      <w:pPr>
        <w:jc w:val="both"/>
        <w:ind w:right="20" w:firstLine="32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176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6130" cy="6176010"/>
                    </a:xfrm>
                    <a:prstGeom prst="rect">
                      <a:avLst/>
                    </a:prstGeom>
                    <a:noFill/>
                  </pic:spPr>
                </pic:pic>
              </a:graphicData>
            </a:graphic>
          </wp:anchor>
        </w:drawing>
        <w:t>On August 24, 2020, the Company announced the entry into a contract with Abbott Laboratories for 100 ID NOW testing instruments, which could allow the waiting time for results of COVID-19 tests to be reduced from 48 hours or more to approximately 15 minutes or less.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Through its XpresCheck facilities, the Company is offering its testing services to airline employees, contractors and workers, concessionaires and their employees, TSA officers, and U.S. Customs and Border Protection agents, and over time, will expand to the traveling public as well. The Company entered into a one year management services agreement with a professional medical service entity that provides health care services to patients whereby XpresTest shall provide office space, equipment, supplies, non-licensed staff, and management services to be used for the purpose of COVID-19 testing in return for a management services fee.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On June 11, 2020, we effected a </w:t>
      </w:r>
      <w:r>
        <w:rPr>
          <w:rFonts w:ascii="Arial" w:cs="Arial" w:eastAsia="Arial" w:hAnsi="Arial"/>
          <w:sz w:val="18"/>
          <w:szCs w:val="18"/>
          <w:color w:val="auto"/>
          <w:highlight w:val="white"/>
        </w:rPr>
        <w:t>one-for-three</w:t>
      </w:r>
      <w:r>
        <w:rPr>
          <w:rFonts w:ascii="Arial" w:cs="Arial" w:eastAsia="Arial" w:hAnsi="Arial"/>
          <w:sz w:val="18"/>
          <w:szCs w:val="18"/>
          <w:color w:val="auto"/>
        </w:rPr>
        <w:t xml:space="preserve"> reverse stock split, whereby every three shares of our Common Stock was reduced to one share of our Common Stock and the price per share of our Common Stock was multiplied by 3</w:t>
      </w:r>
      <w:r>
        <w:rPr>
          <w:rFonts w:ascii="Arial" w:cs="Arial" w:eastAsia="Arial" w:hAnsi="Arial"/>
          <w:sz w:val="18"/>
          <w:szCs w:val="18"/>
          <w:b w:val="1"/>
          <w:bCs w:val="1"/>
          <w:color w:val="auto"/>
        </w:rPr>
        <w:t>.</w:t>
      </w:r>
      <w:r>
        <w:rPr>
          <w:rFonts w:ascii="Arial" w:cs="Arial" w:eastAsia="Arial" w:hAnsi="Arial"/>
          <w:sz w:val="18"/>
          <w:szCs w:val="18"/>
          <w:color w:val="auto"/>
        </w:rPr>
        <w:t xml:space="preserve"> All references to shares and per share amounts have been adjusted to reflect the reverse stock split.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Coronavirus on Business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March 11, 2020, the World Health Organization declared the outbreak of COVID-19, which continues to spread throughout the U.S. and the world, as a pandemic. The outbreak is having an impact on the global economy, resulting in rapidly changing market and economic conditions. National and local governments around the world instituted certain measures, including travel bans, prohibitions on group events and gatherings, shutdowns of certain non-essential businesses, curfews, shelter-in-place orders and recommendations to practice social distancing. The outbreak and associated restrictions on travel that have been implemented have had a material adverse impact on the Company’s business and cash flow from operations, similar to many businesses in the travel sector. Effective March 24, 2020, the Company temporarily closed all global spa locations, largely due to the categorization of the spa locations by local jurisdictions as “non-essential services”. The Company intends to reopen its spa locations and resume normal operations once restrictions are lifted and airport traffic returns to sufficient levels to support operations. The impact of COVID-19 is unknown and may continue as the rates of infection have increased in many states in the U.S., thus additional restrictive measures may be necessary.</w:t>
      </w:r>
    </w:p>
    <w:p>
      <w:pPr>
        <w:spacing w:after="0" w:line="166"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As a result, management has concluded that there was a long-lived and definite-lived asset impairment triggering event during the six months ended June 30, 2020 which would require management to perform an impairment evaluation of the Company’s property and equipment, intangible assets and operating lease right of use assets of approximately $21,088 (before any impairment adjustments) as of June 30, 2020.</w:t>
      </w:r>
    </w:p>
    <w:p>
      <w:pPr>
        <w:spacing w:after="0" w:line="16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completed an assessment of its property and equipment and operating lease right of use assets for impairment as of June 30, 2020. Based upon the results of the impairment test, the Company recorded an impairment expense related to property and equipment and operating lease right of use assets of approximately $1,821 and $2,238, respectively, during the three months ended June 30, 2020, which is included in Impairment/disposal of assets in the Company’s condensed consolidated statements of operations and comprehensive loss. The expense was primarily related to the impairment of leasehold improvements made to certain spa locations and operating lease right of use assets where management determined that the locations discounted future cash flow was not sufficient to support the carrying value of these assets over the remaining lease term. The property and equipment and right of use asset net balances decreased approximately 23% and 28%, respectively as a result of recording the impairment charges. Property and equipment, net decreased approximately $1,803 as a result of impairment of $1,821, depreciation expense of $1,312, offset by purchases during the six month period ended June 30, 2020 of $1,345. The impairment expense represents the excess of the carrying value of these assets over the estimated future discounted cash flows. Management calculated the future cash flow of each location using a present value income approach. The sum of expected cash flow for the remainder of the lease term for each location was present valued at a discount rate of 9.0%, which represents the current borrowing rate of our B3D Note. We believe that this rate incorporates the time value of money and an appropriate risk premium.</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40" w:top="1232" w:right="439" w:bottom="1440" w:gutter="0" w:footer="0" w:header="0"/>
        </w:sectPr>
      </w:pPr>
    </w:p>
    <w:bookmarkStart w:id="7" w:name="page8"/>
    <w:bookmarkEnd w:id="7"/>
    <w:p>
      <w:pPr>
        <w:jc w:val="both"/>
        <w:ind w:right="20" w:firstLine="32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47428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6130" cy="4742815"/>
                    </a:xfrm>
                    <a:prstGeom prst="rect">
                      <a:avLst/>
                    </a:prstGeom>
                    <a:noFill/>
                  </pic:spPr>
                </pic:pic>
              </a:graphicData>
            </a:graphic>
          </wp:anchor>
        </w:drawing>
        <w:t>We completed an assessment of our intangible assets for impairment as of June 30, 2020. The Company reassessed its projections and based on management’s expectation of resuming normal operations, no impairment was indicated at this time.</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full extent to which COVID-19 will impact the Company’s results will depend on future developments, which are highly uncertain and cannot be predicted, including new information which may emerge concerning the severity of the virus and the actions to contain or treat its impact. Management will continue to evaluate and assess its projections.</w:t>
      </w:r>
    </w:p>
    <w:p>
      <w:pPr>
        <w:spacing w:after="0" w:line="184"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The impact of the COVID-19 pandemic could continue to have a material adverse effect on our business, results of operations, financial condition, liquidity and prospects in the near-term and beyond 2020. While management has used all currently available information in its forecasts, the ultimate</w:t>
      </w:r>
    </w:p>
    <w:p>
      <w:pPr>
        <w:jc w:val="both"/>
        <w:spacing w:after="0" w:line="274" w:lineRule="auto"/>
        <w:rPr>
          <w:sz w:val="20"/>
          <w:szCs w:val="20"/>
          <w:color w:val="auto"/>
        </w:rPr>
      </w:pPr>
      <w:r>
        <w:rPr>
          <w:rFonts w:ascii="Arial" w:cs="Arial" w:eastAsia="Arial" w:hAnsi="Arial"/>
          <w:sz w:val="16"/>
          <w:szCs w:val="16"/>
          <w:color w:val="auto"/>
        </w:rPr>
        <w:t>impact of the COVID-19 pandemic and the Company’s newly launched brand, XpresCheck</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 on its results of operations, financial condition and cash flows is highly uncertain, and cannot currently be accurately predicted. The Company’s results of operations, financial condition and cash flows are dependent on future developments, including the duration of the pandemic and the related length of its impact on the global economy, such as a lengthy or severe recession or any other negative trend in the U.S. or global economy and any new information that may emerge concerning the COVID-19 outbreak and the actions to contain it or treat its impact, which at the present time are highly uncertain and cannot be predicted with any accuracy. The success or failure of the Company’s newly launched brand, XpresCheck</w:t>
      </w:r>
      <w:r>
        <w:rPr>
          <w:rFonts w:ascii="Arial" w:cs="Arial" w:eastAsia="Arial" w:hAnsi="Arial"/>
          <w:sz w:val="26"/>
          <w:szCs w:val="26"/>
          <w:color w:val="auto"/>
          <w:vertAlign w:val="superscript"/>
        </w:rPr>
        <w:t>TM</w:t>
      </w:r>
      <w:r>
        <w:rPr>
          <w:rFonts w:ascii="Arial" w:cs="Arial" w:eastAsia="Arial" w:hAnsi="Arial"/>
          <w:sz w:val="16"/>
          <w:szCs w:val="16"/>
          <w:color w:val="auto"/>
        </w:rPr>
        <w:t>, could also have a material effect on the Company’s business.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Airport Rent Concessions</w:t>
      </w:r>
    </w:p>
    <w:p>
      <w:pPr>
        <w:spacing w:after="0" w:line="225"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The Company has received rent concessions from landlords on a majority of its leases, allowing for the relief of minimum guaranteed payments in exchange for percentage-of-revenue rent or providing relief from rent through payment deferrals. Currently, the period of relief from these payments range from three- to ten-months and began in March 2020. The Company received minimum guaranteed payment concessions of approximately $693 in the three months ended June 30, 2020 and $768 in the six months ended June 30, 2020. We expect to realize additional rent concessions while our spas remain closed.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Information</w:t>
      </w:r>
    </w:p>
    <w:p>
      <w:pPr>
        <w:spacing w:after="0" w:line="229"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10001.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xml:space="preserve">. We also operate the website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 incorporation by reference of the information contained on the website.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1232"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176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6130" cy="6176010"/>
                    </a:xfrm>
                    <a:prstGeom prst="rect">
                      <a:avLst/>
                    </a:prstGeom>
                    <a:noFill/>
                  </pic:spPr>
                </pic:pic>
              </a:graphicData>
            </a:graphic>
          </wp:anchor>
        </w:drawing>
        <w:t>SUMMARY OF THE OFFERING</w:t>
      </w:r>
    </w:p>
    <w:p>
      <w:pPr>
        <w:sectPr>
          <w:pgSz w:w="11900" w:h="16838" w:orient="portrait"/>
          <w:cols w:equalWidth="0" w:num="1">
            <w:col w:w="11020"/>
          </w:cols>
          <w:pgMar w:left="440" w:top="1228" w:right="4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10,407,408 shares.</w:t>
      </w:r>
    </w:p>
    <w:p>
      <w:pPr>
        <w:spacing w:after="0" w:line="211" w:lineRule="exact"/>
        <w:rPr>
          <w:sz w:val="20"/>
          <w:szCs w:val="20"/>
          <w:color w:val="auto"/>
        </w:rPr>
      </w:pPr>
    </w:p>
    <w:p>
      <w:pPr>
        <w:sectPr>
          <w:pgSz w:w="11900" w:h="16838" w:orient="portrait"/>
          <w:cols w:equalWidth="0" w:num="2">
            <w:col w:w="2920" w:space="720"/>
            <w:col w:w="7380"/>
          </w:cols>
          <w:pgMar w:left="440" w:top="1228" w:right="4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Warrants offered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offering Warrants to purchase 11,216,932 shares of Common Stock. Each Warrant is exercisable for one share of our Common Stock at an exercise price of $3.02 per share. The Warrants are exercisable immediately and may be exercised at any time until August 29, 2022. This offering also relates to the shares of Common Stock issuable upon exercise of the Warrants sold in this offering.</w:t>
      </w:r>
    </w:p>
    <w:p>
      <w:pPr>
        <w:spacing w:after="0" w:line="188" w:lineRule="exact"/>
        <w:rPr>
          <w:sz w:val="20"/>
          <w:szCs w:val="20"/>
          <w:color w:val="auto"/>
        </w:rPr>
      </w:pPr>
    </w:p>
    <w:p>
      <w:pPr>
        <w:sectPr>
          <w:pgSz w:w="11900" w:h="16838" w:orient="portrait"/>
          <w:cols w:equalWidth="0" w:num="2">
            <w:col w:w="2920" w:space="720"/>
            <w:col w:w="7380"/>
          </w:cols>
          <w:pgMar w:left="440" w:top="1228" w:right="439" w:bottom="1440" w:gutter="0" w:footer="0" w:header="0"/>
          <w:type w:val="continuous"/>
        </w:sectPr>
      </w:pPr>
    </w:p>
    <w:p>
      <w:pPr>
        <w:spacing w:after="0"/>
        <w:rPr>
          <w:sz w:val="20"/>
          <w:szCs w:val="20"/>
          <w:color w:val="auto"/>
        </w:rPr>
      </w:pPr>
      <w:r>
        <w:rPr>
          <w:rFonts w:ascii="Arial" w:cs="Arial" w:eastAsia="Arial" w:hAnsi="Arial"/>
          <w:sz w:val="15"/>
          <w:szCs w:val="15"/>
          <w:color w:val="auto"/>
        </w:rPr>
        <w:t>Pre-Funded Warrants offered</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Arial" w:cs="Arial" w:eastAsia="Arial" w:hAnsi="Arial"/>
          <w:sz w:val="17"/>
          <w:szCs w:val="17"/>
          <w:color w:val="auto"/>
        </w:rPr>
        <w:t>We are also offering Pre-Funded Warrants to purchase 809,524 shares of Common Stock to certain purchasers whose purchase of shares of Common Stock in this offering would otherwise result in the purchaser, together with its affiliates and certain related parties, beneficially owning more than 4.99% (or, at the election of the purchaser, 9.99%) of our outstanding Common Stock immediately following the consummation of this offering, in lieu of shares of Common Stock that would otherwise result in each such purchaser’s beneficial ownership exceeding 4.99% (or, at the election of the purchaser, 9.99%) of our outstanding Common Stock. Each Pre-Funded Warrant is exercisable for one share of our Common Stock. The purchase price of each Pre-Funded Warrant is equal to the price at which the share of Common Stock is being sold to the public in this offering, minus $0.001, and the exercise price of each Pre-Funded Warrant is $0.001 per share. The Pre-Funded Warrants are exercisable immediately and may be exercised at any time until all of the Pre-Funded Warrants are exercised in full. This offering also relates to the shares of Common Stock issuable upon exercise of the Pre-Funded Warrants sold in this offering.</w:t>
      </w:r>
    </w:p>
    <w:p>
      <w:pPr>
        <w:spacing w:after="0" w:line="186" w:lineRule="exact"/>
        <w:rPr>
          <w:sz w:val="20"/>
          <w:szCs w:val="20"/>
          <w:color w:val="auto"/>
        </w:rPr>
      </w:pPr>
    </w:p>
    <w:p>
      <w:pPr>
        <w:sectPr>
          <w:pgSz w:w="11900" w:h="16838" w:orient="portrait"/>
          <w:cols w:equalWidth="0" w:num="2">
            <w:col w:w="2920" w:space="720"/>
            <w:col w:w="7380"/>
          </w:cols>
          <w:pgMar w:left="440" w:top="1228" w:right="439" w:bottom="1440" w:gutter="0" w:footer="0" w:header="0"/>
          <w:type w:val="continuous"/>
        </w:sectPr>
      </w:pPr>
    </w:p>
    <w:p>
      <w:pPr>
        <w:jc w:val="both"/>
        <w:ind w:left="3640" w:right="20" w:hanging="3644"/>
        <w:spacing w:after="0" w:line="286" w:lineRule="auto"/>
        <w:rPr>
          <w:sz w:val="20"/>
          <w:szCs w:val="20"/>
          <w:color w:val="auto"/>
        </w:rPr>
      </w:pPr>
      <w:r>
        <w:rPr>
          <w:rFonts w:ascii="Arial" w:cs="Arial" w:eastAsia="Arial" w:hAnsi="Arial"/>
          <w:sz w:val="17"/>
          <w:szCs w:val="17"/>
          <w:color w:val="auto"/>
        </w:rPr>
        <w:t>Common stock to be outstanding after the offering67,983,669 shares (assuming no exercise of the Warrants or the Pre-Funded Warrants). Assuming all of the Warrants and the Pre-Funded Warrants were immediately exercised, there would be 80,010,125 shares of Common Stock outstanding after this offering.</w:t>
      </w:r>
    </w:p>
    <w:p>
      <w:pPr>
        <w:sectPr>
          <w:pgSz w:w="11900" w:h="16838" w:orient="portrait"/>
          <w:cols w:equalWidth="0" w:num="1">
            <w:col w:w="11020"/>
          </w:cols>
          <w:pgMar w:left="440" w:top="1228" w:right="43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receive net proceeds of approximately $31.4 million from this offering, excluding any proceeds that may be received upon the cash exercise of the Warrants, the Pre-Funded Warrants or the Placement Agent Warrants, after deducting the estimated offering expenses payable by us, including the placement agent fees. We intend to use the net proceeds from this offering for capital expenditures to support future locations, as well as for working capital and general corporate purposes. See “Use of Proceeds.”</w:t>
      </w:r>
    </w:p>
    <w:p>
      <w:pPr>
        <w:spacing w:after="0" w:line="192" w:lineRule="exact"/>
        <w:rPr>
          <w:sz w:val="20"/>
          <w:szCs w:val="20"/>
          <w:color w:val="auto"/>
        </w:rPr>
      </w:pPr>
    </w:p>
    <w:p>
      <w:pPr>
        <w:sectPr>
          <w:pgSz w:w="11900" w:h="16838" w:orient="portrait"/>
          <w:cols w:equalWidth="0" w:num="2">
            <w:col w:w="2920" w:space="720"/>
            <w:col w:w="7380"/>
          </w:cols>
          <w:pgMar w:left="440" w:top="1228" w:right="439" w:bottom="1440" w:gutter="0" w:footer="0" w:header="0"/>
          <w:type w:val="continuous"/>
        </w:sectPr>
      </w:pPr>
    </w:p>
    <w:p>
      <w:pPr>
        <w:spacing w:after="0"/>
        <w:rPr>
          <w:sz w:val="20"/>
          <w:szCs w:val="20"/>
          <w:color w:val="auto"/>
        </w:rPr>
      </w:pPr>
      <w:r>
        <w:rPr>
          <w:rFonts w:ascii="Arial" w:cs="Arial" w:eastAsia="Arial" w:hAnsi="Arial"/>
          <w:sz w:val="16"/>
          <w:szCs w:val="16"/>
          <w:color w:val="auto"/>
        </w:rPr>
        <w:t>Nasdaq Capital Market symbol</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Our Common Stock is listed on Nasdaq under the symbol “XSPA”. We do not intend to list the Warrants or the Pre-Funded Warrants on any securities exchange or nationally recognized trading system.</w:t>
      </w:r>
    </w:p>
    <w:p>
      <w:pPr>
        <w:spacing w:after="0" w:line="184" w:lineRule="exact"/>
        <w:rPr>
          <w:sz w:val="20"/>
          <w:szCs w:val="20"/>
          <w:color w:val="auto"/>
        </w:rPr>
      </w:pPr>
    </w:p>
    <w:p>
      <w:pPr>
        <w:sectPr>
          <w:pgSz w:w="11900" w:h="16838" w:orient="portrait"/>
          <w:cols w:equalWidth="0" w:num="2">
            <w:col w:w="2920" w:space="720"/>
            <w:col w:w="7380"/>
          </w:cols>
          <w:pgMar w:left="440" w:top="1228" w:right="43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63" w:lineRule="auto"/>
        <w:rPr>
          <w:sz w:val="20"/>
          <w:szCs w:val="20"/>
          <w:color w:val="auto"/>
        </w:rPr>
      </w:pPr>
      <w:r>
        <w:rPr>
          <w:rFonts w:ascii="Arial" w:cs="Arial" w:eastAsia="Arial" w:hAnsi="Arial"/>
          <w:sz w:val="18"/>
          <w:szCs w:val="18"/>
          <w:color w:val="auto"/>
        </w:rPr>
        <w:t>Investing in our securities involves a high degree of risk. See “Risk Factors” on page S-6 of this prospectus supplement to read about factors you should consider carefully before buying shares of our Common Stock.</w:t>
      </w:r>
    </w:p>
    <w:p>
      <w:pPr>
        <w:spacing w:after="0" w:line="200" w:lineRule="exact"/>
        <w:rPr>
          <w:sz w:val="20"/>
          <w:szCs w:val="20"/>
          <w:color w:val="auto"/>
        </w:rPr>
      </w:pPr>
    </w:p>
    <w:p>
      <w:pPr>
        <w:sectPr>
          <w:pgSz w:w="11900" w:h="16838" w:orient="portrait"/>
          <w:cols w:equalWidth="0" w:num="2">
            <w:col w:w="2920" w:space="720"/>
            <w:col w:w="7380"/>
          </w:cols>
          <w:pgMar w:left="440" w:top="1228" w:right="4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36830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40" w:top="1228" w:right="4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2747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6130" cy="2747010"/>
                    </a:xfrm>
                    <a:prstGeom prst="rect">
                      <a:avLst/>
                    </a:prstGeom>
                    <a:noFill/>
                  </pic:spPr>
                </pic:pic>
              </a:graphicData>
            </a:graphic>
          </wp:anchor>
        </w:drawing>
        <w:t>The number of shares of Common Stock that will be outstanding after this offering is based on 57,576,261 shares of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25, 2020, and also excludes:</w:t>
      </w:r>
    </w:p>
    <w:p>
      <w:pPr>
        <w:spacing w:after="0" w:line="211" w:lineRule="exact"/>
        <w:rPr>
          <w:sz w:val="20"/>
          <w:szCs w:val="20"/>
          <w:color w:val="auto"/>
        </w:rPr>
      </w:pPr>
    </w:p>
    <w:p>
      <w:pPr>
        <w:ind w:left="640" w:hanging="320"/>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684,286 shares of Common Stock issuable as of the date hereof upon the conversion of indebtedness outstanding as of August 25, 2020;</w:t>
      </w:r>
    </w:p>
    <w:p>
      <w:pPr>
        <w:spacing w:after="0" w:line="236" w:lineRule="exact"/>
        <w:rPr>
          <w:rFonts w:ascii="Arial" w:cs="Arial" w:eastAsia="Arial" w:hAnsi="Arial"/>
          <w:sz w:val="17"/>
          <w:szCs w:val="17"/>
          <w:color w:val="auto"/>
        </w:rPr>
      </w:pPr>
    </w:p>
    <w:p>
      <w:pPr>
        <w:ind w:left="640" w:right="20" w:hanging="320"/>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8,482,389 shares of Common Stock issuable as of the date hereof upon the exercise of common stock warrants outstanding as of August 25, 2020 at a weighted average exercise price of $5.38 per share;</w:t>
      </w:r>
    </w:p>
    <w:p>
      <w:pPr>
        <w:spacing w:after="0" w:line="170" w:lineRule="exact"/>
        <w:rPr>
          <w:rFonts w:ascii="Arial" w:cs="Arial" w:eastAsia="Arial" w:hAnsi="Arial"/>
          <w:sz w:val="18"/>
          <w:szCs w:val="18"/>
          <w:color w:val="auto"/>
        </w:rPr>
      </w:pPr>
    </w:p>
    <w:p>
      <w:pPr>
        <w:ind w:left="640" w:right="20" w:hanging="320"/>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666,797 shares of Common Stock issuable as of the date hereof upon the exercise of stock options at a weighted average exercise price of $5.43 per share outstanding as of August 25, 2020; and</w:t>
      </w:r>
    </w:p>
    <w:p>
      <w:pPr>
        <w:spacing w:after="0" w:line="170" w:lineRule="exact"/>
        <w:rPr>
          <w:rFonts w:ascii="Arial" w:cs="Arial" w:eastAsia="Arial" w:hAnsi="Arial"/>
          <w:sz w:val="18"/>
          <w:szCs w:val="18"/>
          <w:color w:val="auto"/>
        </w:rPr>
      </w:pPr>
    </w:p>
    <w:p>
      <w:pPr>
        <w:ind w:left="640" w:right="20" w:hanging="320"/>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117,051 shares of Common Stock available for future issuance under the 2012 Employee, Director and Consultant Equity Incentive Plan, as amended.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Unless otherwise indicated, </w:t>
      </w:r>
      <w:r>
        <w:rPr>
          <w:rFonts w:ascii="Arial" w:cs="Arial" w:eastAsia="Arial" w:hAnsi="Arial"/>
          <w:sz w:val="16"/>
          <w:szCs w:val="16"/>
          <w:color w:val="auto"/>
          <w:highlight w:val="white"/>
        </w:rPr>
        <w:t>all information in this prospectus supplement, including share and per share amounts, gives effect to the 1-for-3</w:t>
      </w:r>
      <w:r>
        <w:rPr>
          <w:rFonts w:ascii="Arial" w:cs="Arial" w:eastAsia="Arial" w:hAnsi="Arial"/>
          <w:sz w:val="16"/>
          <w:szCs w:val="16"/>
          <w:color w:val="auto"/>
        </w:rPr>
        <w:t xml:space="preserve"> reverse stock split </w:t>
      </w:r>
      <w:r>
        <w:rPr>
          <w:rFonts w:ascii="Arial" w:cs="Arial" w:eastAsia="Arial" w:hAnsi="Arial"/>
          <w:sz w:val="16"/>
          <w:szCs w:val="16"/>
          <w:color w:val="auto"/>
          <w:highlight w:val="white"/>
        </w:rPr>
        <w:t>effected on June 11, 2020, and</w:t>
      </w:r>
      <w:r>
        <w:rPr>
          <w:rFonts w:ascii="Arial" w:cs="Arial" w:eastAsia="Arial" w:hAnsi="Arial"/>
          <w:sz w:val="16"/>
          <w:szCs w:val="16"/>
          <w:color w:val="auto"/>
        </w:rPr>
        <w:t xml:space="preserve"> assumes no exercise of the Placement Agent Warrants to be issued to the placement agent in connection with this offering and no exercise of the Warrants or Pre-Funded Warrants to purchase shares of our Common Stock issued in this offering.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1232" w:right="439" w:bottom="1440" w:gutter="0" w:footer="0" w:header="0"/>
        </w:sectPr>
      </w:pPr>
    </w:p>
    <w:bookmarkStart w:id="10" w:name="page11"/>
    <w:bookmarkEnd w:id="10"/>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54" w:lineRule="auto"/>
        <w:rPr>
          <w:rFonts w:ascii="Arial" w:cs="Arial" w:eastAsia="Arial" w:hAnsi="Arial"/>
          <w:sz w:val="18"/>
          <w:szCs w:val="18"/>
          <w:i w:val="1"/>
          <w:iCs w:val="1"/>
          <w:color w:val="0000EE"/>
        </w:rPr>
      </w:pPr>
      <w:r>
        <w:rPr>
          <w:rFonts w:ascii="Arial" w:cs="Arial" w:eastAsia="Arial" w:hAnsi="Arial"/>
          <w:sz w:val="18"/>
          <w:szCs w:val="18"/>
          <w:i w:val="1"/>
          <w:iCs w:val="1"/>
          <w:color w:val="auto"/>
        </w:rPr>
        <w:t xml:space="preserve">Investing in our securities involves a high degree of risk. You should carefully consider the risks and uncertainties described below and discussed under the section entitled “Risk Factors” contained in our </w:t>
      </w:r>
      <w:hyperlink r:id="rId11">
        <w:r>
          <w:rPr>
            <w:rFonts w:ascii="Arial" w:cs="Arial" w:eastAsia="Arial" w:hAnsi="Arial"/>
            <w:sz w:val="18"/>
            <w:szCs w:val="18"/>
            <w:i w:val="1"/>
            <w:iCs w:val="1"/>
            <w:u w:val="single" w:color="auto"/>
            <w:color w:val="0000EE"/>
          </w:rPr>
          <w:t>Annual Report on Form 10-K for the year ended December 31, 2019,</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i w:val="1"/>
          <w:iCs w:val="1"/>
          <w:color w:val="auto"/>
        </w:rPr>
        <w:t xml:space="preserve">as amended, and our </w:t>
      </w:r>
      <w:hyperlink r:id="rId12">
        <w:r>
          <w:rPr>
            <w:rFonts w:ascii="Arial" w:cs="Arial" w:eastAsia="Arial" w:hAnsi="Arial"/>
            <w:sz w:val="18"/>
            <w:szCs w:val="18"/>
            <w:i w:val="1"/>
            <w:iCs w:val="1"/>
            <w:u w:val="single" w:color="auto"/>
            <w:color w:val="0000EE"/>
          </w:rPr>
          <w:t>Quarterly Report on Form 10-Q for the quarter ended June 30, 2020</w:t>
        </w:r>
      </w:hyperlink>
      <w:r>
        <w:rPr>
          <w:rFonts w:ascii="Arial" w:cs="Arial" w:eastAsia="Arial" w:hAnsi="Arial"/>
          <w:sz w:val="18"/>
          <w:szCs w:val="18"/>
          <w:i w:val="1"/>
          <w:iCs w:val="1"/>
          <w:color w:val="000000"/>
        </w:rPr>
        <w:t>,</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which are incorporated by reference in this prospectus supplement, together with all</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of the other information contained in, or incorporated by reference, in this prospectus supplement and the accompanying prospectus, before purchasing any of our securities. These risks and uncertainties are not the only ones facing us. Additional risks and uncertainties that we are unaware of, or that we currently deem immaterial, also may become important factors that affect us. If any of these risks actually occur, our business, financial condition, results of operations and future prospects could be materially and adversely affected. In that case, the trading price of our Common Stock could decline, and you may lose some or all of your investment.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will experience immediate and substantial dilution in the net tangible book value per share of the Common Stock you purchase.</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Since the price per share of our Common Stock being offered is substantially higher than the net tangible book value per share of our Common Stock, you will suffer immediate and substantial dilution in the net tangible book value of the Common Stock you purchase in this offering. As of June 30, 2020, our net tangible book value was approximately $24.0 million, or $0.4253 per share. As discussed in greater detail in the “Dilution” section of this prospectus supplement, based on the combined offering price of $3.15 per share of Common Stock and Warrants and our pro forma net tangible book value as of June 30, 2020, if you purchase securities in this offering, you will suffer immediate and substantial dilution of $2.3257 per share with respect to the pro forma net tangible book value of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public market for the Warrants or Pre-Funded Warrants being offered in this offering.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is no established public trading market for the Warrants or Pre-Funded Warrants being offered in this offering, and we do not expect a market to develop. In addition, we do not intend to apply to list the Warrants or the Pre-Funded Warrants on any securities exchange or nationally recognized trading system, including Nasdaq. Without an active market, the liquidity of the Warrants and Pre-Funded Warrants will be limited.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Holders of Warrants or Pre-Funded Warrants purchased in this offering will have no rights as common stockholders until such holders exercise such Warrants or Pre-Funded Warrants and acquire our Common Stock.</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Until holders of Warrants or Pre-Funded Warrants acquire shares of our Common Stock upon exercise of such Warrants or Pre-Funded Warrants, holders of Warrants or Pre-Funded Warrants will have no rights with respect to the shares of our Common Stock underlying such Warrants or Pre-Funded Warrants. Upon exercise of the Warrants or Pre-Funded Warrants, the holders will be entitled to exercise the rights of a common stockholder only as to matters for which the record date occurs after the exercise date.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a significant number of outstanding warrants, some of which contain full-ratchet anti-dilution protection, which may cause significant dilution to our stockholders, have a material adverse impact on the market price of our Common Stock and make it more difficult for us to raise funds through future equity offerings.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August 25, 2020, we had 57,576,261 shares of Common Stock outstanding. In addition, as of that date we had outstanding warrants to acquire up to 8,482,389 shares of Common Stock. The issuance of shares of Common Stock upon the exercise of warrants would dilute the percentage ownership interest of all stockholders, might dilute the book value per share of our Common Stock and would increase the number of our publicly traded shares, which could depress the market price of our Common Stock.</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Historically, certain of our outstanding warrants contain full-ratchet anti-dilution provisions which, subject to limited exceptions, would reduce the exercise price of the warrants (and increase the number of shares issuable) in the event that we in the future issue Common Stock, or securities convertible into or exercisable to purchase Common Stock at a price per share lower than the exercise price then in effect, to such lower price. The offering of our securities in connection with a prospectus supplement dated March 19, 2020, triggered such full-ratchet anti-dilution provisions in the instruments listed below and reduced the exercise price or conversion price, as the case may be, of each such warrant, convertible note or convertible preferred stock, as the case may be, to $0.525 per share. Because this offering relates to the sale of Common Stock at a purchase price per share that is above the current exercise price of each of the warrants described below, this offering does not trigger the full-ratchet anti-dilution provisions contained in such instruments; however, such full-ratchet anti-dilution provisions could be triggered in connection with future offerings.</w:t>
      </w:r>
    </w:p>
    <w:p>
      <w:pPr>
        <w:spacing w:after="0" w:line="178" w:lineRule="exact"/>
        <w:rPr>
          <w:sz w:val="20"/>
          <w:szCs w:val="20"/>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July 8, 2019, we entered into an amendment to certain outstanding warrants issued in December 2016 (the “December 2016 Warrants”), in order to, among other things, reduce the exercise price of such warrants, which exercise price was subsequently reduced to $0.525 per share. The December 2016 Warrants contain anti-dilution price protection.</w:t>
      </w:r>
    </w:p>
    <w:p>
      <w:pPr>
        <w:spacing w:after="0" w:line="18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March 6, 2020, we entered into a sixth amendment to our existing credit agreement with B3D, LLC (“B3D”) in order to, among other provisions, amend and restate our existing convertible promissory note (the “B3D Note”) in order to increase the principal amount owed to B3D to $7.9 million. B3D was entitled to convert up to $7.9 million in principal and the interest accrued thereon into shares of Common Stock at its option at a conversion price that was subsequently reduced to $0.525 per share. B3D has converted a portion of the outstanding principal under the B3D Note into Common Stock during the second quarter of 2020 and thereafter, and the outstanding balance on the B3D Notes is $0.4 million as of August 25, 2020.</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to the dilutive effects described above, the perceived risk of dilution as a result of the significant number of outstanding warrants may cause our common stockholders to be more inclined to sell their shares, which would contribute to a downward movement in the price of our Common Stock. Moreover, the perceived risk of dilution and the resulting downward pressure on our Common Stock price could encourage investors to engage in short sales of our Common Stock, which could further contribute to price declines in our Common Stock. The fact that our stockholders and warrant holders can sell substantial amounts of our Common Stock in the public market, whether or not sales have occurred or are occurring, as well as the existence of full-ratchet anti-dilution provisions in our warrants, could make it more difficult for us to raise additional funds through the sale of equity or equity-related securities in the future at a time and price that we deem reasonable or appropriate, or at all.</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ectPr>
          <w:pgSz w:w="11900" w:h="16922" w:orient="portrait"/>
          <w:cols w:equalWidth="0" w:num="1">
            <w:col w:w="11240"/>
          </w:cols>
          <w:pgMar w:left="320" w:top="904" w:right="339" w:bottom="0" w:gutter="0" w:footer="0" w:header="0"/>
        </w:sectPr>
      </w:pPr>
    </w:p>
    <w:bookmarkStart w:id="11" w:name="page12"/>
    <w:bookmarkEnd w:id="11"/>
    <w:p>
      <w:pPr>
        <w:jc w:val="both"/>
        <w:ind w:firstLine="324"/>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financings or similar arrangements in the future, including the issuance of debt securities, preferred stock or Common Stock. If we issue Common Stock or securities convertible or exercisable into Common Stock, our common stockholders would experience additional dilution and, as a result, our stock price may decline.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how we use the net proceeds of this offering. We may not use these proceeds effectively, which could affect our results of operations and cause our stock price to decline.</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will have considerable discretion in the application of the net proceeds of this offering, including for any of the purposes described in the section entitled “Use of Proceeds.” We intend to use the net proceeds from this offering for future locations, as well as for working capital and general corporate purposes.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our Common Stock is listed on the Nasdaq, the market for our Common Stock has demonstrated varying levels of trading activity. Furthermore, the current level of trading may not be sustained in the future. The lack of an active market for our Common Stock may impair investors’ ability to sell their shares at the time they wish to sell them or at a price that they consider reasonable, may reduce the fair market value of their shares and may impair our ability to raise capital to continue to fund operations by selling shares and may impair our ability to acquire additional intellectual property assets by using our shares as consideration.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substantial volatility, and stockholders may lose all or a substantial part of their investment.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Common Stock currently trades on Nasdaq. There is limited public float, and trading volume historically has been low and sporadic. As a result, the market price for our Common Stock may not necessarily be a reliable indicator of our fair market value. The price at which our Common Stock trades may fluctuate as a result of a number of factors, including the number of shares available for sale in the market, quarterly variations in our operating results, actual or anticipated announcements of new releases by us or competitors, the gain or loss of significant customers, changes in the estimates of our operating performance, market conditions in our industry and the economy as a whole.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meet the continued listing requirements of The Nasdaq Capital Market could result in a delisting of our Common Stock.</w:t>
      </w:r>
    </w:p>
    <w:p>
      <w:pPr>
        <w:spacing w:after="0" w:line="23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continued listing standards of Nasdaq provide, among other things, that a company may be delisted if the bid price of its stock drops below $1.00 for a period of 30 consecutive business days or if stockholders’ equity is less than $2.5 million. On January 2, 2020, we received a deficiency letter from The Nasdaq Stock Market which provided us a grace period of 180 calendar days, or until June 30, 2020, to regain compliance with the minimum bid price requirement. On April 17, 2020, we received notice from Nasdaq, which stated that, due to recent market conditions, effective as of April 16, 2020, Nasdaq has determined to toll the compliance period for the minimum bid price requirement through June 30, 2020. In order to regain compliance, on June 10, 2020, we filed a certificate of amendment to our amended and restated certificate of incorporation with the Secretary of State of the State of Delaware to effect a one-for-three reverse stock split of our outstanding shares of Common Stock. On June 17, 2020, we received a notification letter from The Nasdaq Stock Market informing us that we had regained compliance with Listing Rule 5550(a)(2).</w:t>
      </w:r>
    </w:p>
    <w:p>
      <w:pPr>
        <w:spacing w:after="0" w:line="17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While we have exercised diligent efforts to maintain the listing of our Common Stock on Nasdaq, there can be no assurance that we will be able to continue to meet the continuing listing requirements of The Nasdaq Capital Market. If we are unable to meet the continuing listing requirements, Nasdaq may take steps to delist our Common Stock. Such a delisting would likely have a negative effect on the price of our Common Stock and would impair your ability to sell or purchase our Common Stock when you wish to do so. Further, if we were to be delisted from The Nasdaq Capital Market, our Common Stock would cease to be recognized as covered securities and we would be subject to regulation in each state in which we offer our securities.</w:t>
      </w:r>
    </w:p>
    <w:p>
      <w:pPr>
        <w:spacing w:after="0" w:line="1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Common Stock becomes subject to the penny stock rules, it may be more difficult to sell our Common Stock.</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The OTC Bulletin Board does not meet such requirements and if the price of our Common Stock is less than $5.00 and our Common Stock is no longer listed on a national securities exchange such as Nasdaq, our stock may be deemed a penny stock. The penny stock rules require a broker-dealer, at least two business days prior to a transaction in a penny stock not otherwise exempt from those rules, to deliver to the customer a standardized risk disclosure document containing specified information and to obtain from the customer a signed and date acknowledgment of receipt of that document. In addition, the penny stock rules require that prior to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never paid or declared any cash dividends on our Common Stock. We currently intend to retain earnings, if any, to finance the growth and development of our business and we do not anticipate paying any cash dividends in the foreseeable future. As a result, only appreciation of the price of our Common Stock will provide a return to our stockholders.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to receive net proceeds of approximately $31.4 million from this offering, after deducting estimated offering expenses payable by us, including the placement agent fees, and excluding the proceeds, if any, from the exercise of the Warrants, the Pre-Funded Warrants or the Placement Agent Warrants issued in this offering. We intend to use the net proceeds from this offering for capital expenditures to support future locations, as well as for working capital and general corporate purposes.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never declared or paid any cash dividends on our Common Stock and do not expect to pay any cash dividends for the foreseeable future. We intend to use future earnings, if any, in the operation and expansion of our business. Any future determination relating to our dividend policy will be made at the discretion of our Board of Directors, based on our financial condition, results of operations, contractual restrictions, capital requirements, business properties, restrictions imposed by applicable law and other factors our Board of Directors may deem relevant.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2020, our net tangible book value was approximately $24.0 million, or $0.4253 per share of our Common Stock. Net tangible book value per share represents the amount of our total tangible assets less our total liabilities, divided by the total number of shares of our Common Stock outstanding as of June 30, 2020.</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pro forma net tangible book value as of June 30, 2020 was $24.6 million, or $0.4270 per share of our Common Stock. Pro forma net tangible book value per share represents total tangible assets less total liabilities, divided by the number of shares of our Common Stock outstanding as June 30, 2020, after giving effect to the issuance of an aggregate of 1,033,120 shares of Common Stock upon conversion of existing indebtedness.</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After giving effect to the issuance in the foregoing paragraph, as well as the sale of 10,407,408 shares of our Common Stock, Warrants to purchase up to 11,216,932 shares of Common Stock and Pre-Funded Warrants to purchase up to 809,524 shares of Common Stock in this offering at a combined offering price of $3.15 per share, and after deducting estimated offering expenses payable by us, and excluding the proceeds, if any, from the exercise of the Warrants, the Pre-Funded Warrants or the Placement Agent Warrants issued in this offering, our pro forma as adjusted net tangible book value as of June 30, 2020 would have been approximately $56.0 million, or $0.8243 per share of Common Stock. This represents an immediate increase in pro forma as adjusted net tangible book value of $0.3973 per share to our existing stockholders and immediate dilution in pro forma as adjusted net tangible book value of $2.3257 per share to investors participating in this offering. The following table illustrates this dilution per share of Common Stock to investors participating in this offering: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public offering price per share and warrant</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r>
      <w:tr>
        <w:trPr>
          <w:trHeight w:val="216"/>
        </w:trPr>
        <w:tc>
          <w:tcPr>
            <w:tcW w:w="8440" w:type="dxa"/>
            <w:vAlign w:val="bottom"/>
          </w:tcPr>
          <w:p>
            <w:pPr>
              <w:ind w:left="20"/>
              <w:spacing w:after="0"/>
              <w:rPr>
                <w:sz w:val="20"/>
                <w:szCs w:val="20"/>
                <w:color w:val="auto"/>
              </w:rPr>
            </w:pPr>
            <w:r>
              <w:rPr>
                <w:rFonts w:ascii="Arial" w:cs="Arial" w:eastAsia="Arial" w:hAnsi="Arial"/>
                <w:sz w:val="18"/>
                <w:szCs w:val="18"/>
                <w:color w:val="auto"/>
              </w:rPr>
              <w:t>Net tangible book value per share as of June 30, 2020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0.4253</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tangible book value per share attributable to pro forma adjustments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0.0017</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Pro forma net tangible book value per share as of June 30, 2020</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0.4270</w:t>
            </w: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pro forma net tangible book value per share attributable to this offering</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0.3973</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giving effect to the offering</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0.8243</w:t>
            </w: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per share to new investors in this offering</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(2.3257)</w:t>
            </w: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foregoing illustration does not reflect the potential dilution from (i) the exercise of Warrants to purchase up to 11,216,932 shares of Common Stock at an exercise price of $3.02 per share, (ii) the exercise of Pre-Funded Warrants to purchase up to 809,524 shares of Common Stock at an exercise price of $0.001 per share, (iii) the exercise of Placement Agent Warrants to purchase up to 897,355 shares of Common Stock, (iv) the exercise of Palladium warrants to purchase up to 222,222 shares of Common Stock; (v) the exercise of outstanding options or warrants to purchase shares of our Common Stock or (vi) the conversion of outstanding convertible debt into Common Stock.</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Assuming all of the Placement Agent Warrants to purchase up to 897,355 shares of Common Stock were immediately exercised for cash at an exercise price of $3.9375 per share, our as adjusted net tangible book value as of June 30, 2020 would be approximately $59.5 million, or $0.8649 per share of Common Stock. This amount represents an immediate increase in as adjusted net tangible book value of $0.4379 per share to our existing stockholders and an immediate dilution of $2.2851 per share to investors participating in this offering.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number of shares of Common Stock that will be outstanding after this offering is based on 57,576,261 shares of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25, 2020, and also excludes:</w:t>
      </w:r>
    </w:p>
    <w:p>
      <w:pPr>
        <w:spacing w:after="0" w:line="21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684,286 shares of Common Stock issuable as of the date hereof upon the conversion of indebtedness outstanding as of August 25, 2020;</w:t>
      </w:r>
    </w:p>
    <w:p>
      <w:pPr>
        <w:spacing w:after="0" w:line="236"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8,482,389 shares of Common Stock issuable as of the date hereof upon the exercise of common stock warrants outstanding as of August 25, 2020 at a weighted average exercise price of $5.38 per share;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328" w:hanging="328"/>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666,797 shares of Common Stock issuable as of the date hereof upon the exercise of stock options at a weighted average exercise price of $5.43 per share outstanding as of August 25, 2020; and</w:t>
      </w:r>
    </w:p>
    <w:p>
      <w:pPr>
        <w:spacing w:after="0" w:line="170" w:lineRule="exact"/>
        <w:rPr>
          <w:rFonts w:ascii="Arial" w:cs="Arial" w:eastAsia="Arial" w:hAnsi="Arial"/>
          <w:sz w:val="18"/>
          <w:szCs w:val="18"/>
          <w:color w:val="auto"/>
        </w:rPr>
      </w:pPr>
    </w:p>
    <w:p>
      <w:pPr>
        <w:ind w:left="328" w:right="280" w:hanging="328"/>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117,051 shares of Common Stock available for future issuance under the 2012 Employee, Director and Consultant Equity Incentive Plan, as amended.</w:t>
      </w:r>
    </w:p>
    <w:p>
      <w:pPr>
        <w:spacing w:after="0" w:line="386"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8"/>
          </w:cols>
          <w:pgMar w:left="652" w:top="908" w:right="5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DESCRIPTION OF THE SECURITIES WE ARE OFFERING</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offering shares of our Common Stock, Warrants and Pre-Funded Warrants. The following description of our Common Stock, Warrants and Pre-Funded Warrants summarizes the material terms and provisions thereof, including the material terms of the Common Stock, Warrants and Pre-Funded Warrants we are offering under this prospectus supplement and the accompanying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“Description of Common Stock” on page 9 of the accompanying prospectus for a description of the material terms of our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The following summary of certain terms and provisions of the Warrants that are being offered hereby is not complete and is subject to, and qualified in its entirety by, the provisions of the Warrant, the form of which is will be filed as an exhibit to our Current Report on Form 8-K to be filed with the SEC on August 28, 2020. Prospective investors should carefully review the terms and provisions of the form of Warrant for a complete description of the terms and conditions of the Warrants.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Duration and Exercise Price</w:t>
      </w:r>
      <w:r>
        <w:rPr>
          <w:rFonts w:ascii="Arial" w:cs="Arial" w:eastAsia="Arial" w:hAnsi="Arial"/>
          <w:sz w:val="18"/>
          <w:szCs w:val="18"/>
          <w:color w:val="auto"/>
        </w:rPr>
        <w:t>. Each Warrant offered hereby has an initial exercise price per share equal to $3.02. The Warrants are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and may be exercised at any time until August 29, 2022. The exercise price and number of shares of Common Stock issuable upon exercise is subject to appropriate adjustment in the event of stock dividends, stock splits, reorganizations or similar events affecting our Common Stock and the exercise price.</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Exercisability</w:t>
      </w:r>
      <w:r>
        <w:rPr>
          <w:rFonts w:ascii="Arial" w:cs="Arial" w:eastAsia="Arial" w:hAnsi="Arial"/>
          <w:sz w:val="17"/>
          <w:szCs w:val="17"/>
          <w:color w:val="auto"/>
        </w:rPr>
        <w:t>. The Warrants are exercisable, at the option of each holder, in whole or in part, by delivering to us a duly executed exercise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accompanied by payment in full for the number of shares of our Common Stock purchased upon such exercise (except in the case of a cashless exercise as discussed below). Purchasers of the Warrants in this offering may elect to deliver their exercise notice following the pricing of the offering and prior to the issuance of the Warrants at closing to have their Warrants exercised immediately upon issuance and receive shares of Common Stock underlying the Warrants upon closing of this offering. A holder (together with its affiliates) may not exercise any portion of the Warrant to the extent that the holder would own more than 4.99% of the outstanding Common Stock immediately after exercise, except that upon at least 61 days’ prior notice from the holder to us, the holder may increase the amount of ownership of outstanding Common Stock after exercising the holder’s Warrants up to 9.99% of the number of shares of our Common Stock outstanding immediately after giving effect to the exercise, as such percentage ownership is determined in accordance with the terms of the Warrants. Purchasers of Warrants in this offering may also elect prior to the issuance of the Warrants to have the initial exercise limitation set at 9.99% of our outstanding Common Stock. No fractional shares of Common Stock will be issued in connection with the exercise of a Warrant. In lieu of fractional shares, we will round down to the next whole share.</w:t>
      </w:r>
    </w:p>
    <w:p>
      <w:pPr>
        <w:spacing w:after="0" w:line="1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Cashless Exercise</w:t>
      </w:r>
      <w:r>
        <w:rPr>
          <w:rFonts w:ascii="Arial" w:cs="Arial" w:eastAsia="Arial" w:hAnsi="Arial"/>
          <w:sz w:val="18"/>
          <w:szCs w:val="18"/>
          <w:color w:val="auto"/>
        </w:rPr>
        <w:t>. In lieu of making the cash payment otherwise contemplated to be made to us upon exercise of a Warrant in 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exercise price, the holder may elect instead to receive upon such exercise (either in whole or in part) the net number of shares of Common Stock determined according to a formula set forth in the Warrants.</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Subject to applicable laws, a Warrant may be transferred at the option of the holder upon surrender of the Warrant to us together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appropriate instruments of transfer.</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Exchange Listing</w:t>
      </w:r>
      <w:r>
        <w:rPr>
          <w:rFonts w:ascii="Arial" w:cs="Arial" w:eastAsia="Arial" w:hAnsi="Arial"/>
          <w:sz w:val="18"/>
          <w:szCs w:val="18"/>
          <w:color w:val="auto"/>
        </w:rPr>
        <w:t>. There is no trading market available for the Warrants on any securities exchange or nationally recognized trading system. We do not</w:t>
      </w:r>
      <w:r>
        <w:rPr>
          <w:rFonts w:ascii="Arial" w:cs="Arial" w:eastAsia="Arial" w:hAnsi="Arial"/>
          <w:sz w:val="18"/>
          <w:szCs w:val="18"/>
          <w:i w:val="1"/>
          <w:iCs w:val="1"/>
          <w:color w:val="auto"/>
        </w:rPr>
        <w:t xml:space="preserve"> </w:t>
      </w:r>
      <w:r>
        <w:rPr>
          <w:rFonts w:ascii="Arial" w:cs="Arial" w:eastAsia="Arial" w:hAnsi="Arial"/>
          <w:sz w:val="18"/>
          <w:szCs w:val="18"/>
          <w:color w:val="auto"/>
        </w:rPr>
        <w:t>intend to list the Warrants on any securities exchange or nationally recognized trading system.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324"/>
        <w:spacing w:after="0" w:line="342" w:lineRule="auto"/>
        <w:rPr>
          <w:sz w:val="20"/>
          <w:szCs w:val="20"/>
          <w:color w:val="auto"/>
        </w:rPr>
      </w:pPr>
      <w:r>
        <w:rPr>
          <w:rFonts w:ascii="Arial" w:cs="Arial" w:eastAsia="Arial" w:hAnsi="Arial"/>
          <w:sz w:val="16"/>
          <w:szCs w:val="16"/>
          <w:i w:val="1"/>
          <w:iCs w:val="1"/>
          <w:color w:val="auto"/>
        </w:rPr>
        <w:t>Right as a Stockholder</w:t>
      </w:r>
      <w:r>
        <w:rPr>
          <w:rFonts w:ascii="Arial" w:cs="Arial" w:eastAsia="Arial" w:hAnsi="Arial"/>
          <w:sz w:val="16"/>
          <w:szCs w:val="16"/>
          <w:color w:val="auto"/>
        </w:rPr>
        <w:t>. Except as otherwise provided in the Warrants or by virtue of such holder’s ownership of shares of our Common Stock, the</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the Warrants do not have the rights or privileges of holders of our Common Stock, including any voting rights, until they exercise their Warrants.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Fundamental Transaction</w:t>
      </w:r>
      <w:r>
        <w:rPr>
          <w:rFonts w:ascii="Arial" w:cs="Arial" w:eastAsia="Arial" w:hAnsi="Arial"/>
          <w:sz w:val="18"/>
          <w:szCs w:val="18"/>
          <w:color w:val="auto"/>
        </w:rPr>
        <w:t>. In the event of a fundamental transaction, as described in the Warrants and generally including any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Warrants will be entitled to receive upon exercise of the Warrants the kind and amount of securities, cash or other property that the holders would have received had they exercised the Warrants immediately prior to such fundamental transaction. Additionally, as more fully described in the Warrant, in the event of certain fundamental transactions, the holders of Warrants will be entitled to receive consideration in an amount equal to the Black Scholes value of the warrants on the date of consummation of such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The following summary of certain terms and provisions of the Pre-Funded Warrants that are being offered hereby is not complete and is subject to, and qualified in its entirety by, the provisions of the Pre-Funded Warrant, the form of which will be filed as an exhibit to our Current Report on Form 8-K to be filed with the SEC on August 28, 2020. Prospective investors should carefully review the terms and provisions of the form of Pre-Funded Warrant for a complete description of the terms and conditions of the Pre-Funded Warrants.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Duration and Exercise Price</w:t>
      </w:r>
      <w:r>
        <w:rPr>
          <w:rFonts w:ascii="Arial" w:cs="Arial" w:eastAsia="Arial" w:hAnsi="Arial"/>
          <w:sz w:val="18"/>
          <w:szCs w:val="18"/>
          <w:color w:val="auto"/>
        </w:rPr>
        <w:t>. Each Pre-Funded Warrant offered hereby has an initial exercise price per share equal to $0.001. The Pre-Funded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are 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Exercisability</w:t>
      </w:r>
      <w:r>
        <w:rPr>
          <w:rFonts w:ascii="Arial" w:cs="Arial" w:eastAsia="Arial" w:hAnsi="Arial"/>
          <w:sz w:val="17"/>
          <w:szCs w:val="17"/>
          <w:color w:val="auto"/>
        </w:rPr>
        <w:t>. The Pre-Funded Warrants are exercisable, at the option of each holder, in whole or in part, by delivering to us a duly executed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notice accompanied by payment in full for the number of shares of our Common Stock purchased upon such exercise (except in the case of a cashless exercise as discussed below). Purchasers of the Pre-Funded Warrants in this offering may elect to deliver their exercise notice following the pricing of the offering and prior to the issuance of the Pre-Funded Warrants at closing to have their Pre-Funded Warrants exercised immediately upon issuance and receive shares of Common Stock underlying the Pre-Funded Warrants upon closing of this offering. A holder (together with its affiliates) may not exercise any portion of the Pre-Funded Warrant to the extent that the holder would own more than 4.99% of the outstanding Common Stock immediately after exercise, except that upon at least 61 days’ prior notice from the holder to us, the holder may increase the amount of ownership of outstanding Common Stock after exercising the holder’s Pre-Funded Warrants up to 9.99% of the number of shares of our Common Stock outstanding immediately after giving effect to the exercise, as such percentage ownership is determined in accordance with the terms of the Pre-Funded Warrants. Purchasers of Pre-Funded Warrants in this offering may also elect prior to the issuance of the Pre-Funded Warrants to have the initial exercise limitation set at 9.99% of our outstanding Common Stock. No fractional shares of Common Stock will be issued in connection with the exercise of a Pre-Funded Warrant. In lieu of fractional shares, we will round down to the next whole share.</w:t>
      </w:r>
    </w:p>
    <w:p>
      <w:pPr>
        <w:spacing w:after="0" w:line="1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Cashless Exercise</w:t>
      </w:r>
      <w:r>
        <w:rPr>
          <w:rFonts w:ascii="Arial" w:cs="Arial" w:eastAsia="Arial" w:hAnsi="Arial"/>
          <w:sz w:val="18"/>
          <w:szCs w:val="18"/>
          <w:color w:val="auto"/>
        </w:rPr>
        <w:t>. In lieu of making the cash payment otherwise contemplated to be made to us upon exercise of a Pre-Funded Warrant in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aggregate exercise price, the holder may elect instead to receive upon such exercise (either in whole or in part) the net number of shares of Common Stock determined according to a formula set forth in the Pre-Funded Warrants.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Subject to applicable laws, a Pre-Funded Warrant may be transferred at the option of the holder upon surrender of the Pre-Funded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 to us together with the appropriate instruments of transfer.</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Exchange Listing</w:t>
      </w:r>
      <w:r>
        <w:rPr>
          <w:rFonts w:ascii="Arial" w:cs="Arial" w:eastAsia="Arial" w:hAnsi="Arial"/>
          <w:sz w:val="18"/>
          <w:szCs w:val="18"/>
          <w:color w:val="auto"/>
        </w:rPr>
        <w:t>. There is no trading market available for the Pre-Funded Warrants on any securities exchange or nationally recognized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system. We do not intend to list the Pre-Funded Warrants on any securities exchange or nationally recognized trading system.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324"/>
        <w:spacing w:after="0" w:line="263" w:lineRule="auto"/>
        <w:rPr>
          <w:sz w:val="20"/>
          <w:szCs w:val="20"/>
          <w:color w:val="auto"/>
        </w:rPr>
      </w:pPr>
      <w:r>
        <w:rPr>
          <w:rFonts w:ascii="Arial" w:cs="Arial" w:eastAsia="Arial" w:hAnsi="Arial"/>
          <w:sz w:val="18"/>
          <w:szCs w:val="18"/>
          <w:i w:val="1"/>
          <w:iCs w:val="1"/>
          <w:color w:val="auto"/>
        </w:rPr>
        <w:t>Right as a Stockholder</w:t>
      </w:r>
      <w:r>
        <w:rPr>
          <w:rFonts w:ascii="Arial" w:cs="Arial" w:eastAsia="Arial" w:hAnsi="Arial"/>
          <w:sz w:val="18"/>
          <w:szCs w:val="18"/>
          <w:color w:val="auto"/>
        </w:rPr>
        <w:t>. Except as otherwise provided in the Pre-Funded Warrants or by virtue of such holder’s ownership of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holders of the Pre-Funded Warrants do not have the rights or privileges of holders of our Common Stock, including any voting rights, until they exercise their Pre-Funded Warrants.</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Fundamental Transaction</w:t>
      </w:r>
      <w:r>
        <w:rPr>
          <w:rFonts w:ascii="Arial" w:cs="Arial" w:eastAsia="Arial" w:hAnsi="Arial"/>
          <w:sz w:val="17"/>
          <w:szCs w:val="17"/>
          <w:color w:val="auto"/>
        </w:rPr>
        <w:t>. In the event of a fundamental transaction, as described in the Pre-Funded Warrants and generally including any</w:t>
      </w:r>
      <w:r>
        <w:rPr>
          <w:rFonts w:ascii="Arial" w:cs="Arial" w:eastAsia="Arial" w:hAnsi="Arial"/>
          <w:sz w:val="17"/>
          <w:szCs w:val="17"/>
          <w:i w:val="1"/>
          <w:iCs w:val="1"/>
          <w:color w:val="auto"/>
        </w:rPr>
        <w:t xml:space="preserve"> </w:t>
      </w:r>
      <w:r>
        <w:rPr>
          <w:rFonts w:ascii="Arial" w:cs="Arial" w:eastAsia="Arial" w:hAnsi="Arial"/>
          <w:sz w:val="17"/>
          <w:szCs w:val="17"/>
          <w:color w:val="auto"/>
        </w:rPr>
        <w:t>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engaged H.C. Wainwright &amp; Co., LLC (the “placement agent”) to act as our exclusive placement agent in connection with this offering. The placement agent has no commitment to buy any of the securities. We will enter into a securities purchase agreement directly with investors in connection with this offering and we may not sell the entire amount of shares of our Common Stock, Warrants and Pre-Funded Warrants offered pursuant to this prospectus supplement. We will make offers only to a limited number of qualified institutional buyers and accredited investors. The placement agent may retain sub-agents and selected dealers in connection with this offering.</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agreed to indemnify the placement agent against specified liabilities relating to or arising out of the agent’s activities as placement agent.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agreed to pay the placement agent (i) a total cash fee equal to 7.5% of the aggregate gross proceeds of this offering, (ii) a management fee equal to 1.0% of the aggregate gross proceeds of this offering, (iii) a non-accountable expense allowance of $25,000, (iv) up to $40,000 for the legal fees and expenses of the placement agent, and (v) $12,900 for the clearing expenses of the placement agent in connection with this offering.</w:t>
      </w:r>
    </w:p>
    <w:p>
      <w:pPr>
        <w:spacing w:after="0" w:line="16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estimate the total expenses of this offering paid or payable by us will be approximately $3.9 million. After deducting the fees due to the placement agent and our estimated expenses in connection with this offering, we expect the net proceeds from this offering will be approximately $31.4 million.</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March 19, 2020, we entered into a letter agreement (the “Palladium Engagement Letter”) with Palladium Capital Advisors, LLC (“Palladium”) which sets forth the understanding and agreement between us and Palladium with respect to our engagement of Palladium as a non-exclusive finder for us to use its best efforts to identify potential purchasers for our proposed offering of securities to a limited number of institutional, accredited individual or strategic investors (each a “Finder Investor”). Fees are payable to Palladium for any sale of our securities that occurs during the term or within 18 months thereafter to Finder Investors. Pursuant to the terms of the Palladium Engagement Letter, Palladium may be entitled to a cash fee of up to $800,000 pursuant to this offering and warrants to purchase up to an aggregate of 222,222 shares of our Common Stock.</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shows the per share and total cash fees we will pay to the placement agent in connection with the sale of the shares of our Common Stock pursuant to this prospectus supplement and the accompanying prospectus.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3"/>
              </w:rPr>
              <w:t>3.1500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35,333,335.80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Placement Agent fees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0.2363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2,650,000.19</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2.9137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32,683,335.61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Placement Agent Warrants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have agreed to issue to the placement agent, at the closing of this offering, warrants to purchase 8.0% of the number of shares of our Common Stock sold in this offering (or warrants to purchase up to 897,355 shares of our Common Stock), at an exercise price of $3.9375 per share (representing 125% of the public offering price). The placement agent’s warrants and the shares of our Common Stock issuable upon exercise thereof are being registered hereby.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placement agent warrants will be exercisable immediately and for 24 months from the date of issuance.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Tail Financing Payments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also agreed to pay the placement agent, subject to certain exceptions, a tail fee equal to the cash and warrant compensation in this offering, if any investor, who was contacted or introduced to the Company by placement agent during the term of its engagement or introduced to us by placement agent during the term of its engagement, provides us with capital in any public or private offering or other financing or capital raising transaction during the 12-month period following the termination or expiration of our engagement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we have granted a right of first refusal to the placement agent pursuant to which it has the right to act as the exclusive advisor, manager or underwriter or agent, as applicable, if we or our subsidiaries sell or acquire a business, finance any indebtedness using an agent, or raise capital through a public or private offering of equity or debt securities at any time prior to the 12-month anniversary of the consummation date of this offering.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Solicitation Fee</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any exercise of the Warrants or Pre-Funded Warrants issued in the offering for cash, we have agreed to pay the placement agent (i) a total cash fee equal to 7.5% of the aggregate gross proceeds from the exercise of the Warrants or Pre-Funded Warrants, (ii) a management fee equal to 1.0% of the aggregate gross proceeds from the exercise of the Warrants or Pre-Funded Warrants, and (iii) to issue to the placement agent warrants to purchase 8.0% of the number of shares of our Common Stock issued upon the cash exercise of the Warrants and Pre-Funded Warrants.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placement agent acted as placement agent in our registered direct offering in June 2020. As compensation for its services in connection with that offering, the placement agent received cash placement agent fees of $3.0 million and placement agent warrants to purchase up to 609,176 shares of Common Stock, which have an exercise price of $6.56625 per share and expire 21 months from the date of issuance.</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the placement agent may provide in the future various advisory, investment and commercial banking and other services to us in the ordinary course of business, for which they may receive customary fees and commissions. However, except as disclosed in this prospectus, we have no present arrangements with the placement agent for any further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listed on The Nasdaq Capital Market, or Nasdaq, under the symbol “XSPA.” The last reported sale price of our Common Stock on August 25, 2020 was $3.30 per share.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legal matters relating to the issuance of the securities offered by this prospectus supplement will be passed upon for us by Bryan Cave Leighton Paisner LLP, St. Louis, Missouri. Ellenoff Grossman &amp; Schole LLP, New York, New York is acting as counsel to the placement agent in connection with this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324"/>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Our consolidated financial statements appearing in our </w:t>
      </w:r>
      <w:hyperlink r:id="rId11">
        <w:r>
          <w:rPr>
            <w:rFonts w:ascii="Arial" w:cs="Arial" w:eastAsia="Arial" w:hAnsi="Arial"/>
            <w:sz w:val="16"/>
            <w:szCs w:val="16"/>
            <w:u w:val="single" w:color="auto"/>
            <w:color w:val="0000EE"/>
          </w:rPr>
          <w:t>Annual Report on Form 10-K for the year ended December 31,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have been audited by CohnReznick LLP, an independent registered public accounting firm, as stated in their report, which is incorporated herein by reference. Such consolidated financial statements have been so incorporated in reliance upon the report of such firm (which report expresses an unqualified opinion and includes an explanatory paragraph regarding the Company’s going concern uncertainty) given upon their authority as experts in auditing and accounting.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file annual, quarterly and other periodic reports, proxy statements and other information with the SEC. You can read our SEC filings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with the SEC at its public reference facilities at 100 F Street NE,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Internet address is www.xpresspa.com. There we make available free of charge, on or through the investor relations section of our website, annual reports on Form 10-K, quarterly reports on Form 10-Q, current reports on Form 8-K and amendments to those reports filed pursuant to Section 13(a) or 15(d) of the Securities Exchange Act of 1934, as amended, as soon as reasonably practicable after we electronically file such material with the SEC. The information found on our website is not part of this prospectus supplement or the accompanying prospectus.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“incorporating by reference” specific documents that we file with the SEC, which means that we can disclose important information to you by referring you to those documents that are considered part of this prospectus supplement and the accompanying prospectus. Information that we file subsequently with the SEC will automatically update and supersede this information. We incorporate by reference the documents listed below, and any documents that we file with the SEC under Section 13(a), 13(c), 14 or 15(d) of the Exchange Act, after the date of this prospectus supplement until the termination of the offering of all of the securities registered pursuant to the registration statement of which the accompanying prospectus is a part (excluding any portions of such documents that have been “furnished” but not “filed” for purposes of the Exchange Act):</w:t>
      </w:r>
    </w:p>
    <w:p>
      <w:pPr>
        <w:spacing w:after="0" w:line="178" w:lineRule="exact"/>
        <w:rPr>
          <w:sz w:val="20"/>
          <w:szCs w:val="20"/>
          <w:color w:val="auto"/>
        </w:rPr>
      </w:pPr>
    </w:p>
    <w:p>
      <w:pPr>
        <w:ind w:left="660" w:right="2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our Annual Report on Form 10-K for the year ended December 31, 2019, filed with the SEC on </w:t>
      </w:r>
      <w:hyperlink r:id="rId11">
        <w:r>
          <w:rPr>
            <w:rFonts w:ascii="Arial" w:cs="Arial" w:eastAsia="Arial" w:hAnsi="Arial"/>
            <w:sz w:val="17"/>
            <w:szCs w:val="17"/>
            <w:u w:val="single" w:color="auto"/>
            <w:color w:val="0000EE"/>
          </w:rPr>
          <w:t>April 20, 2020</w:t>
        </w:r>
      </w:hyperlink>
      <w:r>
        <w:rPr>
          <w:rFonts w:ascii="Arial" w:cs="Arial" w:eastAsia="Arial" w:hAnsi="Arial"/>
          <w:sz w:val="17"/>
          <w:szCs w:val="17"/>
          <w:color w:val="auto"/>
        </w:rPr>
        <w:t xml:space="preserve">, as amended by Amendment No. 1 to Form 10-K, filed with the SEC on </w:t>
      </w:r>
      <w:hyperlink r:id="rId37">
        <w:r>
          <w:rPr>
            <w:rFonts w:ascii="Arial" w:cs="Arial" w:eastAsia="Arial" w:hAnsi="Arial"/>
            <w:sz w:val="17"/>
            <w:szCs w:val="17"/>
            <w:u w:val="single" w:color="auto"/>
            <w:color w:val="0000EE"/>
          </w:rPr>
          <w:t>May 19, 2020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Amendment No. 2 to Form 10-K, filed with the SEC on </w:t>
      </w:r>
      <w:hyperlink r:id="rId38">
        <w:r>
          <w:rPr>
            <w:rFonts w:ascii="Arial" w:cs="Arial" w:eastAsia="Arial" w:hAnsi="Arial"/>
            <w:sz w:val="17"/>
            <w:szCs w:val="17"/>
            <w:u w:val="single" w:color="auto"/>
            <w:color w:val="0000EE"/>
          </w:rPr>
          <w:t>June 15, 2020</w:t>
        </w:r>
      </w:hyperlink>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our Current Reports on Form 10-Q for the quarter ended March 31, 2020, filed with the SEC on </w:t>
      </w:r>
      <w:hyperlink r:id="rId39">
        <w:r>
          <w:rPr>
            <w:rFonts w:ascii="Arial" w:cs="Arial" w:eastAsia="Arial" w:hAnsi="Arial"/>
            <w:sz w:val="18"/>
            <w:szCs w:val="18"/>
            <w:u w:val="single" w:color="auto"/>
            <w:color w:val="0000EE"/>
          </w:rPr>
          <w:t>July 5, 2020</w:t>
        </w:r>
      </w:hyperlink>
      <w:r>
        <w:rPr>
          <w:rFonts w:ascii="Arial" w:cs="Arial" w:eastAsia="Arial" w:hAnsi="Arial"/>
          <w:sz w:val="18"/>
          <w:szCs w:val="18"/>
          <w:color w:val="auto"/>
        </w:rPr>
        <w:t xml:space="preserve">, and the quarter ended June 30, 2020, filed with the SEC on </w:t>
      </w:r>
      <w:hyperlink r:id="rId40">
        <w:r>
          <w:rPr>
            <w:rFonts w:ascii="Arial" w:cs="Arial" w:eastAsia="Arial" w:hAnsi="Arial"/>
            <w:sz w:val="18"/>
            <w:szCs w:val="18"/>
            <w:u w:val="single" w:color="auto"/>
            <w:color w:val="0000EE"/>
          </w:rPr>
          <w:t>August 19, 2020</w:t>
        </w:r>
      </w:hyperlink>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8"/>
        </w:numPr>
        <w:rPr>
          <w:rFonts w:ascii="Arial" w:cs="Arial" w:eastAsia="Arial" w:hAnsi="Arial"/>
          <w:sz w:val="17"/>
          <w:szCs w:val="17"/>
          <w:color w:val="0000EE"/>
        </w:rPr>
      </w:pPr>
      <w:r>
        <w:rPr>
          <w:rFonts w:ascii="Arial" w:cs="Arial" w:eastAsia="Arial" w:hAnsi="Arial"/>
          <w:sz w:val="17"/>
          <w:szCs w:val="17"/>
          <w:color w:val="auto"/>
        </w:rPr>
        <w:t xml:space="preserve">our Current Reports on Form 8-K, filed with the SEC on </w:t>
      </w:r>
      <w:hyperlink r:id="rId41">
        <w:r>
          <w:rPr>
            <w:rFonts w:ascii="Arial" w:cs="Arial" w:eastAsia="Arial" w:hAnsi="Arial"/>
            <w:sz w:val="17"/>
            <w:szCs w:val="17"/>
            <w:u w:val="single" w:color="auto"/>
            <w:color w:val="0000EE"/>
          </w:rPr>
          <w:t>January 3, 2020</w:t>
        </w:r>
      </w:hyperlink>
      <w:r>
        <w:rPr>
          <w:rFonts w:ascii="Arial" w:cs="Arial" w:eastAsia="Arial" w:hAnsi="Arial"/>
          <w:sz w:val="17"/>
          <w:szCs w:val="17"/>
          <w:color w:val="auto"/>
        </w:rPr>
        <w:t xml:space="preserve">, </w:t>
      </w:r>
      <w:hyperlink r:id="rId42">
        <w:r>
          <w:rPr>
            <w:rFonts w:ascii="Arial" w:cs="Arial" w:eastAsia="Arial" w:hAnsi="Arial"/>
            <w:sz w:val="17"/>
            <w:szCs w:val="17"/>
            <w:u w:val="single" w:color="auto"/>
            <w:color w:val="0000EE"/>
          </w:rPr>
          <w:t>January 14, 2020</w:t>
        </w:r>
      </w:hyperlink>
      <w:r>
        <w:rPr>
          <w:rFonts w:ascii="Arial" w:cs="Arial" w:eastAsia="Arial" w:hAnsi="Arial"/>
          <w:sz w:val="17"/>
          <w:szCs w:val="17"/>
          <w:color w:val="auto"/>
        </w:rPr>
        <w:t xml:space="preserve">, </w:t>
      </w:r>
      <w:hyperlink r:id="rId43">
        <w:r>
          <w:rPr>
            <w:rFonts w:ascii="Arial" w:cs="Arial" w:eastAsia="Arial" w:hAnsi="Arial"/>
            <w:sz w:val="17"/>
            <w:szCs w:val="17"/>
            <w:u w:val="single" w:color="auto"/>
            <w:color w:val="0000EE"/>
          </w:rPr>
          <w:t>February 3, 2020</w:t>
        </w:r>
      </w:hyperlink>
      <w:r>
        <w:rPr>
          <w:rFonts w:ascii="Arial" w:cs="Arial" w:eastAsia="Arial" w:hAnsi="Arial"/>
          <w:sz w:val="17"/>
          <w:szCs w:val="17"/>
          <w:color w:val="auto"/>
        </w:rPr>
        <w:t xml:space="preserve">, </w:t>
      </w:r>
      <w:hyperlink r:id="rId44">
        <w:r>
          <w:rPr>
            <w:rFonts w:ascii="Arial" w:cs="Arial" w:eastAsia="Arial" w:hAnsi="Arial"/>
            <w:sz w:val="17"/>
            <w:szCs w:val="17"/>
            <w:u w:val="single" w:color="auto"/>
            <w:color w:val="0000EE"/>
          </w:rPr>
          <w:t>March 6, 2020</w:t>
        </w:r>
      </w:hyperlink>
      <w:r>
        <w:rPr>
          <w:rFonts w:ascii="Arial" w:cs="Arial" w:eastAsia="Arial" w:hAnsi="Arial"/>
          <w:sz w:val="17"/>
          <w:szCs w:val="17"/>
          <w:color w:val="auto"/>
        </w:rPr>
        <w:t xml:space="preserve">, </w:t>
      </w:r>
      <w:hyperlink r:id="rId45">
        <w:r>
          <w:rPr>
            <w:rFonts w:ascii="Arial" w:cs="Arial" w:eastAsia="Arial" w:hAnsi="Arial"/>
            <w:sz w:val="17"/>
            <w:szCs w:val="17"/>
            <w:u w:val="single" w:color="auto"/>
            <w:color w:val="0000EE"/>
          </w:rPr>
          <w:t>March 19, 2020</w:t>
        </w:r>
      </w:hyperlink>
      <w:r>
        <w:rPr>
          <w:rFonts w:ascii="Arial" w:cs="Arial" w:eastAsia="Arial" w:hAnsi="Arial"/>
          <w:sz w:val="17"/>
          <w:szCs w:val="17"/>
          <w:color w:val="auto"/>
        </w:rPr>
        <w:t xml:space="preserve">, </w:t>
      </w:r>
      <w:hyperlink r:id="rId46">
        <w:r>
          <w:rPr>
            <w:rFonts w:ascii="Arial" w:cs="Arial" w:eastAsia="Arial" w:hAnsi="Arial"/>
            <w:sz w:val="17"/>
            <w:szCs w:val="17"/>
            <w:u w:val="single" w:color="auto"/>
            <w:color w:val="0000EE"/>
          </w:rPr>
          <w:t>March 26, 2020</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March 30, 2020 (two reports)</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April 6, 2020</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April 7, 2020</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April 17, 2020</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April 24, 2020</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April 28, 2020</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May 6, 2020</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May 7,</w:t>
        </w:r>
      </w:hyperlink>
      <w:r>
        <w:rPr>
          <w:rFonts w:ascii="Arial" w:cs="Arial" w:eastAsia="Arial" w:hAnsi="Arial"/>
          <w:sz w:val="17"/>
          <w:szCs w:val="17"/>
          <w:u w:val="single" w:color="auto"/>
          <w:color w:val="0000EE"/>
        </w:rPr>
        <w:t xml:space="preserve"> </w:t>
      </w:r>
      <w:hyperlink r:id="rId47">
        <w:r>
          <w:rPr>
            <w:rFonts w:ascii="Arial" w:cs="Arial" w:eastAsia="Arial" w:hAnsi="Arial"/>
            <w:sz w:val="17"/>
            <w:szCs w:val="17"/>
            <w:u w:val="single" w:color="auto"/>
            <w:color w:val="0000EE"/>
          </w:rPr>
          <w:t>2020</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May 11, 2020</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May 22, 2020</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May 29, 2020</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June 4, 2020</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June 10, 2020</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June 17, 2020</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August 11, 2020</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August 13, 2020</w:t>
        </w:r>
        <w:r>
          <w:rPr>
            <w:rFonts w:ascii="Arial" w:cs="Arial" w:eastAsia="Arial" w:hAnsi="Arial"/>
            <w:sz w:val="17"/>
            <w:szCs w:val="17"/>
            <w:u w:val="single" w:color="auto"/>
            <w:color w:val="000000"/>
          </w:rPr>
          <w:t>, and</w:t>
        </w:r>
        <w:r>
          <w:rPr>
            <w:rFonts w:ascii="Arial" w:cs="Arial" w:eastAsia="Arial" w:hAnsi="Arial"/>
            <w:sz w:val="17"/>
            <w:szCs w:val="17"/>
            <w:u w:val="single" w:color="auto"/>
            <w:color w:val="0000EE"/>
          </w:rPr>
          <w:t xml:space="preserve"> August 26,</w:t>
        </w:r>
      </w:hyperlink>
      <w:r>
        <w:rPr>
          <w:rFonts w:ascii="Arial" w:cs="Arial" w:eastAsia="Arial" w:hAnsi="Arial"/>
          <w:sz w:val="17"/>
          <w:szCs w:val="17"/>
          <w:u w:val="single" w:color="auto"/>
          <w:color w:val="0000EE"/>
        </w:rPr>
        <w:t xml:space="preserve"> </w:t>
      </w:r>
      <w:hyperlink r:id="rId47">
        <w:r>
          <w:rPr>
            <w:rFonts w:ascii="Arial" w:cs="Arial" w:eastAsia="Arial" w:hAnsi="Arial"/>
            <w:sz w:val="17"/>
            <w:szCs w:val="17"/>
            <w:u w:val="single" w:color="auto"/>
            <w:color w:val="0000EE"/>
          </w:rPr>
          <w:t>2020</w:t>
        </w:r>
        <w:r>
          <w:rPr>
            <w:rFonts w:ascii="Arial" w:cs="Arial" w:eastAsia="Arial" w:hAnsi="Arial"/>
            <w:sz w:val="17"/>
            <w:szCs w:val="17"/>
            <w:color w:val="0000EE"/>
          </w:rPr>
          <w:t xml:space="preserve"> </w:t>
        </w:r>
        <w:r>
          <w:rPr>
            <w:rFonts w:ascii="Arial" w:cs="Arial" w:eastAsia="Arial" w:hAnsi="Arial"/>
            <w:sz w:val="17"/>
            <w:szCs w:val="17"/>
            <w:color w:val="000000"/>
          </w:rPr>
          <w:t>(except for the information furnished under Items 2.02 or 7.01 and the exhibits furnished thereto); and</w:t>
        </w:r>
      </w:hyperlink>
    </w:p>
    <w:p>
      <w:pPr>
        <w:spacing w:after="0" w:line="171" w:lineRule="exact"/>
        <w:rPr>
          <w:rFonts w:ascii="Arial" w:cs="Arial" w:eastAsia="Arial" w:hAnsi="Arial"/>
          <w:sz w:val="17"/>
          <w:szCs w:val="17"/>
          <w:color w:val="0000EE"/>
        </w:rPr>
      </w:pPr>
    </w:p>
    <w:p>
      <w:pPr>
        <w:ind w:left="660" w:hanging="328"/>
        <w:spacing w:after="0" w:line="277" w:lineRule="auto"/>
        <w:tabs>
          <w:tab w:leader="none" w:pos="660" w:val="left"/>
        </w:tabs>
        <w:numPr>
          <w:ilvl w:val="0"/>
          <w:numId w:val="8"/>
        </w:numPr>
        <w:rPr>
          <w:rFonts w:ascii="Arial" w:cs="Arial" w:eastAsia="Arial" w:hAnsi="Arial"/>
          <w:sz w:val="18"/>
          <w:szCs w:val="18"/>
          <w:u w:val="single" w:color="auto"/>
          <w:color w:val="0000EE"/>
        </w:rPr>
      </w:pPr>
      <w:hyperlink r:id="rId48">
        <w:r>
          <w:rPr>
            <w:rFonts w:ascii="Arial" w:cs="Arial" w:eastAsia="Arial" w:hAnsi="Arial"/>
            <w:sz w:val="18"/>
            <w:szCs w:val="18"/>
            <w:u w:val="single" w:color="auto"/>
            <w:color w:val="0000EE"/>
          </w:rPr>
          <w:t>the description of our Common Stock set forth in our registration statement on Form 8-A, filed with the SEC on April 29, 2013, including any</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further amendments thereto or reports filed for the purposes of updating this description.</w:t>
        </w:r>
      </w:hyperlink>
    </w:p>
    <w:p>
      <w:pPr>
        <w:spacing w:after="0" w:line="386"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324"/>
        <w:spacing w:after="0" w:line="225" w:lineRule="auto"/>
        <w:rPr>
          <w:sz w:val="20"/>
          <w:szCs w:val="20"/>
          <w:color w:val="auto"/>
        </w:rPr>
      </w:pPr>
      <w:r>
        <w:rPr>
          <w:rFonts w:ascii="Arial" w:cs="Arial" w:eastAsia="Arial" w:hAnsi="Arial"/>
          <w:sz w:val="18"/>
          <w:szCs w:val="18"/>
          <w:color w:val="auto"/>
        </w:rPr>
        <w:t>You may request, orally or in writing, a copy of these documents, which will be provided to you at no cost, by contacting XpresSpa Group, Inc.,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10001 Attention: Investor Relations. The Investor Relations Department can be reached via telephone at (212) 838-3777.</w:t>
      </w:r>
    </w:p>
    <w:p>
      <w:pPr>
        <w:spacing w:after="0" w:line="2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of this prospectus supplement and the accompanying prospectus to the extent that a statement contained herein or therein, in any other subsequently filed document that also is or is deemed to be incorporated by reference herein and in any accompanying prospectus supplement, modifies or supersedes such statement. Any statement so modified or superseded shall not be deemed, except as so modified and superseded, to constitute a part of this prospectus supplement.</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Any statement made in this prospectus supplement and the accompanying prospectus concerning the contents of any contract, agreement or other document is only a summary of the actual contract, agreement or other document. If we have filed or incorporated by reference any contract, agreement or other document as an exhibit to the registration statement, you should read the exhibit for a more complete understanding of the document or matter involved. Each statement regarding a contract, agreement or other document is qualified by reference to the actual document.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XPRESSPA GROUP, INC.</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$200,000,000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$200,000,000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or rights.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6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common stock is quoted on The Nasdaq Capital Market, or Nasdaq, under the symbol “XSPA.” On July 23, 2020, the last reported sale price of our common stock was $3.62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67" w:lineRule="exact"/>
        <w:rPr>
          <w:sz w:val="20"/>
          <w:szCs w:val="20"/>
          <w:color w:val="auto"/>
        </w:rPr>
      </w:pPr>
    </w:p>
    <w:p>
      <w:pPr>
        <w:jc w:val="both"/>
        <w:ind w:right="160"/>
        <w:spacing w:after="0" w:line="343" w:lineRule="auto"/>
        <w:rPr>
          <w:sz w:val="20"/>
          <w:szCs w:val="20"/>
          <w:color w:val="auto"/>
        </w:rPr>
      </w:pPr>
      <w:r>
        <w:rPr>
          <w:rFonts w:ascii="Arial" w:cs="Arial" w:eastAsia="Arial" w:hAnsi="Arial"/>
          <w:sz w:val="15"/>
          <w:szCs w:val="15"/>
          <w:b w:val="1"/>
          <w:bCs w:val="1"/>
          <w:color w:val="auto"/>
        </w:rPr>
        <w:t>Investing in our securities involves risks. Before deciding whether to invest in our securities, you should consider carefully the risks that we have described on page 5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2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August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102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1"/>
        </w:trPr>
        <w:tc>
          <w:tcPr>
            <w:tcW w:w="10260" w:type="dxa"/>
            <w:vAlign w:val="bottom"/>
          </w:tcPr>
          <w:p>
            <w:pPr>
              <w:spacing w:after="0"/>
              <w:rPr>
                <w:sz w:val="24"/>
                <w:szCs w:val="2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8"/>
                <w:szCs w:val="18"/>
                <w:color w:val="auto"/>
                <w:w w:val="85"/>
              </w:rPr>
              <w:t>Page</w:t>
            </w:r>
          </w:p>
        </w:tc>
      </w:tr>
      <w:tr>
        <w:trPr>
          <w:trHeight w:val="237"/>
        </w:trPr>
        <w:tc>
          <w:tcPr>
            <w:tcW w:w="10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230"/>
        </w:trPr>
        <w:tc>
          <w:tcPr>
            <w:tcW w:w="10260" w:type="dxa"/>
            <w:vAlign w:val="bottom"/>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ABOUT THIS PROSPECTUS</w:t>
              </w:r>
            </w:hyperlink>
          </w:p>
        </w:tc>
        <w:tc>
          <w:tcPr>
            <w:tcW w:w="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40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ii</w:t>
              </w:r>
            </w:hyperlink>
          </w:p>
        </w:tc>
      </w:tr>
      <w:tr>
        <w:trPr>
          <w:trHeight w:val="229"/>
        </w:trPr>
        <w:tc>
          <w:tcPr>
            <w:tcW w:w="1026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PROSPECTUS SUMMARY</w:t>
              </w:r>
            </w:hyperlink>
          </w:p>
        </w:tc>
        <w:tc>
          <w:tcPr>
            <w:tcW w:w="600" w:type="dxa"/>
            <w:vAlign w:val="bottom"/>
            <w:gridSpan w:val="2"/>
          </w:tcPr>
          <w:p>
            <w:pPr>
              <w:jc w:val="center"/>
              <w:ind w:left="150"/>
              <w:spacing w:after="0"/>
              <w:rPr>
                <w:rFonts w:ascii="Arial" w:cs="Arial" w:eastAsia="Arial" w:hAnsi="Arial"/>
                <w:sz w:val="18"/>
                <w:szCs w:val="18"/>
                <w:u w:val="single" w:color="auto"/>
                <w:color w:val="0000EE"/>
                <w:w w:val="79"/>
              </w:rPr>
            </w:pPr>
            <w:hyperlink w:anchor="page29">
              <w:r>
                <w:rPr>
                  <w:rFonts w:ascii="Arial" w:cs="Arial" w:eastAsia="Arial" w:hAnsi="Arial"/>
                  <w:sz w:val="18"/>
                  <w:szCs w:val="18"/>
                  <w:u w:val="single" w:color="auto"/>
                  <w:color w:val="0000EE"/>
                  <w:w w:val="79"/>
                </w:rPr>
                <w:t>1</w:t>
              </w:r>
            </w:hyperlink>
          </w:p>
        </w:tc>
        <w:tc>
          <w:tcPr>
            <w:tcW w:w="380" w:type="dxa"/>
            <w:vAlign w:val="bottom"/>
          </w:tcPr>
          <w:p>
            <w:pPr>
              <w:spacing w:after="0"/>
              <w:rPr>
                <w:sz w:val="19"/>
                <w:szCs w:val="19"/>
                <w:color w:val="auto"/>
              </w:rPr>
            </w:pPr>
          </w:p>
        </w:tc>
      </w:tr>
      <w:tr>
        <w:trPr>
          <w:trHeight w:val="229"/>
        </w:trPr>
        <w:tc>
          <w:tcPr>
            <w:tcW w:w="10260" w:type="dxa"/>
            <w:vAlign w:val="bottom"/>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600" w:type="dxa"/>
            <w:vAlign w:val="bottom"/>
            <w:gridSpan w:val="2"/>
            <w:shd w:val="clear" w:color="auto" w:fill="CCEEFF"/>
          </w:tcPr>
          <w:p>
            <w:pPr>
              <w:jc w:val="center"/>
              <w:ind w:left="150"/>
              <w:spacing w:after="0"/>
              <w:rPr>
                <w:rFonts w:ascii="Arial" w:cs="Arial" w:eastAsia="Arial" w:hAnsi="Arial"/>
                <w:sz w:val="18"/>
                <w:szCs w:val="18"/>
                <w:u w:val="single" w:color="auto"/>
                <w:color w:val="0000EE"/>
                <w:w w:val="79"/>
              </w:rPr>
            </w:pPr>
            <w:hyperlink w:anchor="page33">
              <w:r>
                <w:rPr>
                  <w:rFonts w:ascii="Arial" w:cs="Arial" w:eastAsia="Arial" w:hAnsi="Arial"/>
                  <w:sz w:val="18"/>
                  <w:szCs w:val="18"/>
                  <w:u w:val="single" w:color="auto"/>
                  <w:color w:val="0000EE"/>
                  <w:w w:val="79"/>
                </w:rPr>
                <w:t>5</w:t>
              </w:r>
            </w:hyperlink>
          </w:p>
        </w:tc>
        <w:tc>
          <w:tcPr>
            <w:tcW w:w="380" w:type="dxa"/>
            <w:vAlign w:val="bottom"/>
            <w:shd w:val="clear" w:color="auto" w:fill="CCEEFF"/>
          </w:tcPr>
          <w:p>
            <w:pPr>
              <w:spacing w:after="0"/>
              <w:rPr>
                <w:sz w:val="19"/>
                <w:szCs w:val="19"/>
                <w:color w:val="auto"/>
              </w:rPr>
            </w:pPr>
          </w:p>
        </w:tc>
      </w:tr>
      <w:tr>
        <w:trPr>
          <w:trHeight w:val="230"/>
        </w:trPr>
        <w:tc>
          <w:tcPr>
            <w:tcW w:w="1026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SPECIAL NOTE REGARDING FORWARD-LOOKING STATEMENTS</w:t>
              </w:r>
            </w:hyperlink>
          </w:p>
        </w:tc>
        <w:tc>
          <w:tcPr>
            <w:tcW w:w="600" w:type="dxa"/>
            <w:vAlign w:val="bottom"/>
            <w:gridSpan w:val="2"/>
          </w:tcPr>
          <w:p>
            <w:pPr>
              <w:jc w:val="center"/>
              <w:ind w:left="150"/>
              <w:spacing w:after="0"/>
              <w:rPr>
                <w:rFonts w:ascii="Arial" w:cs="Arial" w:eastAsia="Arial" w:hAnsi="Arial"/>
                <w:sz w:val="18"/>
                <w:szCs w:val="18"/>
                <w:u w:val="single" w:color="auto"/>
                <w:color w:val="0000EE"/>
                <w:w w:val="79"/>
              </w:rPr>
            </w:pPr>
            <w:hyperlink w:anchor="page33">
              <w:r>
                <w:rPr>
                  <w:rFonts w:ascii="Arial" w:cs="Arial" w:eastAsia="Arial" w:hAnsi="Arial"/>
                  <w:sz w:val="18"/>
                  <w:szCs w:val="18"/>
                  <w:u w:val="single" w:color="auto"/>
                  <w:color w:val="0000EE"/>
                  <w:w w:val="79"/>
                </w:rPr>
                <w:t>5</w:t>
              </w:r>
            </w:hyperlink>
          </w:p>
        </w:tc>
        <w:tc>
          <w:tcPr>
            <w:tcW w:w="380" w:type="dxa"/>
            <w:vAlign w:val="bottom"/>
          </w:tcPr>
          <w:p>
            <w:pPr>
              <w:spacing w:after="0"/>
              <w:rPr>
                <w:sz w:val="19"/>
                <w:szCs w:val="19"/>
                <w:color w:val="auto"/>
              </w:rPr>
            </w:pPr>
          </w:p>
        </w:tc>
      </w:tr>
      <w:tr>
        <w:trPr>
          <w:trHeight w:val="229"/>
        </w:trPr>
        <w:tc>
          <w:tcPr>
            <w:tcW w:w="10260" w:type="dxa"/>
            <w:vAlign w:val="bottom"/>
            <w:shd w:val="clear" w:color="auto" w:fill="CCEEFF"/>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USE OF PROCEEDS</w:t>
              </w:r>
            </w:hyperlink>
          </w:p>
        </w:tc>
        <w:tc>
          <w:tcPr>
            <w:tcW w:w="600" w:type="dxa"/>
            <w:vAlign w:val="bottom"/>
            <w:gridSpan w:val="2"/>
            <w:shd w:val="clear" w:color="auto" w:fill="CCEEFF"/>
          </w:tcPr>
          <w:p>
            <w:pPr>
              <w:jc w:val="center"/>
              <w:ind w:left="150"/>
              <w:spacing w:after="0"/>
              <w:rPr>
                <w:rFonts w:ascii="Arial" w:cs="Arial" w:eastAsia="Arial" w:hAnsi="Arial"/>
                <w:sz w:val="18"/>
                <w:szCs w:val="18"/>
                <w:u w:val="single" w:color="auto"/>
                <w:color w:val="0000EE"/>
                <w:w w:val="79"/>
              </w:rPr>
            </w:pPr>
            <w:hyperlink w:anchor="page36">
              <w:r>
                <w:rPr>
                  <w:rFonts w:ascii="Arial" w:cs="Arial" w:eastAsia="Arial" w:hAnsi="Arial"/>
                  <w:sz w:val="18"/>
                  <w:szCs w:val="18"/>
                  <w:u w:val="single" w:color="auto"/>
                  <w:color w:val="0000EE"/>
                  <w:w w:val="79"/>
                </w:rPr>
                <w:t>8</w:t>
              </w:r>
            </w:hyperlink>
          </w:p>
        </w:tc>
        <w:tc>
          <w:tcPr>
            <w:tcW w:w="380" w:type="dxa"/>
            <w:vAlign w:val="bottom"/>
            <w:shd w:val="clear" w:color="auto" w:fill="CCEEFF"/>
          </w:tcPr>
          <w:p>
            <w:pPr>
              <w:spacing w:after="0"/>
              <w:rPr>
                <w:sz w:val="19"/>
                <w:szCs w:val="19"/>
                <w:color w:val="auto"/>
              </w:rPr>
            </w:pPr>
          </w:p>
        </w:tc>
      </w:tr>
      <w:tr>
        <w:trPr>
          <w:trHeight w:val="229"/>
        </w:trPr>
        <w:tc>
          <w:tcPr>
            <w:tcW w:w="1026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PLAN OF DISTRIBUTION</w:t>
              </w:r>
            </w:hyperlink>
          </w:p>
        </w:tc>
        <w:tc>
          <w:tcPr>
            <w:tcW w:w="600" w:type="dxa"/>
            <w:vAlign w:val="bottom"/>
            <w:gridSpan w:val="2"/>
          </w:tcPr>
          <w:p>
            <w:pPr>
              <w:jc w:val="center"/>
              <w:ind w:left="150"/>
              <w:spacing w:after="0"/>
              <w:rPr>
                <w:rFonts w:ascii="Arial" w:cs="Arial" w:eastAsia="Arial" w:hAnsi="Arial"/>
                <w:sz w:val="18"/>
                <w:szCs w:val="18"/>
                <w:u w:val="single" w:color="auto"/>
                <w:color w:val="0000EE"/>
                <w:w w:val="79"/>
              </w:rPr>
            </w:pPr>
            <w:hyperlink w:anchor="page37">
              <w:r>
                <w:rPr>
                  <w:rFonts w:ascii="Arial" w:cs="Arial" w:eastAsia="Arial" w:hAnsi="Arial"/>
                  <w:sz w:val="18"/>
                  <w:szCs w:val="18"/>
                  <w:u w:val="single" w:color="auto"/>
                  <w:color w:val="0000EE"/>
                  <w:w w:val="79"/>
                </w:rPr>
                <w:t>9</w:t>
              </w:r>
            </w:hyperlink>
          </w:p>
        </w:tc>
        <w:tc>
          <w:tcPr>
            <w:tcW w:w="380" w:type="dxa"/>
            <w:vAlign w:val="bottom"/>
          </w:tcPr>
          <w:p>
            <w:pPr>
              <w:spacing w:after="0"/>
              <w:rPr>
                <w:sz w:val="19"/>
                <w:szCs w:val="19"/>
                <w:color w:val="auto"/>
              </w:rPr>
            </w:pPr>
          </w:p>
        </w:tc>
      </w:tr>
      <w:tr>
        <w:trPr>
          <w:trHeight w:val="230"/>
        </w:trPr>
        <w:tc>
          <w:tcPr>
            <w:tcW w:w="10260" w:type="dxa"/>
            <w:vAlign w:val="bottom"/>
            <w:shd w:val="clear" w:color="auto" w:fill="CCEEFF"/>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DESCRIPTION OF COMMON STOCK</w:t>
              </w:r>
            </w:hyperlink>
          </w:p>
        </w:tc>
        <w:tc>
          <w:tcPr>
            <w:tcW w:w="600" w:type="dxa"/>
            <w:vAlign w:val="bottom"/>
            <w:gridSpan w:val="2"/>
            <w:shd w:val="clear" w:color="auto" w:fill="CCEEFF"/>
          </w:tcPr>
          <w:p>
            <w:pPr>
              <w:jc w:val="center"/>
              <w:ind w:left="150"/>
              <w:spacing w:after="0"/>
              <w:rPr>
                <w:rFonts w:ascii="Arial" w:cs="Arial" w:eastAsia="Arial" w:hAnsi="Arial"/>
                <w:sz w:val="18"/>
                <w:szCs w:val="18"/>
                <w:u w:val="single" w:color="auto"/>
                <w:color w:val="0000EE"/>
                <w:w w:val="79"/>
              </w:rPr>
            </w:pPr>
            <w:hyperlink w:anchor="page39">
              <w:r>
                <w:rPr>
                  <w:rFonts w:ascii="Arial" w:cs="Arial" w:eastAsia="Arial" w:hAnsi="Arial"/>
                  <w:sz w:val="18"/>
                  <w:szCs w:val="18"/>
                  <w:u w:val="single" w:color="auto"/>
                  <w:color w:val="0000EE"/>
                  <w:w w:val="79"/>
                </w:rPr>
                <w:t>11</w:t>
              </w:r>
            </w:hyperlink>
          </w:p>
        </w:tc>
        <w:tc>
          <w:tcPr>
            <w:tcW w:w="380" w:type="dxa"/>
            <w:vAlign w:val="bottom"/>
            <w:shd w:val="clear" w:color="auto" w:fill="CCEEFF"/>
          </w:tcPr>
          <w:p>
            <w:pPr>
              <w:spacing w:after="0"/>
              <w:rPr>
                <w:sz w:val="19"/>
                <w:szCs w:val="19"/>
                <w:color w:val="auto"/>
              </w:rPr>
            </w:pPr>
          </w:p>
        </w:tc>
      </w:tr>
      <w:tr>
        <w:trPr>
          <w:trHeight w:val="229"/>
        </w:trPr>
        <w:tc>
          <w:tcPr>
            <w:tcW w:w="1026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DESCRIPTION OF PREFERRED STOCK</w:t>
              </w:r>
            </w:hyperlink>
          </w:p>
        </w:tc>
        <w:tc>
          <w:tcPr>
            <w:tcW w:w="600" w:type="dxa"/>
            <w:vAlign w:val="bottom"/>
            <w:gridSpan w:val="2"/>
          </w:tcPr>
          <w:p>
            <w:pPr>
              <w:jc w:val="center"/>
              <w:ind w:left="130"/>
              <w:spacing w:after="0"/>
              <w:rPr>
                <w:rFonts w:ascii="Arial" w:cs="Arial" w:eastAsia="Arial" w:hAnsi="Arial"/>
                <w:sz w:val="18"/>
                <w:szCs w:val="18"/>
                <w:u w:val="single" w:color="auto"/>
                <w:color w:val="0000EE"/>
                <w:w w:val="89"/>
              </w:rPr>
            </w:pPr>
            <w:hyperlink w:anchor="page41">
              <w:r>
                <w:rPr>
                  <w:rFonts w:ascii="Arial" w:cs="Arial" w:eastAsia="Arial" w:hAnsi="Arial"/>
                  <w:sz w:val="18"/>
                  <w:szCs w:val="18"/>
                  <w:u w:val="single" w:color="auto"/>
                  <w:color w:val="0000EE"/>
                  <w:w w:val="89"/>
                </w:rPr>
                <w:t>13</w:t>
              </w:r>
            </w:hyperlink>
          </w:p>
        </w:tc>
        <w:tc>
          <w:tcPr>
            <w:tcW w:w="380" w:type="dxa"/>
            <w:vAlign w:val="bottom"/>
          </w:tcPr>
          <w:p>
            <w:pPr>
              <w:spacing w:after="0"/>
              <w:rPr>
                <w:sz w:val="19"/>
                <w:szCs w:val="19"/>
                <w:color w:val="auto"/>
              </w:rPr>
            </w:pPr>
          </w:p>
        </w:tc>
      </w:tr>
      <w:tr>
        <w:trPr>
          <w:trHeight w:val="230"/>
        </w:trPr>
        <w:tc>
          <w:tcPr>
            <w:tcW w:w="10260" w:type="dxa"/>
            <w:vAlign w:val="bottom"/>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DESCRIPTION OF DEBT SECURITIES</w:t>
              </w:r>
            </w:hyperlink>
          </w:p>
        </w:tc>
        <w:tc>
          <w:tcPr>
            <w:tcW w:w="600" w:type="dxa"/>
            <w:vAlign w:val="bottom"/>
            <w:gridSpan w:val="2"/>
            <w:shd w:val="clear" w:color="auto" w:fill="CCEEFF"/>
          </w:tcPr>
          <w:p>
            <w:pPr>
              <w:jc w:val="center"/>
              <w:ind w:left="130"/>
              <w:spacing w:after="0"/>
              <w:rPr>
                <w:rFonts w:ascii="Arial" w:cs="Arial" w:eastAsia="Arial" w:hAnsi="Arial"/>
                <w:sz w:val="18"/>
                <w:szCs w:val="18"/>
                <w:u w:val="single" w:color="auto"/>
                <w:color w:val="0000EE"/>
                <w:w w:val="89"/>
              </w:rPr>
            </w:pPr>
            <w:hyperlink w:anchor="page43">
              <w:r>
                <w:rPr>
                  <w:rFonts w:ascii="Arial" w:cs="Arial" w:eastAsia="Arial" w:hAnsi="Arial"/>
                  <w:sz w:val="18"/>
                  <w:szCs w:val="18"/>
                  <w:u w:val="single" w:color="auto"/>
                  <w:color w:val="0000EE"/>
                  <w:w w:val="89"/>
                </w:rPr>
                <w:t>15</w:t>
              </w:r>
            </w:hyperlink>
          </w:p>
        </w:tc>
        <w:tc>
          <w:tcPr>
            <w:tcW w:w="380" w:type="dxa"/>
            <w:vAlign w:val="bottom"/>
            <w:shd w:val="clear" w:color="auto" w:fill="CCEEFF"/>
          </w:tcPr>
          <w:p>
            <w:pPr>
              <w:spacing w:after="0"/>
              <w:rPr>
                <w:sz w:val="19"/>
                <w:szCs w:val="19"/>
                <w:color w:val="auto"/>
              </w:rPr>
            </w:pPr>
          </w:p>
        </w:tc>
      </w:tr>
      <w:tr>
        <w:trPr>
          <w:trHeight w:val="229"/>
        </w:trPr>
        <w:tc>
          <w:tcPr>
            <w:tcW w:w="1026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DESCRIPTION OF WARRANTS</w:t>
              </w:r>
            </w:hyperlink>
          </w:p>
        </w:tc>
        <w:tc>
          <w:tcPr>
            <w:tcW w:w="600" w:type="dxa"/>
            <w:vAlign w:val="bottom"/>
            <w:gridSpan w:val="2"/>
          </w:tcPr>
          <w:p>
            <w:pPr>
              <w:jc w:val="center"/>
              <w:ind w:left="130"/>
              <w:spacing w:after="0"/>
              <w:rPr>
                <w:rFonts w:ascii="Arial" w:cs="Arial" w:eastAsia="Arial" w:hAnsi="Arial"/>
                <w:sz w:val="18"/>
                <w:szCs w:val="18"/>
                <w:u w:val="single" w:color="auto"/>
                <w:color w:val="0000EE"/>
                <w:w w:val="89"/>
              </w:rPr>
            </w:pPr>
            <w:hyperlink w:anchor="page48">
              <w:r>
                <w:rPr>
                  <w:rFonts w:ascii="Arial" w:cs="Arial" w:eastAsia="Arial" w:hAnsi="Arial"/>
                  <w:sz w:val="18"/>
                  <w:szCs w:val="18"/>
                  <w:u w:val="single" w:color="auto"/>
                  <w:color w:val="0000EE"/>
                  <w:w w:val="89"/>
                </w:rPr>
                <w:t>20</w:t>
              </w:r>
            </w:hyperlink>
          </w:p>
        </w:tc>
        <w:tc>
          <w:tcPr>
            <w:tcW w:w="380" w:type="dxa"/>
            <w:vAlign w:val="bottom"/>
          </w:tcPr>
          <w:p>
            <w:pPr>
              <w:spacing w:after="0"/>
              <w:rPr>
                <w:sz w:val="19"/>
                <w:szCs w:val="19"/>
                <w:color w:val="auto"/>
              </w:rPr>
            </w:pPr>
          </w:p>
        </w:tc>
      </w:tr>
      <w:tr>
        <w:trPr>
          <w:trHeight w:val="229"/>
        </w:trPr>
        <w:tc>
          <w:tcPr>
            <w:tcW w:w="10260" w:type="dxa"/>
            <w:vAlign w:val="bottom"/>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DESCRIPTION OF RIGHTS</w:t>
              </w:r>
            </w:hyperlink>
          </w:p>
        </w:tc>
        <w:tc>
          <w:tcPr>
            <w:tcW w:w="600" w:type="dxa"/>
            <w:vAlign w:val="bottom"/>
            <w:gridSpan w:val="2"/>
            <w:shd w:val="clear" w:color="auto" w:fill="CCEEFF"/>
          </w:tcPr>
          <w:p>
            <w:pPr>
              <w:jc w:val="center"/>
              <w:ind w:left="130"/>
              <w:spacing w:after="0"/>
              <w:rPr>
                <w:rFonts w:ascii="Arial" w:cs="Arial" w:eastAsia="Arial" w:hAnsi="Arial"/>
                <w:sz w:val="18"/>
                <w:szCs w:val="18"/>
                <w:u w:val="single" w:color="auto"/>
                <w:color w:val="0000EE"/>
                <w:w w:val="89"/>
              </w:rPr>
            </w:pPr>
            <w:hyperlink w:anchor="page49">
              <w:r>
                <w:rPr>
                  <w:rFonts w:ascii="Arial" w:cs="Arial" w:eastAsia="Arial" w:hAnsi="Arial"/>
                  <w:sz w:val="18"/>
                  <w:szCs w:val="18"/>
                  <w:u w:val="single" w:color="auto"/>
                  <w:color w:val="0000EE"/>
                  <w:w w:val="89"/>
                </w:rPr>
                <w:t>21</w:t>
              </w:r>
            </w:hyperlink>
          </w:p>
        </w:tc>
        <w:tc>
          <w:tcPr>
            <w:tcW w:w="380" w:type="dxa"/>
            <w:vAlign w:val="bottom"/>
            <w:shd w:val="clear" w:color="auto" w:fill="CCEEFF"/>
          </w:tcPr>
          <w:p>
            <w:pPr>
              <w:spacing w:after="0"/>
              <w:rPr>
                <w:sz w:val="19"/>
                <w:szCs w:val="19"/>
                <w:color w:val="auto"/>
              </w:rPr>
            </w:pPr>
          </w:p>
        </w:tc>
      </w:tr>
      <w:tr>
        <w:trPr>
          <w:trHeight w:val="230"/>
        </w:trPr>
        <w:tc>
          <w:tcPr>
            <w:tcW w:w="1026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DESCRIPTION OF UNITS</w:t>
              </w:r>
            </w:hyperlink>
          </w:p>
        </w:tc>
        <w:tc>
          <w:tcPr>
            <w:tcW w:w="600" w:type="dxa"/>
            <w:vAlign w:val="bottom"/>
            <w:gridSpan w:val="2"/>
          </w:tcPr>
          <w:p>
            <w:pPr>
              <w:jc w:val="center"/>
              <w:ind w:left="130"/>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22</w:t>
              </w:r>
            </w:hyperlink>
          </w:p>
        </w:tc>
        <w:tc>
          <w:tcPr>
            <w:tcW w:w="380" w:type="dxa"/>
            <w:vAlign w:val="bottom"/>
          </w:tcPr>
          <w:p>
            <w:pPr>
              <w:spacing w:after="0"/>
              <w:rPr>
                <w:sz w:val="19"/>
                <w:szCs w:val="19"/>
                <w:color w:val="auto"/>
              </w:rPr>
            </w:pPr>
          </w:p>
        </w:tc>
      </w:tr>
      <w:tr>
        <w:trPr>
          <w:trHeight w:val="229"/>
        </w:trPr>
        <w:tc>
          <w:tcPr>
            <w:tcW w:w="10260" w:type="dxa"/>
            <w:vAlign w:val="bottom"/>
            <w:shd w:val="clear" w:color="auto" w:fill="CCEEFF"/>
          </w:tcPr>
          <w:p>
            <w:pPr>
              <w:spacing w:after="0"/>
              <w:rPr>
                <w:rFonts w:ascii="Arial" w:cs="Arial" w:eastAsia="Arial" w:hAnsi="Arial"/>
                <w:sz w:val="18"/>
                <w:szCs w:val="18"/>
                <w:u w:val="single" w:color="auto"/>
                <w:color w:val="0000EE"/>
                <w:w w:val="98"/>
              </w:rPr>
            </w:pPr>
            <w:hyperlink w:anchor="page51">
              <w:r>
                <w:rPr>
                  <w:rFonts w:ascii="Arial" w:cs="Arial" w:eastAsia="Arial" w:hAnsi="Arial"/>
                  <w:sz w:val="18"/>
                  <w:szCs w:val="18"/>
                  <w:u w:val="single" w:color="auto"/>
                  <w:color w:val="0000EE"/>
                  <w:w w:val="98"/>
                </w:rPr>
                <w:t>CERTAIN PROVISIONS OF DELAWARE LAW AND OF THE COMPANY’S CERTIFICATE OF INCORPORATION AND BYLAWS</w:t>
              </w:r>
            </w:hyperlink>
          </w:p>
        </w:tc>
        <w:tc>
          <w:tcPr>
            <w:tcW w:w="600" w:type="dxa"/>
            <w:vAlign w:val="bottom"/>
            <w:gridSpan w:val="2"/>
            <w:shd w:val="clear" w:color="auto" w:fill="CCEEFF"/>
          </w:tcPr>
          <w:p>
            <w:pPr>
              <w:jc w:val="center"/>
              <w:ind w:left="130"/>
              <w:spacing w:after="0"/>
              <w:rPr>
                <w:rFonts w:ascii="Arial" w:cs="Arial" w:eastAsia="Arial" w:hAnsi="Arial"/>
                <w:sz w:val="18"/>
                <w:szCs w:val="18"/>
                <w:u w:val="single" w:color="auto"/>
                <w:color w:val="0000EE"/>
                <w:w w:val="89"/>
              </w:rPr>
            </w:pPr>
            <w:hyperlink w:anchor="page51">
              <w:r>
                <w:rPr>
                  <w:rFonts w:ascii="Arial" w:cs="Arial" w:eastAsia="Arial" w:hAnsi="Arial"/>
                  <w:sz w:val="18"/>
                  <w:szCs w:val="18"/>
                  <w:u w:val="single" w:color="auto"/>
                  <w:color w:val="0000EE"/>
                  <w:w w:val="89"/>
                </w:rPr>
                <w:t>23</w:t>
              </w:r>
            </w:hyperlink>
          </w:p>
        </w:tc>
        <w:tc>
          <w:tcPr>
            <w:tcW w:w="380" w:type="dxa"/>
            <w:vAlign w:val="bottom"/>
            <w:shd w:val="clear" w:color="auto" w:fill="CCEEFF"/>
          </w:tcPr>
          <w:p>
            <w:pPr>
              <w:spacing w:after="0"/>
              <w:rPr>
                <w:sz w:val="19"/>
                <w:szCs w:val="19"/>
                <w:color w:val="auto"/>
              </w:rPr>
            </w:pPr>
          </w:p>
        </w:tc>
      </w:tr>
      <w:tr>
        <w:trPr>
          <w:trHeight w:val="229"/>
        </w:trPr>
        <w:tc>
          <w:tcPr>
            <w:tcW w:w="1026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LEGAL MATTERS</w:t>
              </w:r>
            </w:hyperlink>
          </w:p>
        </w:tc>
        <w:tc>
          <w:tcPr>
            <w:tcW w:w="600" w:type="dxa"/>
            <w:vAlign w:val="bottom"/>
            <w:gridSpan w:val="2"/>
          </w:tcPr>
          <w:p>
            <w:pPr>
              <w:jc w:val="center"/>
              <w:ind w:left="130"/>
              <w:spacing w:after="0"/>
              <w:rPr>
                <w:rFonts w:ascii="Arial" w:cs="Arial" w:eastAsia="Arial" w:hAnsi="Arial"/>
                <w:sz w:val="18"/>
                <w:szCs w:val="18"/>
                <w:u w:val="single" w:color="auto"/>
                <w:color w:val="0000EE"/>
                <w:w w:val="89"/>
              </w:rPr>
            </w:pPr>
            <w:hyperlink w:anchor="page52">
              <w:r>
                <w:rPr>
                  <w:rFonts w:ascii="Arial" w:cs="Arial" w:eastAsia="Arial" w:hAnsi="Arial"/>
                  <w:sz w:val="18"/>
                  <w:szCs w:val="18"/>
                  <w:u w:val="single" w:color="auto"/>
                  <w:color w:val="0000EE"/>
                  <w:w w:val="89"/>
                </w:rPr>
                <w:t>24</w:t>
              </w:r>
            </w:hyperlink>
          </w:p>
        </w:tc>
        <w:tc>
          <w:tcPr>
            <w:tcW w:w="380" w:type="dxa"/>
            <w:vAlign w:val="bottom"/>
          </w:tcPr>
          <w:p>
            <w:pPr>
              <w:spacing w:after="0"/>
              <w:rPr>
                <w:sz w:val="19"/>
                <w:szCs w:val="19"/>
                <w:color w:val="auto"/>
              </w:rPr>
            </w:pPr>
          </w:p>
        </w:tc>
      </w:tr>
      <w:tr>
        <w:trPr>
          <w:trHeight w:val="230"/>
        </w:trPr>
        <w:tc>
          <w:tcPr>
            <w:tcW w:w="10260" w:type="dxa"/>
            <w:vAlign w:val="bottom"/>
            <w:shd w:val="clear" w:color="auto" w:fill="CCEEFF"/>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EXPERTS</w:t>
              </w:r>
            </w:hyperlink>
          </w:p>
        </w:tc>
        <w:tc>
          <w:tcPr>
            <w:tcW w:w="600" w:type="dxa"/>
            <w:vAlign w:val="bottom"/>
            <w:gridSpan w:val="2"/>
            <w:shd w:val="clear" w:color="auto" w:fill="CCEEFF"/>
          </w:tcPr>
          <w:p>
            <w:pPr>
              <w:jc w:val="center"/>
              <w:ind w:left="130"/>
              <w:spacing w:after="0"/>
              <w:rPr>
                <w:rFonts w:ascii="Arial" w:cs="Arial" w:eastAsia="Arial" w:hAnsi="Arial"/>
                <w:sz w:val="18"/>
                <w:szCs w:val="18"/>
                <w:u w:val="single" w:color="auto"/>
                <w:color w:val="0000EE"/>
                <w:w w:val="89"/>
              </w:rPr>
            </w:pPr>
            <w:hyperlink w:anchor="page52">
              <w:r>
                <w:rPr>
                  <w:rFonts w:ascii="Arial" w:cs="Arial" w:eastAsia="Arial" w:hAnsi="Arial"/>
                  <w:sz w:val="18"/>
                  <w:szCs w:val="18"/>
                  <w:u w:val="single" w:color="auto"/>
                  <w:color w:val="0000EE"/>
                  <w:w w:val="89"/>
                </w:rPr>
                <w:t>24</w:t>
              </w:r>
            </w:hyperlink>
          </w:p>
        </w:tc>
        <w:tc>
          <w:tcPr>
            <w:tcW w:w="380" w:type="dxa"/>
            <w:vAlign w:val="bottom"/>
            <w:shd w:val="clear" w:color="auto" w:fill="CCEEFF"/>
          </w:tcPr>
          <w:p>
            <w:pPr>
              <w:spacing w:after="0"/>
              <w:rPr>
                <w:sz w:val="19"/>
                <w:szCs w:val="19"/>
                <w:color w:val="auto"/>
              </w:rPr>
            </w:pPr>
          </w:p>
        </w:tc>
      </w:tr>
      <w:tr>
        <w:trPr>
          <w:trHeight w:val="229"/>
        </w:trPr>
        <w:tc>
          <w:tcPr>
            <w:tcW w:w="1026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WHERE YOU CAN FIND MORE INFORMATION</w:t>
              </w:r>
            </w:hyperlink>
          </w:p>
        </w:tc>
        <w:tc>
          <w:tcPr>
            <w:tcW w:w="600" w:type="dxa"/>
            <w:vAlign w:val="bottom"/>
            <w:gridSpan w:val="2"/>
          </w:tcPr>
          <w:p>
            <w:pPr>
              <w:jc w:val="center"/>
              <w:ind w:left="130"/>
              <w:spacing w:after="0"/>
              <w:rPr>
                <w:rFonts w:ascii="Arial" w:cs="Arial" w:eastAsia="Arial" w:hAnsi="Arial"/>
                <w:sz w:val="18"/>
                <w:szCs w:val="18"/>
                <w:u w:val="single" w:color="auto"/>
                <w:color w:val="0000EE"/>
                <w:w w:val="89"/>
              </w:rPr>
            </w:pPr>
            <w:hyperlink w:anchor="page52">
              <w:r>
                <w:rPr>
                  <w:rFonts w:ascii="Arial" w:cs="Arial" w:eastAsia="Arial" w:hAnsi="Arial"/>
                  <w:sz w:val="18"/>
                  <w:szCs w:val="18"/>
                  <w:u w:val="single" w:color="auto"/>
                  <w:color w:val="0000EE"/>
                  <w:w w:val="89"/>
                </w:rPr>
                <w:t>24</w:t>
              </w:r>
            </w:hyperlink>
          </w:p>
        </w:tc>
        <w:tc>
          <w:tcPr>
            <w:tcW w:w="380" w:type="dxa"/>
            <w:vAlign w:val="bottom"/>
          </w:tcPr>
          <w:p>
            <w:pPr>
              <w:spacing w:after="0"/>
              <w:rPr>
                <w:sz w:val="19"/>
                <w:szCs w:val="19"/>
                <w:color w:val="auto"/>
              </w:rPr>
            </w:pPr>
          </w:p>
        </w:tc>
      </w:tr>
      <w:tr>
        <w:trPr>
          <w:trHeight w:val="230"/>
        </w:trPr>
        <w:tc>
          <w:tcPr>
            <w:tcW w:w="10260" w:type="dxa"/>
            <w:vAlign w:val="bottom"/>
            <w:shd w:val="clear" w:color="auto" w:fill="CCEEFF"/>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INCORPORATION OF CERTAIN DOCUMENTS BY REFERENCE</w:t>
              </w:r>
            </w:hyperlink>
          </w:p>
        </w:tc>
        <w:tc>
          <w:tcPr>
            <w:tcW w:w="600" w:type="dxa"/>
            <w:vAlign w:val="bottom"/>
            <w:gridSpan w:val="2"/>
            <w:shd w:val="clear" w:color="auto" w:fill="CCEEFF"/>
          </w:tcPr>
          <w:p>
            <w:pPr>
              <w:jc w:val="center"/>
              <w:ind w:left="130"/>
              <w:spacing w:after="0"/>
              <w:rPr>
                <w:rFonts w:ascii="Arial" w:cs="Arial" w:eastAsia="Arial" w:hAnsi="Arial"/>
                <w:sz w:val="18"/>
                <w:szCs w:val="18"/>
                <w:u w:val="single" w:color="auto"/>
                <w:color w:val="0000EE"/>
                <w:w w:val="89"/>
              </w:rPr>
            </w:pPr>
            <w:hyperlink w:anchor="page53">
              <w:r>
                <w:rPr>
                  <w:rFonts w:ascii="Arial" w:cs="Arial" w:eastAsia="Arial" w:hAnsi="Arial"/>
                  <w:sz w:val="18"/>
                  <w:szCs w:val="18"/>
                  <w:u w:val="single" w:color="auto"/>
                  <w:color w:val="0000EE"/>
                  <w:w w:val="89"/>
                </w:rPr>
                <w:t>25</w:t>
              </w:r>
            </w:hyperlink>
          </w:p>
        </w:tc>
        <w:tc>
          <w:tcPr>
            <w:tcW w:w="38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and preferred stock, various series of debt securities and/or warrants, rights to purchase any of such securities, either individually or in units, in one or more offerings, with a total value of up to $200,000,000.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We take no responsibility for, and can provide no assurances as to the reliability of, any other information that others may give you.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9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context otherwise requires, references to “we,” “our,” “us,” or the “Company” in this prospectus mean XpresSpa Group, Inc., together with its subsidiaries.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00" w:lineRule="exact"/>
        <w:rPr>
          <w:sz w:val="20"/>
          <w:szCs w:val="20"/>
          <w:color w:val="auto"/>
        </w:rPr>
      </w:pPr>
    </w:p>
    <w:p>
      <w:pPr>
        <w:spacing w:after="0" w:line="24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XpresSpa Group, Inc. (“XpresSpa” or the “Company”) is a pure-play health and wellness services company and a leading airport retailer of spa services. XpresSpa offers travelers premium spa services, including massage, nail and skin care, as well as spa and travel products. We currently have one operating segment that is also our sole reporting unit.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launched XpresCheck™ brand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22, 2020, we announced the signing of a contract with JFK International Air Terminal LLC (“JFKIAT”) to pilot test our concept of providing diagnostic COVID-19 tests in Terminal 4. To facilitate the JFK pilot test, we signed an agreement with JFKIAT for a new modular constructed testing facility within the terminal that will host nine separate testing rooms with a capacity to administer over 500 tests per day. We intend to initially offer our services to airline employees, contractors and workers, concessionaires and their employees, TSA officers, and U.S. Customs and Border Protection agents. All COVID-19 screening and testing will be conducted by a newly launched brand, XpresCheck™, which will operate under our XpresTest subsidiary. The pilot test at JFK launched on June 22,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11, 2020, we effected a one-for-three reverse stock split, whereby every three shares of our Common Stock was reduced to one share of our Common Stock and the price per share of our Common Stock was multiplied by 3</w:t>
      </w:r>
      <w:r>
        <w:rPr>
          <w:rFonts w:ascii="Arial" w:cs="Arial" w:eastAsia="Arial" w:hAnsi="Arial"/>
          <w:sz w:val="18"/>
          <w:szCs w:val="18"/>
          <w:b w:val="1"/>
          <w:bCs w:val="1"/>
          <w:color w:val="auto"/>
        </w:rPr>
        <w:t>.</w:t>
      </w:r>
      <w:r>
        <w:rPr>
          <w:rFonts w:ascii="Arial" w:cs="Arial" w:eastAsia="Arial" w:hAnsi="Arial"/>
          <w:sz w:val="18"/>
          <w:szCs w:val="18"/>
          <w:color w:val="auto"/>
        </w:rPr>
        <w:t xml:space="preserve"> All references to shares and per share amounts have been adjusted to reflect the reverse stock split.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Coronavirus on Business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11, 2020, the World Health Organization declared the outbreak of COVID-19, which continues to spread throughout the U.S. and the world, as a pandemic. The outbreak has had an impact on the global economy, resulting in rapidly changing market and economic conditions. National and local governments around the world instituted certain measures, including travel bans, prohibitions on group events and gatherings, shutdowns of certain non-essential businesses, curfews, shelter-in-place orders and recommendations to practice social distancing. The outbreak and associated restrictions on travel that have been implemented have had a material adverse impact on our business and cash flow from operations, similar to many businesses in the travel sector.</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March 24, 2020, we temporarily closed all global spa locations, largely due to the categorization of the spa locations by local jurisdictions as “non-essential services”. Substantially all of our spa locations remain closed. We intend to strategically reopen our spa locations and resume normal operations once restrictions are lifted and airport traffic returns to sufficient levels to support our operations.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impact of COVID-19 is unknown and may continue as the rates of infection have increased in many states in the U.S., thus additional restrictive measures may be necessary. As a result, management has concluded that there was a long-lived asset impairment triggering event during the first quarter of 2020, which would require management to perform an impairment evaluation of our long-lived and definite-lived asset balances, consisting primarily of leasehold improvements at spa locations, trademarks and right of use lease assets of approximately $21,891 as of March 31, 2020. As a result of the triggering event, we reassessed our projections and based on management’s expectation of resuming normal operations, no impairment was indicated at this time. The full extent to which COVID-19 will impact our results will depend on future developments, which are highly uncertain and cannot be predicted, including new information which may emerge concerning the severity of the virus and the actions to contain or treat its impact.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9" w:name="page30"/>
    <w:bookmarkEnd w:id="29"/>
    <w:p>
      <w:pPr>
        <w:jc w:val="both"/>
        <w:spacing w:after="0" w:line="271" w:lineRule="auto"/>
        <w:rPr>
          <w:sz w:val="20"/>
          <w:szCs w:val="20"/>
          <w:color w:val="auto"/>
        </w:rPr>
      </w:pPr>
      <w:r>
        <w:rPr>
          <w:rFonts w:ascii="Arial" w:cs="Arial" w:eastAsia="Arial" w:hAnsi="Arial"/>
          <w:sz w:val="17"/>
          <w:szCs w:val="17"/>
          <w:color w:val="auto"/>
        </w:rPr>
        <w:t>The impact of the COVID-19 pandemic could continue to have a material adverse effect on our core XpresSpa business, results of operations, financial condition, liquidity and prospects in the near-term and beyond 2020. While management has used all currently available information in our forecasts, the ultimate impact of the COVID-19 pandemic and our newly launched brand, XpresCheck, on our results of operations, financial condition and cash flows is highly uncertain, and cannot currently be accurately predicted. Our results of operations, financial condition and cash flows are dependent on future developments, including the duration of the pandemic and the related length of its impact on the global economy, such as a lengthy or severe recession or any other negative trend in the U.S. or global economy and any new information that may emerge concerning the COVID-19 outbreak and the actions to contain it or treat its impact, which at the present time are highly uncertain and cannot be predicted with any accuracy. The success or failure of our newly launched brand, XpresCheck, could also have a material effect on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Airport Rent Concessions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received rent concessions from landlords on a majority of our leases, allowing for the relief of minimum guaranteed payments in exchange for percentage-of-revenue rent or providing relief from rent in excess of minimum guaranteed amounts where percentage-of-revenue rent exceeds the minimum. Currently, the period of relief from these payments range from three- to ten-months beginning in March 2020. We did not pay a total of approximately $75,000 in rent in March 2020 as a result of receiving these concessions for the month in which we began closing our spa locations. We will realize additional savings in rent expense going forward since we closed all of our spas on March 24, 2020, and therefore there will be no percentage-of-revenue rent. We also received deferrals on unpaid rent for three to six months on certain of our leases.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Exchanges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19, 2020, we entered into separate Warrant Exchange Agreements (the “March Exchange Agreements”) with the holders of certain existing warrants (the “March Exchanged Warrants”) to exchange warrants for shares of our Common Stock, subject to receipt of the approval of our stockholders, which was obtained on May 28, 2020. The March Exchanged Warrants were originally issued (i) pursuant to a securities purchase agreement, dated as of May 15, 2018, and in connection with a related consent and (ii) in connection with that certain Agreement and Plan of Merger by and among us (formerly known as FORM Holdings Corp.), FHXMS, LLC, XpresSpa Holdings, LLC and Mistral XH Representative, LLC, as representative of the unitholders, dated October 25, 2016, as subsequently amended. Pursuant to the March Exchange Agreements, the holders exchanged 1,942,131 of the March Exchanged Warrants for an aggregate of 2,913,197 shares of our Common Stock.</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June 4, 2020, we entered into a Warrant Exchange Agreement (the “June Exchange Agreement”) with the holder of certain existing warrants (the “June Exchanged Warrants”) to exchange the June Exchanged Warrants for shares of our Common Stock. The June Exchanged Warrants were acquired pursuant to a separately negotiated private transaction between the holder and Calm. In June 2020, pursuant to the June Exchange Agreement, on the closing date the holder exchanged 1,374,750 of the June Exchanged Warrants for an aggregate of 2,062,125 shares of our Common Stock.</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Credit Cash Funding Advance</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January 9, 2020, certain of our wholly-owned subsidiaries (the “CC Borrowers”) entered into an accounts receivable advance agreement (the “CC Agreement”) with CC Funding, a division of Credit Cash NJ, LLC (the “CC Lender”). Pursuant to the terms of the CC Agreement, the CC Lender agreed to make an advance of funds in the amount of $1,000,000 for aggregate fees of $160,000 for a total repayment amount of $1,160,000. As of March 31, 2020, the outstanding repayment amount of approximately $910,000 was secured by substantially all of the assets of the CC Borrowers, including CC Borrowers’ existing and future accounts receivables and other rights to payment. On June 1, 2020, the CC Borrowers entered into a payoff letter (the “Payoff Letter”) with the CC Lender pursuant to which the CC Agreement was terminated. Under the Payoff Letter, we repaid $733,903.34 owed under the</w:t>
      </w:r>
    </w:p>
    <w:p>
      <w:pPr>
        <w:spacing w:after="0" w:line="4" w:lineRule="exact"/>
        <w:rPr>
          <w:sz w:val="20"/>
          <w:szCs w:val="20"/>
          <w:color w:val="auto"/>
        </w:rPr>
      </w:pPr>
    </w:p>
    <w:p>
      <w:pPr>
        <w:ind w:right="20" w:firstLine="8"/>
        <w:spacing w:after="0" w:line="260" w:lineRule="auto"/>
        <w:tabs>
          <w:tab w:leader="none" w:pos="293" w:val="left"/>
        </w:tabs>
        <w:numPr>
          <w:ilvl w:val="0"/>
          <w:numId w:val="9"/>
        </w:numPr>
        <w:rPr>
          <w:rFonts w:ascii="Arial" w:cs="Arial" w:eastAsia="Arial" w:hAnsi="Arial"/>
          <w:sz w:val="18"/>
          <w:szCs w:val="18"/>
          <w:color w:val="auto"/>
        </w:rPr>
      </w:pPr>
      <w:r>
        <w:rPr>
          <w:rFonts w:ascii="Arial" w:cs="Arial" w:eastAsia="Arial" w:hAnsi="Arial"/>
          <w:sz w:val="18"/>
          <w:szCs w:val="18"/>
          <w:color w:val="auto"/>
        </w:rPr>
        <w:t>Agreement as of June 1, 2020 and the CC Lender released all security interests held on the assets of the CC Borrowers, including the CC Borrowers’ existing and future accounts receivables and other rights to payment.</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compensation for the consent of existing creditor B3D to the CC Agreement described above, on January 9, 2020, XpresSpa Holdings, LLC (“XpresSpa Holdings”), a wholly-owned subsidiary, entered into a fifth amendment (the “Fifth Credit Agreement Amendment”) to our existing credit agreement with B3D in order to, among other provisions, (i) amend and restate our existing B3D Note in order to increase the principal amount owed to B3D from $7,000,000 to $7,150,000, which additional $150,000 in principal and any interest accrued thereon will become convertible, at B3D’s option, into shares of our Common Stock subject to upon receipt of the approval of our stockholders, which was obtained on May 28, 2020 and (ii) provide for the advance payment of 97,223 shares of Common Stock in satisfaction of the interest payable pursuant to the B3D Note for the months of October, November and December 2020. The Common Stock was issued to B3D on January 14,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B3D Senior Secured Loan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6, 2020, XpresSpa Holdings, LLC, our wholly-owned subsidiary, entered into a sixth amendment (the “Sixth Credit Agreement Amendment”) to our existing credit agreement with B3D. In connection with the Sixth Credit Agreement Amendment and B3D Note, B3D agreed to provide us with $500,000 in additional funding and to submit one or more conversion notices to convert an aggregate of $375,000 in principal under the B3D Note to Common Stock on or prior to March 27, 2020. XpresSpa Holdings entered into the Credit Agreement Amendment in order to, among other provisions,</w:t>
      </w:r>
    </w:p>
    <w:p>
      <w:pPr>
        <w:spacing w:after="0" w:line="1" w:lineRule="exact"/>
        <w:rPr>
          <w:sz w:val="20"/>
          <w:szCs w:val="20"/>
          <w:color w:val="auto"/>
        </w:rPr>
      </w:pPr>
    </w:p>
    <w:p>
      <w:pPr>
        <w:jc w:val="both"/>
        <w:ind w:firstLine="8"/>
        <w:spacing w:after="0" w:line="252" w:lineRule="auto"/>
        <w:tabs>
          <w:tab w:leader="none" w:pos="2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 and restate our existing convertible promissory note with B3D in order to increase the principal amount owed from $7,150,000 to $7,900,000, which additional $750,000 in principal and any interest accrued thereon will be convertible, at B3D’s option, into shares of Common Stock subject to receipt of the approval of our stockholders, which was approved on May 28, 2020, and (ii) decrease the conversion rate under the B3D Note from $6.00 per share to $1.68 per share. On March 19, 2020, the conversion rate was reduced to $0.525 per share after giving effect to certain anti-dilution adjustments. In connection with the Sixth Credit Agreement Amendment, B3D converted a total of $750,000 in principal and was issued a total of 446,429 shares of our Common Stock in March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Common Stock Offerings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19, 2020, we entered into a securities purchase agreement with certain purchasers, pursuant to which we issued and sold, in a registered direct offering, (i) 1,396,281 shares of our Common Stock at an offering price of $0.525 per share and (ii) an aggregate of 698,958 pre-funded warrants exercisable for shares of Common Stock at an offering price of $0.495 per pre-funded warrant.</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March 25, 2020, we entered into a securities purchase agreement with certain purchasers, pursuant to which we issued and sold, in a registered direct offering, (i) 2,483,333 shares of Common Stock at an offering price of $0.60 per share and (ii) an aggregate of 500,000 pre-funded warrants exercisable for shares of Common Stock at an offering price of $0.57 per pre-funded warrant.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27, 2020, we entered into a securities purchase agreement with certain purchasers, pursuant to which we issued and sold, in a registered direct offering (i) 2,631,666 shares of Common Stock at an offering price of $0.60 per share and (ii) an aggregate of 701,666 pre-funded warrants exercisable for shares of Common Stock at an offering price of $0.57 per pre-funded warrant.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sold a total of 6,511,280 shares of Common Stock and 1,900,625 of pre-funded warrants and received total proceeds of approximately $4,200,000, net of financial advisory and consulting fees, in the above offerings. During the three months ended March 31, 2020, 1,698,959 pre-funded warrants were exercised for total proceeds of approximately $490,000. As of March 31, 2020, 201,666 pre-funded warrants to purchase Common Stock were unexercised and remained outstanding.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color w:val="auto"/>
        </w:rPr>
        <w:t>On April 6, 2020, we entered into a securities purchase agreement with certain purchasers, pursuant to which we issued and sold, in a registered direct offering (i) 4,049,573 shares of Common Stock at an offering price of $0.66 per share and (ii) an aggregate of 485,151 pre-funded warrants exercisable for shares of Common Stock at an offering price of $0.63 per pre-funded warrant.</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17, 2020, we entered into a securities purchase agreement with certain purchasers, pursuant to which we agreed to issue and sell 7,614,700 shares of Common Stock at an offering price of $5.253 per share (the “Registered Offering”). In a concurrent private placement (the “Private Placement” and together with the Registered Offering, the “Offerings”), we agreed to issue to the purchasers who participated in the Registered Offering warrants (the “Private Warrants”) exercisable for an aggregate of 7,614,700 shares of Common Stock at an exercise price of $5.25 per share. Each Private Warrant is immediately exercisable and expires 21 months from the issuance date. The Private Warrants and the shares of Common Stock issuable upon the exercise of the Private Warrants are not registered under the Securities Act, were not offered pursuant to a registration statement and were offered pursuant to the exemption provided in Section 4(a)(2) under the Securities Act, and Rule 506(b) promulgated thereunder. The Offerings closed on June 19, 2020 and we received gross proceeds of approximately $40,000,000 before deducting placement agent fees and related offering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1, 2020, we entered into a U.S. Small Business Administration (“SBA”) Paycheck Protection Program (“PPP”) promissory note in the principal amount of $5,653,000 payable to Bank of America, NA (the “Bank of America”) evidencing a PPP loan (the “PPP Loan”). The PPP Loan bears interest at a rate of 1% per annum. No payments will be due on the PPP Loan during a six-month deferral period commencing on May 2, 2020. Commencing one month after the expiration of the deferral period, and continuing on the same day of each month thereafter until the maturity date of the PPP Loan, we will be obligated to make monthly payments of principal and interest, each in such equal amount required to fully amortize the principal amount outstanding on the PPP Loan by the maturity date. The maturity date is May 2, 2022. The principal amount of the PPP Loan is subject to forgiveness under the PPP upon our request to the extent that PPP Loan proceeds are used to pay expenses permitted by the PPP. Bank of America may forgive interest accrued on any principal forgiven if the SBA pays the interest. There can be no assurance that any part of the PPP Loan will be forgiven. The PPP Loan contains customary borrower default provisions and lender remedies, including the right of Bank of America to require immediate repayment in full the outstanding principal balance of the PPP Loan with accrued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Information</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10001.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xml:space="preserve">. We also operate the website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 incorporation by reference of the information contained on the website.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annual report on Form 10-K for the year ended December 31, 2019, as amended, and our quarterly report on Form 10-Q for the quarter ended March 31, 2020,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prospectus and the documents incorporated by reference in this prospectus include forward-looking statements within the meaning of Section 27A of the Securities Act and Section 21E of the Securities Exchange Act of 1934, as amended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Annual Report on Form 10-K for the fiscal year ended December 31, 2019, as amended, and our quarterly report on Form 10-Q for the quarter ended March 31, 2020,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decision by our Board of Directors to pursue a restructuring in the event that our process to identify and evaluate potential business alternatives is not successful;</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adverse effects of public health epidemics, including the recent coronavirus outbreak, on our business, results of operations and financial condition;</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lack of operating history in the diagnostic testing industry and the risks associated with novel coronavirus COVID-19 XpresCheck testing locations;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328" w:hanging="328"/>
        <w:spacing w:after="0" w:line="277"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328" w:right="60" w:hanging="328"/>
        <w:spacing w:after="0" w:line="277"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328" w:right="60" w:hanging="328"/>
        <w:spacing w:after="0" w:line="277"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performance by our Airport Concession Disadvantaged Business Enterprise partners on obligations set forth in our joint venture agreements;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loss of, or an adverse change with regard to, one or more of our significant suppliers, distributors, vendors or other business relationships;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328" w:right="40" w:hanging="328"/>
        <w:spacing w:after="0" w:line="277"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compliance with laws and regulations in the jurisdictions in which we do business and any changes in such laws and regulations;</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00" w:lineRule="exact"/>
        <w:rPr>
          <w:sz w:val="20"/>
          <w:szCs w:val="20"/>
          <w:color w:val="auto"/>
        </w:rPr>
      </w:pPr>
    </w:p>
    <w:p>
      <w:pPr>
        <w:spacing w:after="0" w:line="241" w:lineRule="exact"/>
        <w:rPr>
          <w:sz w:val="20"/>
          <w:szCs w:val="20"/>
          <w:color w:val="auto"/>
        </w:rPr>
      </w:pPr>
    </w:p>
    <w:p>
      <w:pPr>
        <w:jc w:val="center"/>
        <w:ind w:right="-27"/>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8"/>
          </w:cols>
          <w:pgMar w:left="652" w:top="908" w:right="679" w:bottom="1440" w:gutter="0" w:footer="0" w:header="0"/>
        </w:sectPr>
      </w:pPr>
    </w:p>
    <w:bookmarkStart w:id="34" w:name="page35"/>
    <w:bookmarkEnd w:id="34"/>
    <w:p>
      <w:pPr>
        <w:spacing w:after="0" w:line="288"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amended,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6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otherwise indicated in the applicable prospectus supplement, we intend to use any net proceeds from the sale of securities under this prospectus for our operations and for other general corporate purposes, including, but not limited to, general working capital.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6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1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9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95" w:lineRule="exact"/>
        <w:rPr>
          <w:sz w:val="20"/>
          <w:szCs w:val="20"/>
          <w:color w:val="auto"/>
        </w:rPr>
      </w:pPr>
    </w:p>
    <w:p>
      <w:pPr>
        <w:ind w:left="660" w:right="40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 w:name="page38"/>
    <w:bookmarkEnd w:id="37"/>
    <w:p>
      <w:pPr>
        <w:spacing w:after="0" w:line="254" w:lineRule="auto"/>
        <w:rPr>
          <w:sz w:val="20"/>
          <w:szCs w:val="20"/>
          <w:color w:val="auto"/>
        </w:rPr>
      </w:pPr>
      <w:r>
        <w:rPr>
          <w:rFonts w:ascii="Arial" w:cs="Arial" w:eastAsia="Arial" w:hAnsi="Arial"/>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8"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6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dealers and agents may engage in other transactions with us, or perform other services for us, in the ordinary course of their business.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are authorized to issue 150,000,000 shares of common stock, par value $0.01 per share. As of July 20, 2020, we had 56,725,580 shares of common stock outstanding and approximately 101 stockholders of record. The number of shares of common stock outstanding gives effect to our recently completed sale of 7,614,700 shares of common stock in a registered direct offering (the “Direct Offering” pursuant to a Securities Purchase Agreement (the “Purchase Agreement”) with certain purchasers named therein, but excludes, in each case as of July 20, 2020 except as otherwise indicated below:</w:t>
      </w:r>
    </w:p>
    <w:p>
      <w:pPr>
        <w:spacing w:after="0" w:line="157" w:lineRule="exact"/>
        <w:rPr>
          <w:sz w:val="20"/>
          <w:szCs w:val="20"/>
          <w:color w:val="auto"/>
        </w:rPr>
      </w:pPr>
    </w:p>
    <w:p>
      <w:pPr>
        <w:ind w:left="580" w:hanging="190"/>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1,484,286 shares of common stock issuable upon the conversion of indebtedness outstanding as of such date;</w:t>
      </w:r>
    </w:p>
    <w:p>
      <w:pPr>
        <w:spacing w:after="0" w:line="225" w:lineRule="exact"/>
        <w:rPr>
          <w:rFonts w:ascii="Arial" w:cs="Arial" w:eastAsia="Arial" w:hAnsi="Arial"/>
          <w:sz w:val="18"/>
          <w:szCs w:val="18"/>
          <w:color w:val="auto"/>
        </w:rPr>
      </w:pPr>
    </w:p>
    <w:p>
      <w:pPr>
        <w:ind w:left="580" w:hanging="190"/>
        <w:spacing w:after="0" w:line="342"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124,422 shares of common stock issuable upon the exercise of common stock warrants outstanding as of such date at a weighted average exercise price of $0.525 per share (not including the warrants issued concurrently with, or to the placement agent in connection with, the Direct Offering);</w:t>
      </w:r>
    </w:p>
    <w:p>
      <w:pPr>
        <w:spacing w:after="0" w:line="123" w:lineRule="exact"/>
        <w:rPr>
          <w:rFonts w:ascii="Arial" w:cs="Arial" w:eastAsia="Arial" w:hAnsi="Arial"/>
          <w:sz w:val="16"/>
          <w:szCs w:val="16"/>
          <w:color w:val="auto"/>
        </w:rPr>
      </w:pPr>
    </w:p>
    <w:p>
      <w:pPr>
        <w:ind w:left="580" w:hanging="190"/>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670,964 shares of common stock issuable upon the exercise of stock options at a weighted average exercise price of $20.32 per share;</w:t>
      </w:r>
    </w:p>
    <w:p>
      <w:pPr>
        <w:spacing w:after="0" w:line="236" w:lineRule="exact"/>
        <w:rPr>
          <w:rFonts w:ascii="Arial" w:cs="Arial" w:eastAsia="Arial" w:hAnsi="Arial"/>
          <w:sz w:val="17"/>
          <w:szCs w:val="17"/>
          <w:color w:val="auto"/>
        </w:rPr>
      </w:pPr>
    </w:p>
    <w:p>
      <w:pPr>
        <w:ind w:left="580" w:right="20" w:hanging="190"/>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117,051 shares of common stock available for future issuance under the 2012 Employee, Director and Consultant Equity Incentive Plan, as amended;</w:t>
      </w:r>
    </w:p>
    <w:p>
      <w:pPr>
        <w:spacing w:after="0" w:line="170" w:lineRule="exact"/>
        <w:rPr>
          <w:rFonts w:ascii="Arial" w:cs="Arial" w:eastAsia="Arial" w:hAnsi="Arial"/>
          <w:sz w:val="18"/>
          <w:szCs w:val="18"/>
          <w:color w:val="auto"/>
        </w:rPr>
      </w:pPr>
    </w:p>
    <w:p>
      <w:pPr>
        <w:ind w:left="580" w:hanging="190"/>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7,614,700 shares of common stock issuable upon exercise of the warrants issued in the private placement completed concurrently with the Direct Offering, with an exercise price of $5.25 per share;</w:t>
      </w:r>
    </w:p>
    <w:p>
      <w:pPr>
        <w:spacing w:after="0" w:line="170" w:lineRule="exact"/>
        <w:rPr>
          <w:rFonts w:ascii="Arial" w:cs="Arial" w:eastAsia="Arial" w:hAnsi="Arial"/>
          <w:sz w:val="18"/>
          <w:szCs w:val="18"/>
          <w:color w:val="auto"/>
        </w:rPr>
      </w:pPr>
    </w:p>
    <w:p>
      <w:pPr>
        <w:ind w:left="580" w:right="20" w:hanging="190"/>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609,176 shares of common stock issuable upon exercise of the placement agent warrants with an exercise price of $6.56625 per share issued to the placement agent as compensation in connection with the Direct Offering; and</w:t>
      </w:r>
    </w:p>
    <w:p>
      <w:pPr>
        <w:spacing w:after="0" w:line="170" w:lineRule="exact"/>
        <w:rPr>
          <w:rFonts w:ascii="Arial" w:cs="Arial" w:eastAsia="Arial" w:hAnsi="Arial"/>
          <w:sz w:val="18"/>
          <w:szCs w:val="18"/>
          <w:color w:val="auto"/>
        </w:rPr>
      </w:pPr>
    </w:p>
    <w:p>
      <w:pPr>
        <w:ind w:left="580" w:right="20" w:hanging="190"/>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133,258 shares of our common stock issuable upon the exercise of warrants with an exercise price of $5.25 per share issued to the placement agent as compensation in connection with the Direct Offering.</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of the numbers above and in this prospectus give effect to a 1-for-3 reverse stock split we effected on June 11, 2020, whereby every three shares of our common stock became one share of our common stock.</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following summary of certain provisions of our common stock does not purport to be complete. You should refer to the section of this prospectus entitled “Certain Provisions of Delaware Law and of the Company’s Certificate of Incorporation and Bylaws” and our amended and restated certificate of incorporation, as amended, and our amended and restated bylaws, both of which are included as exhibits to the registration statement of which this prospectus is a part. The summary below is also qualified by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then outstanding series of preferred stock. All shares of common stock outstanding as of the date of this prospectus and, upon issuance and sale, all shares of common stock that we may offer pursuant to this prospectus, will be fully paid and nonassessable.</w:t>
      </w:r>
    </w:p>
    <w:p>
      <w:pPr>
        <w:spacing w:after="0" w:line="16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event of our liquidation or dissolution, the holders of our common stock are entitled to receive proportionately our net assets available for distribution to stockholders after the payment of all debts and other liabilities and subject to any preferential rights of any then outstanding series of preferred stock. Holders of our common stock have no preemptive, subscription, redemption or conversion rights. There are no redemption or sinking fund provisions applicable to our common stock. The voting, dividend and liquidation rights of holders of our common stock are subject to, and may be adversely affected by, the rights of the holders of shares of our existing series of preferred stock or any series of preferred stock that we may designate and issue in the future.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with offices at 6201 15th Avenue, Brooklyn, New York 11219.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quotation on The Nasdaq Capital Market under the symbol “XSPA.”</w:t>
      </w: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description of preferred stock and the description of the terms of any particular series of preferred stock that we choose to issue hereunder are not complete. These descriptions are qualified in their entirety by reference to our amended and restated certificate of incorporation and the certificate of designation relating to any series of preferred stock issued by us. The powers, preferences, rights and restrictions of the preferred stock of each series will be fixed by the certificate of designation relating to that series.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amended and restated certificate of incorporation, as amended, authorizes us to issue 10,000,000 shares of preferred stock. As of July 20, 2020, we had:</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designated and issued 6,968 shares of our preferred stock as “Series A Convertible Preferred Stock” with no shares outstanding;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designated and issued 300,000 shares of our preferred stock as “Series C Junior Preferred Stock” with no shares outstanding;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designated 500,000 shares of our preferred stock as “Series D Convertible Preferred Stock” with no shares outstanding;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designated 2,397,060 shares of our preferred stock as “Series E Convertible Preferred Stock” with no shares outstanding;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designated and issued 9,000 shares of our preferred stock as “Series F Convertible Preferred Stock” with no shares outstanding.</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board of directors has the authority, without further action by the stockholders, to issue up to an additional 5,786,972 shares of preferred stock in one or more series and to fix the rights, preferences, privileges and restrictions granted to or imposed upon the preferred stock. Any or all of these rights may be greater than the rights of our common stock.</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without stockholder approval, can issue preferred stock with voting, conversion or other rights that could negatively affect the voting power and other rights of the holders of our common stock. Preferred stock could thus be issued quickly with terms calculated to delay or prevent a change in control of the Company or make it more difficult to remove our management. Additionally, the issuance of preferred stock may have the effect of decreasing the market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may specify the following characteristics of any preferred stock:</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maximum number of shares;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of the shares;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annual dividend rate, if any, whether the dividend rate is fixed or variable, the date or dates on which dividends will accrue, the dividend payment dates, and whether dividends will be cumulative;</w:t>
      </w:r>
    </w:p>
    <w:p>
      <w:pPr>
        <w:ind w:left="660" w:right="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and the terms and conditions for redemption, if any, including redemption at our option or at the option of the holders, including the time period for redemption, and any accumulated dividends or premiums;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liquidation preference, if any, and any accumulated dividends upon the liquidation, dissolution or winding up of our affairs;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sinking fund or similar provision, and, if so, the terms and provisions relating to the purpose and operation of the fund;</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voting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or all other preferences and relative, participating, optional or other special rights, privileges or qualifications, limitations or restrictions;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preferred stock issued will be fully paid and nonassessable upon issuance.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preferred stock will be set forth in the applicable prospectus supplement.</w:t>
      </w:r>
    </w:p>
    <w:p>
      <w:pPr>
        <w:spacing w:after="0" w:line="200" w:lineRule="exact"/>
        <w:rPr>
          <w:sz w:val="20"/>
          <w:szCs w:val="20"/>
          <w:color w:val="auto"/>
        </w:rPr>
      </w:pP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95"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ind w:left="660" w:right="120" w:hanging="328"/>
        <w:spacing w:after="0" w:line="26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a series of debt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1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44" w:name="page45"/>
    <w:bookmarkEnd w:id="44"/>
    <w:p>
      <w:pPr>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6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3"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ind w:left="660" w:right="280" w:hanging="328"/>
        <w:spacing w:after="0" w:line="25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will periodically file statements with the applicable debenture trustee regarding our compliance with specified covenants in the applicable indenture.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3" w:lineRule="exact"/>
        <w:rPr>
          <w:rFonts w:ascii="Arial" w:cs="Arial" w:eastAsia="Arial" w:hAnsi="Arial"/>
          <w:sz w:val="18"/>
          <w:szCs w:val="18"/>
          <w:color w:val="auto"/>
        </w:rPr>
      </w:pPr>
    </w:p>
    <w:p>
      <w:pPr>
        <w:ind w:left="580" w:right="520" w:hanging="248"/>
        <w:spacing w:after="0" w:line="260"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8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5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3"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1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holders of a majority in principal amount of the outstanding debt securities of any series may rescind an acceleration and its consequences, including any related payment default that resulted from the acceleration.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transfer or exchange of debt securities of the series;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right="220"/>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660" w:right="40" w:hanging="328"/>
        <w:spacing w:after="0" w:line="25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2" w:lineRule="exact"/>
        <w:rPr>
          <w:rFonts w:ascii="Arial" w:cs="Arial" w:eastAsia="Arial" w:hAnsi="Arial"/>
          <w:sz w:val="18"/>
          <w:szCs w:val="18"/>
          <w:color w:val="auto"/>
        </w:rPr>
      </w:pPr>
    </w:p>
    <w:p>
      <w:pPr>
        <w:ind w:left="660" w:right="160" w:hanging="328"/>
        <w:spacing w:after="0" w:line="2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ind w:left="660" w:right="44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ind w:left="660" w:right="1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jc w:val="both"/>
        <w:ind w:left="660" w:right="340" w:hanging="328"/>
        <w:spacing w:after="0" w:line="28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if any, and of any other depositaries, execution or paying agents, transfer agents, registrars or other agents;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9" w:lineRule="exact"/>
        <w:rPr>
          <w:rFonts w:ascii="Arial" w:cs="Arial" w:eastAsia="Arial" w:hAnsi="Arial"/>
          <w:sz w:val="18"/>
          <w:szCs w:val="18"/>
          <w:color w:val="auto"/>
        </w:rPr>
      </w:pPr>
    </w:p>
    <w:p>
      <w:pPr>
        <w:ind w:left="660" w:right="74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We will provide in a prospectus supplement the following terms of the rights being issued:</w:t>
      </w:r>
    </w:p>
    <w:p>
      <w:pPr>
        <w:spacing w:after="0" w:line="17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9" w:lineRule="exact"/>
        <w:rPr>
          <w:rFonts w:ascii="Arial" w:cs="Arial" w:eastAsia="Arial" w:hAnsi="Arial"/>
          <w:sz w:val="18"/>
          <w:szCs w:val="18"/>
          <w:color w:val="auto"/>
        </w:rPr>
      </w:pPr>
    </w:p>
    <w:p>
      <w:pPr>
        <w:ind w:left="660" w:right="520" w:hanging="328"/>
        <w:spacing w:after="0" w:line="26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8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120" w:hanging="328"/>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1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the unit agent, if any,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CERTAIN PROVISIONS OF DELAWARE LAW AND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COMPANY’S CERTIFICATE OF INCORPORATION AND BYLAWS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Documents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amended and restated certificate of incorporation provides that amendments by our stockholders of our amended and restated bylaws require the approval of at least 66⅔% of the voting power of all outstanding stock. These provisions could discourage a potential acquirer from making a tender offer or otherwise attempting to obtain control of the Company and could delay changes in management.</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amended and restated certificate of incorporation provides that directors may be removed by our stockholders only for cause and, in addition to any other vote required by law, upon the affirmative vote of at least 66⅔% of the voting power of all outstanding securities then entitled to vote generally in the election of directors, voting together as a single class. These provisions mean that a proposal to replace one or more directors on our board of directors could be delayed until the next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8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validity of the securities offered hereby will be passed upon for us by Bryan Cave Leighton Paisner LLP, St. Louis, Missouri. Additional legal matters may be passed upon for us or any underwriters, dealers or agents, by counsel that we will name in the applicable prospectus supplement.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CohnReznick LLP, independent registered public accounting firm, has audited our financial statements included in our Annual Report on Form 10-K for the year ended December 31, 2019, as set forth in their report (which includes an explanatory paragraph referring to the Company’s ability to continue as a going concern), which is incorporated by reference in this prospectus and elsewhere in this Registration Statement. Our financial statements are incorporated by reference in reliance on CohnReznick LLP’s report, given on their authority as experts in accounting and auditing.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are a public company and file annual, quarterly and current reports, proxy statements and other information with the SEC. Our SEC filings are available to the public at the SEC’s web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and on our web site at </w:t>
      </w:r>
      <w:r>
        <w:rPr>
          <w:rFonts w:ascii="Arial" w:cs="Arial" w:eastAsia="Arial" w:hAnsi="Arial"/>
          <w:sz w:val="18"/>
          <w:szCs w:val="18"/>
          <w:i w:val="1"/>
          <w:iCs w:val="1"/>
          <w:color w:val="auto"/>
        </w:rPr>
        <w:t>http://www.xpresspa.com</w:t>
      </w:r>
      <w:r>
        <w:rPr>
          <w:rFonts w:ascii="Arial" w:cs="Arial" w:eastAsia="Arial" w:hAnsi="Arial"/>
          <w:sz w:val="18"/>
          <w:szCs w:val="18"/>
          <w:color w:val="auto"/>
        </w:rPr>
        <w:t>. The information contained on our web site is not included or incorporated by reference into this prospectus. In addition, our common stock is listed for trading on The Nasdaq Capital Market under the symbol “XSPA.”</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obtain a copy from the SEC’s web site or our web site.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66" w:lineRule="exact"/>
        <w:rPr>
          <w:sz w:val="20"/>
          <w:szCs w:val="20"/>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2019, filed on </w:t>
      </w:r>
      <w:hyperlink r:id="rId11">
        <w:r>
          <w:rPr>
            <w:rFonts w:ascii="Arial" w:cs="Arial" w:eastAsia="Arial" w:hAnsi="Arial"/>
            <w:sz w:val="18"/>
            <w:szCs w:val="18"/>
            <w:u w:val="single" w:color="auto"/>
            <w:color w:val="0000EE"/>
          </w:rPr>
          <w:t>April 20, 2020</w:t>
        </w:r>
      </w:hyperlink>
      <w:r>
        <w:rPr>
          <w:rFonts w:ascii="Arial" w:cs="Arial" w:eastAsia="Arial" w:hAnsi="Arial"/>
          <w:sz w:val="18"/>
          <w:szCs w:val="18"/>
          <w:color w:val="auto"/>
        </w:rPr>
        <w:t xml:space="preserve">, as amended on </w:t>
      </w:r>
      <w:hyperlink r:id="rId37">
        <w:r>
          <w:rPr>
            <w:rFonts w:ascii="Arial" w:cs="Arial" w:eastAsia="Arial" w:hAnsi="Arial"/>
            <w:sz w:val="18"/>
            <w:szCs w:val="18"/>
            <w:u w:val="single" w:color="auto"/>
            <w:color w:val="0000EE"/>
          </w:rPr>
          <w:t>May 19,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8">
        <w:r>
          <w:rPr>
            <w:rFonts w:ascii="Arial" w:cs="Arial" w:eastAsia="Arial" w:hAnsi="Arial"/>
            <w:sz w:val="18"/>
            <w:szCs w:val="18"/>
            <w:u w:val="single" w:color="auto"/>
            <w:color w:val="0000EE"/>
          </w:rPr>
          <w:t>June 15, 2020</w:t>
        </w:r>
      </w:hyperlink>
      <w:r>
        <w:rPr>
          <w:rFonts w:ascii="Arial" w:cs="Arial" w:eastAsia="Arial" w:hAnsi="Arial"/>
          <w:sz w:val="18"/>
          <w:szCs w:val="18"/>
          <w:color w:val="auto"/>
        </w:rPr>
        <w:t xml:space="preserve"> (File No. 001-34785);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March 31, 2020, filed on </w:t>
      </w:r>
      <w:hyperlink r:id="rId79">
        <w:r>
          <w:rPr>
            <w:rFonts w:ascii="Arial" w:cs="Arial" w:eastAsia="Arial" w:hAnsi="Arial"/>
            <w:sz w:val="18"/>
            <w:szCs w:val="18"/>
            <w:u w:val="single" w:color="auto"/>
            <w:color w:val="0000EE"/>
          </w:rPr>
          <w:t>July 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001-34785);</w:t>
      </w:r>
    </w:p>
    <w:p>
      <w:pPr>
        <w:spacing w:after="0" w:line="225"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31"/>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41">
        <w:r>
          <w:rPr>
            <w:rFonts w:ascii="Arial" w:cs="Arial" w:eastAsia="Arial" w:hAnsi="Arial"/>
            <w:sz w:val="18"/>
            <w:szCs w:val="18"/>
            <w:u w:val="single" w:color="auto"/>
            <w:color w:val="0000EE"/>
          </w:rPr>
          <w:t>January 3, 2020</w:t>
        </w:r>
      </w:hyperlink>
      <w:r>
        <w:rPr>
          <w:rFonts w:ascii="Arial" w:cs="Arial" w:eastAsia="Arial" w:hAnsi="Arial"/>
          <w:sz w:val="18"/>
          <w:szCs w:val="18"/>
          <w:color w:val="auto"/>
        </w:rPr>
        <w:t xml:space="preserve">, </w:t>
      </w:r>
      <w:hyperlink r:id="rId42">
        <w:r>
          <w:rPr>
            <w:rFonts w:ascii="Arial" w:cs="Arial" w:eastAsia="Arial" w:hAnsi="Arial"/>
            <w:sz w:val="18"/>
            <w:szCs w:val="18"/>
            <w:u w:val="single" w:color="auto"/>
            <w:color w:val="0000EE"/>
          </w:rPr>
          <w:t>January 14, 2020</w:t>
        </w:r>
      </w:hyperlink>
      <w:r>
        <w:rPr>
          <w:rFonts w:ascii="Arial" w:cs="Arial" w:eastAsia="Arial" w:hAnsi="Arial"/>
          <w:sz w:val="18"/>
          <w:szCs w:val="18"/>
          <w:color w:val="auto"/>
        </w:rPr>
        <w:t xml:space="preserve">, </w:t>
      </w:r>
      <w:hyperlink r:id="rId43">
        <w:r>
          <w:rPr>
            <w:rFonts w:ascii="Arial" w:cs="Arial" w:eastAsia="Arial" w:hAnsi="Arial"/>
            <w:sz w:val="18"/>
            <w:szCs w:val="18"/>
            <w:u w:val="single" w:color="auto"/>
            <w:color w:val="0000EE"/>
          </w:rPr>
          <w:t>February 3, 2020</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EE"/>
          </w:rPr>
          <w:t>March 6, 2020</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EE"/>
          </w:rPr>
          <w:t>March 19, 2020</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EE"/>
          </w:rPr>
          <w:t>March 26,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30, 2020</w:t>
        </w:r>
        <w:r>
          <w:rPr>
            <w:rFonts w:ascii="Arial" w:cs="Arial" w:eastAsia="Arial" w:hAnsi="Arial"/>
            <w:sz w:val="18"/>
            <w:szCs w:val="18"/>
            <w:color w:val="0000EE"/>
          </w:rPr>
          <w:t xml:space="preserve"> </w:t>
        </w:r>
        <w:r>
          <w:rPr>
            <w:rFonts w:ascii="Arial" w:cs="Arial" w:eastAsia="Arial" w:hAnsi="Arial"/>
            <w:sz w:val="18"/>
            <w:szCs w:val="18"/>
            <w:color w:val="000000"/>
          </w:rPr>
          <w:t>(</w:t>
        </w:r>
        <w:r>
          <w:rPr>
            <w:rFonts w:ascii="Arial" w:cs="Arial" w:eastAsia="Arial" w:hAnsi="Arial"/>
            <w:sz w:val="18"/>
            <w:szCs w:val="18"/>
            <w:u w:val="single" w:color="auto"/>
            <w:color w:val="0000EE"/>
          </w:rPr>
          <w:t>two filings</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6,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7,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17,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24,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28,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6,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7,</w:t>
        </w:r>
      </w:hyperlink>
      <w:r>
        <w:rPr>
          <w:rFonts w:ascii="Arial" w:cs="Arial" w:eastAsia="Arial" w:hAnsi="Arial"/>
          <w:sz w:val="18"/>
          <w:szCs w:val="18"/>
          <w:color w:val="0000EE"/>
        </w:rPr>
        <w:t xml:space="preserve"> </w:t>
      </w:r>
      <w:hyperlink r:id="rId46">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0">
        <w:r>
          <w:rPr>
            <w:rFonts w:ascii="Arial" w:cs="Arial" w:eastAsia="Arial" w:hAnsi="Arial"/>
            <w:sz w:val="18"/>
            <w:szCs w:val="18"/>
            <w:u w:val="single" w:color="auto"/>
            <w:color w:val="0000EE"/>
          </w:rPr>
          <w:t>May 11, 2020</w:t>
        </w:r>
      </w:hyperlink>
      <w:hyperlink r:id="rId4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1">
        <w:r>
          <w:rPr>
            <w:rFonts w:ascii="Arial" w:cs="Arial" w:eastAsia="Arial" w:hAnsi="Arial"/>
            <w:sz w:val="18"/>
            <w:szCs w:val="18"/>
            <w:u w:val="single" w:color="auto"/>
            <w:color w:val="0000EE"/>
          </w:rPr>
          <w:t>May 22, 2020</w:t>
        </w:r>
      </w:hyperlink>
      <w:hyperlink r:id="rId4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2">
        <w:r>
          <w:rPr>
            <w:rFonts w:ascii="Arial" w:cs="Arial" w:eastAsia="Arial" w:hAnsi="Arial"/>
            <w:sz w:val="18"/>
            <w:szCs w:val="18"/>
            <w:u w:val="single" w:color="auto"/>
            <w:color w:val="0000EE"/>
          </w:rPr>
          <w:t>May 29, 2020</w:t>
        </w:r>
      </w:hyperlink>
      <w:hyperlink r:id="rId4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3">
        <w:r>
          <w:rPr>
            <w:rFonts w:ascii="Arial" w:cs="Arial" w:eastAsia="Arial" w:hAnsi="Arial"/>
            <w:sz w:val="18"/>
            <w:szCs w:val="18"/>
            <w:u w:val="single" w:color="auto"/>
            <w:color w:val="0000EE"/>
          </w:rPr>
          <w:t>June 4, 2020</w:t>
        </w:r>
      </w:hyperlink>
      <w:hyperlink r:id="rId4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4">
        <w:r>
          <w:rPr>
            <w:rFonts w:ascii="Arial" w:cs="Arial" w:eastAsia="Arial" w:hAnsi="Arial"/>
            <w:sz w:val="18"/>
            <w:szCs w:val="18"/>
            <w:u w:val="single" w:color="auto"/>
            <w:color w:val="0000EE"/>
          </w:rPr>
          <w:t xml:space="preserve">June 10, 2020 </w:t>
        </w:r>
      </w:hyperlink>
      <w:hyperlink r:id="rId46">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85">
        <w:r>
          <w:rPr>
            <w:rFonts w:ascii="Arial" w:cs="Arial" w:eastAsia="Arial" w:hAnsi="Arial"/>
            <w:sz w:val="18"/>
            <w:szCs w:val="18"/>
            <w:u w:val="single" w:color="auto"/>
            <w:color w:val="0000EE"/>
          </w:rPr>
          <w:t xml:space="preserve">June 17, 2020 </w:t>
        </w:r>
      </w:hyperlink>
      <w:hyperlink r:id="rId46">
        <w:r>
          <w:rPr>
            <w:rFonts w:ascii="Arial" w:cs="Arial" w:eastAsia="Arial" w:hAnsi="Arial"/>
            <w:sz w:val="18"/>
            <w:szCs w:val="18"/>
            <w:color w:val="000000"/>
          </w:rPr>
          <w:t>(except for the information furnished under</w:t>
        </w:r>
      </w:hyperlink>
      <w:r>
        <w:rPr>
          <w:rFonts w:ascii="Arial" w:cs="Arial" w:eastAsia="Arial" w:hAnsi="Arial"/>
          <w:sz w:val="18"/>
          <w:szCs w:val="18"/>
          <w:color w:val="0000EE"/>
        </w:rPr>
        <w:t xml:space="preserve"> </w:t>
      </w:r>
      <w:r>
        <w:rPr>
          <w:rFonts w:ascii="Arial" w:cs="Arial" w:eastAsia="Arial" w:hAnsi="Arial"/>
          <w:sz w:val="18"/>
          <w:szCs w:val="18"/>
          <w:color w:val="000000"/>
        </w:rPr>
        <w:t>Items 2.02 or 7.01 and the exhibits furnished thereto);</w:t>
      </w:r>
    </w:p>
    <w:p>
      <w:pPr>
        <w:spacing w:after="0" w:line="186" w:lineRule="exact"/>
        <w:rPr>
          <w:rFonts w:ascii="Arial" w:cs="Arial" w:eastAsia="Arial" w:hAnsi="Arial"/>
          <w:sz w:val="18"/>
          <w:szCs w:val="18"/>
          <w:color w:val="0000EE"/>
        </w:rPr>
      </w:pPr>
    </w:p>
    <w:p>
      <w:pPr>
        <w:ind w:left="660" w:right="80" w:hanging="328"/>
        <w:spacing w:after="0" w:line="263" w:lineRule="auto"/>
        <w:tabs>
          <w:tab w:leader="none" w:pos="660" w:val="left"/>
        </w:tabs>
        <w:numPr>
          <w:ilvl w:val="0"/>
          <w:numId w:val="31"/>
        </w:numPr>
        <w:rPr>
          <w:rFonts w:ascii="Arial" w:cs="Arial" w:eastAsia="Arial" w:hAnsi="Arial"/>
          <w:sz w:val="18"/>
          <w:szCs w:val="18"/>
          <w:color w:val="0000EE"/>
        </w:rPr>
      </w:pPr>
      <w:hyperlink r:id="rId48">
        <w:r>
          <w:rPr>
            <w:rFonts w:ascii="Arial" w:cs="Arial" w:eastAsia="Arial" w:hAnsi="Arial"/>
            <w:sz w:val="18"/>
            <w:szCs w:val="18"/>
            <w:color w:val="auto"/>
          </w:rPr>
          <w:t xml:space="preserve">The description of our securities contained in our Registration Statement on Form 8-A filed on </w:t>
        </w:r>
        <w:r>
          <w:rPr>
            <w:rFonts w:ascii="Arial" w:cs="Arial" w:eastAsia="Arial" w:hAnsi="Arial"/>
            <w:sz w:val="18"/>
            <w:szCs w:val="18"/>
            <w:u w:val="single" w:color="auto"/>
            <w:color w:val="0000EE"/>
          </w:rPr>
          <w:t>March 21, 2016</w:t>
        </w:r>
        <w:r>
          <w:rPr>
            <w:rFonts w:ascii="Arial" w:cs="Arial" w:eastAsia="Arial" w:hAnsi="Arial"/>
            <w:sz w:val="18"/>
            <w:szCs w:val="18"/>
            <w:color w:val="auto"/>
          </w:rPr>
          <w:t xml:space="preserve"> (File No. 001-34785), </w:t>
        </w:r>
        <w:r>
          <w:rPr>
            <w:rFonts w:ascii="Arial" w:cs="Arial" w:eastAsia="Arial" w:hAnsi="Arial"/>
            <w:sz w:val="18"/>
            <w:szCs w:val="18"/>
            <w:u w:val="single" w:color="auto"/>
            <w:color w:val="0000EE"/>
          </w:rPr>
          <w:t>April 29,</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2013</w:t>
        </w:r>
        <w:r>
          <w:rPr>
            <w:rFonts w:ascii="Arial" w:cs="Arial" w:eastAsia="Arial" w:hAnsi="Arial"/>
            <w:sz w:val="18"/>
            <w:szCs w:val="18"/>
            <w:color w:val="0000EE"/>
          </w:rPr>
          <w:t xml:space="preserve"> </w:t>
        </w:r>
        <w:r>
          <w:rPr>
            <w:rFonts w:ascii="Arial" w:cs="Arial" w:eastAsia="Arial" w:hAnsi="Arial"/>
            <w:sz w:val="18"/>
            <w:szCs w:val="18"/>
            <w:color w:val="000000"/>
          </w:rPr>
          <w:t>(File No. 001-34785) and</w:t>
        </w:r>
        <w:r>
          <w:rPr>
            <w:rFonts w:ascii="Arial" w:cs="Arial" w:eastAsia="Arial" w:hAnsi="Arial"/>
            <w:sz w:val="18"/>
            <w:szCs w:val="18"/>
            <w:color w:val="0000EE"/>
          </w:rPr>
          <w:t xml:space="preserve"> </w:t>
        </w:r>
      </w:hyperlink>
      <w:hyperlink r:id="rId86">
        <w:r>
          <w:rPr>
            <w:rFonts w:ascii="Arial" w:cs="Arial" w:eastAsia="Arial" w:hAnsi="Arial"/>
            <w:sz w:val="18"/>
            <w:szCs w:val="18"/>
            <w:u w:val="single" w:color="auto"/>
            <w:color w:val="0000EE"/>
          </w:rPr>
          <w:t xml:space="preserve">June 16, 2010 </w:t>
        </w:r>
      </w:hyperlink>
      <w:hyperlink r:id="rId48">
        <w:r>
          <w:rPr>
            <w:rFonts w:ascii="Arial" w:cs="Arial" w:eastAsia="Arial" w:hAnsi="Arial"/>
            <w:sz w:val="18"/>
            <w:szCs w:val="18"/>
            <w:color w:val="000000"/>
          </w:rPr>
          <w:t xml:space="preserve">(File No. 001-34785), pursuant to Section 12(b) of the Exchange Act, and any amendment or </w:t>
        </w:r>
      </w:hyperlink>
      <w:r>
        <w:rPr>
          <w:rFonts w:ascii="Arial" w:cs="Arial" w:eastAsia="Arial" w:hAnsi="Arial"/>
          <w:sz w:val="18"/>
          <w:szCs w:val="18"/>
          <w:color w:val="0000EE"/>
        </w:rPr>
        <w:t xml:space="preserve">report </w:t>
      </w:r>
      <w:r>
        <w:rPr>
          <w:rFonts w:ascii="Arial" w:cs="Arial" w:eastAsia="Arial" w:hAnsi="Arial"/>
          <w:sz w:val="18"/>
          <w:szCs w:val="18"/>
          <w:color w:val="000000"/>
        </w:rPr>
        <w:t>filed with the SEC for purposes of updating such description; and</w:t>
      </w:r>
    </w:p>
    <w:p>
      <w:pPr>
        <w:spacing w:after="0" w:line="183" w:lineRule="exact"/>
        <w:rPr>
          <w:rFonts w:ascii="Arial" w:cs="Arial" w:eastAsia="Arial" w:hAnsi="Arial"/>
          <w:sz w:val="18"/>
          <w:szCs w:val="18"/>
          <w:color w:val="0000EE"/>
        </w:rPr>
      </w:pPr>
    </w:p>
    <w:p>
      <w:pPr>
        <w:ind w:left="660" w:right="340" w:hanging="328"/>
        <w:spacing w:after="0" w:line="279"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prior to the termination or completion of the offering of securities under this prospectus (including documents filed after the initial date of the registration statement of which this prospectus is a part and prior to the effectiveness of such registration statement) shall be deemed to be incorporated by reference in this prospectus and to be a part hereof from the date of filing such reports and other documents.</w:t>
      </w:r>
    </w:p>
    <w:p>
      <w:pPr>
        <w:spacing w:after="0" w:line="171" w:lineRule="exact"/>
        <w:rPr>
          <w:rFonts w:ascii="Arial" w:cs="Arial" w:eastAsia="Arial" w:hAnsi="Arial"/>
          <w:sz w:val="18"/>
          <w:szCs w:val="18"/>
          <w:color w:val="0000EE"/>
        </w:rPr>
      </w:pPr>
    </w:p>
    <w:p>
      <w:pPr>
        <w:ind w:right="60"/>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You may request, orally or in writing, a copy of these documents, which will be provided to you at no cost, by contacting XpresSpa Group, Inc., 254 West</w:t>
      </w:r>
    </w:p>
    <w:p>
      <w:pPr>
        <w:spacing w:after="0" w:line="6"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10001 Attention: Investor Relations. The Investor Relations Department can be reached via telephone at (212) 838-</w:t>
      </w:r>
    </w:p>
    <w:p>
      <w:pPr>
        <w:spacing w:after="0"/>
        <w:rPr>
          <w:sz w:val="20"/>
          <w:szCs w:val="20"/>
          <w:color w:val="auto"/>
        </w:rPr>
      </w:pPr>
      <w:r>
        <w:rPr>
          <w:rFonts w:ascii="Arial" w:cs="Arial" w:eastAsia="Arial" w:hAnsi="Arial"/>
          <w:sz w:val="18"/>
          <w:szCs w:val="18"/>
          <w:color w:val="auto"/>
        </w:rPr>
        <w:t>3777.</w:t>
      </w:r>
    </w:p>
    <w:p>
      <w:pPr>
        <w:spacing w:after="0" w:line="200" w:lineRule="exact"/>
        <w:rPr>
          <w:rFonts w:ascii="Arial" w:cs="Arial" w:eastAsia="Arial" w:hAnsi="Arial"/>
          <w:sz w:val="18"/>
          <w:szCs w:val="18"/>
          <w:color w:val="0000EE"/>
        </w:rPr>
      </w:pPr>
    </w:p>
    <w:p>
      <w:pPr>
        <w:spacing w:after="0" w:line="225" w:lineRule="exact"/>
        <w:rPr>
          <w:rFonts w:ascii="Arial" w:cs="Arial" w:eastAsia="Arial" w:hAnsi="Arial"/>
          <w:sz w:val="18"/>
          <w:szCs w:val="18"/>
          <w:color w:val="0000EE"/>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10,407,408 Shares of Common Stock</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Pre-Funded Warrants to Purchase 809,524 shares of Common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Warrants to Purchase 11,216,932 shares of Common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the shares of Common Stock underlying such Pre-Funded Warrants and Warrants)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H.C. Wainwright &amp; Co.</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August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346075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520"/>
      </w:cols>
      <w:pgMar w:left="1180" w:top="879"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upperLetter"/>
      <w:start w:val="29"/>
    </w:lvl>
  </w:abstractNum>
  <w:abstractNum w:abstractNumId="9">
    <w:nsid w:val="436C6125"/>
    <w:multiLevelType w:val="hybridMultilevel"/>
    <w:lvl w:ilvl="0">
      <w:lvlJc w:val="left"/>
      <w:lvlText w:val="(%1)"/>
      <w:numFmt w:val="lowerRoman"/>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11" Type="http://schemas.openxmlformats.org/officeDocument/2006/relationships/hyperlink" Target="http://www.sec.gov/Archives/edgar/data/1410428/000110465920048780/tm205324-1_10k.htm" TargetMode="External"/><Relationship Id="rId12" Type="http://schemas.openxmlformats.org/officeDocument/2006/relationships/hyperlink" Target="http://www.sec.gov/Archives/edgar/data/1410428/000155837020010752/xspa-20200630x10q.htm" TargetMode="External"/><Relationship Id="rId37" Type="http://schemas.openxmlformats.org/officeDocument/2006/relationships/hyperlink" Target="http://www.sec.gov/Archives/edgar/data/1410428/000110465920063789/tm2020063d1_10ka.htm" TargetMode="External"/><Relationship Id="rId38" Type="http://schemas.openxmlformats.org/officeDocument/2006/relationships/hyperlink" Target="https://www.sec.gov/Archives/edgar/data/1410428/000110465920073018/tm2022516d1_10ka.htm" TargetMode="External"/><Relationship Id="rId39" Type="http://schemas.openxmlformats.org/officeDocument/2006/relationships/hyperlink" Target="https://www.sec.gov/Archives/edgar/data/1410428/000155837020008024/xspa-20200331x10q.htm" TargetMode="External"/><Relationship Id="rId40" Type="http://schemas.openxmlformats.org/officeDocument/2006/relationships/hyperlink" Target="https://www.sec.gov/Archives/edgar/data/1410428/000155837020010752/xspa-20200630x10q.htm" TargetMode="External"/><Relationship Id="rId41" Type="http://schemas.openxmlformats.org/officeDocument/2006/relationships/hyperlink" Target="http://www.sec.gov/Archives/edgar/data/1410428/000110465920000939/tm201126d1_8k.htm" TargetMode="External"/><Relationship Id="rId42" Type="http://schemas.openxmlformats.org/officeDocument/2006/relationships/hyperlink" Target="http://www.sec.gov/Archives/edgar/data/1410428/000110465920003636/tm203197-1_8k.htm" TargetMode="External"/><Relationship Id="rId43" Type="http://schemas.openxmlformats.org/officeDocument/2006/relationships/hyperlink" Target="http://www.sec.gov/Archives/edgar/data/1410428/000110465920009856/tm206420d1_8k.htm" TargetMode="External"/><Relationship Id="rId44" Type="http://schemas.openxmlformats.org/officeDocument/2006/relationships/hyperlink" Target="http://www.sec.gov/Archives/edgar/data/1410428/000110465920029962/tm2011914d1_8k.htm" TargetMode="External"/><Relationship Id="rId45" Type="http://schemas.openxmlformats.org/officeDocument/2006/relationships/hyperlink" Target="http://www.sec.gov/Archives/edgar/data/1410428/000110465920035631/tm2013177d1_8k.htm" TargetMode="External"/><Relationship Id="rId46" Type="http://schemas.openxmlformats.org/officeDocument/2006/relationships/hyperlink" Target="http://www.sec.gov/Archives/edgar/data/1410428/000110465920057642/tm2018713d2_8k.htm" TargetMode="External"/><Relationship Id="rId47" Type="http://schemas.openxmlformats.org/officeDocument/2006/relationships/hyperlink" Target="http://www.sec.gov/Archives/edgar/data/1410428/000155837020010840/tmb-20200825x8k.htm" TargetMode="External"/><Relationship Id="rId48" Type="http://schemas.openxmlformats.org/officeDocument/2006/relationships/hyperlink" Target="http://www.sec.gov/Archives/edgar/data/1410428/000114420413024675/v342843_8a12b.htm" TargetMode="External"/><Relationship Id="rId78" Type="http://schemas.openxmlformats.org/officeDocument/2006/relationships/hyperlink" Target="http://www.sec.gov/Archives/edgar/data/1410428/000110465920073018/tm2022516d1_10ka.htm" TargetMode="External"/><Relationship Id="rId79" Type="http://schemas.openxmlformats.org/officeDocument/2006/relationships/hyperlink" Target="http://www.sec.gov/Archives/edgar/data/1410428/000155837020008024/xspa-20200331x10q.htm" TargetMode="External"/><Relationship Id="rId80" Type="http://schemas.openxmlformats.org/officeDocument/2006/relationships/hyperlink" Target="http://www.sec.gov/Archives/edgar/data/1410428/000110465920059539/tm2019325-1_8k.htm" TargetMode="External"/><Relationship Id="rId81" Type="http://schemas.openxmlformats.org/officeDocument/2006/relationships/hyperlink" Target="http://www.sec.gov/Archives/edgar/data/1410428/000110465920065144/tm2020772d1_8k.htm" TargetMode="External"/><Relationship Id="rId82" Type="http://schemas.openxmlformats.org/officeDocument/2006/relationships/hyperlink" Target="http://www.sec.gov/Archives/edgar/data/1410428/000110465920067377/tm2021289d1_8k.htm" TargetMode="External"/><Relationship Id="rId83" Type="http://schemas.openxmlformats.org/officeDocument/2006/relationships/hyperlink" Target="http://www.sec.gov/Archives/edgar/data/1410428/000110465920069761/tm2021831d1_8k.htm" TargetMode="External"/><Relationship Id="rId84" Type="http://schemas.openxmlformats.org/officeDocument/2006/relationships/hyperlink" Target="http://www.sec.gov/Archives/edgar/data/1410428/000110465920071715/tm2021956d1_8k.htm" TargetMode="External"/><Relationship Id="rId85" Type="http://schemas.openxmlformats.org/officeDocument/2006/relationships/hyperlink" Target="http://www.sec.gov/Archives/edgar/data/1410428/000110465920074007/tm2022774d1_8k.htm" TargetMode="External"/><Relationship Id="rId86" Type="http://schemas.openxmlformats.org/officeDocument/2006/relationships/hyperlink" Target="http://www.sec.gov/Archives/edgar/data/1410428/000119312510140514/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2020-08-27T17:08:52Z</dcterms:created>
  <dcterms:modified xsi:type="dcterms:W3CDTF">2020-08-27T17:08:52Z</dcterms:modified>
</cp:coreProperties>
</file>