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COHEN DAVID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VRINGO,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780 THIRD AVENUE, 15TH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Vringo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VRNG</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06/30/2014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03"/>
        <w:spacing w:after="0"/>
        <w:rPr>
          <w:sz w:val="20"/>
          <w:szCs w:val="20"/>
          <w:color w:val="auto"/>
        </w:rPr>
      </w:pPr>
      <w:r>
        <w:rPr>
          <w:rFonts w:ascii="Arial" w:cs="Arial" w:eastAsia="Arial" w:hAnsi="Arial"/>
          <w:sz w:val="18"/>
          <w:szCs w:val="18"/>
          <w:color w:val="0000FF"/>
        </w:rPr>
        <w:t>Chief Legal and IP Officer</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40" w:type="dxa"/>
            <w:vAlign w:val="bottom"/>
            <w:gridSpan w:val="6"/>
          </w:tcPr>
          <w:p>
            <w:pPr>
              <w:jc w:val="right"/>
              <w:ind w:right="197"/>
              <w:spacing w:after="0" w:line="146" w:lineRule="exact"/>
              <w:rPr>
                <w:sz w:val="20"/>
                <w:szCs w:val="20"/>
                <w:color w:val="auto"/>
              </w:rPr>
            </w:pPr>
            <w:r>
              <w:rPr>
                <w:rFonts w:ascii="Arial" w:cs="Arial" w:eastAsia="Arial" w:hAnsi="Arial"/>
                <w:sz w:val="14"/>
                <w:szCs w:val="14"/>
                <w:color w:val="auto"/>
                <w:w w:val="99"/>
              </w:rPr>
              <w:t>4. If Amendment, Date of Original Filed (Month/Day/Year)</w:t>
            </w:r>
          </w:p>
        </w:tc>
        <w:tc>
          <w:tcPr>
            <w:tcW w:w="3660" w:type="dxa"/>
            <w:vAlign w:val="bottom"/>
            <w:gridSpan w:val="7"/>
          </w:tcPr>
          <w:p>
            <w:pPr>
              <w:ind w:left="30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gridSpan w:val="2"/>
          </w:tcPr>
          <w:p>
            <w:pPr>
              <w:ind w:left="30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8"/>
                <w:szCs w:val="18"/>
                <w:color w:val="0000FF"/>
              </w:rPr>
              <w:t>10017</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54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4300" w:type="dxa"/>
            <w:vAlign w:val="bottom"/>
            <w:tcBorders>
              <w:bottom w:val="single" w:sz="8" w:color="2C2C2C"/>
            </w:tcBorders>
            <w:gridSpan w:val="8"/>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5"/>
                <w:szCs w:val="15"/>
                <w:color w:val="auto"/>
              </w:rPr>
            </w:pP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80" w:type="dxa"/>
            <w:vAlign w:val="bottom"/>
            <w:tcBorders>
              <w:bottom w:val="single" w:sz="8" w:color="2C2C2C"/>
            </w:tcBorders>
            <w:gridSpan w:val="6"/>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18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91"/>
              </w:rPr>
              <w:t>Common Stock, $0.01 par value per share</w:t>
            </w:r>
          </w:p>
        </w:tc>
        <w:tc>
          <w:tcPr>
            <w:tcW w:w="1140" w:type="dxa"/>
            <w:vAlign w:val="bottom"/>
            <w:tcBorders>
              <w:bottom w:val="single" w:sz="8" w:color="2C2C2C"/>
            </w:tcBorders>
            <w:gridSpan w:val="3"/>
          </w:tcPr>
          <w:p>
            <w:pPr>
              <w:jc w:val="right"/>
              <w:ind w:right="38"/>
              <w:spacing w:after="0"/>
              <w:rPr>
                <w:sz w:val="20"/>
                <w:szCs w:val="20"/>
                <w:color w:val="auto"/>
              </w:rPr>
            </w:pPr>
            <w:r>
              <w:rPr>
                <w:rFonts w:ascii="Arial" w:cs="Arial" w:eastAsia="Arial" w:hAnsi="Arial"/>
                <w:sz w:val="18"/>
                <w:szCs w:val="18"/>
                <w:color w:val="0000FF"/>
              </w:rPr>
              <w:t>06/30/2014</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3,646</w:t>
            </w:r>
          </w:p>
        </w:tc>
        <w:tc>
          <w:tcPr>
            <w:tcW w:w="700" w:type="dxa"/>
            <w:vAlign w:val="bottom"/>
            <w:tcBorders>
              <w:bottom w:val="single" w:sz="8" w:color="2C2C2C"/>
            </w:tcBorders>
          </w:tcPr>
          <w:p>
            <w:pPr>
              <w:jc w:val="right"/>
              <w:ind w:right="197"/>
              <w:spacing w:after="0"/>
              <w:rPr>
                <w:sz w:val="20"/>
                <w:szCs w:val="20"/>
                <w:color w:val="auto"/>
              </w:rPr>
            </w:pPr>
            <w:r>
              <w:rPr>
                <w:rFonts w:ascii="Arial" w:cs="Arial" w:eastAsia="Arial" w:hAnsi="Arial"/>
                <w:sz w:val="18"/>
                <w:szCs w:val="18"/>
                <w:color w:val="0000FF"/>
              </w:rPr>
              <w:t>D</w:t>
            </w:r>
          </w:p>
        </w:tc>
        <w:tc>
          <w:tcPr>
            <w:tcW w:w="70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3.414</w:t>
            </w:r>
            <w:r>
              <w:rPr>
                <w:rFonts w:ascii="Arial" w:cs="Arial" w:eastAsia="Arial" w:hAnsi="Arial"/>
                <w:sz w:val="22"/>
                <w:szCs w:val="22"/>
                <w:color w:val="008000"/>
                <w:w w:val="93"/>
                <w:vertAlign w:val="superscript"/>
              </w:rPr>
              <w:t>(1)</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76,561</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3"/>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60" w:type="dxa"/>
            <w:vAlign w:val="bottom"/>
            <w:gridSpan w:val="10"/>
          </w:tcPr>
          <w:p>
            <w:pPr>
              <w:jc w:val="center"/>
              <w:ind w:right="154"/>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transactions reported in this Form 4 were effected to cover tax liabilities pursuant to a Rule 10b5-1 trading plan adopted by the reporting person on November 25, 2013.</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Of which, 53,124 shares of common stock are represented by unvested restricted stock units.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120"/>
        <w:spacing w:after="0" w:line="239" w:lineRule="auto"/>
        <w:rPr>
          <w:sz w:val="20"/>
          <w:szCs w:val="20"/>
          <w:color w:val="auto"/>
        </w:rPr>
      </w:pPr>
      <w:r>
        <w:rPr>
          <w:rFonts w:ascii="Arial" w:cs="Arial" w:eastAsia="Arial" w:hAnsi="Arial"/>
          <w:sz w:val="14"/>
          <w:szCs w:val="14"/>
          <w:color w:val="008000"/>
        </w:rPr>
        <w:t>As of the reporting date, the reporting person holds 876,666 vested and unvested options and 53,124 vested and unvested restricted stock units. In addition, the reporting person owns 23,437 shares of common stock. The total number of securities listed is 953,227.</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David L. Cohen</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07/02/2014</w:t>
            </w:r>
          </w:p>
        </w:tc>
      </w:tr>
      <w:tr>
        <w:trPr>
          <w:trHeight w:val="20"/>
        </w:trPr>
        <w:tc>
          <w:tcPr>
            <w:tcW w:w="13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90828" TargetMode="External"/><Relationship Id="rId13"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2019-12-17T07:47:35Z</dcterms:created>
  <dcterms:modified xsi:type="dcterms:W3CDTF">2019-12-17T07:47:35Z</dcterms:modified>
</cp:coreProperties>
</file>