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ind w:left="4720"/>
        <w:spacing w:after="0"/>
        <w:tabs>
          <w:tab w:leader="none" w:pos="6460" w:val="left"/>
        </w:tabs>
        <w:rPr>
          <w:sz w:val="20"/>
          <w:szCs w:val="20"/>
          <w:color w:val="auto"/>
        </w:rPr>
      </w:pPr>
      <w:r>
        <w:rPr>
          <w:rFonts w:ascii="Times New Roman" w:cs="Times New Roman" w:eastAsia="Times New Roman" w:hAnsi="Times New Roman"/>
          <w:sz w:val="18"/>
          <w:szCs w:val="18"/>
          <w:color w:val="auto"/>
        </w:rPr>
        <w:t>(Amendment No .</w:t>
      </w:r>
      <w:r>
        <w:rPr>
          <w:sz w:val="20"/>
          <w:szCs w:val="20"/>
          <w:color w:val="auto"/>
        </w:rPr>
        <w:tab/>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0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On August 13, 2024, XWELL, Inc. issued the below press release:</w:t>
      </w:r>
    </w:p>
    <w:p>
      <w:pPr>
        <w:spacing w:after="0" w:line="202"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32"/>
          <w:szCs w:val="32"/>
          <w:color w:val="242424"/>
        </w:rPr>
        <w:t>XWELL Comments on CPC’s Withdrawal of Threatened Proxy Fight and Related Lawsuit</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42424"/>
        </w:rPr>
        <w:t>NEW YORK, August 13, 2024 -- XWELL, Inc. (Nasdaq: XWEL) (“XWELL” or the “Company”), an authority in wellness solutions for people on the go, today issued the following statement in response to CPC Pain &amp; Wellness SPV, LLC’s (“CPC”) decision to withdraw its threatened proxy fight and related lawsuit against XWELL, in connection with the Company’s 2024 annual meeting of stockholders (the “2024 Annual Meeting”).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42424"/>
        </w:rPr>
        <w:t>Bruce Bernstein, Chairman of the Board stated, “We are pleased that CPC decided to withdraw its threatened proxy fight and lawsuit against XWELL related to our 2024 Annual Meeting. Looking ahead, we are fully focused on delivering on our strategic plan to drive durable, long-term value creation for stockholders. We are appreciative of the constructive engagement we’ve had with stockholders to-date and look forward to continued engagement with them leading up to XWELL’s 2024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42424"/>
        </w:rPr>
        <w:t>About XWELL, Inc.</w:t>
      </w:r>
    </w:p>
    <w:p>
      <w:pPr>
        <w:spacing w:after="0" w:line="233" w:lineRule="exact"/>
        <w:rPr>
          <w:sz w:val="20"/>
          <w:szCs w:val="20"/>
          <w:color w:val="auto"/>
        </w:rPr>
      </w:pPr>
    </w:p>
    <w:p>
      <w:pPr>
        <w:jc w:val="both"/>
        <w:ind w:right="20"/>
        <w:spacing w:after="0" w:line="190" w:lineRule="auto"/>
        <w:rPr>
          <w:sz w:val="20"/>
          <w:szCs w:val="20"/>
          <w:color w:val="auto"/>
        </w:rPr>
      </w:pPr>
      <w:r>
        <w:rPr>
          <w:rFonts w:ascii="Times New Roman" w:cs="Times New Roman" w:eastAsia="Times New Roman" w:hAnsi="Times New Roman"/>
          <w:sz w:val="18"/>
          <w:szCs w:val="18"/>
          <w:color w:val="242424"/>
        </w:rPr>
        <w:t>XWELL, Inc. (Nasdaq: XWEL) is a leading global wellness holding company operating multiple brands: XpresSpa</w:t>
      </w:r>
      <w:r>
        <w:rPr>
          <w:rFonts w:ascii="Times New Roman" w:cs="Times New Roman" w:eastAsia="Times New Roman" w:hAnsi="Times New Roman"/>
          <w:sz w:val="29"/>
          <w:szCs w:val="29"/>
          <w:color w:val="242424"/>
          <w:vertAlign w:val="superscript"/>
        </w:rPr>
        <w:t>®</w:t>
      </w:r>
      <w:r>
        <w:rPr>
          <w:rFonts w:ascii="Times New Roman" w:cs="Times New Roman" w:eastAsia="Times New Roman" w:hAnsi="Times New Roman"/>
          <w:sz w:val="18"/>
          <w:szCs w:val="18"/>
          <w:color w:val="242424"/>
        </w:rPr>
        <w:t>, Treat™, Naples Wax Center</w:t>
      </w:r>
      <w:r>
        <w:rPr>
          <w:rFonts w:ascii="Times New Roman" w:cs="Times New Roman" w:eastAsia="Times New Roman" w:hAnsi="Times New Roman"/>
          <w:sz w:val="29"/>
          <w:szCs w:val="29"/>
          <w:color w:val="242424"/>
          <w:vertAlign w:val="superscript"/>
        </w:rPr>
        <w:t>®</w:t>
      </w:r>
      <w:r>
        <w:rPr>
          <w:rFonts w:ascii="Times New Roman" w:cs="Times New Roman" w:eastAsia="Times New Roman" w:hAnsi="Times New Roman"/>
          <w:sz w:val="18"/>
          <w:szCs w:val="18"/>
          <w:color w:val="242424"/>
        </w:rPr>
        <w:t>, XpresCheck</w:t>
      </w:r>
      <w:r>
        <w:rPr>
          <w:rFonts w:ascii="Times New Roman" w:cs="Times New Roman" w:eastAsia="Times New Roman" w:hAnsi="Times New Roman"/>
          <w:sz w:val="29"/>
          <w:szCs w:val="29"/>
          <w:color w:val="242424"/>
          <w:vertAlign w:val="superscript"/>
        </w:rPr>
        <w:t>®</w:t>
      </w:r>
      <w:r>
        <w:rPr>
          <w:rFonts w:ascii="Times New Roman" w:cs="Times New Roman" w:eastAsia="Times New Roman" w:hAnsi="Times New Roman"/>
          <w:sz w:val="18"/>
          <w:szCs w:val="18"/>
          <w:color w:val="242424"/>
        </w:rPr>
        <w:t xml:space="preserve"> and HyperPointe™.</w:t>
      </w:r>
    </w:p>
    <w:p>
      <w:pPr>
        <w:spacing w:after="0" w:line="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XpresSpa is a leading retailer of wellness services and related products, with 33 locations in 16 airports globally.</w:t>
      </w:r>
    </w:p>
    <w:p>
      <w:pPr>
        <w:spacing w:after="0" w:line="7" w:lineRule="exact"/>
        <w:rPr>
          <w:rFonts w:ascii="Times New Roman" w:cs="Times New Roman" w:eastAsia="Times New Roman" w:hAnsi="Times New Roman"/>
          <w:sz w:val="18"/>
          <w:szCs w:val="18"/>
          <w:color w:val="242424"/>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Naples Wax Center is a group of upscale skin care boutiques, with three locations currently operating.</w:t>
      </w:r>
    </w:p>
    <w:p>
      <w:pPr>
        <w:spacing w:after="0" w:line="9" w:lineRule="exact"/>
        <w:rPr>
          <w:rFonts w:ascii="Times New Roman" w:cs="Times New Roman" w:eastAsia="Times New Roman" w:hAnsi="Times New Roman"/>
          <w:sz w:val="18"/>
          <w:szCs w:val="18"/>
          <w:color w:val="242424"/>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XpresCheck is a provider of screening and diagnostic testing in partnership with the CDC and Concentric by Ginkgo, conducting bio surveillance monitoring in its airport locations to identify new SARS-CoV-2 variants of interest and concern as well as other pathogens entering the country from across the world.</w:t>
      </w:r>
    </w:p>
    <w:p>
      <w:pPr>
        <w:spacing w:after="0" w:line="1" w:lineRule="exact"/>
        <w:rPr>
          <w:rFonts w:ascii="Times New Roman" w:cs="Times New Roman" w:eastAsia="Times New Roman" w:hAnsi="Times New Roman"/>
          <w:sz w:val="18"/>
          <w:szCs w:val="18"/>
          <w:color w:val="242424"/>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HyperPointe is a leading digital healthcare and data analytics relationship company serving the global healthcare industry.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Longacre Square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Jessica McDougall / Christina Spellman, (646) 386-0091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XWELL@longacresquare.com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 filings (which reports were filed under the Company’s former name, XpresSpa Group, Inc., prior to its previously announced name change effective October 25, 2022).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Important Additional Information</w:t>
      </w:r>
    </w:p>
    <w:p>
      <w:pPr>
        <w:spacing w:after="0" w:line="22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 xml:space="preserve">The Company intends to file a definitive proxy statement and a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color w:val="auto"/>
        </w:rPr>
        <w:t xml:space="preserve"> Proxy Card with the U.S. Securities and Exchange Commission (the “SEC”) in connection with the 2024 Annual Meeting. </w:t>
      </w:r>
      <w:r>
        <w:rPr>
          <w:rFonts w:ascii="Times New Roman" w:cs="Times New Roman" w:eastAsia="Times New Roman" w:hAnsi="Times New Roman"/>
          <w:sz w:val="17"/>
          <w:szCs w:val="17"/>
          <w:b w:val="1"/>
          <w:bCs w:val="1"/>
          <w:color w:val="auto"/>
        </w:rPr>
        <w:t>STOCKHOLDERS OF THE COMPANY ARE STRONGLY ENCOURAGED TO READ SUCH PROXY</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STATEMENT, ACCOMPANYING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AND ALL OTHER DOCUMENTS FILED WITH THE SEC CAREFULLY AND IN THEIR ENTIRETY WHEN THEY BECOME AVAILABLE AS THEY WILL CONTAIN IMPORTANT INFORMATION ABOUT THE 2024 ANNUAL MEETING. </w:t>
      </w:r>
      <w:r>
        <w:rPr>
          <w:rFonts w:ascii="Times New Roman" w:cs="Times New Roman" w:eastAsia="Times New Roman" w:hAnsi="Times New Roman"/>
          <w:sz w:val="18"/>
          <w:szCs w:val="18"/>
          <w:color w:val="auto"/>
        </w:rPr>
        <w:t>Stockholders will be able to obtain the definitive proxy statement, any amendments or supplements to the proxy statement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documents filed by the Company with the SEC at no charge at the SEC’s website at www.sec.gov. Copies will also be available at no charge at the Company’s website at https://www.xwell.com/sec-filings.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its directors and certain of its executive officers are “participants” (as defined in Section 14(a) of the Securities Exchange Act of 1934, as amended) in the solicitation of proxies from the Company’s stockholders in connection with the matters to be considered at the 2024 Annual Meeting. Information about the compensation of our named executive officers and our non-employee directors is set forth in the sections entitled “Compensation” and “Director Compensation” in the Company’s preliminary proxy statement, filed on August 2, 2024 (the “Preliminary Proxy Statement”), commencing on pages 23 and 25, respectively, and available here. Information regarding the participants’ holdings of the Company’s securities can be found in the section entitled “Security Ownership of Certain Beneficial Owners and Management” in the Preliminary Proxy Statement on page 31 and available here. If any filings are made by the Company with the SEC on Forms 3, 4, and 5 with respect to the participants’ holdings of the Company’s securities, the Company will provide updates and such filings will be available on the Company’s website at https://www.xwell.com/sec-filings or through the SEC’s website at www.sec.gov. Updated information regarding the identity of potential participants, and their direct or indirect interests, by security holdings or otherwise, will be set forth in the section entitled “Security Ownership of Certain Beneficial Owners and Management” of the Company’s definitive proxy statement on Schedule 14A and other materials to be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o"/>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2024-08-13T17:00:11Z</dcterms:created>
  <dcterms:modified xsi:type="dcterms:W3CDTF">2024-08-13T17:00:11Z</dcterms:modified>
</cp:coreProperties>
</file>