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40" w:right="1800" w:hanging="3732"/>
        <w:spacing w:after="0" w:line="490" w:lineRule="auto"/>
        <w:tabs>
          <w:tab w:leader="none" w:pos="46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1"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60"/>
        <w:spacing w:after="0"/>
        <w:tabs>
          <w:tab w:leader="none" w:pos="7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8"/>
        </w:trPr>
        <w:tc>
          <w:tcPr>
            <w:tcW w:w="5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39"/>
        </w:trPr>
        <w:tc>
          <w:tcPr>
            <w:tcW w:w="5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780 3rd Ave. 15th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 309-7549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NYSE MKT</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Warrants to purchase Common Stock</w:t>
            </w: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NYSE MKT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640"/>
              <w:spacing w:after="0"/>
              <w:rPr>
                <w:sz w:val="20"/>
                <w:szCs w:val="20"/>
                <w:color w:val="auto"/>
              </w:rPr>
            </w:pPr>
            <w:r>
              <w:rPr>
                <w:rFonts w:ascii="Arial" w:cs="Arial" w:eastAsia="Arial" w:hAnsi="Arial"/>
                <w:sz w:val="18"/>
                <w:szCs w:val="18"/>
                <w:color w:val="auto"/>
              </w:rPr>
              <w:t>£</w:t>
            </w:r>
          </w:p>
        </w:tc>
        <w:tc>
          <w:tcPr>
            <w:tcW w:w="294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452"/>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4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440"/>
              <w:spacing w:after="0"/>
              <w:rPr>
                <w:sz w:val="20"/>
                <w:szCs w:val="20"/>
                <w:color w:val="auto"/>
              </w:rPr>
            </w:pPr>
            <w:r>
              <w:rPr>
                <w:rFonts w:ascii="Arial" w:cs="Arial" w:eastAsia="Arial" w:hAnsi="Arial"/>
                <w:sz w:val="18"/>
                <w:szCs w:val="18"/>
                <w:color w:val="auto"/>
              </w:rPr>
              <w:t>S</w:t>
            </w:r>
          </w:p>
        </w:tc>
      </w:tr>
      <w:tr>
        <w:trPr>
          <w:trHeight w:val="432"/>
        </w:trPr>
        <w:tc>
          <w:tcPr>
            <w:tcW w:w="104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r>
      <w:tr>
        <w:trPr>
          <w:trHeight w:val="412"/>
        </w:trPr>
        <w:tc>
          <w:tcPr>
            <w:tcW w:w="7480" w:type="dxa"/>
            <w:vAlign w:val="bottom"/>
            <w:gridSpan w:val="2"/>
          </w:tcPr>
          <w:p>
            <w:pPr>
              <w:spacing w:after="0"/>
              <w:rPr>
                <w:sz w:val="20"/>
                <w:szCs w:val="20"/>
                <w:color w:val="auto"/>
              </w:rPr>
            </w:pPr>
            <w:r>
              <w:rPr>
                <w:rFonts w:ascii="Arial" w:cs="Arial" w:eastAsia="Arial" w:hAnsi="Arial"/>
                <w:sz w:val="18"/>
                <w:szCs w:val="18"/>
                <w:color w:val="auto"/>
                <w:w w:val="96"/>
              </w:rPr>
              <w:t>As of November 14, 2012, 80,328,144 shares of the registrant’s common stock were outstanding</w:t>
            </w:r>
          </w:p>
        </w:tc>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48"/>
        </w:trPr>
        <w:tc>
          <w:tcPr>
            <w:tcW w:w="22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b w:val="1"/>
                <w:bCs w:val="1"/>
                <w:color w:val="auto"/>
              </w:rPr>
              <w:t>VRINGO,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36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Defaults Upon Senior Securities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360"/>
              <w:spacing w:after="0"/>
              <w:rPr>
                <w:sz w:val="20"/>
                <w:szCs w:val="20"/>
                <w:color w:val="auto"/>
              </w:rPr>
            </w:pPr>
            <w:r>
              <w:rPr>
                <w:rFonts w:ascii="Arial" w:cs="Arial" w:eastAsia="Arial" w:hAnsi="Arial"/>
                <w:sz w:val="18"/>
                <w:szCs w:val="18"/>
                <w:color w:val="auto"/>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(which was renamed Innovate/Protect, Inc.), and the former stockholders of I/P received shares of Vringo that constituted more than a majority of the outstanding shares of Vringo.</w:t>
      </w:r>
    </w:p>
    <w:p>
      <w:pPr>
        <w:spacing w:after="0" w:line="173"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The Merger has been accounted for as a reverse acquisition under which I/P was considered the acquirer of Vringo. As such, the financial statements of I/P are treated as the historical financial statements of the combined company, with the results of Vringo being included from July 19, 2012.</w:t>
      </w:r>
    </w:p>
    <w:p>
      <w:pPr>
        <w:spacing w:after="0" w:line="12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references in this Quarterly Report on Form 10-Q to “we,” “us” and “our” refer to Vringo, Inc., a Delaware corporation, and its consolidated subsidiaries for periods after the closing of the Merger, and to I/P and its consolidated subsidiaries for periods prior to the closing of the Merger unless the context requires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rPr>
              <w:t>Part I — FINANCIAL INFORMATION</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90"/>
              </w:rPr>
              <w:t>Vringo, Inc. and Subsidiaries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89"/>
              </w:rPr>
              <w:t>(a Development Stage Company)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0" w:type="dxa"/>
            <w:vAlign w:val="bottom"/>
            <w:gridSpan w:val="2"/>
          </w:tcPr>
          <w:p>
            <w:pPr>
              <w:jc w:val="center"/>
              <w:ind w:left="3110"/>
              <w:spacing w:after="0"/>
              <w:rPr>
                <w:sz w:val="20"/>
                <w:szCs w:val="20"/>
                <w:color w:val="auto"/>
              </w:rPr>
            </w:pPr>
            <w:r>
              <w:rPr>
                <w:rFonts w:ascii="Arial" w:cs="Arial" w:eastAsia="Arial" w:hAnsi="Arial"/>
                <w:sz w:val="18"/>
                <w:szCs w:val="18"/>
                <w:b w:val="1"/>
                <w:bCs w:val="1"/>
                <w:color w:val="auto"/>
                <w:w w:val="99"/>
              </w:rPr>
              <w:t>CONSOLIDATED BALANCE SHEETS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w w:val="93"/>
              </w:rPr>
              <w:t>(Unaudited)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w w:val="88"/>
              </w:rPr>
              <w:t>(in thousands)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Note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auto"/>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9,549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6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10,310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6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Long-term deposit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5"/>
              </w:rPr>
              <w:t>Property and equipment, at cost, net of $22 and $1 accumulated depreciation and amortization,</w:t>
            </w: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262</w:t>
            </w: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as of September 30, 2012 and December 31, 2011, respectively</w:t>
            </w:r>
          </w:p>
        </w:tc>
        <w:tc>
          <w:tcPr>
            <w:tcW w:w="7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00" w:type="dxa"/>
            <w:vAlign w:val="bottom"/>
            <w:gridSpan w:val="2"/>
            <w:vMerge w:val="continue"/>
            <w:shd w:val="clear" w:color="auto" w:fill="CCFFCC"/>
          </w:tcPr>
          <w:p>
            <w:pPr>
              <w:spacing w:after="0"/>
              <w:rPr>
                <w:sz w:val="20"/>
                <w:szCs w:val="20"/>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34,559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6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69,511</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84"/>
              </w:rPr>
              <w:t>Total assets</w:t>
            </w:r>
          </w:p>
        </w:tc>
        <w:tc>
          <w:tcPr>
            <w:tcW w:w="6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114,696</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FFCC"/>
            </w:tcBorders>
          </w:tcPr>
          <w:p>
            <w:pPr>
              <w:spacing w:after="0" w:line="20" w:lineRule="exact"/>
              <w:rPr>
                <w:sz w:val="1"/>
                <w:szCs w:val="1"/>
                <w:color w:val="auto"/>
              </w:rPr>
            </w:pPr>
          </w:p>
        </w:tc>
        <w:tc>
          <w:tcPr>
            <w:tcW w:w="61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Note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Pr>
          <w:p>
            <w:pPr>
              <w:spacing w:after="0"/>
              <w:rPr>
                <w:sz w:val="18"/>
                <w:szCs w:val="18"/>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U.S.$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648</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2,976</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844</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Current portion, note payable—related party</w:t>
            </w:r>
          </w:p>
        </w:tc>
        <w:tc>
          <w:tcPr>
            <w:tcW w:w="9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4,468</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long-term tax liabilities</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2,837</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9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17,280</w:t>
            </w: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Note payable—related party</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Total long-term liabilities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20,117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$0.0001 par value per share; 0 and 10,000,000 authorized;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w w:val="95"/>
              </w:rPr>
              <w:t>0 and 6,968 issued; 0 and 6,968 outstanding, as of September 30, 2012 and December 31,</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rPr>
              <w:t>2011, respectively</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Series A Convertible Preferred stock, $0.01 par value per share; 5,000,000 and 0 authorized;</w:t>
            </w: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6,673 and 0 issued; none outstanding, as of September 30, 2012 and December 31, 2011,</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respectively</w:t>
            </w:r>
          </w:p>
        </w:tc>
        <w:tc>
          <w:tcPr>
            <w:tcW w:w="9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2"/>
              </w:rPr>
              <w:t>Common stock, $0.01 par value per share 150,000,000 authorized; 64,809,694 and 16,972,977</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648</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w w:val="98"/>
              </w:rPr>
              <w:t>issued and outstanding as of September 30, 2012 and December 31, 2011, respectively</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99,053</w:t>
            </w: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5,449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(9,590)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90,111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114,696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0"/>
              </w:rPr>
              <w:t>Vringo, Inc. and Subsidiaries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89"/>
              </w:rPr>
              <w:t>(a Development Stage Company)</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3"/>
              </w:rPr>
              <w:t>(Unaudited)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16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3"/>
              </w:rPr>
              <w:t>Period from</w:t>
            </w:r>
          </w:p>
        </w:tc>
        <w:tc>
          <w:tcPr>
            <w:tcW w:w="158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Nine months</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June 8, 2011</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from June 8,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ended September</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(inception)</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7"/>
              </w:rPr>
              <w:t>Three months ended September 30,</w:t>
            </w: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0"/>
                <w:szCs w:val="20"/>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to September 30,</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FFCC"/>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U.S.$</w:t>
            </w:r>
          </w:p>
        </w:tc>
        <w:tc>
          <w:tcPr>
            <w:tcW w:w="8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Borders>
              <w:bottom w:val="single" w:sz="8" w:color="CCFFCC"/>
            </w:tcBorders>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266</w:t>
            </w:r>
          </w:p>
        </w:tc>
        <w:tc>
          <w:tcPr>
            <w:tcW w:w="220" w:type="dxa"/>
            <w:vAlign w:val="bottom"/>
            <w:shd w:val="clear" w:color="auto" w:fill="CCFFCC"/>
          </w:tcPr>
          <w:p>
            <w:pPr>
              <w:spacing w:after="0"/>
              <w:rPr>
                <w:sz w:val="18"/>
                <w:szCs w:val="18"/>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Cost of revenue*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3,415</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547</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5,976</w:t>
            </w:r>
          </w:p>
        </w:tc>
        <w:tc>
          <w:tcPr>
            <w:tcW w:w="22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997</w:t>
            </w:r>
          </w:p>
        </w:tc>
        <w:tc>
          <w:tcPr>
            <w:tcW w:w="16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997</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6"/>
              </w:rPr>
              <w:t>Marketing, general and administrative*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6,364</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323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7,508</w:t>
            </w:r>
          </w:p>
        </w:tc>
        <w:tc>
          <w:tcPr>
            <w:tcW w:w="22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762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10,776</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14,481</w:t>
            </w:r>
          </w:p>
        </w:tc>
        <w:tc>
          <w:tcPr>
            <w:tcW w:w="2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17,227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Operating loss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(10,510</w:t>
            </w:r>
          </w:p>
        </w:tc>
        <w:tc>
          <w:tcPr>
            <w:tcW w:w="8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CFFCC"/>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(14,215</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Non-operating income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Non-operating expenses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18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w:t>
            </w:r>
          </w:p>
        </w:tc>
        <w:tc>
          <w:tcPr>
            <w:tcW w:w="17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(19)</w:t>
            </w:r>
          </w:p>
        </w:tc>
        <w:tc>
          <w:tcPr>
            <w:tcW w:w="1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Gain on revaluation of derivative</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7,240</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7,240</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5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FFCC"/>
          </w:tcPr>
          <w:p>
            <w:pPr>
              <w:spacing w:after="0"/>
              <w:rPr>
                <w:sz w:val="19"/>
                <w:szCs w:val="19"/>
                <w:color w:val="auto"/>
              </w:rPr>
            </w:pPr>
          </w:p>
        </w:tc>
        <w:tc>
          <w:tcPr>
            <w:tcW w:w="1500" w:type="dxa"/>
            <w:vAlign w:val="bottom"/>
            <w:tcBorders>
              <w:bottom w:val="single" w:sz="8" w:color="auto"/>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500" w:type="dxa"/>
            <w:vAlign w:val="bottom"/>
            <w:tcBorders>
              <w:bottom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tcBorders>
              <w:bottom w:val="single" w:sz="8" w:color="auto"/>
            </w:tcBorders>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before taxes on income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(3,200</w:t>
            </w:r>
          </w:p>
        </w:tc>
        <w:tc>
          <w:tcPr>
            <w:tcW w:w="8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CFFCC"/>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(6,912</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Income tax benefit</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shd w:val="clear" w:color="auto" w:fill="CCFFCC"/>
          </w:tcPr>
          <w:p>
            <w:pPr>
              <w:spacing w:after="0"/>
              <w:rPr>
                <w:sz w:val="18"/>
                <w:szCs w:val="18"/>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(3,124)</w:t>
            </w:r>
          </w:p>
        </w:tc>
        <w:tc>
          <w:tcPr>
            <w:tcW w:w="18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(874)</w:t>
            </w:r>
          </w:p>
        </w:tc>
        <w:tc>
          <w:tcPr>
            <w:tcW w:w="17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(6,836)</w:t>
            </w:r>
          </w:p>
        </w:tc>
        <w:tc>
          <w:tcPr>
            <w:tcW w:w="1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(1,327)</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Basic net loss per common share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CCFFCC"/>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(0.06</w:t>
            </w:r>
          </w:p>
        </w:tc>
        <w:tc>
          <w:tcPr>
            <w:tcW w:w="80" w:type="dxa"/>
            <w:vAlign w:val="bottom"/>
            <w:tcBorders>
              <w:bottom w:val="single" w:sz="8" w:color="CCFFCC"/>
            </w:tcBorders>
            <w:vMerge w:val="continue"/>
          </w:tcPr>
          <w:p>
            <w:pPr>
              <w:spacing w:after="0"/>
              <w:rPr>
                <w:sz w:val="20"/>
                <w:szCs w:val="20"/>
                <w:color w:val="auto"/>
              </w:rPr>
            </w:pPr>
          </w:p>
        </w:tc>
        <w:tc>
          <w:tcPr>
            <w:tcW w:w="160" w:type="dxa"/>
            <w:vAlign w:val="bottom"/>
            <w:tcBorders>
              <w:bottom w:val="single" w:sz="8" w:color="CCFFCC"/>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220" w:type="dxa"/>
            <w:vAlign w:val="bottom"/>
            <w:tcBorders>
              <w:bottom w:val="single" w:sz="8" w:color="CCFFCC"/>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(0.27</w:t>
            </w:r>
          </w:p>
        </w:tc>
        <w:tc>
          <w:tcPr>
            <w:tcW w:w="220" w:type="dxa"/>
            <w:vAlign w:val="bottom"/>
            <w:tcBorders>
              <w:bottom w:val="single" w:sz="8" w:color="CCFFCC"/>
            </w:tcBorders>
            <w:vMerge w:val="continue"/>
          </w:tcPr>
          <w:p>
            <w:pPr>
              <w:spacing w:after="0"/>
              <w:rPr>
                <w:sz w:val="20"/>
                <w:szCs w:val="20"/>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220" w:type="dxa"/>
            <w:vAlign w:val="bottom"/>
            <w:tcBorders>
              <w:bottom w:val="single" w:sz="8" w:color="CCFFCC"/>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(0.52</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 net loss per common share</w:t>
            </w:r>
          </w:p>
        </w:tc>
        <w:tc>
          <w:tcPr>
            <w:tcW w:w="15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(0.18</w:t>
            </w:r>
          </w:p>
        </w:tc>
        <w:tc>
          <w:tcPr>
            <w:tcW w:w="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CFFCC"/>
            </w:tcBorders>
            <w:shd w:val="clear" w:color="auto" w:fill="CCFFCC"/>
          </w:tcPr>
          <w:p>
            <w:pPr>
              <w:spacing w:after="0"/>
              <w:rPr>
                <w:sz w:val="17"/>
                <w:szCs w:val="17"/>
                <w:color w:val="auto"/>
              </w:rPr>
            </w:pPr>
          </w:p>
        </w:tc>
        <w:tc>
          <w:tcPr>
            <w:tcW w:w="15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(0.16</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(0.40</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(0.25</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(0.60</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6"/>
            <w:shd w:val="clear" w:color="auto" w:fill="CCFFCC"/>
          </w:tcPr>
          <w:p>
            <w:pPr>
              <w:spacing w:after="0"/>
              <w:rPr>
                <w:sz w:val="20"/>
                <w:szCs w:val="20"/>
                <w:color w:val="auto"/>
              </w:rPr>
            </w:pPr>
            <w:r>
              <w:rPr>
                <w:rFonts w:ascii="Arial" w:cs="Arial" w:eastAsia="Arial" w:hAnsi="Arial"/>
                <w:sz w:val="18"/>
                <w:szCs w:val="18"/>
                <w:color w:val="auto"/>
                <w:w w:val="95"/>
              </w:rPr>
              <w:t>Weighted average number of shares used in computing net loss per common share:</w:t>
            </w: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40"/>
              <w:spacing w:after="0"/>
              <w:rPr>
                <w:sz w:val="20"/>
                <w:szCs w:val="20"/>
                <w:color w:val="auto"/>
              </w:rPr>
            </w:pPr>
            <w:r>
              <w:rPr>
                <w:rFonts w:ascii="Arial" w:cs="Arial" w:eastAsia="Arial" w:hAnsi="Arial"/>
                <w:sz w:val="18"/>
                <w:szCs w:val="18"/>
                <w:color w:val="auto"/>
              </w:rPr>
              <w:t>Basic:</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48,790,819</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5,365,225</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25,611,159</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5,221,328</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18,445,471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ind w:left="440"/>
              <w:spacing w:after="0"/>
              <w:rPr>
                <w:sz w:val="20"/>
                <w:szCs w:val="20"/>
                <w:color w:val="auto"/>
              </w:rPr>
            </w:pPr>
            <w:r>
              <w:rPr>
                <w:rFonts w:ascii="Arial" w:cs="Arial" w:eastAsia="Arial" w:hAnsi="Arial"/>
                <w:sz w:val="18"/>
                <w:szCs w:val="18"/>
                <w:color w:val="auto"/>
              </w:rPr>
              <w:t>Diluted:</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58,227,100</w:t>
            </w:r>
          </w:p>
        </w:tc>
        <w:tc>
          <w:tcPr>
            <w:tcW w:w="18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5,365,225</w:t>
            </w: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35,047,440</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5,221,328</w:t>
            </w: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27,891,752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w w:val="90"/>
              </w:rPr>
              <w:t>* Includes stock based compensation expense, as follows:</w:t>
            </w: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Cost of revenue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w:t>
            </w: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318</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452</w:t>
            </w:r>
          </w:p>
        </w:tc>
        <w:tc>
          <w:tcPr>
            <w:tcW w:w="16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452</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8"/>
              </w:rPr>
              <w:t>Marketing, general and administrative</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4,592</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4,762</w:t>
            </w:r>
          </w:p>
        </w:tc>
        <w:tc>
          <w:tcPr>
            <w:tcW w:w="22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5,362</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5,532</w:t>
            </w:r>
          </w:p>
        </w:tc>
        <w:tc>
          <w:tcPr>
            <w:tcW w:w="2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Series A</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Convertible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Preferred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Common stock</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paid-in capital</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stage</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FFCC"/>
            </w:tcBorders>
          </w:tcPr>
          <w:p>
            <w:pPr>
              <w:spacing w:after="0"/>
              <w:rPr>
                <w:sz w:val="18"/>
                <w:szCs w:val="18"/>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4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6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0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FFC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Stock based compensation</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170</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5,449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2,865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line="182" w:lineRule="exact"/>
              <w:rPr>
                <w:sz w:val="20"/>
                <w:szCs w:val="20"/>
                <w:color w:val="auto"/>
              </w:rPr>
            </w:pPr>
            <w:r>
              <w:rPr>
                <w:rFonts w:ascii="Arial" w:cs="Arial" w:eastAsia="Arial" w:hAnsi="Arial"/>
                <w:sz w:val="18"/>
                <w:szCs w:val="18"/>
                <w:color w:val="auto"/>
              </w:rPr>
              <w:t>Conversion of Series A Preferred Convertible</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8</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68</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Preferred stock, classified as mezzanine equity</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Stock based compensation, including grant of shares to</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520" w:type="dxa"/>
            <w:vAlign w:val="bottom"/>
            <w:gridSpan w:val="2"/>
            <w:vMerge w:val="restart"/>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5,529</w:t>
            </w: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gridSpan w:val="2"/>
            <w:vMerge w:val="restart"/>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5,532</w:t>
            </w: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consultants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vMerge w:val="continue"/>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Recording of Legal Parent’s equity instruments upon</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152</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54,809</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54,961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Merger, net of issuance cost of $463, see Note 4</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Preferred Convertible</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520" w:type="dxa"/>
            <w:vAlign w:val="bottom"/>
            <w:gridSpan w:val="2"/>
            <w:vMerge w:val="restart"/>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201</w:t>
            </w:r>
          </w:p>
        </w:tc>
        <w:tc>
          <w:tcPr>
            <w:tcW w:w="1460" w:type="dxa"/>
            <w:vAlign w:val="bottom"/>
            <w:gridSpan w:val="2"/>
            <w:vMerge w:val="restart"/>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(201)</w:t>
            </w: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Preferred stock, classified as equity</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of warrants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171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Issuance of shares in connection with a financing</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96</w:t>
            </w:r>
          </w:p>
        </w:tc>
        <w:tc>
          <w:tcPr>
            <w:tcW w:w="260" w:type="dxa"/>
            <w:vAlign w:val="bottom"/>
          </w:tcPr>
          <w:p>
            <w:pPr>
              <w:spacing w:after="0"/>
              <w:rPr>
                <w:sz w:val="17"/>
                <w:szCs w:val="17"/>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31,052</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31,148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round, net of issuance cost of $52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period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(6,836)</w:t>
            </w:r>
          </w:p>
        </w:tc>
        <w:tc>
          <w:tcPr>
            <w:tcW w:w="13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(6,836)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Balance as of September 30, 2012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99,053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(9,590</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amounts 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Period from June</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June 8, 2011</w:t>
            </w:r>
          </w:p>
        </w:tc>
      </w:tr>
      <w:tr>
        <w:trPr>
          <w:trHeight w:val="216"/>
        </w:trPr>
        <w:tc>
          <w:tcPr>
            <w:tcW w:w="640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Nine months ended</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8, 2011 (inception)</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(inception) to</w:t>
            </w:r>
          </w:p>
        </w:tc>
      </w:tr>
      <w:tr>
        <w:trPr>
          <w:trHeight w:val="234"/>
        </w:trPr>
        <w:tc>
          <w:tcPr>
            <w:tcW w:w="6400" w:type="dxa"/>
            <w:vAlign w:val="bottom"/>
          </w:tcPr>
          <w:p>
            <w:pPr>
              <w:spacing w:after="0"/>
              <w:rPr>
                <w:sz w:val="20"/>
                <w:szCs w:val="20"/>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to September 30,</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64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8"/>
                <w:szCs w:val="18"/>
                <w:color w:val="auto"/>
              </w:rPr>
            </w:pPr>
          </w:p>
        </w:tc>
      </w:tr>
      <w:tr>
        <w:trPr>
          <w:trHeight w:val="210"/>
        </w:trPr>
        <w:tc>
          <w:tcPr>
            <w:tcW w:w="6400" w:type="dxa"/>
            <w:vAlign w:val="bottom"/>
            <w:tcBorders>
              <w:bottom w:val="single" w:sz="8" w:color="CCFFCC"/>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60" w:type="dxa"/>
            <w:vAlign w:val="bottom"/>
            <w:tcBorders>
              <w:bottom w:val="single" w:sz="8" w:color="CCFFCC"/>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Borders>
              <w:bottom w:val="single" w:sz="8" w:color="CCFFCC"/>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Borders>
              <w:bottom w:val="single" w:sz="8" w:color="CCFFCC"/>
            </w:tcBorders>
          </w:tcPr>
          <w:p>
            <w:pPr>
              <w:spacing w:after="0"/>
              <w:rPr>
                <w:sz w:val="18"/>
                <w:szCs w:val="18"/>
                <w:color w:val="auto"/>
              </w:rPr>
            </w:pPr>
          </w:p>
        </w:tc>
      </w:tr>
      <w:tr>
        <w:trPr>
          <w:trHeight w:val="210"/>
        </w:trPr>
        <w:tc>
          <w:tcPr>
            <w:tcW w:w="6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(6,836)</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(1,327)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(9,590)</w:t>
            </w: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1,211</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170</w:t>
            </w: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1,540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(162)</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Stock based compensation expense</w:t>
            </w:r>
          </w:p>
        </w:tc>
        <w:tc>
          <w:tcPr>
            <w:tcW w:w="17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5,532</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373</w:t>
            </w: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6,006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Decrease in fair value of warrants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(7,240)</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(7,240)</w:t>
            </w: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Exchange rate gains</w:t>
            </w: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Increase in receivables, prepaid expenses and other current assets</w:t>
            </w: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(504)</w:t>
            </w:r>
          </w:p>
        </w:tc>
        <w:tc>
          <w:tcPr>
            <w:tcW w:w="1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Increase in payables and accruals</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2,043</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2,491</w:t>
            </w:r>
          </w:p>
        </w:tc>
      </w:tr>
      <w:tr>
        <w:trPr>
          <w:trHeight w:val="210"/>
        </w:trPr>
        <w:tc>
          <w:tcPr>
            <w:tcW w:w="6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(5,962</w:t>
            </w:r>
          </w:p>
        </w:tc>
        <w:tc>
          <w:tcPr>
            <w:tcW w:w="260" w:type="dxa"/>
            <w:vAlign w:val="bottom"/>
            <w:tcBorders>
              <w:top w:val="single" w:sz="8" w:color="CCFFCC"/>
            </w:tcBorders>
            <w:shd w:val="clear" w:color="auto" w:fill="CCFFCC"/>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property and equipment</w:t>
            </w: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(151)</w:t>
            </w:r>
          </w:p>
        </w:tc>
        <w:tc>
          <w:tcPr>
            <w:tcW w:w="1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Acquisition of patents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(22,548)</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(3,395)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(25,943)</w:t>
            </w: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w:t>
            </w:r>
          </w:p>
        </w:tc>
        <w:tc>
          <w:tcPr>
            <w:tcW w:w="1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(46)</w:t>
            </w:r>
          </w:p>
        </w:tc>
        <w:tc>
          <w:tcPr>
            <w:tcW w:w="1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Cash acquired as part of acquisition of Vringo (1)</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3,326</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3,326</w:t>
            </w:r>
          </w:p>
        </w:tc>
      </w:tr>
      <w:tr>
        <w:trPr>
          <w:trHeight w:val="210"/>
        </w:trPr>
        <w:tc>
          <w:tcPr>
            <w:tcW w:w="6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(19,419</w:t>
            </w:r>
          </w:p>
        </w:tc>
        <w:tc>
          <w:tcPr>
            <w:tcW w:w="260" w:type="dxa"/>
            <w:vAlign w:val="bottom"/>
            <w:tcBorders>
              <w:top w:val="single" w:sz="8" w:color="CCFFCC"/>
            </w:tcBorders>
            <w:shd w:val="clear" w:color="auto" w:fill="CCFFCC"/>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(22,823</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from June</w:t>
            </w:r>
          </w:p>
        </w:tc>
        <w:tc>
          <w:tcPr>
            <w:tcW w:w="10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Nine months ended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8, 2011 (inception)</w:t>
            </w:r>
          </w:p>
        </w:tc>
        <w:tc>
          <w:tcPr>
            <w:tcW w:w="2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June 8, 2011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 September 30,</w:t>
            </w:r>
          </w:p>
        </w:tc>
        <w:tc>
          <w:tcPr>
            <w:tcW w:w="100" w:type="dxa"/>
            <w:vAlign w:val="bottom"/>
          </w:tcPr>
          <w:p>
            <w:pPr>
              <w:spacing w:after="0"/>
              <w:rPr>
                <w:sz w:val="20"/>
                <w:szCs w:val="20"/>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to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FFCC"/>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Borders>
              <w:bottom w:val="single" w:sz="8" w:color="CCFFCC"/>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Financing round net of issuance cost of $52</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31,148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(repayment) of note payable—related party</w:t>
            </w:r>
          </w:p>
        </w:tc>
        <w:tc>
          <w:tcPr>
            <w:tcW w:w="1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(3,200)</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Proceeds from issuance of preferred stock</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common stock</w:t>
            </w: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2,360</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Exercise of options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1,598</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29,717</w:t>
            </w:r>
          </w:p>
        </w:tc>
        <w:tc>
          <w:tcPr>
            <w:tcW w:w="220" w:type="dxa"/>
            <w:vAlign w:val="bottom"/>
            <w:tcBorders>
              <w:bottom w:val="single" w:sz="8" w:color="CCFFC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39,862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4,337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3,706</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5,212</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9,549</w:t>
            </w:r>
          </w:p>
        </w:tc>
        <w:tc>
          <w:tcPr>
            <w:tcW w:w="220" w:type="dxa"/>
            <w:vAlign w:val="bottom"/>
            <w:tcBorders>
              <w:bottom w:val="single" w:sz="8" w:color="CCFFCC"/>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9,549</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Supplemental disclosure of cash flows information</w:t>
            </w:r>
          </w:p>
        </w:tc>
        <w:tc>
          <w:tcPr>
            <w:tcW w:w="15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paid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Income taxes paid</w:t>
            </w: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Conversion of Series A Convertible Preferred stock, classified as mezzanine</w:t>
            </w:r>
          </w:p>
        </w:tc>
        <w:tc>
          <w:tcPr>
            <w:tcW w:w="174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76</w:t>
            </w:r>
          </w:p>
        </w:tc>
        <w:tc>
          <w:tcPr>
            <w:tcW w:w="14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equity, into common stock, prior to the Merger</w:t>
            </w:r>
          </w:p>
        </w:tc>
        <w:tc>
          <w:tcPr>
            <w:tcW w:w="1740" w:type="dxa"/>
            <w:vAlign w:val="bottom"/>
            <w:gridSpan w:val="2"/>
            <w:vMerge w:val="continue"/>
            <w:shd w:val="clear" w:color="auto" w:fill="CCFFCC"/>
          </w:tcPr>
          <w:p>
            <w:pPr>
              <w:spacing w:after="0"/>
              <w:rPr>
                <w:sz w:val="20"/>
                <w:szCs w:val="20"/>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9"/>
              </w:rPr>
              <w:t>Conversion of Series A Convertible Preferred stock, classified as mezzanine</w:t>
            </w:r>
          </w:p>
        </w:tc>
        <w:tc>
          <w:tcPr>
            <w:tcW w:w="1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1,724</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equity, into common stock, upon Merger</w:t>
            </w:r>
          </w:p>
        </w:tc>
        <w:tc>
          <w:tcPr>
            <w:tcW w:w="1740" w:type="dxa"/>
            <w:vAlign w:val="bottom"/>
            <w:gridSpan w:val="2"/>
            <w:vMerge w:val="continue"/>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Conversion of Series A Convertible Preferred stock, classified as equity, into</w:t>
            </w:r>
          </w:p>
        </w:tc>
        <w:tc>
          <w:tcPr>
            <w:tcW w:w="174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201</w:t>
            </w:r>
          </w:p>
        </w:tc>
        <w:tc>
          <w:tcPr>
            <w:tcW w:w="14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common stock, post-Merger</w:t>
            </w:r>
          </w:p>
        </w:tc>
        <w:tc>
          <w:tcPr>
            <w:tcW w:w="1740" w:type="dxa"/>
            <w:vAlign w:val="bottom"/>
            <w:gridSpan w:val="2"/>
            <w:vMerge w:val="continue"/>
            <w:shd w:val="clear" w:color="auto" w:fill="CCFFCC"/>
          </w:tcPr>
          <w:p>
            <w:pPr>
              <w:spacing w:after="0"/>
              <w:rPr>
                <w:sz w:val="20"/>
                <w:szCs w:val="20"/>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subscription receivable</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Conversion of derivative warrants</w:t>
            </w: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596</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Long term deposit</w:t>
            </w: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2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Fixed assets, net</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20" w:type="dxa"/>
            <w:vAlign w:val="bottom"/>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(69,511)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Intangible assets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w w:val="96"/>
              </w:rPr>
              <w:t>Fair value of Legal Parent’s shares of common stock and vested $0.01 options</w:t>
            </w: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58,211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Fair value of warrants and vested stock options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FFCC"/>
          </w:tcPr>
          <w:p>
            <w:pPr>
              <w:spacing w:after="0"/>
              <w:rPr>
                <w:sz w:val="20"/>
                <w:szCs w:val="20"/>
                <w:color w:val="auto"/>
              </w:rPr>
            </w:pPr>
            <w:r>
              <w:rPr>
                <w:rFonts w:ascii="Arial" w:cs="Arial" w:eastAsia="Arial" w:hAnsi="Arial"/>
                <w:sz w:val="18"/>
                <w:szCs w:val="18"/>
                <w:color w:val="auto"/>
              </w:rPr>
              <w:t>Long-term liabilities</w:t>
            </w:r>
          </w:p>
        </w:tc>
        <w:tc>
          <w:tcPr>
            <w:tcW w:w="15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FFCC"/>
          </w:tcPr>
          <w:p>
            <w:pPr>
              <w:spacing w:after="0"/>
              <w:rPr>
                <w:sz w:val="21"/>
                <w:szCs w:val="21"/>
                <w:color w:val="auto"/>
              </w:rPr>
            </w:pPr>
          </w:p>
        </w:tc>
        <w:tc>
          <w:tcPr>
            <w:tcW w:w="15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FFCC"/>
            </w:tcBorders>
          </w:tcPr>
          <w:p>
            <w:pPr>
              <w:spacing w:after="0" w:line="20" w:lineRule="exact"/>
              <w:rPr>
                <w:sz w:val="1"/>
                <w:szCs w:val="1"/>
                <w:color w:val="auto"/>
              </w:rPr>
            </w:pPr>
          </w:p>
        </w:tc>
        <w:tc>
          <w:tcPr>
            <w:tcW w:w="15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4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together with its consolidated subsidiaries (the “Company”),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also operates a global platform for the distribution of mobile social applications and services.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 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former I/P stockholders owned, immediately following the Merger, approximately 67.61% of the combined company on a fully diluted basis and as a result of certain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Merger reflect the historical results of I/P, and not Vringo’s historical results prior to the Merger, and the Company’s financial statements for all periods from July 19, 2012 reflect the results of the combined company.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specifically noted otherwise, as used throughout these consolidated financial statements, the term “Company” refers to the combined company after the Merger and the business of I/P before the Merger. The terms I/P and Vringo refer to such entities’ standalone businesses prior to the Merger.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I/P (a Development Stage Company) was incorporated on June 8, 2011 under the laws of Delaware as Labrador Search Corporation.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accompanying financial statements have been prepared on a basis which assumes that the Company will continue as a “going concern”, which contemplates the realization of assets and the satisfaction of liabilities and commitments in the normal course of business. There is no certainty, however, in its ability to successfully monetize its intellectual property assets through licensing or litigation. In addition, there is no certainty in its ability to successfully develop and/or market its products. The Company has incurred significant losses since its inception, and it might continue to operate at a net loss in the foreseeable future. For the three and nine month periods ended September 30, 2012, and for the cumulative period from inception of I/P (June 8, 2011) until September 30, 2012, the Company incurred net losses of $3,124, $6,836 and $9,590, respectively. The financial statements do not include any adjustments that might result from the outcome of this uncertainty.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current operating plans, the current resources of the Company, after taking into account the net funds received in a subsequent to balance sheet date private registered direct offering, in the total amount of approximately $44,900, as well as $8,332 received, subsequent to balance sheet date, from the exercise of the Company’s convertible equity instruments, are expected to be sufficient for at least the next twelve months. The Company may choose to raise additional funds in connection with any future acquisition of additional intellectual property assets, operating businesses or other assets that it may choose to pursue. There can be no assurance, however, that any such opportunities will materialize. Moreover, any potential financing would likely be dilutive to the Company’s stockholders.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2012, approximately $609 of the Company's net assets were located outside of the United States. In addition, the Company owns patents issued outside of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I/P, Legal Parent and their wholly-owned subsidiaries, and are presented in accordance with generally accepted accounting principles in the United States of America ("U.S. GAAP"). All significant intercompany balances and transactions have been eliminated in consolidation. These financial statements include the results of operations of I/P and subsidiaries for all periods presented, with the results of operations of the Legal Parent and its subsidiaries for the period from July 19, 2012 (the effective date of the Merger) through September 30, 2012. Moreover, common stock amounts presented for comparative periods differ from those previously presented by I/P, due to application of accounting requirements applicable to a reverse acquisition.</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These financial statements should be read in conjunction with the consolidated financial statements and related notes for the year ended December 31, 2011 contained in the Company’s definitive proxy statement/prospectus filed with the Securities and Exchange Commission (“SEC”) on June 21, 2012. The results of operations for the three and nine month period ended September 30, 2012, are not necessarily indicative of the results that may be expected for the entire fiscal year or for any other interim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activities to date have been focused on enforcement and development of its intellectual property, as well as on the research and development of its products. To date, the Company has not generated any significant revenues from its planned principal operations. Accordingly, the Company’s financial statements are presented as those of a development stage enterprise.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currency of the primary economic environment in which the operations of the Company are conducted is the U.S. dollar (“dollar” or “U.S. $”). Therefore, the dollar has been determined to be the Company’s functional currency. Transactions in foreign currencies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valuation of assets assumed and liabilities incurred as part of the Merger, useful lives of the Company’s tangible and intangible assets, valuation of its derivative warrants, valuation of its share-based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Intangible assets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Intangible assets include technology (see Note 4) recorded at fair value, and patents purchased, recorded based on the cost to acquire them. These assets are amortized over their remaining estimated useful lives. Useful lives of intangible assets are periodically evaluated for reasonableness and the assets are tested for impairment whenever events or changes in circumstances indicate that the carrying amount may no longer be recoverable.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Goodwill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w:t>
      </w:r>
      <w:r>
        <w:rPr>
          <w:rFonts w:ascii="Arial" w:cs="Arial" w:eastAsia="Arial" w:hAnsi="Arial"/>
          <w:sz w:val="17"/>
          <w:szCs w:val="17"/>
          <w:i w:val="1"/>
          <w:iCs w:val="1"/>
          <w:color w:val="auto"/>
        </w:rPr>
        <w:t>FASB ASC Topic 350, Intangibles - Goodwill and Other</w:t>
      </w:r>
      <w:r>
        <w:rPr>
          <w:rFonts w:ascii="Arial" w:cs="Arial" w:eastAsia="Arial" w:hAnsi="Arial"/>
          <w:sz w:val="17"/>
          <w:szCs w:val="17"/>
          <w:color w:val="auto"/>
        </w:rPr>
        <w:t>. The goodwill impairment test is a two-step test. Under the first step, the fair value of the reporting unit is compared with its carrying value (including goodwill). If the fair value of the reporting unit is less than its carrying value, an indication of goodwill impairment exists for the reporting unit and the entity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Fair value of the reporting unit is determined using a discounted cash flow analysis. If the fair value of the reporting unit exceeds its carrying value, step two does not need to be performed.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Legal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costs incurred in connection with ongoing litigation are expensed as occurred.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share data</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Such dilutive shares consist of incremental shares that would be issued upon exercise of the Company’s derivative warrants (see also Note 3). The table below presents the computation of basic and diluted net losses per common share: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 Numerator:</w:t>
      </w:r>
    </w:p>
    <w:p>
      <w:pPr>
        <w:spacing w:after="0" w:line="226" w:lineRule="auto"/>
        <w:rPr>
          <w:sz w:val="20"/>
          <w:szCs w:val="20"/>
          <w:color w:val="auto"/>
        </w:rPr>
      </w:pPr>
      <w:r>
        <w:rPr>
          <w:rFonts w:ascii="Arial" w:cs="Arial" w:eastAsia="Arial" w:hAnsi="Arial"/>
          <w:sz w:val="14"/>
          <w:szCs w:val="14"/>
          <w:color w:val="auto"/>
        </w:rPr>
        <w:t>Net loss attributable to shares of common stock</w:t>
      </w:r>
    </w:p>
    <w:p>
      <w:pPr>
        <w:spacing w:after="0" w:line="222" w:lineRule="auto"/>
        <w:rPr>
          <w:sz w:val="20"/>
          <w:szCs w:val="20"/>
          <w:color w:val="auto"/>
        </w:rPr>
      </w:pPr>
      <w:r>
        <w:rPr>
          <w:rFonts w:ascii="Arial" w:cs="Arial" w:eastAsia="Arial" w:hAnsi="Arial"/>
          <w:sz w:val="14"/>
          <w:szCs w:val="14"/>
          <w:b w:val="1"/>
          <w:bCs w:val="1"/>
          <w:color w:val="auto"/>
        </w:rPr>
        <w:t>Basic Denominator:</w:t>
      </w:r>
    </w:p>
    <w:p>
      <w:pPr>
        <w:ind w:left="160" w:hanging="155"/>
        <w:spacing w:after="0" w:line="221" w:lineRule="auto"/>
        <w:rPr>
          <w:sz w:val="20"/>
          <w:szCs w:val="20"/>
          <w:color w:val="auto"/>
        </w:rPr>
      </w:pPr>
      <w:r>
        <w:rPr>
          <w:rFonts w:ascii="Arial" w:cs="Arial" w:eastAsia="Arial" w:hAnsi="Arial"/>
          <w:sz w:val="14"/>
          <w:szCs w:val="14"/>
          <w:color w:val="auto"/>
        </w:rPr>
        <w:t>Weighted average number of shares of common stock outstanding during the period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number of penny stock options</w:t>
      </w:r>
    </w:p>
    <w:p>
      <w:pPr>
        <w:spacing w:after="0" w:line="1" w:lineRule="exact"/>
        <w:rPr>
          <w:sz w:val="20"/>
          <w:szCs w:val="20"/>
          <w:color w:val="auto"/>
        </w:rPr>
      </w:pPr>
    </w:p>
    <w:p>
      <w:pPr>
        <w:ind w:right="720"/>
        <w:spacing w:after="0" w:line="289" w:lineRule="auto"/>
        <w:rPr>
          <w:sz w:val="20"/>
          <w:szCs w:val="20"/>
          <w:color w:val="auto"/>
        </w:rPr>
      </w:pPr>
      <w:r>
        <w:rPr>
          <w:rFonts w:ascii="Arial" w:cs="Arial" w:eastAsia="Arial" w:hAnsi="Arial"/>
          <w:sz w:val="12"/>
          <w:szCs w:val="12"/>
          <w:b w:val="1"/>
          <w:bCs w:val="1"/>
          <w:color w:val="auto"/>
        </w:rPr>
        <w:t>Basic common stock share outstanding Basic net loss per common stock share</w:t>
      </w:r>
    </w:p>
    <w:p>
      <w:pPr>
        <w:spacing w:after="0" w:line="229" w:lineRule="auto"/>
        <w:rPr>
          <w:sz w:val="20"/>
          <w:szCs w:val="20"/>
          <w:color w:val="auto"/>
        </w:rPr>
      </w:pPr>
      <w:r>
        <w:rPr>
          <w:rFonts w:ascii="Arial" w:cs="Arial" w:eastAsia="Arial" w:hAnsi="Arial"/>
          <w:sz w:val="14"/>
          <w:szCs w:val="14"/>
          <w:b w:val="1"/>
          <w:bCs w:val="1"/>
          <w:color w:val="auto"/>
        </w:rPr>
        <w:t>Diluted Numerator:</w:t>
      </w:r>
    </w:p>
    <w:p>
      <w:pPr>
        <w:spacing w:after="0" w:line="221" w:lineRule="auto"/>
        <w:rPr>
          <w:sz w:val="20"/>
          <w:szCs w:val="20"/>
          <w:color w:val="auto"/>
        </w:rPr>
      </w:pPr>
      <w:r>
        <w:rPr>
          <w:rFonts w:ascii="Arial" w:cs="Arial" w:eastAsia="Arial" w:hAnsi="Arial"/>
          <w:sz w:val="14"/>
          <w:szCs w:val="14"/>
          <w:color w:val="auto"/>
        </w:rPr>
        <w:t>Net loss attributable to shares of common stock</w:t>
      </w:r>
    </w:p>
    <w:p>
      <w:pPr>
        <w:spacing w:after="0" w:line="222" w:lineRule="auto"/>
        <w:rPr>
          <w:sz w:val="20"/>
          <w:szCs w:val="20"/>
          <w:color w:val="auto"/>
        </w:rPr>
      </w:pPr>
      <w:r>
        <w:rPr>
          <w:rFonts w:ascii="Arial" w:cs="Arial" w:eastAsia="Arial" w:hAnsi="Arial"/>
          <w:sz w:val="14"/>
          <w:szCs w:val="14"/>
          <w:b w:val="1"/>
          <w:bCs w:val="1"/>
          <w:color w:val="auto"/>
        </w:rPr>
        <w:t>Diluted Denominator:</w:t>
      </w:r>
    </w:p>
    <w:p>
      <w:pPr>
        <w:ind w:left="160" w:hanging="155"/>
        <w:spacing w:after="0" w:line="221" w:lineRule="auto"/>
        <w:rPr>
          <w:sz w:val="20"/>
          <w:szCs w:val="20"/>
          <w:color w:val="auto"/>
        </w:rPr>
      </w:pPr>
      <w:r>
        <w:rPr>
          <w:rFonts w:ascii="Arial" w:cs="Arial" w:eastAsia="Arial" w:hAnsi="Arial"/>
          <w:sz w:val="14"/>
          <w:szCs w:val="14"/>
          <w:color w:val="auto"/>
        </w:rPr>
        <w:t>Weighted average number of shares of common stock outstanding during the period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number of penny stock options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5"/>
            <w:vMerge w:val="restart"/>
          </w:tcPr>
          <w:p>
            <w:pPr>
              <w:jc w:val="center"/>
              <w:ind w:right="148"/>
              <w:spacing w:after="0"/>
              <w:rPr>
                <w:sz w:val="20"/>
                <w:szCs w:val="20"/>
                <w:color w:val="auto"/>
              </w:rPr>
            </w:pPr>
            <w:r>
              <w:rPr>
                <w:rFonts w:ascii="Arial" w:cs="Arial" w:eastAsia="Arial" w:hAnsi="Arial"/>
                <w:sz w:val="14"/>
                <w:szCs w:val="14"/>
                <w:b w:val="1"/>
                <w:bCs w:val="1"/>
                <w:color w:val="auto"/>
                <w:w w:val="91"/>
              </w:rPr>
              <w:t>Three months ended</w:t>
            </w:r>
          </w:p>
        </w:tc>
        <w:tc>
          <w:tcPr>
            <w:tcW w:w="1460" w:type="dxa"/>
            <w:vAlign w:val="bottom"/>
            <w:gridSpan w:val="2"/>
            <w:vMerge w:val="restart"/>
          </w:tcPr>
          <w:p>
            <w:pPr>
              <w:jc w:val="center"/>
              <w:ind w:right="128"/>
              <w:spacing w:after="0"/>
              <w:rPr>
                <w:sz w:val="20"/>
                <w:szCs w:val="20"/>
                <w:color w:val="auto"/>
              </w:rPr>
            </w:pPr>
            <w:r>
              <w:rPr>
                <w:rFonts w:ascii="Arial" w:cs="Arial" w:eastAsia="Arial" w:hAnsi="Arial"/>
                <w:sz w:val="14"/>
                <w:szCs w:val="14"/>
                <w:b w:val="1"/>
                <w:bCs w:val="1"/>
                <w:color w:val="auto"/>
                <w:w w:val="90"/>
              </w:rPr>
              <w:t>Nine months ended</w:t>
            </w:r>
          </w:p>
        </w:tc>
        <w:tc>
          <w:tcPr>
            <w:tcW w:w="170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4"/>
              </w:rPr>
              <w:t>Period from</w:t>
            </w:r>
          </w:p>
        </w:tc>
        <w:tc>
          <w:tcPr>
            <w:tcW w:w="166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2800" w:type="dxa"/>
            <w:vAlign w:val="bottom"/>
            <w:gridSpan w:val="5"/>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0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2"/>
              </w:rPr>
              <w:t>June 8, 2011 (inception),</w:t>
            </w:r>
          </w:p>
        </w:tc>
        <w:tc>
          <w:tcPr>
            <w:tcW w:w="1660" w:type="dxa"/>
            <w:vAlign w:val="bottom"/>
            <w:gridSpan w:val="3"/>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June 8, 2011 (inception) to</w:t>
            </w:r>
          </w:p>
        </w:tc>
        <w:tc>
          <w:tcPr>
            <w:tcW w:w="0" w:type="dxa"/>
            <w:vAlign w:val="bottom"/>
          </w:tcPr>
          <w:p>
            <w:pPr>
              <w:spacing w:after="0"/>
              <w:rPr>
                <w:sz w:val="1"/>
                <w:szCs w:val="1"/>
                <w:color w:val="auto"/>
              </w:rPr>
            </w:pPr>
          </w:p>
        </w:tc>
      </w:tr>
      <w:tr>
        <w:trPr>
          <w:trHeight w:val="162"/>
        </w:trPr>
        <w:tc>
          <w:tcPr>
            <w:tcW w:w="180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to September 30,</w:t>
            </w:r>
          </w:p>
        </w:tc>
        <w:tc>
          <w:tcPr>
            <w:tcW w:w="1660" w:type="dxa"/>
            <w:vAlign w:val="bottom"/>
            <w:gridSpan w:val="3"/>
          </w:tcPr>
          <w:p>
            <w:pPr>
              <w:jc w:val="center"/>
              <w:ind w:right="5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gridSpan w:val="6"/>
          </w:tcPr>
          <w:p>
            <w:pPr>
              <w:jc w:val="right"/>
              <w:ind w:right="768"/>
              <w:spacing w:after="0" w:line="142" w:lineRule="exact"/>
              <w:rPr>
                <w:sz w:val="20"/>
                <w:szCs w:val="20"/>
                <w:color w:val="auto"/>
              </w:rPr>
            </w:pPr>
            <w:r>
              <w:rPr>
                <w:rFonts w:ascii="Arial" w:cs="Arial" w:eastAsia="Arial" w:hAnsi="Arial"/>
                <w:sz w:val="14"/>
                <w:szCs w:val="14"/>
                <w:color w:val="auto"/>
              </w:rPr>
              <w:t>(in thousands, except share and per share data)</w:t>
            </w:r>
          </w:p>
        </w:tc>
        <w:tc>
          <w:tcPr>
            <w:tcW w:w="1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14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(3,124)</w:t>
            </w:r>
          </w:p>
        </w:tc>
        <w:tc>
          <w:tcPr>
            <w:tcW w:w="400" w:type="dxa"/>
            <w:vAlign w:val="bottom"/>
          </w:tcPr>
          <w:p>
            <w:pPr>
              <w:spacing w:after="0"/>
              <w:rPr>
                <w:sz w:val="24"/>
                <w:szCs w:val="24"/>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(874)</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(6,836)</w:t>
            </w:r>
          </w:p>
        </w:tc>
        <w:tc>
          <w:tcPr>
            <w:tcW w:w="1700" w:type="dxa"/>
            <w:vAlign w:val="bottom"/>
            <w:gridSpan w:val="2"/>
          </w:tcPr>
          <w:p>
            <w:pPr>
              <w:jc w:val="right"/>
              <w:ind w:right="88"/>
              <w:spacing w:after="0"/>
              <w:rPr>
                <w:sz w:val="20"/>
                <w:szCs w:val="20"/>
                <w:color w:val="auto"/>
              </w:rPr>
            </w:pPr>
            <w:r>
              <w:rPr>
                <w:rFonts w:ascii="Arial" w:cs="Arial" w:eastAsia="Arial" w:hAnsi="Arial"/>
                <w:sz w:val="14"/>
                <w:szCs w:val="14"/>
                <w:color w:val="auto"/>
              </w:rPr>
              <w:t>(1,327)</w:t>
            </w: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(9,590)</w:t>
            </w:r>
          </w:p>
        </w:tc>
        <w:tc>
          <w:tcPr>
            <w:tcW w:w="0" w:type="dxa"/>
            <w:vAlign w:val="bottom"/>
          </w:tcPr>
          <w:p>
            <w:pPr>
              <w:spacing w:after="0"/>
              <w:rPr>
                <w:sz w:val="1"/>
                <w:szCs w:val="1"/>
                <w:color w:val="auto"/>
              </w:rPr>
            </w:pPr>
          </w:p>
        </w:tc>
      </w:tr>
      <w:tr>
        <w:trPr>
          <w:trHeight w:val="421"/>
        </w:trPr>
        <w:tc>
          <w:tcPr>
            <w:tcW w:w="1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48,437,587</w:t>
            </w:r>
          </w:p>
        </w:tc>
        <w:tc>
          <w:tcPr>
            <w:tcW w:w="40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5,365,225</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25,493,415</w:t>
            </w:r>
          </w:p>
        </w:tc>
        <w:tc>
          <w:tcPr>
            <w:tcW w:w="220" w:type="dxa"/>
            <w:vAlign w:val="bottom"/>
          </w:tcPr>
          <w:p>
            <w:pPr>
              <w:spacing w:after="0"/>
              <w:rPr>
                <w:sz w:val="24"/>
                <w:szCs w:val="24"/>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5,221,328</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18,386,492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353,232</w:t>
            </w:r>
          </w:p>
        </w:tc>
        <w:tc>
          <w:tcPr>
            <w:tcW w:w="4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117,744</w:t>
            </w: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68,979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48,790,819</w:t>
            </w:r>
          </w:p>
        </w:tc>
        <w:tc>
          <w:tcPr>
            <w:tcW w:w="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4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5,365,225</w:t>
            </w:r>
          </w:p>
        </w:tc>
        <w:tc>
          <w:tcPr>
            <w:tcW w:w="220" w:type="dxa"/>
            <w:vAlign w:val="bottom"/>
            <w:vMerge w:val="restart"/>
          </w:tcPr>
          <w:p>
            <w:pPr>
              <w:jc w:val="right"/>
              <w:ind w:right="88"/>
              <w:spacing w:after="0"/>
              <w:rPr>
                <w:sz w:val="20"/>
                <w:szCs w:val="20"/>
                <w:color w:val="auto"/>
              </w:rPr>
            </w:pPr>
            <w:r>
              <w:rPr>
                <w:rFonts w:ascii="Arial" w:cs="Arial" w:eastAsia="Arial" w:hAnsi="Arial"/>
                <w:sz w:val="14"/>
                <w:szCs w:val="14"/>
                <w:color w:val="auto"/>
                <w:w w:val="84"/>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25,611,159</w:t>
            </w:r>
          </w:p>
        </w:tc>
        <w:tc>
          <w:tcPr>
            <w:tcW w:w="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5,221,328</w:t>
            </w:r>
          </w:p>
        </w:tc>
        <w:tc>
          <w:tcPr>
            <w:tcW w:w="220" w:type="dxa"/>
            <w:vAlign w:val="bottom"/>
            <w:vMerge w:val="restart"/>
          </w:tcPr>
          <w:p>
            <w:pPr>
              <w:jc w:val="right"/>
              <w:ind w:right="88"/>
              <w:spacing w:after="0"/>
              <w:rPr>
                <w:sz w:val="20"/>
                <w:szCs w:val="20"/>
                <w:color w:val="auto"/>
              </w:rPr>
            </w:pPr>
            <w:r>
              <w:rPr>
                <w:rFonts w:ascii="Arial" w:cs="Arial" w:eastAsia="Arial" w:hAnsi="Arial"/>
                <w:sz w:val="14"/>
                <w:szCs w:val="14"/>
                <w:color w:val="auto"/>
                <w:w w:val="84"/>
              </w:rPr>
              <w:t>)</w:t>
            </w:r>
          </w:p>
        </w:tc>
        <w:tc>
          <w:tcPr>
            <w:tcW w:w="16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18,445,471</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(0.06</w:t>
            </w:r>
          </w:p>
        </w:tc>
        <w:tc>
          <w:tcPr>
            <w:tcW w:w="2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(0.16</w:t>
            </w:r>
          </w:p>
        </w:tc>
        <w:tc>
          <w:tcPr>
            <w:tcW w:w="220" w:type="dxa"/>
            <w:vAlign w:val="bottom"/>
            <w:vMerge w:val="continue"/>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(0.27</w:t>
            </w:r>
          </w:p>
        </w:tc>
        <w:tc>
          <w:tcPr>
            <w:tcW w:w="220" w:type="dxa"/>
            <w:vAlign w:val="bottom"/>
            <w:vMerge w:val="continue"/>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(0.25</w:t>
            </w:r>
          </w:p>
        </w:tc>
        <w:tc>
          <w:tcPr>
            <w:tcW w:w="220" w:type="dxa"/>
            <w:vAlign w:val="bottom"/>
            <w:vMerge w:val="continue"/>
          </w:tcPr>
          <w:p>
            <w:pPr>
              <w:spacing w:after="0"/>
              <w:rPr>
                <w:sz w:val="12"/>
                <w:szCs w:val="12"/>
                <w:color w:val="auto"/>
              </w:rPr>
            </w:pPr>
          </w:p>
        </w:tc>
        <w:tc>
          <w:tcPr>
            <w:tcW w:w="1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(0.52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14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(10,364)</w:t>
            </w:r>
          </w:p>
        </w:tc>
        <w:tc>
          <w:tcPr>
            <w:tcW w:w="400" w:type="dxa"/>
            <w:vAlign w:val="bottom"/>
          </w:tcPr>
          <w:p>
            <w:pPr>
              <w:spacing w:after="0"/>
              <w:rPr>
                <w:sz w:val="24"/>
                <w:szCs w:val="24"/>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(874)</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(14,076)</w:t>
            </w:r>
          </w:p>
        </w:tc>
        <w:tc>
          <w:tcPr>
            <w:tcW w:w="1700" w:type="dxa"/>
            <w:vAlign w:val="bottom"/>
            <w:gridSpan w:val="2"/>
          </w:tcPr>
          <w:p>
            <w:pPr>
              <w:jc w:val="right"/>
              <w:ind w:right="88"/>
              <w:spacing w:after="0"/>
              <w:rPr>
                <w:sz w:val="20"/>
                <w:szCs w:val="20"/>
                <w:color w:val="auto"/>
              </w:rPr>
            </w:pPr>
            <w:r>
              <w:rPr>
                <w:rFonts w:ascii="Arial" w:cs="Arial" w:eastAsia="Arial" w:hAnsi="Arial"/>
                <w:sz w:val="14"/>
                <w:szCs w:val="14"/>
                <w:color w:val="auto"/>
              </w:rPr>
              <w:t>(1,327)</w:t>
            </w: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(16,830)</w:t>
            </w:r>
          </w:p>
        </w:tc>
        <w:tc>
          <w:tcPr>
            <w:tcW w:w="0" w:type="dxa"/>
            <w:vAlign w:val="bottom"/>
          </w:tcPr>
          <w:p>
            <w:pPr>
              <w:spacing w:after="0"/>
              <w:rPr>
                <w:sz w:val="1"/>
                <w:szCs w:val="1"/>
                <w:color w:val="auto"/>
              </w:rPr>
            </w:pPr>
          </w:p>
        </w:tc>
      </w:tr>
      <w:tr>
        <w:trPr>
          <w:trHeight w:val="421"/>
        </w:trPr>
        <w:tc>
          <w:tcPr>
            <w:tcW w:w="1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57,873,868</w:t>
            </w:r>
          </w:p>
        </w:tc>
        <w:tc>
          <w:tcPr>
            <w:tcW w:w="40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5,365,225</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34,929,696</w:t>
            </w:r>
          </w:p>
        </w:tc>
        <w:tc>
          <w:tcPr>
            <w:tcW w:w="220" w:type="dxa"/>
            <w:vAlign w:val="bottom"/>
          </w:tcPr>
          <w:p>
            <w:pPr>
              <w:spacing w:after="0"/>
              <w:rPr>
                <w:sz w:val="24"/>
                <w:szCs w:val="24"/>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5,221,328</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27,822,773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353,232</w:t>
            </w:r>
          </w:p>
        </w:tc>
        <w:tc>
          <w:tcPr>
            <w:tcW w:w="4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117,744</w:t>
            </w:r>
          </w:p>
        </w:tc>
        <w:tc>
          <w:tcPr>
            <w:tcW w:w="1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4"/>
                <w:szCs w:val="14"/>
                <w:color w:val="auto"/>
              </w:rPr>
              <w:t>68,979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-1367155</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-1169670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-887095</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-681355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-475615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-286385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00" w:space="640"/>
            <w:col w:w="76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740" w:type="dxa"/>
            <w:vAlign w:val="bottom"/>
            <w:tcBorders>
              <w:top w:val="single" w:sz="8" w:color="CCFFCC"/>
            </w:tcBorders>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Diluted common stock share outstanding</w:t>
            </w:r>
          </w:p>
        </w:tc>
        <w:tc>
          <w:tcPr>
            <w:tcW w:w="1180" w:type="dxa"/>
            <w:vAlign w:val="bottom"/>
            <w:tcBorders>
              <w:top w:val="single" w:sz="8" w:color="auto"/>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58,227,100</w:t>
            </w:r>
          </w:p>
        </w:tc>
        <w:tc>
          <w:tcPr>
            <w:tcW w:w="220" w:type="dxa"/>
            <w:vAlign w:val="bottom"/>
            <w:tcBorders>
              <w:top w:val="single" w:sz="8" w:color="CCFFCC"/>
            </w:tcBorders>
            <w:shd w:val="clear" w:color="auto" w:fill="CCFFCC"/>
          </w:tcPr>
          <w:p>
            <w:pPr>
              <w:spacing w:after="0"/>
              <w:rPr>
                <w:sz w:val="12"/>
                <w:szCs w:val="12"/>
                <w:color w:val="auto"/>
              </w:rPr>
            </w:pPr>
          </w:p>
        </w:tc>
        <w:tc>
          <w:tcPr>
            <w:tcW w:w="1180" w:type="dxa"/>
            <w:vAlign w:val="bottom"/>
            <w:tcBorders>
              <w:top w:val="single" w:sz="8" w:color="auto"/>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5,365,225</w:t>
            </w: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35,047,440</w:t>
            </w:r>
          </w:p>
        </w:tc>
        <w:tc>
          <w:tcPr>
            <w:tcW w:w="220" w:type="dxa"/>
            <w:vAlign w:val="bottom"/>
            <w:tcBorders>
              <w:top w:val="single" w:sz="8" w:color="CCFFCC"/>
            </w:tcBorders>
            <w:shd w:val="clear" w:color="auto" w:fill="CCFFCC"/>
          </w:tcPr>
          <w:p>
            <w:pPr>
              <w:spacing w:after="0"/>
              <w:rPr>
                <w:sz w:val="12"/>
                <w:szCs w:val="12"/>
                <w:color w:val="auto"/>
              </w:rPr>
            </w:pPr>
          </w:p>
        </w:tc>
        <w:tc>
          <w:tcPr>
            <w:tcW w:w="1480" w:type="dxa"/>
            <w:vAlign w:val="bottom"/>
            <w:tcBorders>
              <w:top w:val="single" w:sz="8" w:color="auto"/>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5,221,328</w:t>
            </w:r>
          </w:p>
        </w:tc>
        <w:tc>
          <w:tcPr>
            <w:tcW w:w="220" w:type="dxa"/>
            <w:vAlign w:val="bottom"/>
            <w:tcBorders>
              <w:top w:val="single" w:sz="8" w:color="CCFFCC"/>
            </w:tcBorders>
            <w:shd w:val="clear" w:color="auto" w:fill="CCFFCC"/>
          </w:tcPr>
          <w:p>
            <w:pPr>
              <w:spacing w:after="0"/>
              <w:rPr>
                <w:sz w:val="12"/>
                <w:szCs w:val="12"/>
                <w:color w:val="auto"/>
              </w:rPr>
            </w:pPr>
          </w:p>
        </w:tc>
        <w:tc>
          <w:tcPr>
            <w:tcW w:w="1620" w:type="dxa"/>
            <w:vAlign w:val="bottom"/>
            <w:tcBorders>
              <w:top w:val="single" w:sz="8" w:color="auto"/>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27,891,752</w:t>
            </w:r>
          </w:p>
        </w:tc>
        <w:tc>
          <w:tcPr>
            <w:tcW w:w="100" w:type="dxa"/>
            <w:vAlign w:val="bottom"/>
            <w:tcBorders>
              <w:top w:val="single" w:sz="8" w:color="CCFFCC"/>
              <w:left w:val="single" w:sz="8" w:color="CCFFCC"/>
            </w:tcBorders>
            <w:shd w:val="clear" w:color="auto" w:fill="CCFFCC"/>
          </w:tcPr>
          <w:p>
            <w:pPr>
              <w:spacing w:after="0"/>
              <w:rPr>
                <w:sz w:val="12"/>
                <w:szCs w:val="12"/>
                <w:color w:val="auto"/>
              </w:rPr>
            </w:pPr>
          </w:p>
        </w:tc>
      </w:tr>
      <w:tr>
        <w:trPr>
          <w:trHeight w:val="142"/>
        </w:trPr>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Diluted net loss per common stock share</w:t>
            </w: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(0.18</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(0. 16)</w:t>
            </w:r>
          </w:p>
        </w:tc>
        <w:tc>
          <w:tcPr>
            <w:tcW w:w="22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(0.40</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1480" w:type="dxa"/>
            <w:vAlign w:val="bottom"/>
          </w:tcPr>
          <w:p>
            <w:pPr>
              <w:jc w:val="right"/>
              <w:spacing w:after="0" w:line="142" w:lineRule="exact"/>
              <w:rPr>
                <w:sz w:val="20"/>
                <w:szCs w:val="20"/>
                <w:color w:val="auto"/>
              </w:rPr>
            </w:pPr>
            <w:r>
              <w:rPr>
                <w:rFonts w:ascii="Arial" w:cs="Arial" w:eastAsia="Arial" w:hAnsi="Arial"/>
                <w:sz w:val="14"/>
                <w:szCs w:val="14"/>
                <w:color w:val="auto"/>
              </w:rPr>
              <w:t>(0.25</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620" w:type="dxa"/>
            <w:vAlign w:val="bottom"/>
          </w:tcPr>
          <w:p>
            <w:pPr>
              <w:jc w:val="right"/>
              <w:spacing w:after="0" w:line="142" w:lineRule="exact"/>
              <w:rPr>
                <w:sz w:val="20"/>
                <w:szCs w:val="20"/>
                <w:color w:val="auto"/>
              </w:rPr>
            </w:pPr>
            <w:r>
              <w:rPr>
                <w:rFonts w:ascii="Arial" w:cs="Arial" w:eastAsia="Arial" w:hAnsi="Arial"/>
                <w:sz w:val="14"/>
                <w:szCs w:val="14"/>
                <w:color w:val="auto"/>
              </w:rPr>
              <w:t>(0.60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r>
      <w:tr>
        <w:trPr>
          <w:trHeight w:val="20"/>
        </w:trPr>
        <w:tc>
          <w:tcPr>
            <w:tcW w:w="3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September 30, 2012, the Company excluded from the calculation of its diluted net loss the following potentially dilutive securities: (i) 21,026,636 shares of common stock underlying shares of Series A Convertible Preferred stock prior to their conversion in full into shares of common stock during the period; (ii) 7,317,817 Series 2 Warrants to purchase 7,317,817 shares of common stock of the Company; (iii) 712,716 non-Preferential Reload Warrants to purchase 712,716 shares of common stock of the Company; (iv) 4,784,000 IPO Warrants to purchase 4,784,000 shares of common stock of the Company; (v) 9,160,429 of both vested and unvested options at $0.96-$5.50 exercise price, to purchase 9,160,429 shares of common stock of the Company; (vi) 3,126,667 unvested Restricted Stock Units (“RSU”) to purchase 3,126,667 shares of common stock of the Company and (vii) 30,250 unvested $0.01 options at to purchase 30,250 shares of common stock of the Company; (viii) 108,625 shares granted, but not vested. Also, the Company excluded from the calculation of its diluted net loss the following potentially dilutive securities outstanding as of September 30, 2011: (i) 21,026,636 shares of common stock underlying shares of Series A Convertible Preferred stock prior to their conversion in full into shares of common stock during the period; (ii) 250,000 Warrants to purchase 754,400 shares of common stock of the Company; (iii) 41,178 options to purchase 41,178 shares of common stock of the Company; and (iv) 4,455,154 shares of common stock granted, but not yet vested.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Impact of recently issued accounting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July 2012, the FASB issued </w:t>
      </w:r>
      <w:r>
        <w:rPr>
          <w:rFonts w:ascii="Arial" w:cs="Arial" w:eastAsia="Arial" w:hAnsi="Arial"/>
          <w:sz w:val="18"/>
          <w:szCs w:val="18"/>
          <w:i w:val="1"/>
          <w:iCs w:val="1"/>
          <w:color w:val="auto"/>
        </w:rPr>
        <w:t>ASU 2012-02, Balance Sheet (Topic 350), Intangibles-Goodwill and Other</w:t>
      </w:r>
      <w:r>
        <w:rPr>
          <w:rFonts w:ascii="Arial" w:cs="Arial" w:eastAsia="Arial" w:hAnsi="Arial"/>
          <w:sz w:val="18"/>
          <w:szCs w:val="18"/>
          <w:color w:val="auto"/>
        </w:rPr>
        <w:t>, which allows an organization to first assess qualitative factors to determine whether it is necessary to perform the quantitative impairment test for indefinite-lived intangible assets. An organization that elects to perform a qualitative assessment is required to perform the quantitative impairment test for an indefinite-lived intangible asset if it is more likely than not that the asset is impaired. This is effective for annual and interim impairment tests performed for fiscal years beginning after September 15, 2012. Early adoption is permitted. The Company does not expect the adoption of ASU 2012-02 to have a material impact on its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comparative figures were reclassified to conform to the Company’s post-Merger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by selling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 or indirectly, for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term of the asset or liability.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measures its derivative liabilities at fair value. The Special Bridge Warrants, Conversion Warrants, Preferential Reload Warrants and Series 1 Warrants (as they are defined in Note 8) are classified within Level 3 because they are valued using the Black-Scholes-Merton and the Monte-Carlo models (as all of these warrants include down-round protection clauses), which utilize significant inputs that are unobservable in the market such as the expected stock price volatility and the dividend yield, and the remaining period of time the warrants will be outstanding before they expire.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2012, aggregated by the level in the fair-value hierarchy within which those measurements fall:</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 liabilities on account of warrants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6"/>
          </w:tcPr>
          <w:p>
            <w:pPr>
              <w:ind w:left="440"/>
              <w:spacing w:after="0"/>
              <w:rPr>
                <w:sz w:val="20"/>
                <w:szCs w:val="20"/>
                <w:color w:val="auto"/>
              </w:rPr>
            </w:pPr>
            <w:r>
              <w:rPr>
                <w:rFonts w:ascii="Arial" w:cs="Arial" w:eastAsia="Arial" w:hAnsi="Arial"/>
                <w:sz w:val="18"/>
                <w:szCs w:val="18"/>
                <w:b w:val="1"/>
                <w:bCs w:val="1"/>
                <w:color w:val="auto"/>
              </w:rPr>
              <w:t>Fair value measurement at reporting date using</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active markets</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 other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for identical</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observable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assets (Level 1)</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1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U.S.$ thousands</w:t>
            </w:r>
          </w:p>
        </w:tc>
        <w:tc>
          <w:tcPr>
            <w:tcW w:w="13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17,280</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17,280</w:t>
            </w:r>
          </w:p>
        </w:tc>
        <w:tc>
          <w:tcPr>
            <w:tcW w:w="240" w:type="dxa"/>
            <w:vAlign w:val="bottom"/>
            <w:vMerge w:val="continue"/>
          </w:tcPr>
          <w:p>
            <w:pPr>
              <w:spacing w:after="0"/>
              <w:rPr>
                <w:sz w:val="17"/>
                <w:szCs w:val="17"/>
                <w:color w:val="auto"/>
              </w:rPr>
            </w:pPr>
          </w:p>
        </w:tc>
        <w:tc>
          <w:tcPr>
            <w:tcW w:w="1380" w:type="dxa"/>
            <w:vAlign w:val="bottom"/>
            <w:tcBorders>
              <w:bottom w:val="single" w:sz="8" w:color="auto"/>
            </w:tcBorders>
          </w:tcPr>
          <w:p>
            <w:pPr>
              <w:ind w:left="120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7"/>
                <w:szCs w:val="17"/>
                <w:color w:val="auto"/>
              </w:rPr>
            </w:pPr>
          </w:p>
        </w:tc>
        <w:tc>
          <w:tcPr>
            <w:tcW w:w="1340" w:type="dxa"/>
            <w:vAlign w:val="bottom"/>
            <w:tcBorders>
              <w:bottom w:val="single" w:sz="8" w:color="auto"/>
            </w:tcBorders>
          </w:tcPr>
          <w:p>
            <w:pPr>
              <w:ind w:left="116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17,280</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-479425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-179705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904" w:right="239" w:bottom="1440" w:gutter="0" w:footer="0" w:header="0"/>
          <w:type w:val="continuous"/>
        </w:sectPr>
      </w:pPr>
    </w:p>
    <w:p>
      <w:pPr>
        <w:spacing w:after="0" w:line="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2011, aggregated by the level in the fair-value hierarchy within which those measurements fall:</w:t>
      </w:r>
    </w:p>
    <w:p>
      <w:pPr>
        <w:sectPr>
          <w:pgSz w:w="11900" w:h="16838" w:orient="portrait"/>
          <w:cols w:equalWidth="0" w:num="1">
            <w:col w:w="1142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Derivative liabilities on account of warrants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Fair value measurement at reporting date using</w:t>
            </w:r>
          </w:p>
        </w:tc>
      </w:tr>
      <w:tr>
        <w:trPr>
          <w:trHeight w:val="198"/>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Quoted prices in</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active markets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Significant other</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for identical</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observable</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6"/>
              </w:rPr>
              <w:t>assets (Level 1)</w:t>
            </w:r>
          </w:p>
        </w:tc>
        <w:tc>
          <w:tcPr>
            <w:tcW w:w="1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inputs (Level 2)</w:t>
            </w:r>
          </w:p>
        </w:tc>
        <w:tc>
          <w:tcPr>
            <w:tcW w:w="1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inputs (Level 3)</w:t>
            </w:r>
          </w:p>
        </w:tc>
      </w:tr>
      <w:tr>
        <w:trPr>
          <w:trHeight w:val="223"/>
        </w:trPr>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U.S.$ thousands</w:t>
            </w:r>
          </w:p>
        </w:tc>
        <w:tc>
          <w:tcPr>
            <w:tcW w:w="1360" w:type="dxa"/>
            <w:vAlign w:val="bottom"/>
            <w:tcBorders>
              <w:bottom w:val="single" w:sz="8" w:color="auto"/>
            </w:tcBorders>
          </w:tcPr>
          <w:p>
            <w:pPr>
              <w:spacing w:after="0"/>
              <w:rPr>
                <w:sz w:val="19"/>
                <w:szCs w:val="19"/>
                <w:color w:val="auto"/>
              </w:rPr>
            </w:pPr>
          </w:p>
        </w:tc>
      </w:tr>
      <w:tr>
        <w:trPr>
          <w:trHeight w:val="655"/>
        </w:trPr>
        <w:tc>
          <w:tcPr>
            <w:tcW w:w="12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-462280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-179705</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904"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3—Fair Value Measurements—(cont’d)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above, the Company’s financial instruments at September 30, 2012 and December 31, 2011 consisted of cash and accounts payable, as well as accounts receivable and long term deposits, at September 30, 2012 only. The carrying amounts of all the aforementioned financial instruments approximate fair value. The following table summarizes the changes in the Company’s liabilities measured at fair value using significant unobservable inputs (Level 3) during the three and nine month periods ended September 30, 2012 (as there was no such activity in 2011):</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July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Derivative warrants recorded in connection with the Merger, July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1380"/>
        <w:spacing w:after="0" w:line="250" w:lineRule="auto"/>
        <w:rPr>
          <w:sz w:val="20"/>
          <w:szCs w:val="20"/>
          <w:color w:val="auto"/>
        </w:rPr>
      </w:pPr>
      <w:r>
        <w:rPr>
          <w:rFonts w:ascii="Arial" w:cs="Arial" w:eastAsia="Arial" w:hAnsi="Arial"/>
          <w:sz w:val="18"/>
          <w:szCs w:val="18"/>
          <w:color w:val="auto"/>
        </w:rPr>
        <w:t>Fair value adjustment prior to exercise of warrants, included in statement of operations Exercise of derivative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280"/>
        <w:spacing w:after="0" w:line="276" w:lineRule="auto"/>
        <w:rPr>
          <w:sz w:val="20"/>
          <w:szCs w:val="20"/>
          <w:color w:val="auto"/>
        </w:rPr>
      </w:pPr>
      <w:r>
        <w:rPr>
          <w:rFonts w:ascii="Arial" w:cs="Arial" w:eastAsia="Arial" w:hAnsi="Arial"/>
          <w:sz w:val="18"/>
          <w:szCs w:val="18"/>
          <w:color w:val="auto"/>
        </w:rPr>
        <w:t xml:space="preserve">Fair value adjustment at end of period, included in statement of operations </w:t>
      </w:r>
      <w:r>
        <w:rPr>
          <w:rFonts w:ascii="Arial" w:cs="Arial" w:eastAsia="Arial" w:hAnsi="Arial"/>
          <w:sz w:val="18"/>
          <w:szCs w:val="18"/>
          <w:b w:val="1"/>
          <w:bCs w:val="1"/>
          <w:color w:val="auto"/>
        </w:rPr>
        <w:t>Balance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Level 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r>
      <w:tr>
        <w:trPr>
          <w:trHeight w:val="210"/>
        </w:trPr>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18"/>
                <w:szCs w:val="18"/>
                <w:color w:val="auto"/>
              </w:rPr>
            </w:pPr>
          </w:p>
        </w:tc>
      </w:tr>
      <w:tr>
        <w:trPr>
          <w:trHeight w:val="21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r>
      <w:tr>
        <w:trPr>
          <w:trHeight w:val="21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w w:val="99"/>
              </w:rPr>
              <w:t>—</w:t>
            </w:r>
          </w:p>
        </w:tc>
      </w:tr>
      <w:tr>
        <w:trPr>
          <w:trHeight w:val="211"/>
        </w:trPr>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25,116</w:t>
            </w:r>
          </w:p>
        </w:tc>
        <w:tc>
          <w:tcPr>
            <w:tcW w:w="220" w:type="dxa"/>
            <w:vAlign w:val="bottom"/>
          </w:tcPr>
          <w:p>
            <w:pPr>
              <w:spacing w:after="0"/>
              <w:rPr>
                <w:sz w:val="18"/>
                <w:szCs w:val="18"/>
                <w:color w:val="auto"/>
              </w:rPr>
            </w:pPr>
          </w:p>
        </w:tc>
        <w:tc>
          <w:tcPr>
            <w:tcW w:w="1380" w:type="dxa"/>
            <w:vAlign w:val="bottom"/>
            <w:gridSpan w:val="2"/>
          </w:tcPr>
          <w:p>
            <w:pPr>
              <w:ind w:left="1180"/>
              <w:spacing w:after="0"/>
              <w:rPr>
                <w:sz w:val="20"/>
                <w:szCs w:val="20"/>
                <w:color w:val="auto"/>
              </w:rPr>
            </w:pPr>
            <w:r>
              <w:rPr>
                <w:rFonts w:ascii="Arial" w:cs="Arial" w:eastAsia="Arial" w:hAnsi="Arial"/>
                <w:sz w:val="18"/>
                <w:szCs w:val="18"/>
                <w:color w:val="auto"/>
                <w:w w:val="99"/>
              </w:rPr>
              <w:t>—</w:t>
            </w:r>
          </w:p>
        </w:tc>
      </w:tr>
    </w:tbl>
    <w:p>
      <w:pPr>
        <w:ind w:left="2780" w:hanging="1738"/>
        <w:spacing w:after="0"/>
        <w:tabs>
          <w:tab w:leader="none" w:pos="27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7" w:lineRule="exact"/>
        <w:rPr>
          <w:sz w:val="20"/>
          <w:szCs w:val="20"/>
          <w:color w:val="auto"/>
        </w:rPr>
      </w:pPr>
    </w:p>
    <w:p>
      <w:pPr>
        <w:ind w:left="2780" w:hanging="1738"/>
        <w:spacing w:after="0"/>
        <w:tabs>
          <w:tab w:leader="none" w:pos="27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(6,854)</w:t>
      </w:r>
      <w:r>
        <w:rPr>
          <w:rFonts w:ascii="Arial" w:cs="Arial" w:eastAsia="Arial" w:hAnsi="Arial"/>
          <w:sz w:val="18"/>
          <w:szCs w:val="18"/>
          <w:color w:val="auto"/>
        </w:rPr>
        <w:t>—</w:t>
      </w:r>
    </w:p>
    <w:p>
      <w:pPr>
        <w:spacing w:after="0" w:line="31"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17,280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878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7640" w:space="720"/>
            <w:col w:w="3060"/>
          </w:cols>
          <w:pgMar w:left="240" w:top="904" w:right="239" w:bottom="1440" w:gutter="0" w:footer="0" w:header="0"/>
          <w:type w:val="continuous"/>
        </w:sectPr>
      </w:pPr>
    </w:p>
    <w:p>
      <w:pPr>
        <w:spacing w:after="0" w:line="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Preferential Reload Warrants and Series 1 Warrants (as defined in Note 8) fall within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20" w:type="dxa"/>
            <w:vAlign w:val="bottom"/>
          </w:tcPr>
          <w:p>
            <w:pPr>
              <w:spacing w:after="0"/>
              <w:rPr>
                <w:sz w:val="18"/>
                <w:szCs w:val="18"/>
                <w:color w:val="auto"/>
              </w:rPr>
            </w:pPr>
          </w:p>
        </w:tc>
        <w:tc>
          <w:tcPr>
            <w:tcW w:w="2960" w:type="dxa"/>
            <w:vAlign w:val="bottom"/>
            <w:gridSpan w:val="2"/>
          </w:tcPr>
          <w:p>
            <w:pPr>
              <w:ind w:left="880"/>
              <w:spacing w:after="0"/>
              <w:rPr>
                <w:sz w:val="20"/>
                <w:szCs w:val="20"/>
                <w:color w:val="auto"/>
              </w:rPr>
            </w:pPr>
            <w:r>
              <w:rPr>
                <w:rFonts w:ascii="Arial" w:cs="Arial" w:eastAsia="Arial" w:hAnsi="Arial"/>
                <w:sz w:val="18"/>
                <w:szCs w:val="18"/>
                <w:b w:val="1"/>
                <w:bCs w:val="1"/>
                <w:color w:val="auto"/>
              </w:rPr>
              <w:t>Unobservable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Pr>
          <w:p>
            <w:pPr>
              <w:ind w:left="16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tcPr>
          <w:p>
            <w:pPr>
              <w:spacing w:after="0"/>
              <w:rPr>
                <w:sz w:val="20"/>
                <w:szCs w:val="20"/>
                <w:color w:val="auto"/>
              </w:rPr>
            </w:pPr>
          </w:p>
        </w:tc>
        <w:tc>
          <w:tcPr>
            <w:tcW w:w="296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Inputs</w:t>
            </w:r>
          </w:p>
        </w:tc>
        <w:tc>
          <w:tcPr>
            <w:tcW w:w="1800" w:type="dxa"/>
            <w:vAlign w:val="bottom"/>
            <w:gridSpan w:val="2"/>
          </w:tcPr>
          <w:p>
            <w:pPr>
              <w:ind w:left="60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16"/>
        </w:trPr>
        <w:tc>
          <w:tcPr>
            <w:tcW w:w="4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63.75% – 67.43%</w:t>
            </w:r>
          </w:p>
        </w:tc>
        <w:tc>
          <w:tcPr>
            <w:tcW w:w="0" w:type="dxa"/>
            <w:vAlign w:val="bottom"/>
          </w:tcPr>
          <w:p>
            <w:pPr>
              <w:spacing w:after="0"/>
              <w:rPr>
                <w:sz w:val="1"/>
                <w:szCs w:val="1"/>
                <w:color w:val="auto"/>
              </w:rPr>
            </w:pPr>
          </w:p>
        </w:tc>
      </w:tr>
      <w:tr>
        <w:trPr>
          <w:trHeight w:val="216"/>
        </w:trPr>
        <w:tc>
          <w:tcPr>
            <w:tcW w:w="4120" w:type="dxa"/>
            <w:vAlign w:val="bottom"/>
            <w:vMerge w:val="restart"/>
          </w:tcPr>
          <w:p>
            <w:pPr>
              <w:spacing w:after="0"/>
              <w:rPr>
                <w:sz w:val="20"/>
                <w:szCs w:val="20"/>
                <w:color w:val="auto"/>
              </w:rPr>
            </w:pPr>
            <w:r>
              <w:rPr>
                <w:rFonts w:ascii="Arial" w:cs="Arial" w:eastAsia="Arial" w:hAnsi="Arial"/>
                <w:sz w:val="18"/>
                <w:szCs w:val="18"/>
                <w:color w:val="auto"/>
              </w:rPr>
              <w:t>Special Bridge Warrants, Conversion Warrants,</w:t>
            </w:r>
          </w:p>
        </w:tc>
        <w:tc>
          <w:tcPr>
            <w:tcW w:w="2420" w:type="dxa"/>
            <w:vAlign w:val="bottom"/>
            <w:gridSpan w:val="2"/>
            <w:vMerge w:val="restart"/>
          </w:tcPr>
          <w:p>
            <w:pPr>
              <w:ind w:left="120"/>
              <w:spacing w:after="0"/>
              <w:rPr>
                <w:sz w:val="20"/>
                <w:szCs w:val="20"/>
                <w:color w:val="auto"/>
              </w:rPr>
            </w:pPr>
            <w:r>
              <w:rPr>
                <w:rFonts w:ascii="Arial" w:cs="Arial" w:eastAsia="Arial" w:hAnsi="Arial"/>
                <w:sz w:val="18"/>
                <w:szCs w:val="18"/>
                <w:color w:val="auto"/>
                <w:w w:val="94"/>
              </w:rPr>
              <w:t>Black-Scholes-Merton and the</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0.27% – 0.63%</w:t>
            </w: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Expected term, in years</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 – 4.80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1"/>
              </w:rPr>
              <w:t>Preferential Reload Warrants and the Series 1 Warrants</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Monte-Carlo models</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Probability and timing of down-round</w:t>
            </w:r>
          </w:p>
        </w:tc>
        <w:tc>
          <w:tcPr>
            <w:tcW w:w="18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15% occurrence in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triggering event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expected term, the volatility of the Company’s common stock market price, the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shares of common stock, or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nor plans to, declare dividends on its common stock, and thus, there is no change in the estimated fair value of the warrants due to the dividend assumption.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 xml:space="preserve">On July 19, 2012, I/P consummated the Merger with the Legal Parent, as also described in Note 1. The consideration consisted in full of various equity instruments, such as: shares of common stock, options, preferred stock and warrants. The purpose of the Merger was to increase the combined company's intellectual property portfolio and array of products, as well as to gain access to capital markets. Upon completion of the Merger, (i) all then outstanding 6,169,661 shares common stock of I/P, par value $0.0001 per share, were exchanged for 18,617,569, shares of the Company’s common stock, par value $0.01 per share, and (ii) all outstanding shares of Series A Convertible Preferred Stock of I/P, par value $0.0001 per share, were exchanged for 6,673 shares of the Legal Parent’s Series A Convertible Preferred Stock,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our common stock calculated on a fully diluted basis). For accounting purposes, I/P was identified as the accounting “acquirer”, as it is defined in </w:t>
      </w:r>
      <w:r>
        <w:rPr>
          <w:rFonts w:ascii="Arial" w:cs="Arial" w:eastAsia="Arial" w:hAnsi="Arial"/>
          <w:sz w:val="17"/>
          <w:szCs w:val="17"/>
          <w:i w:val="1"/>
          <w:iCs w:val="1"/>
          <w:color w:val="auto"/>
        </w:rPr>
        <w:t>FASB Topic ASC 805</w:t>
      </w:r>
      <w:r>
        <w:rPr>
          <w:rFonts w:ascii="Arial" w:cs="Arial" w:eastAsia="Arial" w:hAnsi="Arial"/>
          <w:sz w:val="17"/>
          <w:szCs w:val="17"/>
          <w:color w:val="auto"/>
        </w:rPr>
        <w:t>. The total purchase price of $75,654 was allocated to the assets acquired and liabilities assumed of the Legal Parent. Registration and issuance cost, in the total amount of $463 was recorded against the additional paid-in capital.</w:t>
      </w:r>
    </w:p>
    <w:tbl>
      <w:tblPr>
        <w:tblLayout w:type="fixed"/>
        <w:tblInd w:w="0" w:type="dxa"/>
        <w:tblCellMar>
          <w:top w:w="0" w:type="dxa"/>
          <w:left w:w="0" w:type="dxa"/>
          <w:bottom w:w="0" w:type="dxa"/>
          <w:right w:w="0" w:type="dxa"/>
        </w:tblCellMar>
      </w:tblPr>
      <w:tr>
        <w:trPr>
          <w:trHeight w:val="204"/>
        </w:trPr>
        <w:tc>
          <w:tcPr>
            <w:tcW w:w="9940" w:type="dxa"/>
            <w:vAlign w:val="bottom"/>
          </w:tcPr>
          <w:p>
            <w:pPr>
              <w:spacing w:after="0"/>
              <w:rPr>
                <w:sz w:val="17"/>
                <w:szCs w:val="17"/>
                <w:color w:val="auto"/>
              </w:rPr>
            </w:pPr>
          </w:p>
        </w:tc>
        <w:tc>
          <w:tcPr>
            <w:tcW w:w="1480" w:type="dxa"/>
            <w:vAlign w:val="bottom"/>
            <w:gridSpan w:val="2"/>
          </w:tcPr>
          <w:p>
            <w:pPr>
              <w:jc w:val="center"/>
              <w:ind w:right="100"/>
              <w:spacing w:after="0" w:line="204" w:lineRule="exact"/>
              <w:rPr>
                <w:sz w:val="20"/>
                <w:szCs w:val="20"/>
                <w:color w:val="auto"/>
              </w:rPr>
            </w:pPr>
            <w:r>
              <w:rPr>
                <w:rFonts w:ascii="Arial" w:cs="Arial" w:eastAsia="Arial" w:hAnsi="Arial"/>
                <w:sz w:val="18"/>
                <w:szCs w:val="18"/>
                <w:b w:val="1"/>
                <w:bCs w:val="1"/>
                <w:color w:val="auto"/>
                <w:w w:val="89"/>
              </w:rPr>
              <w:t>Allocation of</w:t>
            </w:r>
          </w:p>
        </w:tc>
      </w:tr>
      <w:tr>
        <w:trPr>
          <w:trHeight w:val="234"/>
        </w:trPr>
        <w:tc>
          <w:tcPr>
            <w:tcW w:w="994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 Price</w:t>
            </w:r>
          </w:p>
        </w:tc>
      </w:tr>
      <w:tr>
        <w:trPr>
          <w:trHeight w:val="210"/>
        </w:trPr>
        <w:tc>
          <w:tcPr>
            <w:tcW w:w="994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Current assets, net of current liabilities</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Long-term deposit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9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Property and equipment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r>
      <w:tr>
        <w:trPr>
          <w:trHeight w:val="230"/>
        </w:trPr>
        <w:tc>
          <w:tcPr>
            <w:tcW w:w="9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Goodwill</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69,511</w:t>
            </w:r>
          </w:p>
        </w:tc>
      </w:tr>
      <w:tr>
        <w:trPr>
          <w:trHeight w:val="210"/>
        </w:trPr>
        <w:tc>
          <w:tcPr>
            <w:tcW w:w="9940" w:type="dxa"/>
            <w:vAlign w:val="bottom"/>
            <w:tcBorders>
              <w:bottom w:val="single" w:sz="8" w:color="CCFFCC"/>
            </w:tcBorders>
          </w:tcPr>
          <w:p>
            <w:pPr>
              <w:ind w:left="180"/>
              <w:spacing w:after="0"/>
              <w:rPr>
                <w:sz w:val="20"/>
                <w:szCs w:val="20"/>
                <w:color w:val="auto"/>
              </w:rPr>
            </w:pPr>
            <w:r>
              <w:rPr>
                <w:rFonts w:ascii="Arial" w:cs="Arial" w:eastAsia="Arial" w:hAnsi="Arial"/>
                <w:sz w:val="18"/>
                <w:szCs w:val="18"/>
                <w:b w:val="1"/>
                <w:bCs w:val="1"/>
                <w:color w:val="auto"/>
              </w:rPr>
              <w:t>Total assets acquired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82,363</w:t>
            </w:r>
          </w:p>
        </w:tc>
        <w:tc>
          <w:tcPr>
            <w:tcW w:w="100" w:type="dxa"/>
            <w:vAlign w:val="bottom"/>
            <w:tcBorders>
              <w:bottom w:val="single" w:sz="8" w:color="CCFFCC"/>
            </w:tcBorders>
          </w:tcPr>
          <w:p>
            <w:pPr>
              <w:spacing w:after="0"/>
              <w:rPr>
                <w:sz w:val="18"/>
                <w:szCs w:val="18"/>
                <w:color w:val="auto"/>
              </w:rPr>
            </w:pPr>
          </w:p>
        </w:tc>
      </w:tr>
      <w:tr>
        <w:trPr>
          <w:trHeight w:val="210"/>
        </w:trPr>
        <w:tc>
          <w:tcPr>
            <w:tcW w:w="99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right="1080"/>
        <w:spacing w:after="0" w:line="250" w:lineRule="auto"/>
        <w:rPr>
          <w:sz w:val="20"/>
          <w:szCs w:val="20"/>
          <w:color w:val="auto"/>
        </w:rPr>
      </w:pPr>
      <w:r>
        <w:rPr>
          <w:rFonts w:ascii="Arial" w:cs="Arial" w:eastAsia="Arial" w:hAnsi="Arial"/>
          <w:sz w:val="18"/>
          <w:szCs w:val="18"/>
          <w:color w:val="auto"/>
        </w:rPr>
        <w:t>Fair value of outstanding warrants granted by Legal Parent prior to the Merger, classified as a long-term derivative liability Deferred tax liability, in respect of the acquired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Total liabilities assumed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(3,162)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(3,547)</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-123190</wp:posOffset>
            </wp:positionV>
            <wp:extent cx="866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10120" w:space="720"/>
            <w:col w:w="5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94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99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75,654</w:t>
            </w:r>
          </w:p>
        </w:tc>
      </w:tr>
      <w:tr>
        <w:trPr>
          <w:trHeight w:val="210"/>
        </w:trPr>
        <w:tc>
          <w:tcPr>
            <w:tcW w:w="994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Measurement of consideration:</w:t>
            </w:r>
          </w:p>
        </w:tc>
        <w:tc>
          <w:tcPr>
            <w:tcW w:w="13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Fair value of vested stock options granted to employees, management and consultants, classified as equity</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7,364</w:t>
            </w:r>
          </w:p>
        </w:tc>
      </w:tr>
      <w:tr>
        <w:trPr>
          <w:trHeight w:val="216"/>
        </w:trPr>
        <w:tc>
          <w:tcPr>
            <w:tcW w:w="9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10,079</w:t>
            </w:r>
          </w:p>
        </w:tc>
      </w:tr>
      <w:tr>
        <w:trPr>
          <w:trHeight w:val="230"/>
        </w:trPr>
        <w:tc>
          <w:tcPr>
            <w:tcW w:w="9940" w:type="dxa"/>
            <w:vAlign w:val="bottom"/>
          </w:tcPr>
          <w:p>
            <w:pPr>
              <w:ind w:left="180"/>
              <w:spacing w:after="0"/>
              <w:rPr>
                <w:sz w:val="20"/>
                <w:szCs w:val="20"/>
                <w:color w:val="auto"/>
              </w:rPr>
            </w:pPr>
            <w:r>
              <w:rPr>
                <w:rFonts w:ascii="Arial" w:cs="Arial" w:eastAsia="Arial" w:hAnsi="Arial"/>
                <w:sz w:val="18"/>
                <w:szCs w:val="18"/>
                <w:color w:val="auto"/>
                <w:w w:val="98"/>
              </w:rPr>
              <w:t>Fair value of Vringo shares of common stock and vested $0.01 options granted to employees, management and consultants</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58,211</w:t>
            </w:r>
          </w:p>
        </w:tc>
      </w:tr>
      <w:tr>
        <w:trPr>
          <w:trHeight w:val="210"/>
        </w:trPr>
        <w:tc>
          <w:tcPr>
            <w:tcW w:w="994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 estimated purchase price</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75,654</w:t>
            </w:r>
          </w:p>
        </w:tc>
        <w:tc>
          <w:tcPr>
            <w:tcW w:w="100" w:type="dxa"/>
            <w:vAlign w:val="bottom"/>
            <w:tcBorders>
              <w:top w:val="single" w:sz="8" w:color="CCFFCC"/>
            </w:tcBorders>
            <w:shd w:val="clear" w:color="auto" w:fill="CCFFCC"/>
          </w:tcPr>
          <w:p>
            <w:pPr>
              <w:spacing w:after="0"/>
              <w:rPr>
                <w:sz w:val="18"/>
                <w:szCs w:val="18"/>
                <w:color w:val="auto"/>
              </w:rPr>
            </w:pPr>
          </w:p>
        </w:tc>
      </w:tr>
      <w:tr>
        <w:trPr>
          <w:trHeight w:val="642"/>
        </w:trPr>
        <w:tc>
          <w:tcPr>
            <w:tcW w:w="99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Combination—(cont’d)</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values of the identified intangible assets were estimated using an income approach.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name, reputation, customer loyalty, location,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Goodwill recognized is expected not to be deductible for income tax purposes. The Company is currently evaluating the impact of the Merger on its tax assets.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consolidated statements of operations include revenues attributable to the Legal Parent in the total amount of $166 and a net loss of $371, for the three and nine months ended September 30, 2012. Had the acquisition taken place on June 8, 2011, the revenue in the consolidated statement of operations and the consolidated net loss would have been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98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19"/>
                <w:szCs w:val="19"/>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Revenue</w:t>
            </w: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Net Loss</w:t>
            </w:r>
          </w:p>
        </w:tc>
        <w:tc>
          <w:tcPr>
            <w:tcW w:w="100" w:type="dxa"/>
            <w:vAlign w:val="bottom"/>
          </w:tcPr>
          <w:p>
            <w:pPr>
              <w:spacing w:after="0"/>
              <w:rPr>
                <w:sz w:val="19"/>
                <w:szCs w:val="19"/>
                <w:color w:val="auto"/>
              </w:rPr>
            </w:pPr>
          </w:p>
        </w:tc>
      </w:tr>
      <w:tr>
        <w:trPr>
          <w:trHeight w:val="210"/>
        </w:trPr>
        <w:tc>
          <w:tcPr>
            <w:tcW w:w="562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3"/>
              </w:rPr>
              <w:t>U.S.$</w:t>
            </w:r>
          </w:p>
        </w:tc>
        <w:tc>
          <w:tcPr>
            <w:tcW w:w="2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Borders>
              <w:bottom w:val="single" w:sz="8" w:color="CCFFCC"/>
            </w:tcBorders>
          </w:tcPr>
          <w:p>
            <w:pPr>
              <w:spacing w:after="0"/>
              <w:rPr>
                <w:sz w:val="18"/>
                <w:szCs w:val="18"/>
                <w:color w:val="auto"/>
              </w:rPr>
            </w:pPr>
          </w:p>
        </w:tc>
      </w:tr>
      <w:tr>
        <w:trPr>
          <w:trHeight w:val="21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Three month period</w:t>
            </w:r>
          </w:p>
        </w:tc>
        <w:tc>
          <w:tcPr>
            <w:tcW w:w="980" w:type="dxa"/>
            <w:vAlign w:val="bottom"/>
            <w:shd w:val="clear" w:color="auto" w:fill="CCFFCC"/>
          </w:tcPr>
          <w:p>
            <w:pPr>
              <w:spacing w:after="0"/>
              <w:rPr>
                <w:sz w:val="18"/>
                <w:szCs w:val="18"/>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281</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(6,632)</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ind w:left="600"/>
              <w:spacing w:after="0"/>
              <w:rPr>
                <w:sz w:val="20"/>
                <w:szCs w:val="20"/>
                <w:color w:val="auto"/>
              </w:rPr>
            </w:pPr>
            <w:r>
              <w:rPr>
                <w:rFonts w:ascii="Arial" w:cs="Arial" w:eastAsia="Arial" w:hAnsi="Arial"/>
                <w:sz w:val="18"/>
                <w:szCs w:val="18"/>
                <w:color w:val="auto"/>
                <w:w w:val="80"/>
              </w:rPr>
              <w:t>(3,194)</w:t>
            </w:r>
          </w:p>
        </w:tc>
        <w:tc>
          <w:tcPr>
            <w:tcW w:w="100" w:type="dxa"/>
            <w:vAlign w:val="bottom"/>
            <w:shd w:val="clear" w:color="auto" w:fill="CCFFCC"/>
          </w:tcPr>
          <w:p>
            <w:pPr>
              <w:spacing w:after="0"/>
              <w:rPr>
                <w:sz w:val="18"/>
                <w:szCs w:val="18"/>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Nine month period (in 2011, from inception through September 30, 2011)</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487</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(17,997)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0"/>
                <w:szCs w:val="20"/>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w w:val="98"/>
              </w:rPr>
              <w:t>(4,100)</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 forma adjustments consist of amortization of acquired technology asset, net of changes in respective deferred tax liability. The above pro forma disclosure excludes the possible impact of valuation of equity and derivative instruments valued in connection with the Merger. The amortization, net, for the three and nine month periods ended September 30, 2012 was $827 and $270, respectively. The amortization, net, for the three month period and for the period from inception of I/P through September 30, 2011 was $270 and $338,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 Payable – Related Party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22, 2011, I/P issued a senior secured note payable, in the total amount of $3,200, to one of its principal stockholders, Hudson Bay Master Fund Ltd. (“Hudson Bay”) (the “Note”). The Note accrued interest at 0.46% per annum. After the Merger was consummated, on July 19, 2012, the Note was amended and restated and the holder was able to exercise any and all rights and remedies pursuant to such amended and restated Note, including with respect to any optional redemption provisions contained therein. The amended and restated Note was to mature on June 22, 2013 and I/P had granted Hudson Bay a security interest in all of its tangible and intangible assets, in order to secure I/P’s obligations under the senior secured note. After the consummation of the Merger, the Note became an obligation of the Company, as it is to guarantee I/P’s obligations. On August 15, 2012, the Company repaid in full the outstanding balance, as well as the then accrued and unpaid interest of $2.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6 – Acquired Intangible Assets, Net</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120" w:type="dxa"/>
            <w:vAlign w:val="bottom"/>
          </w:tcPr>
          <w:p>
            <w:pPr>
              <w:ind w:left="660"/>
              <w:spacing w:after="0"/>
              <w:rPr>
                <w:sz w:val="20"/>
                <w:szCs w:val="20"/>
                <w:color w:val="auto"/>
              </w:rPr>
            </w:pPr>
            <w:r>
              <w:rPr>
                <w:rFonts w:ascii="Arial" w:cs="Arial" w:eastAsia="Arial" w:hAnsi="Arial"/>
                <w:sz w:val="18"/>
                <w:szCs w:val="18"/>
                <w:color w:val="auto"/>
              </w:rPr>
              <w:t>As of September 30, 2012, intangible assets, net consisted of the following:</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8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8120" w:type="dxa"/>
            <w:vAlign w:val="bottom"/>
          </w:tcPr>
          <w:p>
            <w:pPr>
              <w:spacing w:after="0"/>
              <w:rPr>
                <w:sz w:val="20"/>
                <w:szCs w:val="20"/>
                <w:color w:val="auto"/>
              </w:rPr>
            </w:pPr>
          </w:p>
        </w:tc>
        <w:tc>
          <w:tcPr>
            <w:tcW w:w="1700" w:type="dxa"/>
            <w:vAlign w:val="bottom"/>
            <w:gridSpan w:val="2"/>
          </w:tcPr>
          <w:p>
            <w:pPr>
              <w:ind w:left="440"/>
              <w:spacing w:after="0"/>
              <w:rPr>
                <w:sz w:val="20"/>
                <w:szCs w:val="20"/>
                <w:color w:val="auto"/>
              </w:rPr>
            </w:pPr>
            <w:r>
              <w:rPr>
                <w:rFonts w:ascii="Arial" w:cs="Arial" w:eastAsia="Arial" w:hAnsi="Arial"/>
                <w:sz w:val="18"/>
                <w:szCs w:val="18"/>
                <w:b w:val="1"/>
                <w:bCs w:val="1"/>
                <w:color w:val="auto"/>
              </w:rPr>
              <w:t>Amount</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Life - Years</w:t>
            </w:r>
          </w:p>
        </w:tc>
      </w:tr>
      <w:tr>
        <w:trPr>
          <w:trHeight w:val="210"/>
        </w:trPr>
        <w:tc>
          <w:tcPr>
            <w:tcW w:w="8120" w:type="dxa"/>
            <w:vAlign w:val="bottom"/>
            <w:tcBorders>
              <w:bottom w:val="single" w:sz="8" w:color="CCFFCC"/>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U.S.$</w:t>
            </w:r>
          </w:p>
        </w:tc>
        <w:tc>
          <w:tcPr>
            <w:tcW w:w="200" w:type="dxa"/>
            <w:vAlign w:val="bottom"/>
            <w:tcBorders>
              <w:bottom w:val="single" w:sz="8" w:color="CCFFCC"/>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 w:type="dxa"/>
            <w:vAlign w:val="bottom"/>
          </w:tcPr>
          <w:p>
            <w:pPr>
              <w:spacing w:after="0"/>
              <w:rPr>
                <w:sz w:val="18"/>
                <w:szCs w:val="18"/>
                <w:color w:val="auto"/>
              </w:rPr>
            </w:pPr>
          </w:p>
        </w:tc>
      </w:tr>
      <w:tr>
        <w:trPr>
          <w:trHeight w:val="210"/>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Acquired technology (see a below)</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9,795</w:t>
            </w:r>
          </w:p>
        </w:tc>
        <w:tc>
          <w:tcPr>
            <w:tcW w:w="200" w:type="dxa"/>
            <w:vAlign w:val="bottom"/>
            <w:shd w:val="clear" w:color="auto" w:fill="CCFFCC"/>
          </w:tcPr>
          <w:p>
            <w:pPr>
              <w:spacing w:after="0"/>
              <w:rPr>
                <w:sz w:val="18"/>
                <w:szCs w:val="18"/>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 years</w:t>
            </w:r>
          </w:p>
        </w:tc>
        <w:tc>
          <w:tcPr>
            <w:tcW w:w="20" w:type="dxa"/>
            <w:vAlign w:val="bottom"/>
          </w:tcPr>
          <w:p>
            <w:pPr>
              <w:spacing w:after="0"/>
              <w:rPr>
                <w:sz w:val="18"/>
                <w:szCs w:val="18"/>
                <w:color w:val="auto"/>
              </w:rPr>
            </w:pP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Patents (see b below)</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24,764</w:t>
            </w:r>
          </w:p>
        </w:tc>
        <w:tc>
          <w:tcPr>
            <w:tcW w:w="1600" w:type="dxa"/>
            <w:vAlign w:val="bottom"/>
          </w:tcPr>
          <w:p>
            <w:pPr>
              <w:jc w:val="right"/>
              <w:spacing w:after="0"/>
              <w:rPr>
                <w:sz w:val="20"/>
                <w:szCs w:val="20"/>
                <w:color w:val="auto"/>
              </w:rPr>
            </w:pPr>
            <w:r>
              <w:rPr>
                <w:rFonts w:ascii="Arial" w:cs="Arial" w:eastAsia="Arial" w:hAnsi="Arial"/>
                <w:sz w:val="18"/>
                <w:szCs w:val="18"/>
                <w:color w:val="auto"/>
              </w:rPr>
              <w:t>4.8-9.93 years</w:t>
            </w:r>
          </w:p>
        </w:tc>
        <w:tc>
          <w:tcPr>
            <w:tcW w:w="20" w:type="dxa"/>
            <w:vAlign w:val="bottom"/>
          </w:tcPr>
          <w:p>
            <w:pPr>
              <w:spacing w:after="0"/>
              <w:rPr>
                <w:sz w:val="19"/>
                <w:szCs w:val="19"/>
                <w:color w:val="auto"/>
              </w:rPr>
            </w:pPr>
          </w:p>
        </w:tc>
      </w:tr>
      <w:tr>
        <w:trPr>
          <w:trHeight w:val="223"/>
        </w:trPr>
        <w:tc>
          <w:tcPr>
            <w:tcW w:w="81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34,559</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6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hanging="317"/>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technology:</w:t>
      </w:r>
    </w:p>
    <w:p>
      <w:pPr>
        <w:spacing w:after="0" w:line="225"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Fair value of $10,133 allocated to technology, as also described in Note 4, is amortized over its estimated useful life of 6 years. During the three and nine month periods, total amortization expense of $338 was recorded by the Company.</w:t>
      </w:r>
    </w:p>
    <w:p>
      <w:pPr>
        <w:spacing w:after="0" w:line="170" w:lineRule="exact"/>
        <w:rPr>
          <w:rFonts w:ascii="Arial" w:cs="Arial" w:eastAsia="Arial" w:hAnsi="Arial"/>
          <w:sz w:val="18"/>
          <w:szCs w:val="18"/>
          <w:color w:val="auto"/>
        </w:rPr>
      </w:pPr>
    </w:p>
    <w:p>
      <w:pPr>
        <w:ind w:left="960" w:hanging="317"/>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Patents:</w:t>
      </w:r>
    </w:p>
    <w:p>
      <w:pPr>
        <w:spacing w:after="0" w:line="225" w:lineRule="exact"/>
        <w:rPr>
          <w:rFonts w:ascii="Arial" w:cs="Arial" w:eastAsia="Arial" w:hAnsi="Arial"/>
          <w:sz w:val="18"/>
          <w:szCs w:val="18"/>
          <w:color w:val="auto"/>
        </w:rPr>
      </w:pPr>
    </w:p>
    <w:p>
      <w:pPr>
        <w:jc w:val="both"/>
        <w:ind w:left="980"/>
        <w:spacing w:after="0" w:line="255" w:lineRule="auto"/>
        <w:rPr>
          <w:rFonts w:ascii="Arial" w:cs="Arial" w:eastAsia="Arial" w:hAnsi="Arial"/>
          <w:sz w:val="18"/>
          <w:szCs w:val="18"/>
          <w:color w:val="auto"/>
        </w:rPr>
      </w:pPr>
      <w:r>
        <w:rPr>
          <w:rFonts w:ascii="Arial" w:cs="Arial" w:eastAsia="Arial" w:hAnsi="Arial"/>
          <w:sz w:val="18"/>
          <w:szCs w:val="18"/>
          <w:color w:val="auto"/>
        </w:rPr>
        <w:t>In August 2012, the Company purchased from Nokia a portfolio consisting of various patents and patent applications worldwide.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$578. Under the terms of the purchase agreement, to the extent that the gross revenue generated by such portfolio exceeds $22,000, the Company is obligated to pay a royalty of 35% of such excess. The Company has not recorded any amounts in respect of this contingent consideration, for which appropriate estimations are not yet available.</w:t>
      </w:r>
    </w:p>
    <w:p>
      <w:pPr>
        <w:spacing w:after="0" w:line="189"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In addition, the Company’s patent portfolio includes patents purchased in June 2011 from Lycos. The gross carrying amount of those patents is comprised of the original purchase price of $3,200 and $195 of associated patent acquisition costs.</w:t>
      </w:r>
    </w:p>
    <w:p>
      <w:pPr>
        <w:spacing w:after="0" w:line="170"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During the three and nine month periods ended September 30, 2012, the Company recorded an amortization expense of $542 and $852, respectively. During the three month period ended September 30, 2011 and the period from June 8, 2011 (inception of I/P) through September 30, 2011, the Company recorded an amortization expense of $14 and $157, respectively. For subsequent events, see Note 11.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Estimated amortization expense for each of the five succeeding years, based upon intangible assets owned at September 30, 2012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580" w:type="dxa"/>
            <w:vAlign w:val="bottom"/>
            <w:gridSpan w:val="2"/>
          </w:tcPr>
          <w:p>
            <w:pPr>
              <w:ind w:left="540"/>
              <w:spacing w:after="0"/>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Period ending December 31,</w:t>
            </w:r>
          </w:p>
        </w:tc>
        <w:tc>
          <w:tcPr>
            <w:tcW w:w="53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2012 (three months ending December 31, 2012)</w:t>
            </w:r>
          </w:p>
        </w:tc>
        <w:tc>
          <w:tcPr>
            <w:tcW w:w="6880" w:type="dxa"/>
            <w:vAlign w:val="bottom"/>
            <w:gridSpan w:val="3"/>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68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2014</w:t>
            </w:r>
          </w:p>
        </w:tc>
        <w:tc>
          <w:tcPr>
            <w:tcW w:w="6880" w:type="dxa"/>
            <w:vAlign w:val="bottom"/>
            <w:gridSpan w:val="3"/>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68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2016 and thereafter</w:t>
            </w:r>
          </w:p>
        </w:tc>
        <w:tc>
          <w:tcPr>
            <w:tcW w:w="6880" w:type="dxa"/>
            <w:vAlign w:val="bottom"/>
            <w:gridSpan w:val="3"/>
          </w:tcPr>
          <w:p>
            <w:pPr>
              <w:jc w:val="right"/>
              <w:ind w:right="100"/>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23"/>
        </w:trPr>
        <w:tc>
          <w:tcPr>
            <w:tcW w:w="4540" w:type="dxa"/>
            <w:vAlign w:val="bottom"/>
            <w:tcBorders>
              <w:top w:val="single" w:sz="8" w:color="CCFFCC"/>
              <w:bottom w:val="single" w:sz="8" w:color="CCFFCC"/>
            </w:tcBorders>
            <w:shd w:val="clear" w:color="auto" w:fill="CCFFCC"/>
          </w:tcPr>
          <w:p>
            <w:pPr>
              <w:spacing w:after="0"/>
              <w:rPr>
                <w:sz w:val="19"/>
                <w:szCs w:val="19"/>
                <w:color w:val="auto"/>
              </w:rPr>
            </w:pPr>
          </w:p>
        </w:tc>
        <w:tc>
          <w:tcPr>
            <w:tcW w:w="5300" w:type="dxa"/>
            <w:vAlign w:val="bottom"/>
            <w:tcBorders>
              <w:top w:val="single" w:sz="8" w:color="CCFFCC"/>
              <w:bottom w:val="single" w:sz="8" w:color="CCFFCC"/>
            </w:tcBorders>
            <w:shd w:val="clear" w:color="auto" w:fill="CCFFCC"/>
          </w:tcPr>
          <w:p>
            <w:pPr>
              <w:spacing w:after="0"/>
              <w:rPr>
                <w:sz w:val="19"/>
                <w:szCs w:val="19"/>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34,559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300" w:type="dxa"/>
            <w:vAlign w:val="bottom"/>
            <w:vMerge w:val="restart"/>
          </w:tcPr>
          <w:p>
            <w:pPr>
              <w:jc w:val="right"/>
              <w:ind w:right="3950"/>
              <w:spacing w:after="0"/>
              <w:rPr>
                <w:sz w:val="20"/>
                <w:szCs w:val="20"/>
                <w:color w:val="auto"/>
              </w:rPr>
            </w:pPr>
            <w:r>
              <w:rPr>
                <w:rFonts w:ascii="Arial" w:cs="Arial" w:eastAsia="Arial" w:hAnsi="Arial"/>
                <w:sz w:val="18"/>
                <w:szCs w:val="18"/>
                <w:color w:val="auto"/>
              </w:rPr>
              <w:t>17</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Series A Convertible 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Merger, I/P was authorized to issue up to 10,000,000 shares of preferred stock, par value $0.0001, of which 6,968 shares of preferred stock were designated as Series A Convertible Preferred Stock with such rights and preferences designated in the relevant Certificate of Designations (the “Series A Preferred Stock”). In June 2011, I/P issued 6,968 shares of Series A Preferred Stock to Hudson Bay for $1,800. The Series A Preferred Stock had a liquidation preference of $1,250 per share and was otherwise convertible, at the option of the holder, into 6,968,000 shares of I/P’s common stock at a conversion price of $1 per common share received, subject to adjustment for anti-dilution and other corporate events. In 2012, prior to the Merger, 295 shares of Series A Convertible Preferred Stock were converted to 295,000 shares of common stock of I/P.</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Merger, the Series A Convertible Preferred Stock was classified as mezzanine equity, because certain cash redemption triggering events were outside the control of the Company. Upon the Merger, the remaining 6,673 Series A Preferred stock shares were exchanged for 6,673 shares of equity-classified new Series A Convertible Preferred Stock, $0.01 par value (“New Series A Convertible Preferred Stock”), issued by Legal Parent to former stockholders of I/P, as part of the Merger. The shares of New Series A Convertible Preferred Stock were convertible into 20,136,445 shares of the Legal Parent’s shares of common stock and were classified as equity, as a cash based redemption event is only triggered by events which are fully in the control of the Company. In July and August 2012, following the consummation of the Merger, all outstanding shares of New Series A Convertible Preferred Stock were converted.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summarizes information about the Company's issued and outstanding common stock from inception of I/P through September 30, 2012. Pre-Merger common stock share amounts and balance sheet disclosures were retrospectively restated to reflect Vringo’s equity instruments after the Merger: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02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Shares of common stock</w:t>
            </w: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gridSpan w:val="2"/>
            <w:shd w:val="clear" w:color="auto" w:fill="CCFFCC"/>
          </w:tcPr>
          <w:p>
            <w:pPr>
              <w:spacing w:after="0"/>
              <w:rPr>
                <w:sz w:val="18"/>
                <w:szCs w:val="18"/>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16,972,977</w:t>
            </w:r>
          </w:p>
        </w:tc>
        <w:tc>
          <w:tcPr>
            <w:tcW w:w="80" w:type="dxa"/>
            <w:vAlign w:val="bottom"/>
          </w:tcPr>
          <w:p>
            <w:pPr>
              <w:spacing w:after="0"/>
              <w:rPr>
                <w:sz w:val="19"/>
                <w:szCs w:val="19"/>
                <w:color w:val="auto"/>
              </w:rPr>
            </w:pP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16,972,977</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890,192</w:t>
            </w: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Grant of shares to consultants, compensation expense of $704 was recorded</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265,000</w:t>
            </w:r>
          </w:p>
        </w:tc>
        <w:tc>
          <w:tcPr>
            <w:tcW w:w="8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15,206,118</w:t>
            </w: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754,400</w:t>
            </w:r>
          </w:p>
        </w:tc>
        <w:tc>
          <w:tcPr>
            <w:tcW w:w="8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Post-Merger exercise of warrants</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816,005</w:t>
            </w: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RSUs</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168,557</w:t>
            </w:r>
          </w:p>
        </w:tc>
        <w:tc>
          <w:tcPr>
            <w:tcW w:w="8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20,136,445</w:t>
            </w:r>
          </w:p>
        </w:tc>
        <w:tc>
          <w:tcPr>
            <w:tcW w:w="80" w:type="dxa"/>
            <w:vAlign w:val="bottom"/>
          </w:tcPr>
          <w:p>
            <w:pPr>
              <w:spacing w:after="0"/>
              <w:rPr>
                <w:sz w:val="18"/>
                <w:szCs w:val="18"/>
                <w:color w:val="auto"/>
              </w:rPr>
            </w:pPr>
          </w:p>
        </w:tc>
      </w:tr>
      <w:tr>
        <w:trPr>
          <w:trHeight w:val="230"/>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w w:val="91"/>
              </w:rPr>
              <w:t>Issuance of shares of common stock in connection with $31,200 received in a private financing round, net of issuance cost of $52</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9,600,000</w:t>
            </w:r>
          </w:p>
        </w:tc>
        <w:tc>
          <w:tcPr>
            <w:tcW w:w="80" w:type="dxa"/>
            <w:vAlign w:val="bottom"/>
            <w:shd w:val="clear" w:color="auto" w:fill="CCFFC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September 30, 2012</w:t>
            </w:r>
          </w:p>
        </w:tc>
        <w:tc>
          <w:tcPr>
            <w:tcW w:w="6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64,809,694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 Merger with the Legal Parent, the vesting of shares of common stock with repurchase rights, granted in 2011, to I/P’s management and directors was fully accelerated. As a result, an additional 2,702,037 shares previously issued became vested and an additional compensation expense of $294 was recorded. See also Note 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 — (cont’d)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Equity Incentive Plan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19, 2012, following the Merger with the Legal Parent, the Company’s stockholders approved the 2012 Employee, Director and Consultant Equity Incentive Plan (“2012 Plan”), replacing the existing 2006 Stock Option Plan of the Legal Parent, and the remaining 9,100,000 authorized shares thereunder were cancelled. The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 under the Legal Parent’s 2006 Stock Option Plan that are forfeited, expire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the Merger, the Board approved the acceleration of vesting of certain options granted to certain officers and directors of the Legal Parent.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an additional 908,854 options have vested.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26, 2012, the Board approved the granting of 4,975,000 options to management, directors and employees of the Company at an exercise price of $3.72 per share. These options will vest quarterly over a three year period. In addition, the Board also approved the granting of 15,000 options at an exercise price of $3.72 per share to one of the Company’s consultants. These options will vest over a one year period. In addition, certain options granted to officers, directors and certain key employees are subject to acceleration of vesting of 75% - 100% (according to the agreement signed with each grantee), upon a subsequent change of control.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on July 26, 2012, the Board approved the granting of 3,105,000 RSUs to management, directors and key employees of the Company. These RSUs will vest quarterly over three year and one year periods (dependent upon the agreement made with each grantee). The Board also approved the granting of 25,000 RSUs to certain of the Company’s consultants. These RSUs will vest over a 6-12 month period (according to the agreement signed with each grantee).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on August 8, 2012, the Board approved the granting of 500,000 options to a member of its management, at an exercise price of $3.44 per share. These options will vest quarterly over a three year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from inception through September 30, 2011, no RSUs were granted. The following table summarizes information about RSU activity for the nine month period ended September 30, 2012:</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No. of RSUs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2012</w:t>
            </w:r>
          </w:p>
        </w:tc>
        <w:tc>
          <w:tcPr>
            <w:tcW w:w="37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Assumed at the Merger</w:t>
            </w:r>
          </w:p>
        </w:tc>
        <w:tc>
          <w:tcPr>
            <w:tcW w:w="37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Granted following the Merger</w:t>
            </w:r>
          </w:p>
        </w:tc>
        <w:tc>
          <w:tcPr>
            <w:tcW w:w="49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3,130,000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Exercised</w:t>
            </w:r>
          </w:p>
        </w:tc>
        <w:tc>
          <w:tcPr>
            <w:tcW w:w="4980" w:type="dxa"/>
            <w:vAlign w:val="bottom"/>
            <w:gridSpan w:val="3"/>
          </w:tcPr>
          <w:p>
            <w:pPr>
              <w:jc w:val="right"/>
              <w:ind w:right="20"/>
              <w:spacing w:after="0"/>
              <w:rPr>
                <w:sz w:val="20"/>
                <w:szCs w:val="20"/>
                <w:color w:val="auto"/>
              </w:rPr>
            </w:pPr>
            <w:r>
              <w:rPr>
                <w:rFonts w:ascii="Arial" w:cs="Arial" w:eastAsia="Arial" w:hAnsi="Arial"/>
                <w:sz w:val="18"/>
                <w:szCs w:val="18"/>
                <w:color w:val="auto"/>
              </w:rPr>
              <w:t>(3,333)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Expired</w:t>
            </w:r>
          </w:p>
        </w:tc>
        <w:tc>
          <w:tcPr>
            <w:tcW w:w="37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37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Outstanding at September 30, 2012</w:t>
            </w:r>
          </w:p>
        </w:tc>
        <w:tc>
          <w:tcPr>
            <w:tcW w:w="3700" w:type="dxa"/>
            <w:vAlign w:val="bottom"/>
            <w:tcBorders>
              <w:top w:val="single" w:sz="8" w:color="CCFFCC"/>
              <w:bottom w:val="single" w:sz="8" w:color="CCFFCC"/>
            </w:tcBorders>
            <w:shd w:val="clear" w:color="auto" w:fill="CCFFCC"/>
          </w:tcPr>
          <w:p>
            <w:pPr>
              <w:spacing w:after="0"/>
              <w:rPr>
                <w:sz w:val="19"/>
                <w:szCs w:val="19"/>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3,126,667</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September 30, 2012</w:t>
            </w:r>
          </w:p>
        </w:tc>
        <w:tc>
          <w:tcPr>
            <w:tcW w:w="3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700" w:type="dxa"/>
            <w:vAlign w:val="bottom"/>
            <w:vMerge w:val="restart"/>
          </w:tcPr>
          <w:p>
            <w:pPr>
              <w:jc w:val="right"/>
              <w:ind w:right="1970"/>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 — (cont’d)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option activity for the nine month period ended September 30, 2012:</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Assumed at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Grants after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right="1720"/>
        <w:spacing w:after="0" w:line="394" w:lineRule="auto"/>
        <w:rPr>
          <w:sz w:val="20"/>
          <w:szCs w:val="20"/>
          <w:color w:val="auto"/>
        </w:rPr>
      </w:pPr>
      <w:r>
        <w:rPr>
          <w:rFonts w:ascii="Arial" w:cs="Arial" w:eastAsia="Arial" w:hAnsi="Arial"/>
          <w:sz w:val="16"/>
          <w:szCs w:val="16"/>
          <w:b w:val="1"/>
          <w:bCs w:val="1"/>
          <w:color w:val="auto"/>
        </w:rPr>
        <w:t>Outstanding at September 30, 2012 Exercisable at September 30, 2012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grant date fair</w:t>
            </w:r>
          </w:p>
        </w:tc>
        <w:tc>
          <w:tcPr>
            <w:tcW w:w="0" w:type="dxa"/>
            <w:vAlign w:val="bottom"/>
          </w:tcPr>
          <w:p>
            <w:pPr>
              <w:spacing w:after="0"/>
              <w:rPr>
                <w:sz w:val="1"/>
                <w:szCs w:val="1"/>
                <w:color w:val="auto"/>
              </w:rPr>
            </w:pPr>
          </w:p>
        </w:tc>
      </w:tr>
      <w:tr>
        <w:trPr>
          <w:trHeight w:val="234"/>
        </w:trPr>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2"/>
              </w:rPr>
              <w:t>No. of options</w:t>
            </w:r>
          </w:p>
        </w:tc>
        <w:tc>
          <w:tcPr>
            <w:tcW w:w="220" w:type="dxa"/>
            <w:vAlign w:val="bottom"/>
            <w:gridSpan w:val="2"/>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3"/>
              </w:rPr>
              <w:t>Exercise price range</w:t>
            </w:r>
          </w:p>
        </w:tc>
        <w:tc>
          <w:tcPr>
            <w:tcW w:w="10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12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41,178</w:t>
            </w:r>
          </w:p>
        </w:tc>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3.00</w:t>
            </w:r>
          </w:p>
        </w:tc>
        <w:tc>
          <w:tcPr>
            <w:tcW w:w="220" w:type="dxa"/>
            <w:vAlign w:val="bottom"/>
          </w:tcPr>
          <w:p>
            <w:pPr>
              <w:spacing w:after="0"/>
              <w:rPr>
                <w:sz w:val="16"/>
                <w:szCs w:val="16"/>
                <w:color w:val="auto"/>
              </w:rPr>
            </w:pPr>
          </w:p>
        </w:tc>
        <w:tc>
          <w:tcPr>
            <w:tcW w:w="1560" w:type="dxa"/>
            <w:vAlign w:val="bottom"/>
          </w:tcPr>
          <w:p>
            <w:pPr>
              <w:jc w:val="right"/>
              <w:spacing w:after="0" w:line="195" w:lineRule="exact"/>
              <w:rPr>
                <w:sz w:val="20"/>
                <w:szCs w:val="20"/>
                <w:color w:val="auto"/>
              </w:rPr>
            </w:pPr>
            <w:r>
              <w:rPr>
                <w:rFonts w:ascii="Arial" w:cs="Arial" w:eastAsia="Arial" w:hAnsi="Arial"/>
                <w:sz w:val="18"/>
                <w:szCs w:val="18"/>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1.83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4,391,170</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0.01 – 5.50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5,490,000</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3.44 – 3.72</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(165,334)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0.01 – 1.65</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(12,000)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44"/>
        </w:trPr>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(53,000)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9,692,014</w:t>
            </w:r>
          </w:p>
        </w:tc>
        <w:tc>
          <w:tcPr>
            <w:tcW w:w="2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0.01 – 5.50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3,980,826</w:t>
            </w: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-1183005</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-899795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-625475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-342265</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4440" w:space="720"/>
            <w:col w:w="6260"/>
          </w:cols>
          <w:pgMar w:left="240" w:top="904" w:right="2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For the three month periods ended September 30, 2012 and 2011, the Company recorded a total stock compensation expense of $5,363 and $50, respectively. For the nine month period ended September 30, 2012 and for the period from June 8, 2011 through September 30, 2011, the Company recorded stock compensation expense of $5,532 and $373, respectively. Cumulative from inception through September 30, 2012, the Company has recorded stock compensation expense of $6,006, in respect of stock options granted.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2012, there was approximately $24,248 of total unrecognized share-based payment cost related to non-vested options, shares and RSUs, granted under the incentive stock option plans. Overall, the cost is expected to be recognized on a straight line basis, over an estimated 4 year period. As of September 30, 2012, there were approximately 7,045,000 shares of common stock available for grant under the 2012 Plan. For subsequent events, see also Note 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nine month period ended September 30, 2012:</w:t>
      </w:r>
    </w:p>
    <w:p>
      <w:pPr>
        <w:sectPr>
          <w:pgSz w:w="11900" w:h="16838" w:orient="portrait"/>
          <w:cols w:equalWidth="0" w:num="1">
            <w:col w:w="1142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Outstanding at January 1, 2012</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Recorded pursuant to the Merger</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Outstanding at September 30, 2012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No. of warrants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price range</w:t>
            </w:r>
          </w:p>
        </w:tc>
        <w:tc>
          <w:tcPr>
            <w:tcW w:w="0" w:type="dxa"/>
            <w:vAlign w:val="bottom"/>
          </w:tcPr>
          <w:p>
            <w:pPr>
              <w:spacing w:after="0"/>
              <w:rPr>
                <w:sz w:val="1"/>
                <w:szCs w:val="1"/>
                <w:color w:val="auto"/>
              </w:rPr>
            </w:pPr>
          </w:p>
        </w:tc>
      </w:tr>
      <w:tr>
        <w:trPr>
          <w:trHeight w:val="210"/>
        </w:trPr>
        <w:tc>
          <w:tcPr>
            <w:tcW w:w="3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0" w:type="dxa"/>
            <w:vAlign w:val="bottom"/>
          </w:tcPr>
          <w:p>
            <w:pPr>
              <w:spacing w:after="0"/>
              <w:rPr>
                <w:sz w:val="1"/>
                <w:szCs w:val="1"/>
                <w:color w:val="auto"/>
              </w:rPr>
            </w:pPr>
          </w:p>
        </w:tc>
      </w:tr>
      <w:tr>
        <w:trPr>
          <w:trHeight w:val="195"/>
        </w:trPr>
        <w:tc>
          <w:tcPr>
            <w:tcW w:w="3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22,695,411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0.94 - 5.06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(1,066,005)</w:t>
            </w: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21,879,406</w:t>
            </w: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 – 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-608330</wp:posOffset>
            </wp:positionV>
            <wp:extent cx="651764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-325120</wp:posOffset>
            </wp:positionV>
            <wp:extent cx="651764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720"/>
            <w:col w:w="4540"/>
          </w:cols>
          <w:pgMar w:left="240" w:top="904" w:right="239" w:bottom="1440" w:gutter="0" w:footer="0" w:header="0"/>
          <w:type w:val="continuous"/>
        </w:sectPr>
      </w:pPr>
    </w:p>
    <w:p>
      <w:pPr>
        <w:spacing w:after="0" w:line="2"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warrants issued and exercised prior to the Merger. 754,400 shares of the Legal Parent’s common stock issued upon Merger.</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 — (cont’d)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warrants, after the Merger, consist of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Series 1 and Series 2 Warrants</w:t>
      </w:r>
    </w:p>
    <w:p>
      <w:pPr>
        <w:spacing w:after="0" w:line="225" w:lineRule="exact"/>
        <w:rPr>
          <w:rFonts w:ascii="Arial" w:cs="Arial" w:eastAsia="Arial" w:hAnsi="Arial"/>
          <w:sz w:val="18"/>
          <w:szCs w:val="18"/>
          <w:b w:val="1"/>
          <w:bCs w:val="1"/>
          <w:i w:val="1"/>
          <w:iCs w:val="1"/>
          <w:color w:val="auto"/>
        </w:rPr>
      </w:pPr>
    </w:p>
    <w:p>
      <w:pPr>
        <w:jc w:val="both"/>
        <w:ind w:left="660" w:hanging="1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As part of the Merger, on July 19, 2012, the Legal Parent issued to I/P’s stockholders 8,299,116 warrants at an exercise price of $1.76 per share and contractual term of 5 years (“Series 1 Warrant”). These warrants bear down-round protection clauses and as a result, they were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 Following the Merger and through September 30, 2012, 371,440 Series 1 Warrants and 342,873 Series 2 Warrants were exercised.</w:t>
      </w:r>
    </w:p>
    <w:p>
      <w:pPr>
        <w:spacing w:after="0" w:line="19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Conversion Warrants, Special Bridge Warrants and Reload Warrants</w:t>
      </w:r>
    </w:p>
    <w:p>
      <w:pPr>
        <w:spacing w:after="0" w:line="225" w:lineRule="exact"/>
        <w:rPr>
          <w:rFonts w:ascii="Arial" w:cs="Arial" w:eastAsia="Arial" w:hAnsi="Arial"/>
          <w:sz w:val="18"/>
          <w:szCs w:val="18"/>
          <w:b w:val="1"/>
          <w:bCs w:val="1"/>
          <w:i w:val="1"/>
          <w:iCs w:val="1"/>
          <w:color w:val="auto"/>
        </w:rPr>
      </w:pPr>
    </w:p>
    <w:p>
      <w:pPr>
        <w:jc w:val="both"/>
        <w:ind w:left="660" w:hanging="1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July 19, 2012, the date of the Merger, Legal Parent’s outstanding warrants included: (i) 148,390 Special Bridge Warrants, at an exercise price of $0.94 per share, with a remaining contractual term of 2.44 years; (ii) 101,445 Conversion Warrants, at an exercise price of $0.94 per share, with a remaining contractual term of 2.44 years; (iii) 887,330 Preferential Reload Warrants, at an exercise price of $1.76 per share, with a remaining contractual term of 4.55 years; and (iv) 814,408 non-Preferential Reload Warrants, at an exercise price of $1.76 per share, with a remaining contractual term of 4.55 years. Following the Merger and through September 30, 2012, 101,692 non-Preferential Reload Warrants were exercised.</w:t>
      </w:r>
    </w:p>
    <w:p>
      <w:pPr>
        <w:spacing w:after="0" w:line="158"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IPO Warrants</w:t>
      </w:r>
    </w:p>
    <w:p>
      <w:pPr>
        <w:spacing w:after="0" w:line="225" w:lineRule="exact"/>
        <w:rPr>
          <w:sz w:val="20"/>
          <w:szCs w:val="20"/>
          <w:color w:val="auto"/>
        </w:rPr>
      </w:pPr>
    </w:p>
    <w:p>
      <w:pPr>
        <w:jc w:val="both"/>
        <w:ind w:left="660" w:hanging="9"/>
        <w:spacing w:after="0" w:line="264" w:lineRule="auto"/>
        <w:rPr>
          <w:sz w:val="20"/>
          <w:szCs w:val="20"/>
          <w:color w:val="auto"/>
        </w:rPr>
      </w:pPr>
      <w:r>
        <w:rPr>
          <w:rFonts w:ascii="Arial" w:cs="Arial" w:eastAsia="Arial" w:hAnsi="Arial"/>
          <w:sz w:val="18"/>
          <w:szCs w:val="18"/>
          <w:color w:val="auto"/>
        </w:rPr>
        <w:t>Upon completion of its initial public offering, the Legal Parent issued 4,784,000 warrants at an exercise price of $5.06 per share. These warrants are publicly traded and are exercisable until June 21, 2015, at an exercise price of $5.06 per share. As of September 30, 2012, all of these warrants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retains the services of law firms that specialize in intellectual property licensing, enforcement and patent law.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 For subsequent events, see also Note 11.</w:t>
      </w:r>
    </w:p>
    <w:p>
      <w:pPr>
        <w:spacing w:after="0" w:line="14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July 2012, the Company signed a rental agreement for its new headquarters in New York. According to the new agreement, the Company shall pay an annual fee of approximately $137 (subject to certain adjustments). The term of the lease agreement is 3 years and 1 month.</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operating leases for office space and automobiles, as of September 30, 2012,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480" w:type="dxa"/>
            <w:vAlign w:val="bottom"/>
            <w:gridSpan w:val="3"/>
          </w:tcPr>
          <w:p>
            <w:pPr>
              <w:ind w:left="480"/>
              <w:spacing w:after="0"/>
              <w:rPr>
                <w:sz w:val="20"/>
                <w:szCs w:val="20"/>
                <w:color w:val="auto"/>
              </w:rPr>
            </w:pPr>
            <w:r>
              <w:rPr>
                <w:rFonts w:ascii="Arial" w:cs="Arial" w:eastAsia="Arial" w:hAnsi="Arial"/>
                <w:sz w:val="18"/>
                <w:szCs w:val="18"/>
                <w:b w:val="1"/>
                <w:bCs w:val="1"/>
                <w:color w:val="auto"/>
              </w:rPr>
              <w:t>U.S.$</w:t>
            </w:r>
          </w:p>
        </w:tc>
      </w:tr>
      <w:tr>
        <w:trPr>
          <w:trHeight w:val="210"/>
        </w:trPr>
        <w:tc>
          <w:tcPr>
            <w:tcW w:w="9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Year ending December 31,</w:t>
            </w: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2012 (three months ending December 31, 2012)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r>
      <w:tr>
        <w:trPr>
          <w:trHeight w:val="216"/>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FFCC"/>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2014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r>
      <w:tr>
        <w:trPr>
          <w:trHeight w:val="230"/>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FFCC"/>
          </w:tcPr>
          <w:p>
            <w:pPr>
              <w:spacing w:after="0"/>
              <w:rPr>
                <w:sz w:val="19"/>
                <w:szCs w:val="19"/>
                <w:color w:val="auto"/>
              </w:rPr>
            </w:pPr>
          </w:p>
        </w:tc>
      </w:tr>
      <w:tr>
        <w:trPr>
          <w:trHeight w:val="223"/>
        </w:trPr>
        <w:tc>
          <w:tcPr>
            <w:tcW w:w="99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Rental expense for operating leases for both office space and automobiles for the nine months ended September 30, 2012 and for the period since inception through September 30, 2011 was $69 and $4, respectively. Rental expense for operating leases for both office space and automobiles for the three months ended September 30, 2012 and 2011 was $48 and $4,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10—Risks and Uncertainties</w:t>
      </w:r>
    </w:p>
    <w:p>
      <w:pPr>
        <w:spacing w:after="0" w:line="229" w:lineRule="exact"/>
        <w:rPr>
          <w:sz w:val="20"/>
          <w:szCs w:val="20"/>
          <w:color w:val="auto"/>
        </w:rPr>
      </w:pPr>
    </w:p>
    <w:p>
      <w:pPr>
        <w:ind w:left="700" w:hanging="341"/>
        <w:spacing w:after="0" w:line="27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maintain or protect the Company’s patents assets or other intellectual property may significantly impair its return on investment from such assets and harm its brand, business and results.</w:t>
      </w:r>
    </w:p>
    <w:p>
      <w:pPr>
        <w:spacing w:after="0" w:line="170" w:lineRule="exact"/>
        <w:rPr>
          <w:rFonts w:ascii="Arial" w:cs="Arial" w:eastAsia="Arial" w:hAnsi="Arial"/>
          <w:sz w:val="18"/>
          <w:szCs w:val="18"/>
          <w:color w:val="auto"/>
        </w:rPr>
      </w:pPr>
    </w:p>
    <w:p>
      <w:pPr>
        <w:ind w:left="700" w:hanging="341"/>
        <w:spacing w:after="0" w:line="27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commenced legal proceedings are expected to be time consuming and costly, which may adversely affect its financial condition and its ability to operate its business.</w:t>
      </w:r>
    </w:p>
    <w:p>
      <w:pPr>
        <w:spacing w:after="0" w:line="170" w:lineRule="exact"/>
        <w:rPr>
          <w:rFonts w:ascii="Arial" w:cs="Arial" w:eastAsia="Arial" w:hAnsi="Arial"/>
          <w:sz w:val="18"/>
          <w:szCs w:val="18"/>
          <w:color w:val="auto"/>
        </w:rPr>
      </w:pPr>
    </w:p>
    <w:p>
      <w:pPr>
        <w:ind w:left="700" w:hanging="341"/>
        <w:spacing w:after="0" w:line="308" w:lineRule="auto"/>
        <w:tabs>
          <w:tab w:leader="none" w:pos="1348"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significant portion of the Company’s current business operations are reliant on the patents acquired from Lycos and Nokia. Its failure to successfully monetize these patents through litigation or via licensing may have a significant adverse effect on its financial condition.</w:t>
      </w:r>
    </w:p>
    <w:p>
      <w:pPr>
        <w:spacing w:after="0" w:line="146" w:lineRule="exact"/>
        <w:rPr>
          <w:rFonts w:ascii="Arial" w:cs="Arial" w:eastAsia="Arial" w:hAnsi="Arial"/>
          <w:sz w:val="17"/>
          <w:szCs w:val="17"/>
          <w:color w:val="auto"/>
        </w:rPr>
      </w:pPr>
    </w:p>
    <w:p>
      <w:pPr>
        <w:jc w:val="both"/>
        <w:ind w:left="700" w:hanging="341"/>
        <w:spacing w:after="0" w:line="279" w:lineRule="auto"/>
        <w:tabs>
          <w:tab w:leader="none" w:pos="1348"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ind w:left="700" w:right="20" w:hanging="341"/>
        <w:spacing w:after="0" w:line="27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products are subject to regulation in the markets in which the service operates. Regulatory changes can adversely affect the Company’s ability to generate revenue from its products in that market.</w:t>
      </w:r>
    </w:p>
    <w:p>
      <w:pPr>
        <w:spacing w:after="0" w:line="170" w:lineRule="exact"/>
        <w:rPr>
          <w:rFonts w:ascii="Arial" w:cs="Arial" w:eastAsia="Arial" w:hAnsi="Arial"/>
          <w:sz w:val="18"/>
          <w:szCs w:val="18"/>
          <w:color w:val="auto"/>
        </w:rPr>
      </w:pPr>
    </w:p>
    <w:p>
      <w:pPr>
        <w:ind w:left="700" w:right="20" w:hanging="341"/>
        <w:spacing w:after="0" w:line="27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170" w:lineRule="exact"/>
        <w:rPr>
          <w:rFonts w:ascii="Arial" w:cs="Arial" w:eastAsia="Arial" w:hAnsi="Arial"/>
          <w:sz w:val="18"/>
          <w:szCs w:val="18"/>
          <w:color w:val="auto"/>
        </w:rPr>
      </w:pPr>
    </w:p>
    <w:p>
      <w:pPr>
        <w:ind w:left="700" w:hanging="341"/>
        <w:spacing w:after="0" w:line="27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be held liable to cover a significant portion of the legal costs incurred by its defendants in European legal proceedings, should the outcome of the respective proceeding be unfavorable for the Company.</w:t>
      </w:r>
    </w:p>
    <w:p>
      <w:pPr>
        <w:spacing w:after="0" w:line="170" w:lineRule="exact"/>
        <w:rPr>
          <w:rFonts w:ascii="Arial" w:cs="Arial" w:eastAsia="Arial" w:hAnsi="Arial"/>
          <w:sz w:val="18"/>
          <w:szCs w:val="18"/>
          <w:color w:val="auto"/>
        </w:rPr>
      </w:pPr>
    </w:p>
    <w:p>
      <w:pPr>
        <w:jc w:val="both"/>
        <w:ind w:left="700" w:hanging="341"/>
        <w:spacing w:after="0" w:line="257"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the United States and Israel,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188" w:lineRule="exact"/>
        <w:rPr>
          <w:rFonts w:ascii="Arial" w:cs="Arial" w:eastAsia="Arial" w:hAnsi="Arial"/>
          <w:sz w:val="18"/>
          <w:szCs w:val="18"/>
          <w:color w:val="auto"/>
        </w:rPr>
      </w:pPr>
    </w:p>
    <w:p>
      <w:pPr>
        <w:jc w:val="both"/>
        <w:ind w:left="700" w:hanging="341"/>
        <w:spacing w:after="0" w:line="259" w:lineRule="auto"/>
        <w:tabs>
          <w:tab w:leader="none" w:pos="1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229" w:lineRule="exact"/>
        <w:rPr>
          <w:sz w:val="20"/>
          <w:szCs w:val="20"/>
          <w:color w:val="auto"/>
        </w:rPr>
      </w:pPr>
    </w:p>
    <w:p>
      <w:pPr>
        <w:jc w:val="both"/>
        <w:ind w:left="700" w:hanging="341"/>
        <w:spacing w:after="0" w:line="257" w:lineRule="auto"/>
        <w:tabs>
          <w:tab w:leader="none" w:pos="1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4, 2012, the Company entered into subscription agreements with several investors with respect to the registered direct offering and sale by the Company of an aggregate of 10,344,998 shares of the Company’s common stock, par value $0.01 per share, at a purchase price of $4.35 per share in a privately negotiated transaction in which no party acted as an underwriter or placement agent. The net proceeds to the Company were approximately $44,900 after deducting estimated offering expenses payable by the Company. The Company intends to use the net proceeds from this offering for general corporate working capital purposes.</w:t>
      </w:r>
    </w:p>
    <w:p>
      <w:pPr>
        <w:spacing w:after="0" w:line="188" w:lineRule="exact"/>
        <w:rPr>
          <w:rFonts w:ascii="Arial" w:cs="Arial" w:eastAsia="Arial" w:hAnsi="Arial"/>
          <w:sz w:val="18"/>
          <w:szCs w:val="18"/>
          <w:color w:val="auto"/>
        </w:rPr>
      </w:pPr>
    </w:p>
    <w:p>
      <w:pPr>
        <w:ind w:left="700" w:right="20" w:hanging="341"/>
        <w:spacing w:after="0" w:line="277" w:lineRule="auto"/>
        <w:tabs>
          <w:tab w:leader="none" w:pos="1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8, 2012, the Company’s subsidiary filed a patent infringement lawsuit against a subsidiary of ZTE Corporation in the United Kingdom.</w:t>
      </w:r>
    </w:p>
    <w:p>
      <w:pPr>
        <w:spacing w:after="0" w:line="170" w:lineRule="exact"/>
        <w:rPr>
          <w:rFonts w:ascii="Arial" w:cs="Arial" w:eastAsia="Arial" w:hAnsi="Arial"/>
          <w:sz w:val="18"/>
          <w:szCs w:val="18"/>
          <w:color w:val="auto"/>
        </w:rPr>
      </w:pPr>
    </w:p>
    <w:p>
      <w:pPr>
        <w:ind w:left="700" w:hanging="341"/>
        <w:spacing w:after="0" w:line="308" w:lineRule="auto"/>
        <w:tabs>
          <w:tab w:leader="none" w:pos="1348"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October 10, 2012, the Company’s subsidiary in the United States entered into a patent purchase agreement, according to which the Company will issue to seller 160,600 unregistered shares of its common stock, as well as 20% from collected future revenue.</w:t>
      </w:r>
    </w:p>
    <w:p>
      <w:pPr>
        <w:spacing w:after="0" w:line="146" w:lineRule="exact"/>
        <w:rPr>
          <w:rFonts w:ascii="Arial" w:cs="Arial" w:eastAsia="Arial" w:hAnsi="Arial"/>
          <w:sz w:val="17"/>
          <w:szCs w:val="17"/>
          <w:color w:val="auto"/>
        </w:rPr>
      </w:pPr>
    </w:p>
    <w:p>
      <w:pPr>
        <w:jc w:val="both"/>
        <w:ind w:left="700" w:hanging="341"/>
        <w:spacing w:after="0" w:line="297" w:lineRule="auto"/>
        <w:tabs>
          <w:tab w:leader="none" w:pos="1348"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October 12, 2012, the Company entered into an agreement with certain of its warrant holders, pursuant to which such warrant holders exercised in cash 3,721,062 of their outstanding warrants, with an exercise price of $1.76 per share, and the Company granted such warrant holders unregistered warrants of the Company to purchase an aggregate of 3,000,000 shares of the Company’s common stock, par value $0.01 per share, at an exercise price of $5.06 per share. The newly issued warrants do not bear down round protection clauses. The Company is still evaluating the accounting impact of this transaction; nevertheless, it expects the impact on its financial statements to be material.</w:t>
      </w:r>
    </w:p>
    <w:p>
      <w:pPr>
        <w:spacing w:after="0" w:line="158" w:lineRule="exact"/>
        <w:rPr>
          <w:rFonts w:ascii="Arial" w:cs="Arial" w:eastAsia="Arial" w:hAnsi="Arial"/>
          <w:sz w:val="16"/>
          <w:szCs w:val="16"/>
          <w:color w:val="auto"/>
        </w:rPr>
      </w:pPr>
    </w:p>
    <w:p>
      <w:pPr>
        <w:jc w:val="both"/>
        <w:ind w:left="700" w:hanging="341"/>
        <w:spacing w:after="0" w:line="264" w:lineRule="auto"/>
        <w:tabs>
          <w:tab w:leader="none" w:pos="1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in October and November 2012, warrants to purchase an aggregate of 790,903 shares of the Company’s common stock, at an exercise price of $1.76 per share, were exercised in cash by the Company’s warrant holders, pursuant to which the Company received an additional $1,391.</w:t>
      </w:r>
    </w:p>
    <w:p>
      <w:pPr>
        <w:spacing w:after="0" w:line="181" w:lineRule="exact"/>
        <w:rPr>
          <w:rFonts w:ascii="Arial" w:cs="Arial" w:eastAsia="Arial" w:hAnsi="Arial"/>
          <w:sz w:val="18"/>
          <w:szCs w:val="18"/>
          <w:color w:val="auto"/>
        </w:rPr>
      </w:pPr>
    </w:p>
    <w:p>
      <w:pPr>
        <w:jc w:val="both"/>
        <w:ind w:left="700" w:hanging="341"/>
        <w:spacing w:after="0" w:line="312" w:lineRule="auto"/>
        <w:tabs>
          <w:tab w:leader="none" w:pos="1348"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November 6, 2012, the vesting of all of the Legal Parents’ pre-Merger granted options outstanding (except for separation grants) was accelerated by 50%, as the Company’s market capitalization reached $250,000 for twenty of thirty consecutive trading days. The Company expects total, non-cash share based compensation expense of $328 to be recorded, due to the impact of acceleration of vesting of these options.</w:t>
      </w:r>
    </w:p>
    <w:p>
      <w:pPr>
        <w:spacing w:after="0" w:line="146" w:lineRule="exact"/>
        <w:rPr>
          <w:rFonts w:ascii="Arial" w:cs="Arial" w:eastAsia="Arial" w:hAnsi="Arial"/>
          <w:sz w:val="16"/>
          <w:szCs w:val="16"/>
          <w:color w:val="auto"/>
        </w:rPr>
      </w:pPr>
    </w:p>
    <w:p>
      <w:pPr>
        <w:jc w:val="both"/>
        <w:ind w:left="700" w:hanging="341"/>
        <w:spacing w:after="0" w:line="270" w:lineRule="auto"/>
        <w:tabs>
          <w:tab w:leader="none" w:pos="1348"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November 6, 2012, the Company received a verdict in its case against AOL, Inc., Google, Inc., IAC Search &amp; Media, Inc., Gannett Company, Inc. and Target Corporation (collectively, "Defendants") with respect to the Defendants' infringement of the asserted claims of U.S. Patent Nos. 6,314,420 and 6,775,664 (collectively, the "Patents"). After finding that the asserted claims of the Patents were both valid and infringed by Google, the jury found that reasonable royalty damages should be based on a "running royalty", and that the running royalty rate should be 3.5%. After finding that the asserted claims of the Patents were both valid and infringed by the Defendants, the jury found that the following sums of money, if paid now in cash, would reasonably compensate I/P Engine for the Defendants past infringement as follows: Google: $15,800, AOL: $7,943, IAC: $6,650, Gannett: $4, Target: $99. I/P Engine and Defendants are allowed to file post-trial motions with the Court, the schedule for which has yet been determined. According to certain scaled fee agreements, I/P Engine will pay between 15% and 20% of any recovery to professional service providers. See also Note 9 above.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702"/>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2011 as updated in our Quarterly Report on Form 10-Q for the period ended June 30, 2012 filed on August 14, 2012 and other public reports we filed with the Securities and Exchange Commissions, or the SEC. The forward-looking statements set forth herein speak only as of the date of this report. Except as required by law, we undertake no obligation to update any forward-looking statements to reflect events or circumstances after the date of such statements. In this report, “Vringo,” the “Company,” “we,” “us,” and “our” refer to Vringo,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were incorporated in Delaware on January 9, 2006 and commenced operations during the first quarter of 2006. In March 2006, we formed a wholly-owned subsidiary, Vringo (Israel) Ltd., primarily for the purpose of providing research and development services, as detailed in the intercompany service agreement. On July 19, 2012, Innovate/Protect, Inc. (“I/P”) merged with us through an exchange of equity instruments of I/P for those of Vringo (the “Merger”). I/P is a holding company, incorporated under the laws of Delaware on June 8, 2011, as Labrador Search Corporation, which holds two wholly-owned subsidiaries: I/P Engine Inc., formed under the laws of Virginia on June 14, 2011, originally as Smart Search Labs Inc., which operates for the purpose of realizing economic benefits, and I/P Labs, Inc., incorporated in Delaware on June 8, 2011 originally as Scottish Terrier Capital Inc., which operated to acquire and develop other patented technologies or intellectual property. On August 31, 2012, we formed two wholly-owned subsidiaries, incorporated in Delaware: Vringo Labs, Inc. which operates to acquire and develop new patented technologies or intellectual property and Vringo Infrastructure, Inc., which operates for the purpose of realizing economic benefits from patent portfolio acquired from Nokia Corporation (“Nokia”), as further described below. In addition, on October 18, 2012, we formed a wholly-owned subsidiary in Germany, Vringo Germany GmbH, for the purpose of innovating, developing, and monetizing mobile technology and intellectual property in Germany.</w:t>
      </w:r>
    </w:p>
    <w:p>
      <w:pPr>
        <w:spacing w:after="0" w:line="183"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As a combined company, our attempts are focused on maximizing the economic benefits from our growing intellectual property portfolio. We plan to add significant talent in technological innovation, and continue to enhance our technology capabilities to create, build and deliver mobile applications and services to our handset and mobile operator partners, as well as directly to consumers.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combined company has two key areas of operation:</w:t>
      </w:r>
    </w:p>
    <w:p>
      <w:pPr>
        <w:spacing w:after="0" w:line="2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maximization of the economic benefits from developed and acquired intellectual property,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w:t>
      </w:r>
    </w:p>
    <w:p>
      <w:pPr>
        <w:spacing w:after="0" w:line="225" w:lineRule="exact"/>
        <w:rPr>
          <w:sz w:val="20"/>
          <w:szCs w:val="20"/>
          <w:color w:val="auto"/>
        </w:rPr>
      </w:pPr>
    </w:p>
    <w:p>
      <w:pPr>
        <w:jc w:val="both"/>
        <w:ind w:right="20" w:firstLine="638"/>
        <w:spacing w:after="0" w:line="264" w:lineRule="auto"/>
        <w:rPr>
          <w:sz w:val="20"/>
          <w:szCs w:val="20"/>
          <w:color w:val="auto"/>
        </w:rPr>
      </w:pPr>
      <w:r>
        <w:rPr>
          <w:rFonts w:ascii="Arial" w:cs="Arial" w:eastAsia="Arial" w:hAnsi="Arial"/>
          <w:sz w:val="18"/>
          <w:szCs w:val="18"/>
          <w:color w:val="auto"/>
        </w:rPr>
        <w:t>We are a development stage company. The Merger has been accounted for as a reverse acquisition under which I/P was considered the acquirer of Vringo. As such, the financial statements of I/P are treated as the historical financial statements of the combined company, with the results of Vringo being included from July 19, 2012.</w:t>
      </w:r>
    </w:p>
    <w:p>
      <w:pPr>
        <w:spacing w:after="0" w:line="181"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From inception of I/P (June 8, 2011) to date, we have raised approximately $84,862,000. These amounts have been used to finance our operations, as until now, we have not yet generated any significant revenues. From inception of I/P through September 30, 2012, we recorded losses of approximately $9,590,000 and net cash outflow from operations of approximately $7,491,000. Our average monthly cash burn rate from operations for the three and nine month period ended September 30, 2012 was approximately $1,110,000 and $662,000, respectively.</w:t>
      </w:r>
    </w:p>
    <w:p>
      <w:pPr>
        <w:spacing w:after="0" w:line="171" w:lineRule="exact"/>
        <w:rPr>
          <w:sz w:val="20"/>
          <w:szCs w:val="20"/>
          <w:color w:val="auto"/>
        </w:rPr>
      </w:pPr>
    </w:p>
    <w:p>
      <w:pPr>
        <w:jc w:val="both"/>
        <w:ind w:right="20" w:firstLine="638"/>
        <w:spacing w:after="0" w:line="312" w:lineRule="auto"/>
        <w:rPr>
          <w:sz w:val="20"/>
          <w:szCs w:val="20"/>
          <w:color w:val="auto"/>
        </w:rPr>
      </w:pPr>
      <w:r>
        <w:rPr>
          <w:rFonts w:ascii="Arial" w:cs="Arial" w:eastAsia="Arial" w:hAnsi="Arial"/>
          <w:sz w:val="16"/>
          <w:szCs w:val="16"/>
          <w:color w:val="auto"/>
        </w:rPr>
        <w:t>As of November 14, 2012, we had approximately $60,500,000 in cash and cash equivalents. Based on current operating plans, we expect to have sufficient funds for at least the next twelve months. In addition, we may choose to raise additional funds in connection with potential acquisitions of patent portfolios or other intellectual property assets that we may pursue. There can be no assurance, however, that any such opportunities will materialize.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2012, we had 26 full time employees and two part-time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combined company, we focus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formation in June 2011, I/P acquired its initial patent assets from Lycos through its wholly-owned subsidiary, I/P Engine. Such assets were comprised of eight patents relating to information filtering and search technologies. As part of our strategy to monetize the patents acquired from Lycos, I/P Engine commenced litigation against AOL, Inc., Google, Inc., IAC Search &amp; Media, Inc., Gannett Company, Inc. and Target Corporation (collectively, "Defendants").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 the Court will issue a ruling on obviousness. We believe that the jury’s factual findings will support a finding that the patents are not invalid as obvious. After finding that the asserted claims of the Patents were both valid and infringed by Google, the jury found that reasonable royalty damages should be based on a "running royalty", and that the running royalty rate should be 3.5%.</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finding that the asserted claims of the Patents were both valid and infringed by the Defendants, the jury found that the following sums of money, if paid now in cash, would reasonably compensate I/P Engine for the Defendants past infringement as follows: Google: $15,800,000, AOL: $7,943,000, IAC: $6,650,000, Gannett: $4,322, Target: $98,833. I/P Engine and Defendants are allowed to file post-trial motions with the court, the schedule for which has yet been determined.</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181818"/>
        </w:rPr>
        <w:t>On August 9, 2012, we entered into a patent purchase agreement with Nokia, pursuant to which, Nokia agreed to sell us a portfolio consisting of over 500 patents and patent applications worldwide, including 109 issued United States patents. We agreed to compensate Nokia with a cash payment and certain ongoing rights in revenues generated from the patent portfolio. The portfolio encompasses a broad range of technologies relating to telecom infrastructure, including communication management, data and signal transmission, mobility management, radio resources management and services. Thirty-one of the 124 patent families acquired have been declared essential by Nokia to wireless communications standards. Standards represented in the portfolio are commonly known as 2G, 2.5G, 3G and 4G and related technologies and include GSM, WCDMA, T63, T64, DECT, IETF, LTE, SAE, and OMA. The purchase price for the portfolio was $22,000,000, plus capitalized acquisition costs of $578,000. To the extent that the gross revenue (as defined in the purchase agreement) generated by such portfolio exceeds $22,000,000, a royalty of 35% of such excess is due to be paid to Nokia. The $22,000,000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 Because all of the foregoing actions are within our sole control, we do not expect to be obligated to pay any such impairment payment.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As one of the means of realizing the value of the patents acquired from Nokia, on October 5, 2012, our wholly-owned subsidiary, Vringo Infrastructure, Inc., filed suit in the UK High Court of Justice, Chancery Division, Patents Court, alleging infringement of European Patents (UK) 1,212,919; 1,166,589; and 1,808,029. Declarations have been filed at the European Telecommunications and Standards Institute (ETSI) that cover the patents. The complaint alleges that ZTE's cellular network elements fall within the scope of all three patents, and ZTE's GSM/UMTS multi-mode wireless handsets also fall within the scope of the '029 patent. On October 23, 2012, counsel for ZTE acknowledged service. ZTE (UK) formal response to the complaint is anticipated by November 22, 2012. A case management conference where among other matters, the schedule for the suit will be set, is anticipated in January 2013.</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continue to grow our technology portfolio. From September 4 through October 12, 2012, as part of our efforts to develop new technology assets in the mobile and social media space, inventors working for Vringo filed 9 provisional patent applications covering a wide range of technologies including: Determining content relevance based on a user’s relationships; Using mobile technologies as sleep aids; Combining social media and on-line videos; Improving mobile security using facial recognition technology; Monitoring usage patterns of mobile devices and computers to make recommendations; Technology that allows to post call information to social media; Technology to assist in prioritizing electronic communications; Technology that rewards a user’s specific wireless device activity. Additionally, Vringo’s existing mobile portfolio continues to mature; including the grant on August 1, 2012 of EP 1,982,549 and on October 23, 2012 of USP 8,295,205.</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our efforts to develop new technology in the telecom infrastructure space, we filed 12 continuation applications in the US. In addition, we filed a continuation-in-part application that combines internally developed innovation in the DRM space with telecom infrastructure. Further, through our wholly owned subsidiary, Vringo Labs, Inc., we filed a patent application relating to wireless energy charging.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10, 2012, I/P Engine entered into a patent purchase agreement, pursuant to which we issued seller 160,600 unregistered shares of Vringo common stock, as well as a 20% royalty from collected future revenue. The portfolio comprises U.S. Patent numbers 7,831,512 and 8,315,949, and US application number 13/653,894. This intellectual property relates to the placement of advertisements on web pages when there is a vacancy for an advertisement, and such advertisement is placed via a bidding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Social Applications</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video ringtone platform has been operating since 2008 and remains the primary source of subscription revenues among our mobile products and we continue to develop business for this product with mobile operators and content providers. Our solution, which encompasses a suite of mobile and PC-based tools, enables users to create, download and share video ringtones and provides our business partners with a consumer-friendly and easy-to-integrate monetization platform.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revenue model for our video ringtone service offered through the carriers is a subscription-based model where users pay a monthly fee for access to our service and additional fees for premium content.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Our Vringo video ringtone mobile app also functions as a standalone direct-to-consumer offering. Our free version has been released as an ad-supported application on the Google Play marketplace and is still available in markets where we have not entered into commercial arrangements with carriers or other partners.</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As of November 14, 2012, we have commercial video ringtone services with nine carriers and partners. We are currently in discussions with several other mobile carriers and we will be pursuing additional agreements with mobile carriers over the next 12, with a focus on Android-based apps as the cornerstone for future subscriber services. Separately, we continue to expand the distribution of our free to the user ad-supported mobile application.</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181818"/>
        </w:rPr>
        <w:t>Our Facetones®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 visually displayed. The product is available to consumers on several operating systems, most notably is Android and is delivered in various configurations, with a variety of monetization methods. As of August 31, 2012, the Facetones® free ad-supported version had more than 1,500,000 downloads and is generating more than 2,500,000 advertising impressions on a weekly basis. Facetones® is offered directly to consumers via leading mobile application stores and download sites where both for purchase versions, as well as ad-supported free versions are available. Our revenue model is based on proceeds received from advertisers, as well as from related development projects and potential payment of royalties, as described below.</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181818"/>
        </w:rPr>
        <w:t>We also continue to pursue business for Facetones® together with handset manufacturers. We have developed five separate versions of Facetones in partnership with Nokia. In January 2012, we launched Facetones® for iPhone which generates, as of the end of February 2012, close to a 1,000 daily downloads without any promotion. In November 2011, we announced an agreement with ZTE Corporation, the largest handset maker in China and fourth-largest globally, to preload the Facetones® application on Android handsets manufactured by ZTE. ZTE is to pay a royalty for each preloaded device, the first of which launched with the release of ZTE’s GrandX handsets in the United Kingdom in August 2012.</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181818"/>
        </w:rPr>
        <w:t>Our Fan Loyalty platform was launched in mid-2011 by co-branding our Fan-Loyalty application with Star Academy 8, the largest music competition in the Middle East and Nokia, the world’s largest handset maker. The Fan Loyalty application for Star Academy was made available exclusively for download on the Ovi Store, and had more than 200,000 downloads during the season. In the first quarter of 2012, we entered into an agreement with Endemol, a producer of entertainment and reality TV programming, to collaborate on additional sponsored versions of this application.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Financing Activity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181818"/>
        </w:rPr>
        <w:t>On October 4, 2012, we entered into subscription agreements with several investors with respect to the registered direct offer and sale by us of an aggregate of 10,344,998 shares of our common stock, par value $0.01 per share, at a purchase price of $4.35 per share in a privately negotiated transaction in which no party acted as an underwriter or placement agent. The net proceeds were approximately $44,900,000, after deducting estimated offering expenses payable by us. We intend to use the net proceeds from this offering for general corporate working capital purposes.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181818"/>
        </w:rPr>
        <w:t>In October 2012, we entered into an agreement with certain of our warrant holders, pursuant to which such warrant holders exercised in cash 3,721,062 of their outstanding warrants, with an exercise price of $1.76 per share, and we issued such warrant holders unregistered warrants to purchase an aggregate of 3,000,000 of our shares of common stock, par value $0.01 per share, at an exercise price of $5.06 per share. The newly issued warrants do not bear down round protection clauses. We are still evaluating the accounting impact of this transaction; nevertheless, we expect such impact on our financial statements to be material.</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in October and November 2012, warrants to purchase an aggregate of 790,903 shares of our common stock, at an exercise price of $1.76 per share, were exercised by our warrant holders, pursuant to which we received an additional $1,391,989.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19, 2012, we consummated the Merger with I/P. I/P merged with and into VIP Merger Sub, Inc., a wholly owned subsidiary of Vringo (“Merger Sub”), with Merger Sub being the surviving corporation through an exchange of capital stock of I/P for our capital stock. Upon completion of the Merger, (i) all of the 6,169,661 outstanding shares of common stock of I/P, par value $0.0001 per share were converted into 18,617,569 shares of our common stock, par value $0.01; and (ii) all share outstanding of Series A Convertible Preferred Stock of I/P, par value $0.0001 per share, were converted into 20,136,445 shares of our Series A Convertible Preferred Stock. The preferred stock issued, has the powers, designations, preferences and other rights as set forth in a Certificate of Designations, Preferences and Rights of Series A Convertible Preferred Stock filed by us prior to closing. In addition, we issued to the holders of I/P capital stock (on a pro rata as-converted basis) an aggregate of 15,959,838 warrants to purchase an aggregate of 15,959,838 shares of our common stock with an exercise price of $1.76 per share.</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Immediately following the completion of the Merger, the former stockholders of I/P owned approximately 55.04% of the outstanding common stock of the combined company, and our current stockholders owned approximately 44.96% of the outstanding common stock of the combined company. On a fully diluted basis, the former stockholders of I/P owned approximately 67.61% of the outstanding common stock of the combined company, and our current stockholders owned approximately 32.39% of the outstanding common stock of the combined company.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accounting purposes, I/P was identified as the accounting “acquirer”, as it is defined in FASB Topic ASC 805. As a result, in the post-combination consolidated financial statements, as of the third quarter 2012, I/P’s assets and liabilities are presented at its pre-combination amounts, and our assets and liabilities are recognized and measured in accordance with the guidance for business combinations in ASC 805. See also Notes 4 and 8 to the accompanying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Hudson Bay Note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22, 2011, I/P issued a senior secured note payable, in the total amount of $3,200,000, to one of its principal stockholders, Hudson Bay Master Fund Ltd. (“Hudson Bay”) (the “Note”). The Note accrued interest at 0.46% per annum. After the Merger was consummated, on July 19, 2012, the Note was amended and restated and the holder was able to exercise any and all rights and remedies pursuant to such amended and restated Note, including with respect to any optional redemption provisions contained therein. The amended and restated Note was to mature on June 22, 2013 and I/P had granted Hudson Bay a security interest in all of its tangible and intangible assets, in order to secure I/P’s obligations under the senior secured note. After the consummation of the Merger, the Note became our obligation, as it is to guarantee I/P’s obligations after the Merger. On August 15, 2012, we repaid the outstanding balance in full.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Grants of Stock Options and RSUs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Immediately following the Merger, the vesting of shares of common stock granted prior to the Merger to I/P’s officers and directors was fully accelerated. As a result, an additional 2,702,037 shares previously issued became vested. In addition, our board of directors approved the granting of 265,000 shares to certain consultants, as well as the acceleration of vesting of 908,854 options granted to certain officers and directors of Vringo. Finally, according to resolution made by our board of directors in January 2012, upon Merger, the vesting of all Vringo pre-Merger outstanding options was accelerated by one year.</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26, 2012, our board of directors approved the granting of 4,975,000 options to management, directors and employees at an exercise price of $3.72 per share. These options will vest quarterly over a three year period. In addition, the board also approved the granting of 15,000 options at an exercise price of $3.72 per share to one of our consultants. These options will vest over a one year period. Certain options granted to officers, directors and certain key employees are subject to acceleration of vesting of 75% - 100% (according to the agreement signed with each grantee), upon subsequent change of control. Moreover, on July 26, 2012, the board of directors approved the granting of 3,105,000 RSUs to management, directors and key employees. These RSUs will vest quarterly over a three and year periods (dependent on the agreement made with each grantee). In addition, we approved the granting of 25,000 RSUs to two of our consultants. These RSUs will vest over a 6-12 month period (according to the agreement signed with each grantee).</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8, 2012, the board of directors approved the granting of 500,000 options to a member of our management, at an exercise price of $3.44 per share. These options will vest quarterly over a three year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November 6, 2012, the vesting of all of Vringo’s pre-Merger granted options outstanding (except for separation grants) was accelerated by 50%, as our market capitalization reached $250,000,000 for twenty of thirty consecutive trading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recognize revenue when all the conditions for revenue recognition are met: (i) persuasive evidence of an arrangement exists, (ii) collection of the fee is probable, (iii) the sales price is fixed and determinable and (iv) delivery has occurred or services have been rendered. Intellectual property rights for patented technologies may include some combination of the following: (i) the grant of a non-exclusive, retroactive and future license to manufacture and/or sell products covered by patented technologies owned or controlled by operating subsidiaries, (ii) a covenant-not-to-sue, (iii) the release of the licensee from certain claims, and (iv) dismissal of any pending litigation. Our subscription service arrangements are evidenced by a written document signed by both parties. Our revenues from monthly subscription fees, content purchases and advertisement revenues are recognized when we have received confirmation that the amount is due to us, which provides proof that the services have been rendered, and making collection probable. 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 We also recognize revenue from development projects, based on percentage of completion, if the required criteria are met, or when the project is completed.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Cost of revenues mainly include the costs and expenses incurred in connection with our patent licensing and enforcement activities, contingent legal fees paid to external patent counsels, other patent-related legal expenses paid to external patent counsel, licensing and enforcement related research, consulting and other expenses paid to third parties, the amortization of patent-related acquisition costs and of the acquired technology. Cost of revenue also includes third party expenses directly related to providing our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706"/>
        <w:spacing w:after="0" w:line="264"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server and support functions for our development environment.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general and administrative expenses include the cost of management, administrative and marketing personnel, public relations, advertising, overhead/office cost and various professional fees, as well as insurance, depreciation and amortization.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Series 1 Warrants and the Conversion Warrants, which are highly influenced by our stock price at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in Israel. At September 30, 2012, deferred tax assets generated from our U.S. activities were offset by a valuation allowance because realization depends on generating future taxable income, which, in our estimation, is not more likely than not to be generated. The deferred tax assets and liabilities generated from our subsidiary in Israel’s operations are not offset by an allowance, as in our estimation, they are more likely than not to be realized.</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subsidiary in Israel generates net taxable income from services it provides to us. The subsidiary in Israel charges us for research, development, certain management and other services provided to us, plus a profit margin on such costs, which is currently 8%. In the zone where the production facilities of the subsidiary in Israel are located the statutory tax rate is 15% in 2011 and 2012 and expected to be 12.5% in 2013 and 2014, and 12% in 2015 and thereafter.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Three and nine month periods ended September 30, 2012 compared to three month period ended September 30, 2012 and period from June 8, 2011 (inception of I/P) through September 30, 2011 and the development stage period, cumulative from inception of I/P through September 30,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3"/>
              </w:rPr>
              <w:t>Period from</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inception of I/P (June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Nine months</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8, 2011) through</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from inception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20" w:type="dxa"/>
            <w:vAlign w:val="bottom"/>
            <w:gridSpan w:val="6"/>
          </w:tcPr>
          <w:p>
            <w:pPr>
              <w:jc w:val="center"/>
              <w:ind w:right="200"/>
              <w:spacing w:after="0"/>
              <w:rPr>
                <w:sz w:val="20"/>
                <w:szCs w:val="20"/>
                <w:color w:val="auto"/>
              </w:rPr>
            </w:pPr>
            <w:r>
              <w:rPr>
                <w:rFonts w:ascii="Arial" w:cs="Arial" w:eastAsia="Arial" w:hAnsi="Arial"/>
                <w:sz w:val="14"/>
                <w:szCs w:val="14"/>
                <w:color w:val="auto"/>
                <w:w w:val="90"/>
              </w:rPr>
              <w:t>Three months ended September 30,</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ended September 30,</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September 30,</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Change</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to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76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2011</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3"/>
                <w:szCs w:val="13"/>
                <w:color w:val="auto"/>
              </w:rPr>
            </w:pPr>
          </w:p>
        </w:tc>
        <w:tc>
          <w:tcPr>
            <w:tcW w:w="120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2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8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Revenue</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266,000</w:t>
            </w:r>
          </w:p>
        </w:tc>
        <w:tc>
          <w:tcPr>
            <w:tcW w:w="980" w:type="dxa"/>
            <w:vAlign w:val="bottom"/>
            <w:gridSpan w:val="2"/>
            <w:shd w:val="clear" w:color="auto" w:fill="CCFFCC"/>
          </w:tcPr>
          <w:p>
            <w:pPr>
              <w:ind w:left="6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266,000</w:t>
            </w:r>
          </w:p>
        </w:tc>
        <w:tc>
          <w:tcPr>
            <w:tcW w:w="14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266,000</w:t>
            </w:r>
          </w:p>
        </w:tc>
        <w:tc>
          <w:tcPr>
            <w:tcW w:w="1480" w:type="dxa"/>
            <w:vAlign w:val="bottom"/>
            <w:gridSpan w:val="2"/>
            <w:shd w:val="clear" w:color="auto" w:fill="CCFFCC"/>
          </w:tcPr>
          <w:p>
            <w:pPr>
              <w:ind w:left="1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266,000</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266,000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third quarter of 2012, following the consummation of the Merger, for the first time since inception of I/P, we recorded total revenues of $266,000. The recognized revenue consisted of: (i) subscription and content sales based revenue of $76,000, which represents legacy Vringo revenue from July 19, 2012, the date of the Merger, through September 30, 2012, (ii) revenue from a development project with Nokia of $90,000 and (iii) proceeds from partial settlement with AOL in the total amount of $100,000.</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combined company, after the recently issued verdict in our litigation against AOL, Inc., Google, Inc., IAC Search &amp; Media, Inc., Gannett Company, Inc., and Target Corporation for infringement of the Patents acquired from Lycos, we expect to generate revenue based on the verdict, although both sides have the right for an appeal, we also intend to continue to expand our planned operations through acquisitions and monetization of additional patents and other intellectual property. In particular, following the incorporation of our subsidiary in Germany and the acquisition of a patent portfolio from Nokia, we intend to expand our intellectual property monetization efforts in Europe. In October 2012, we filed litigation against a UK subsidiary of ZTE, with a goal of achieving a positive verdict or settlement, including, potentially, a licensing arrangement on terms beneficial to us.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expect to continue to generate a portion of our future revenues from: (i) Facetones® preloads, as well as from additional clients in the handset makers, (ii) Facetones®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and (vi) monetization of our intellectual property.</w:t>
      </w:r>
    </w:p>
    <w:p>
      <w:pPr>
        <w:sectPr>
          <w:pgSz w:w="11900" w:h="16838" w:orient="portrait"/>
          <w:cols w:equalWidth="0" w:num="1">
            <w:col w:w="11420"/>
          </w:cols>
          <w:pgMar w:left="240" w:top="904"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Cost of services provided</w:t>
      </w:r>
    </w:p>
    <w:p>
      <w:pPr>
        <w:spacing w:after="0"/>
        <w:rPr>
          <w:sz w:val="20"/>
          <w:szCs w:val="20"/>
          <w:color w:val="auto"/>
        </w:rPr>
      </w:pPr>
      <w:r>
        <w:rPr>
          <w:rFonts w:ascii="Arial" w:cs="Arial" w:eastAsia="Arial" w:hAnsi="Arial"/>
          <w:sz w:val="13"/>
          <w:szCs w:val="13"/>
          <w:color w:val="auto"/>
        </w:rPr>
        <w:t>Amortization of intangibles</w:t>
      </w:r>
    </w:p>
    <w:p>
      <w:pPr>
        <w:spacing w:after="0"/>
        <w:rPr>
          <w:sz w:val="20"/>
          <w:szCs w:val="20"/>
          <w:color w:val="auto"/>
        </w:rPr>
      </w:pPr>
      <w:r>
        <w:rPr>
          <w:rFonts w:ascii="Arial" w:cs="Arial" w:eastAsia="Arial" w:hAnsi="Arial"/>
          <w:sz w:val="14"/>
          <w:szCs w:val="14"/>
          <w:color w:val="auto"/>
        </w:rPr>
        <w:t>Operating legal</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color w:val="auto"/>
              </w:rPr>
              <w:t>Period from</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inception of I/P (June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Cumulative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Nine months ended</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8, 2011) through</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67"/>
        </w:trPr>
        <w:tc>
          <w:tcPr>
            <w:tcW w:w="2840" w:type="dxa"/>
            <w:vAlign w:val="bottom"/>
            <w:gridSpan w:val="6"/>
          </w:tcPr>
          <w:p>
            <w:pPr>
              <w:jc w:val="center"/>
              <w:ind w:right="80"/>
              <w:spacing w:after="0"/>
              <w:rPr>
                <w:sz w:val="20"/>
                <w:szCs w:val="20"/>
                <w:color w:val="auto"/>
              </w:rPr>
            </w:pPr>
            <w:r>
              <w:rPr>
                <w:rFonts w:ascii="Arial" w:cs="Arial" w:eastAsia="Arial" w:hAnsi="Arial"/>
                <w:sz w:val="14"/>
                <w:szCs w:val="14"/>
                <w:color w:val="auto"/>
                <w:w w:val="90"/>
              </w:rPr>
              <w:t>Three months ended September 30,</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September 30,</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September 30,</w:t>
            </w:r>
          </w:p>
        </w:tc>
        <w:tc>
          <w:tcPr>
            <w:tcW w:w="760" w:type="dxa"/>
            <w:vAlign w:val="bottom"/>
            <w:vMerge w:val="restart"/>
          </w:tcPr>
          <w:p>
            <w:pPr>
              <w:ind w:left="160"/>
              <w:spacing w:after="0"/>
              <w:rPr>
                <w:sz w:val="20"/>
                <w:szCs w:val="20"/>
                <w:color w:val="auto"/>
              </w:rPr>
            </w:pPr>
            <w:r>
              <w:rPr>
                <w:rFonts w:ascii="Arial" w:cs="Arial" w:eastAsia="Arial" w:hAnsi="Arial"/>
                <w:sz w:val="14"/>
                <w:szCs w:val="14"/>
                <w:color w:val="auto"/>
              </w:rPr>
              <w:t>Change</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2011</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22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2011</w:t>
            </w:r>
          </w:p>
        </w:tc>
        <w:tc>
          <w:tcPr>
            <w:tcW w:w="22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72"/>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18,000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18,000</w:t>
            </w: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18,000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18,000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162"/>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878,000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157,000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721,000</w:t>
            </w: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1,189,000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170,000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1,018,000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1,517,000</w:t>
            </w:r>
          </w:p>
        </w:tc>
        <w:tc>
          <w:tcPr>
            <w:tcW w:w="0" w:type="dxa"/>
            <w:vAlign w:val="bottom"/>
          </w:tcPr>
          <w:p>
            <w:pPr>
              <w:spacing w:after="0"/>
              <w:rPr>
                <w:sz w:val="1"/>
                <w:szCs w:val="1"/>
                <w:color w:val="auto"/>
              </w:rPr>
            </w:pPr>
          </w:p>
        </w:tc>
      </w:tr>
      <w:tr>
        <w:trPr>
          <w:trHeight w:val="167"/>
        </w:trPr>
        <w:tc>
          <w:tcPr>
            <w:tcW w:w="780" w:type="dxa"/>
            <w:vAlign w:val="bottom"/>
          </w:tcPr>
          <w:p>
            <w:pPr>
              <w:jc w:val="right"/>
              <w:spacing w:after="0"/>
              <w:rPr>
                <w:sz w:val="20"/>
                <w:szCs w:val="20"/>
                <w:color w:val="auto"/>
              </w:rPr>
            </w:pPr>
            <w:r>
              <w:rPr>
                <w:rFonts w:ascii="Arial" w:cs="Arial" w:eastAsia="Arial" w:hAnsi="Arial"/>
                <w:sz w:val="14"/>
                <w:szCs w:val="14"/>
                <w:color w:val="auto"/>
              </w:rPr>
              <w:t>2,519,000</w:t>
            </w:r>
          </w:p>
        </w:tc>
        <w:tc>
          <w:tcPr>
            <w:tcW w:w="2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390,000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2,129,000</w:t>
            </w: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4,769,000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391,000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4,379,000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6,001,000</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jc w:val="right"/>
              <w:spacing w:after="0"/>
              <w:rPr>
                <w:sz w:val="20"/>
                <w:szCs w:val="20"/>
                <w:color w:val="auto"/>
              </w:rPr>
            </w:pPr>
            <w:r>
              <w:rPr>
                <w:rFonts w:ascii="Arial" w:cs="Arial" w:eastAsia="Arial" w:hAnsi="Arial"/>
                <w:sz w:val="14"/>
                <w:szCs w:val="14"/>
                <w:color w:val="auto"/>
              </w:rPr>
              <w:t>3,415,000</w:t>
            </w:r>
          </w:p>
        </w:tc>
        <w:tc>
          <w:tcPr>
            <w:tcW w:w="2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547,000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2,868,000</w:t>
            </w: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5,976,000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561,000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5,415,000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7,536,000</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-530860</wp:posOffset>
            </wp:positionV>
            <wp:extent cx="724662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-342265</wp:posOffset>
            </wp:positionV>
            <wp:extent cx="72466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-136525</wp:posOffset>
            </wp:positionV>
            <wp:extent cx="72466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904"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 w:name="page33"/>
    <w:bookmarkEnd w:id="32"/>
    <w:p>
      <w:pPr>
        <w:jc w:val="both"/>
        <w:ind w:firstLine="648"/>
        <w:spacing w:after="0" w:line="272" w:lineRule="auto"/>
        <w:rPr>
          <w:sz w:val="20"/>
          <w:szCs w:val="20"/>
          <w:color w:val="auto"/>
        </w:rPr>
      </w:pPr>
      <w:r>
        <w:rPr>
          <w:rFonts w:ascii="Arial" w:cs="Arial" w:eastAsia="Arial" w:hAnsi="Arial"/>
          <w:sz w:val="17"/>
          <w:szCs w:val="17"/>
          <w:color w:val="auto"/>
        </w:rPr>
        <w:t>During the three month period ended September 30, 2012, our cost of revenue was $3,415,000, which represents an increase of $2,868,000 (or 524%) compared to our cost of revenue for the three month period ended September 30, 2011. The increase in cost of revenue, compared to the third quarter of 2011, was mainly related to increased amortization of patents, due to the newly acquired patents from Nokia ($541,000, compared to $157,000 in 2011), as well as due to amortization of technology, the value to which was allocated upon consummation of the Merger ($338,000, compared to $0 in 2011). In addition, we incurred significant costs in connection with the commencement of I/P Engine patent trial on October 16, 2012 and share based compensation related costs ($318,000 in 2012 compared to $0 in 2011). Finally, the increase in cost of services, related to legacy Vringo mobile app services, reflects the costs recorded for the first time during the quarter, pursuant to the Merger with I/P.</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nine month period ended September 30, 2012, our cost of revenue was $5,976,000, which represents an increase of $5,415,000 (or 962%) compared to our cost of revenue for the period from June 8, 2011 through September 30, 2011. The increase in cost of revenue, compared to the parallel period in 2011, was mainly related to increased amortization expenses related to the patents acquired from Nokia and Lycos ($852,000, compared to $171,000 in 2011), as well as to amortization of acquired technology ($338,000, compared to $0 in 2011). In addition, we incurred increased costs in connection with commencement of the Lycos patent trial on October 16, 2012 and share based compensation related costs ($318,000 in 2012 compared to $0 in 2011). Finally, the increase in cost of services, related to legacy Vringo mobile app services, reflects the costs accounted for the first time, pursuant to the Merger with I/P.</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From inception through September 30, 2012, cost of revenue expenses amounted to $7,536,000. Of this amount, $18,000 was attributed to the cost of mobile services provided to our clients, $318,000 to share based compensation expense, $338,000 was attributed to amortization of the acquired technology, $5,682,000 was attributed to operating legal expenses, mainly related to I/P Engine patent litigation, and $1,180,000 was attributed to patent amortization.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cost of revenue will increase over time, as we diversify the portfolio of our products and increase our intellectual property. As most of these costs are incurred irrespective of our revenues, we expect our gross margin to increase as our revenues grow.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Period from inception of</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Nine months</w:t>
            </w: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I/P (June 8, 2011)</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760" w:type="dxa"/>
            <w:vAlign w:val="bottom"/>
            <w:gridSpan w:val="6"/>
          </w:tcPr>
          <w:p>
            <w:pPr>
              <w:jc w:val="center"/>
              <w:ind w:right="100"/>
              <w:spacing w:after="0"/>
              <w:rPr>
                <w:sz w:val="20"/>
                <w:szCs w:val="20"/>
                <w:color w:val="auto"/>
              </w:rPr>
            </w:pPr>
            <w:r>
              <w:rPr>
                <w:rFonts w:ascii="Arial" w:cs="Arial" w:eastAsia="Arial" w:hAnsi="Arial"/>
                <w:sz w:val="14"/>
                <w:szCs w:val="14"/>
                <w:color w:val="auto"/>
                <w:w w:val="91"/>
              </w:rPr>
              <w:t>Three months ended September 30,</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ended September 30,</w:t>
            </w: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through September 30,</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color w:val="auto"/>
              </w:rPr>
              <w:t>Change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74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2011</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2011</w:t>
            </w: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Research and development</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997,000</w:t>
            </w:r>
          </w:p>
        </w:tc>
        <w:tc>
          <w:tcPr>
            <w:tcW w:w="960" w:type="dxa"/>
            <w:vAlign w:val="bottom"/>
            <w:gridSpan w:val="2"/>
            <w:shd w:val="clear" w:color="auto" w:fill="CCFFCC"/>
          </w:tcPr>
          <w:p>
            <w:pPr>
              <w:ind w:left="6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997,000</w:t>
            </w:r>
          </w:p>
        </w:tc>
        <w:tc>
          <w:tcPr>
            <w:tcW w:w="14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997,000</w:t>
            </w:r>
          </w:p>
        </w:tc>
        <w:tc>
          <w:tcPr>
            <w:tcW w:w="1640" w:type="dxa"/>
            <w:vAlign w:val="bottom"/>
            <w:gridSpan w:val="2"/>
            <w:shd w:val="clear" w:color="auto" w:fill="CCFFCC"/>
          </w:tcPr>
          <w:p>
            <w:pPr>
              <w:ind w:left="1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997,000</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997,000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in the total amount of $997,000, recorded following the Merger with I/P, consist primarily of the cost of our development team ($454,000, compared to $0 in 2011) and share based compensation ($452,000, compared to $0 in 2011). We anticipate that our research and development costs will increase over time, as we seek to develop additional products and intellectual property to diversify and enhance our original core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Period from inception of</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Nine months</w:t>
            </w:r>
          </w:p>
        </w:tc>
        <w:tc>
          <w:tcPr>
            <w:tcW w:w="16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I/P (June 8, 2011)</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20" w:type="dxa"/>
            <w:vAlign w:val="bottom"/>
            <w:gridSpan w:val="6"/>
          </w:tcPr>
          <w:p>
            <w:pPr>
              <w:jc w:val="center"/>
              <w:ind w:right="100"/>
              <w:spacing w:after="0"/>
              <w:rPr>
                <w:sz w:val="20"/>
                <w:szCs w:val="20"/>
                <w:color w:val="auto"/>
              </w:rPr>
            </w:pPr>
            <w:r>
              <w:rPr>
                <w:rFonts w:ascii="Arial" w:cs="Arial" w:eastAsia="Arial" w:hAnsi="Arial"/>
                <w:sz w:val="14"/>
                <w:szCs w:val="14"/>
                <w:color w:val="auto"/>
                <w:w w:val="90"/>
              </w:rPr>
              <w:t>Three months ended September 30,</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ended September 30,</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through September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color w:val="auto"/>
              </w:rPr>
              <w:t>Change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8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2011</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18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 general and administrative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6,364,000</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323,000</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6,041,000</w:t>
            </w:r>
          </w:p>
        </w:tc>
        <w:tc>
          <w:tcPr>
            <w:tcW w:w="148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7,508,000</w:t>
            </w:r>
          </w:p>
        </w:tc>
        <w:tc>
          <w:tcPr>
            <w:tcW w:w="16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762,000</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6,746,000</w:t>
            </w:r>
          </w:p>
        </w:tc>
        <w:tc>
          <w:tcPr>
            <w:tcW w:w="18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8,694,000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 period ended September 30, 2012, marketing, general and administrative expenses increased by $6,041,000 (or 1,870%), to $6,364,000, from $323,000 during the three month period ended September 30, 2011. Marketing general and administrative expenses increased mostly due to the increase in payroll expense ($941,000, compared to $81,000 in 2011), as well as due to an increase in non-cash share based compensation expense ($4,592,000, compared to $50,000 in 2011), increased merger and acquisition expense ($90,000, compared to $0 in 2011) and increased corporate legal expenses ($240,000, compared to $73,000).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During the nine month period ended September 30, 2012, marketing, general and administrative expenses increased by $6,746,000 (or 885%), to $7,508,000, from $762,000 during the period from inception of I/P through September 30, 2011. Marketing, general and administrative expenses increased mostly due to the increase in payroll expense ($1,274,000, compared to $88,000 in 2011), as well as due to increase in non-cash share based compensation expense ($4,762,000, compared to $373,000 in 2011), increased merger and acquisition expense ($267,000, compared to $0 in 2011) and increased corporate legal expenses ($310,000, compared to $178,000 in 2011).</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inception through September 30, 2012, general and administrative expenses totaled approximately $8,694,000. $1,493,000 was attributed to salaries and related expenses, $5,236,000 were attributed to share based payments, $267,000 was attributed to merger and acquisition activity, and $1,109,000 was attributed to various professional fees.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our general and administrative expenses will increase, as our expenses will incorporate full costs of the new management, on a post-Merger basis (accounted for from July 19, 2012). In addition, increased costs include increased administration, rent, office, accounting, legal and insurance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Period from inception of</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Nine months</w:t>
            </w: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I/P (June 8, 2011) through</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00" w:type="dxa"/>
            <w:vAlign w:val="bottom"/>
            <w:gridSpan w:val="6"/>
          </w:tcPr>
          <w:p>
            <w:pPr>
              <w:jc w:val="center"/>
              <w:ind w:right="180"/>
              <w:spacing w:after="0"/>
              <w:rPr>
                <w:sz w:val="20"/>
                <w:szCs w:val="20"/>
                <w:color w:val="auto"/>
              </w:rPr>
            </w:pPr>
            <w:r>
              <w:rPr>
                <w:rFonts w:ascii="Arial" w:cs="Arial" w:eastAsia="Arial" w:hAnsi="Arial"/>
                <w:sz w:val="14"/>
                <w:szCs w:val="14"/>
                <w:color w:val="auto"/>
                <w:w w:val="90"/>
              </w:rPr>
              <w:t>Three months ended September 30,</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ended September 30,</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September 30,</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color w:val="auto"/>
              </w:rPr>
              <w:t>Change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2012</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2011</w:t>
            </w: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3"/>
                <w:szCs w:val="13"/>
                <w:color w:val="auto"/>
              </w:rPr>
            </w:pPr>
          </w:p>
        </w:tc>
        <w:tc>
          <w:tcPr>
            <w:tcW w:w="120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3"/>
                <w:szCs w:val="13"/>
                <w:color w:val="auto"/>
              </w:rPr>
            </w:pPr>
          </w:p>
        </w:tc>
        <w:tc>
          <w:tcPr>
            <w:tcW w:w="15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Non-operating Income, Net</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7,310,000</w:t>
            </w:r>
          </w:p>
        </w:tc>
        <w:tc>
          <w:tcPr>
            <w:tcW w:w="9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(4,000)</w:t>
            </w:r>
          </w:p>
        </w:tc>
        <w:tc>
          <w:tcPr>
            <w:tcW w:w="9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7,314,000</w:t>
            </w:r>
          </w:p>
        </w:tc>
        <w:tc>
          <w:tcPr>
            <w:tcW w:w="14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7,303,000</w:t>
            </w:r>
          </w:p>
        </w:tc>
        <w:tc>
          <w:tcPr>
            <w:tcW w:w="1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(4,000)</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7,307,000</w:t>
            </w:r>
          </w:p>
        </w:tc>
        <w:tc>
          <w:tcPr>
            <w:tcW w:w="18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7,295,000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Merger, our non-operating income, net, included mainly the impact of changes in fair value of derivative warrants, the fair value of which is highly affected by our share price at the measurement date. Consequently, as of September 30, 2012, we recorded an income of $7,240,000 due to the decrease of our share price at quarter end, compared to the price on the date of the Merger. In 2011, and prior to the Merger, our non-operating expense consisted of bank charges, as well as of interest expense related to the note payable (see also Note 5 to the accompanying financial statements). Finally, our non-operating income/expense includes the impact of dollar/shekel fluctuations, in connection with which we recorded income of approximately $75,000 in the three and nine months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Period from inception of</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Nine months ended</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I/P (June 8, 2011)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from inception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60" w:type="dxa"/>
            <w:vAlign w:val="bottom"/>
            <w:gridSpan w:val="5"/>
          </w:tcPr>
          <w:p>
            <w:pPr>
              <w:ind w:left="600"/>
              <w:spacing w:after="0"/>
              <w:rPr>
                <w:sz w:val="20"/>
                <w:szCs w:val="20"/>
                <w:color w:val="auto"/>
              </w:rPr>
            </w:pPr>
            <w:r>
              <w:rPr>
                <w:rFonts w:ascii="Arial" w:cs="Arial" w:eastAsia="Arial" w:hAnsi="Arial"/>
                <w:sz w:val="14"/>
                <w:szCs w:val="14"/>
                <w:color w:val="auto"/>
                <w:w w:val="90"/>
              </w:rPr>
              <w:t>Three months ended September 30,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September 30,</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through September 30,</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2012</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2011</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89"/>
              </w:rPr>
              <w:t>Change</w:t>
            </w:r>
          </w:p>
        </w:tc>
        <w:tc>
          <w:tcPr>
            <w:tcW w:w="24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2012</w:t>
            </w:r>
          </w:p>
        </w:tc>
        <w:tc>
          <w:tcPr>
            <w:tcW w:w="200" w:type="dxa"/>
            <w:vAlign w:val="bottom"/>
          </w:tcPr>
          <w:p>
            <w:pPr>
              <w:spacing w:after="0"/>
              <w:rPr>
                <w:sz w:val="13"/>
                <w:szCs w:val="13"/>
                <w:color w:val="auto"/>
              </w:rPr>
            </w:pPr>
          </w:p>
        </w:tc>
        <w:tc>
          <w:tcPr>
            <w:tcW w:w="1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Change</w:t>
            </w:r>
          </w:p>
        </w:tc>
        <w:tc>
          <w:tcPr>
            <w:tcW w:w="1260" w:type="dxa"/>
            <w:vAlign w:val="bottom"/>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 benefit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76,000</w:t>
            </w:r>
          </w:p>
        </w:tc>
        <w:tc>
          <w:tcPr>
            <w:tcW w:w="1620" w:type="dxa"/>
            <w:vAlign w:val="bottom"/>
            <w:gridSpan w:val="3"/>
            <w:shd w:val="clear" w:color="auto" w:fill="CCFFCC"/>
          </w:tcPr>
          <w:p>
            <w:pPr>
              <w:ind w:left="1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76,000</w:t>
            </w:r>
          </w:p>
        </w:tc>
        <w:tc>
          <w:tcPr>
            <w:tcW w:w="16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76,000</w:t>
            </w:r>
          </w:p>
        </w:tc>
        <w:tc>
          <w:tcPr>
            <w:tcW w:w="1820" w:type="dxa"/>
            <w:vAlign w:val="bottom"/>
            <w:gridSpan w:val="2"/>
            <w:shd w:val="clear" w:color="auto" w:fill="CCFFCC"/>
          </w:tcPr>
          <w:p>
            <w:pPr>
              <w:ind w:left="15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76,000</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76,000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and nine month period ended September 30, 2012, we recorded an income tax benefit in the total amount of $76,000, compared to $0 in all previous periods. In general,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For financial statements purposes, these profits are eliminated upon consolidation. In addition, income tax benefit included $118,000 due to a decrease in deferred tax liability in respect of the acquired technology (see also Note 4 of the accompanying financial statements). In all periods since inception, we have fully offset our U.S. net deferred tax asset with a valuation allowance. Our lack of earning history and the uncertainty surrounding our ability to generate U.S. taxable income prior to the expiration of such deferred tax assets were the primary factors considered by management in establishing the valuation allowance.</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taxable income in our subsidiary in Israel, in 2012, under the terms of the intercompany agreement. We also expect our income tax expense will be offset by a tax benefit derived from the decrease in deferred tax liability related to the acquired technology, as discussed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2012, we had a cash balance of $9,549,000 and approximately $5,842,000 in net working capital. The increase of $4,337,000 in our cash balance from December 31, 2011 was mainly due to $31,200,000 received in a private registered direct financing round and $1,769,000 from exercise of options and warrants, offset by net cash used by us in our business operations, in the total amount of approximately $5,962,000, $22,548,000 used to acquire Nokia patents, as well as $3,200,000 used to repay outstanding notes to Hudson Bay, as also described in Note 5 to the accompanying financial statements. As of September 30, 2012, our total stockholders' equity was $90,111,000, mainly increased by the net assets of Vringo recorded upon consummation of the Merger, offset by continued operating deficits from inception to date.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4, 2012, we entered into subscription agreements with several investors with respect to the registered direct offer and sale by us of an aggregate of 10,344,998 shares of our common stock, par value $0.01 per share, at a purchase price of $4.35 per share in a privately negotiated transaction in which no party acted as an underwriter or placement agent. The net proceeds to us were approximately $44,900,000 after deducting estimated offering expenses payable by us. We intend to use the net proceeds from this offering for general corporate working capital purposes.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2012, we entered into an agreement with certain of our warrant holders, pursuant to which such warrant holders exercised in cash 3,721,062 of their outstanding warrants, with an exercise price of $1.76 per share, and we issued such warrant holders unregistered warrants to purchase an aggregate of 3,000,000 of our shares of common stock, par value $0.01 per share, at an exercise price of $5.06 per share. The newly issued warrants do not bear down round protection clauses. We are still evaluating the accounting impact of this transaction; nevertheless, we expect such impact on our financial statements to be material.</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in October and November 2012, 790,903 warrants at an exercise price of $1.76 were exercised by our warrant holders, pursuant to which we received an additional $1,391,989.</w:t>
      </w:r>
    </w:p>
    <w:p>
      <w:pPr>
        <w:spacing w:after="0" w:line="170"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17"/>
          <w:szCs w:val="17"/>
          <w:color w:val="auto"/>
        </w:rPr>
        <w:t>The accompanying financial statements have been prepared on a basis which assumes that we will continue as a “going concern”, which contemplates the realization of assets and the satisfaction of liabilities and commitments in the normal course of business. As of November 14, 2012, we had approximately $60,500,000 in cash and cash equivalents. Based on current operating plans, we expect to have sufficient funds for at least the next twelve months. In addition, we may choose to raise additional funds in connection with potential acquisitions of patent portfolios or other intellectual property assets that we may pursue. There can be no assurance, however, that any such opportunities will materialize.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Period from June 8,</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Nine month period ended</w:t>
            </w: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2011 to</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from June 8, 2011 to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 2012</w:t>
            </w: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 2011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(5,962,000)</w:t>
            </w:r>
          </w:p>
        </w:tc>
        <w:tc>
          <w:tcPr>
            <w:tcW w:w="18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(254,000)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(5,708,000)</w:t>
            </w:r>
          </w:p>
        </w:tc>
        <w:tc>
          <w:tcPr>
            <w:tcW w:w="2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jc w:val="right"/>
              <w:spacing w:after="0"/>
              <w:rPr>
                <w:sz w:val="20"/>
                <w:szCs w:val="20"/>
                <w:color w:val="auto"/>
              </w:rPr>
            </w:pPr>
            <w:r>
              <w:rPr>
                <w:rFonts w:ascii="Arial" w:cs="Arial" w:eastAsia="Arial" w:hAnsi="Arial"/>
                <w:sz w:val="18"/>
                <w:szCs w:val="18"/>
                <w:color w:val="auto"/>
              </w:rPr>
              <w:t>(19,419,000)</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(3,400,000)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(16,019,000)</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(22,823,000)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29,717,000</w:t>
            </w:r>
          </w:p>
        </w:tc>
        <w:tc>
          <w:tcPr>
            <w:tcW w:w="1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7,360,000</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22,357,000</w:t>
            </w:r>
          </w:p>
        </w:tc>
        <w:tc>
          <w:tcPr>
            <w:tcW w:w="2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39,862,000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nine month period ended September 30, 2012, net cash used in operating activities totaled $5,962,000. During the period from inception through September 30, 2011, net cash used in operating activities totaled $254,000. The increase of $5,708,000 in cash used in operating activities was mainly due I/P’s incorporation in June 2011, the Merger with Vringo, and further development of our business. Operating activities include merger and acquisition related payments of $267,000 that reflect I/P’s and post-merger Vringo’s non-capitalized expenses.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firstLine="648"/>
        <w:spacing w:after="0" w:line="264"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development of our products and enhancement of our intellectual property. As we move towards greater revenue generation, we expect that these amounts will be offset over time by collection of funds generated by generated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nine month period ended September 30, 2012, net cash used in investing activities totaled $19,419,000. During the period from inception through September 30, 2011, net cash used in investing activities totaled $3,400,000. The increase in cash used in investing activities, in the total amount of $16,019,000 was primarily due to the purchase of the patent portfolio from Nokia, in the total amount of $22,548,000, compared to the cost of patents acquired from Lycos in 2011, for $3,395,000. Fixed asset purchases in the nine month period ended September 30, 2012 amounted to $151,000 compared to $5,000 for the period from inception of I/P through September 30, 2011, due to post-Merger relocation of our headquarters.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and upgrade our computers and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 period ended September 30, 2012, net cash provided by financing activities totaled $29,717,000, which relates to the August private financing round, in which we raised approximately, $31,148,000, offset by repayment of notes payable to Hudson Bay, and funds received from exercise of warrants and options in the total amount of $1,769,000. During the from inception of I/P through September 30, 2011, net cash provided by financing activities totaled $7,360,000, which included the receipt of notes payable from Hudson Bay and proceeds from the issuance of Series A Convertible Preferred Stock and shares of common stock in the total amount of $4,160,000.</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mentioned above, a significant portion of our issued and outstanding warrants are currently “in the money” and the shares of common stock underlying such warrants held by non-affiliates are freely tradable, with the potential of up to $21,904,382 of incoming funds. We may choose to raise additional funds in connection with any acquisition of patent portfolios or other intellectual property assets that we may pursue. There can be no assurance, however, that any such opportunity will materialize, moreover, any such financing would likely be dilutive to our current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through the Merger we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 Together with the executive team from I/P we anticipate the creation of additional products and services that will be distributed through our existing operator and handset relationships. We may choose to raise additional funds in connection with any potential acquisition of patent portfolios or other intellectual property assets that we may pursue. There can be no assurance, however, that any such opportunities will materialize, moreover, any such financing would likely be dilutive to our stockholders.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one of the means of realizing the value of the patents on telecom infrastructure, on October 5, 2012, our wholly-owned subsidiary, Vringo Infrastructure, Inc., filed suit in the UK High Court of Justice, Chancery Division, Patents Court, alleging infringement of European Patents (UK) 1,212,919; 1,166,589; and 1,808,029. Declarations have been filed at the European Telecommunications and Standards Institute (ETSI) that cover the patents. The complaint alleges that ZTE's cellular network elements fall within the scope of all three patents, and ZTE's GSM/UMTS multi-mode wireless handsets also fall within the scope of the '029 patent. On October 23, 2012, counsel for ZTE acknowledged service. ZTE (UK) formal response to the complaint is anticipated by November 22, 2012. A case management conference where among other matters, the schedule for the suit will be set, is anticipated in January 2013.</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10, 2012, our subsidiary in the United States entered into a patent purchase agreement, as part of which we issued to seller 160,600 unregistered shares of our common stock, as well as a 20% royalty from collected future revenue.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in discussions with several potential strategic partners and mobile carriers and we will be pursuing additional agreements over the next 12 to 24 months. In addition, we are continuing to explore further opportunities for strategic business alliances, as well as, potential acquisition of patent portfolios or other intellectual property assets. However, there can be no assurance that any such opportunities may arise, or that any such opportunities will be consummated.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our significant accounting policies are more fully described in the notes to our audited consolidated financial statements for the years ended December 31, 2011 contained in the definitive proxy statement/prospectus filed with the SEC on July 21, 2012, we believe the following accounting policies to be the most critical in understanding the judgments and estimates we use in preparing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accounted for the Merger in accordance with </w:t>
      </w:r>
      <w:r>
        <w:rPr>
          <w:rFonts w:ascii="Arial" w:cs="Arial" w:eastAsia="Arial" w:hAnsi="Arial"/>
          <w:sz w:val="18"/>
          <w:szCs w:val="18"/>
          <w:i w:val="1"/>
          <w:iCs w:val="1"/>
          <w:color w:val="auto"/>
        </w:rPr>
        <w:t>FASB Topic ASC 805 ”Business Combinations”</w:t>
      </w:r>
      <w:r>
        <w:rPr>
          <w:rFonts w:ascii="Arial" w:cs="Arial" w:eastAsia="Arial" w:hAnsi="Arial"/>
          <w:sz w:val="18"/>
          <w:szCs w:val="18"/>
          <w:color w:val="auto"/>
        </w:rPr>
        <w:t xml:space="preserve"> and for identified goodwill and technology in accordance with </w:t>
      </w:r>
      <w:r>
        <w:rPr>
          <w:rFonts w:ascii="Arial" w:cs="Arial" w:eastAsia="Arial" w:hAnsi="Arial"/>
          <w:sz w:val="18"/>
          <w:szCs w:val="18"/>
          <w:i w:val="1"/>
          <w:iCs w:val="1"/>
          <w:color w:val="auto"/>
        </w:rPr>
        <w:t>FASB Topic ASC 350 ”Intangibles - Goodwill and Other”</w:t>
      </w:r>
      <w:r>
        <w:rPr>
          <w:rFonts w:ascii="Arial" w:cs="Arial" w:eastAsia="Arial" w:hAnsi="Arial"/>
          <w:sz w:val="18"/>
          <w:szCs w:val="18"/>
          <w:color w:val="auto"/>
        </w:rPr>
        <w:t xml:space="preserve">. Additionally, we review our long-lived assets for recoverability in accordance with </w:t>
      </w:r>
      <w:r>
        <w:rPr>
          <w:rFonts w:ascii="Arial" w:cs="Arial" w:eastAsia="Arial" w:hAnsi="Arial"/>
          <w:sz w:val="18"/>
          <w:szCs w:val="18"/>
          <w:i w:val="1"/>
          <w:iCs w:val="1"/>
          <w:color w:val="auto"/>
        </w:rPr>
        <w:t>FASB Topic ASC 360 “Property, Plant and Equipment”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identification and valuation of intangible assets and the determination of the estimated useful lives at the time of acquisition are based on various valuation methodologies including reviews of projected future cash flows. The use of alternative estimates and assumptions could increase or decrease the estimated fair value of our goodwill and other intangible assets, and potentially result in a different impact to our results of operations. Further, changes in business strategy and/or market conditions may significantly impact these judgments thereby impacting the fair value of these assets, which could result in an impairment of the goodwill and acquired intangible assets.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evaluate our long-lived tangible and intangible assets for impairment in accordance with FASB Topic ASC 350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and FASB Topic ASC 360</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whenever events or changes in circumstances indicate that the carrying amount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may not be recoverable. Goodwill is subject to an annual test for impairment, or for impairment testing up on the occurrence of triggering events. If such assets are considered to be impaired, the impairment to be recognized is measured by the amount by which the carrying amount of the assets exceeds the fair value of the assets. While we use available information to prepare our estimates and to perform impairment evaluations, the completion of annual impairment tests requires significant management judgments and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the date of the Merger, Vringo’s outstanding warrants included: (i) 148,390 Special Bridge Warrants, at an exercise price of $0.94, with an expected remaining term of 2.44 years; (ii) 101,445 Conversion Warrants, at an exercise price of $0.94, with an expected remaining term of 2.44 years; (iii) 887,330 Preferential Reload Warrants, at an exercise price of $1.76, with an expected remaining term of 4.55 years; and (iv) 814,408 non-Preferential Reload Warrants, at an exercise price of $1.76, with an expected remaining term of 4.55 years. Following the Merger and through September 30, 2012, 101,692 non-Preferential Reload Warrants were exercised.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Merger, on July 19, 2012, we issued to I/P’s stockholders 8,299,116 warrants at an exercise price of $1.76 and expected term of 5 years (“Series 1 Warrant”). These warrants bear down-round protection clauses, as a result, they were classified as a long-term derivative liability and recorded at fair value. In addition, I/P’s stockholders received another 7,660,722 warrants at an exercise price of $1.76 and expected term of 5 years (“Series 2 Warrant”). As these warrants do not have down-round protection clauses, they were classified as equity. Following the Merger and through September 30, 2012, 371,440 Series 1 Warrants and 342,873 Series 2 Warrants were exercised. The following table represents the assumptions, valuation models and inputs used, as of September 30,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20" w:type="dxa"/>
            <w:vAlign w:val="bottom"/>
          </w:tcPr>
          <w:p>
            <w:pPr>
              <w:spacing w:after="0"/>
              <w:rPr>
                <w:sz w:val="18"/>
                <w:szCs w:val="18"/>
                <w:color w:val="auto"/>
              </w:rPr>
            </w:pPr>
          </w:p>
        </w:tc>
        <w:tc>
          <w:tcPr>
            <w:tcW w:w="2960" w:type="dxa"/>
            <w:vAlign w:val="bottom"/>
            <w:gridSpan w:val="2"/>
          </w:tcPr>
          <w:p>
            <w:pPr>
              <w:ind w:left="880"/>
              <w:spacing w:after="0"/>
              <w:rPr>
                <w:sz w:val="20"/>
                <w:szCs w:val="20"/>
                <w:color w:val="auto"/>
              </w:rPr>
            </w:pPr>
            <w:r>
              <w:rPr>
                <w:rFonts w:ascii="Arial" w:cs="Arial" w:eastAsia="Arial" w:hAnsi="Arial"/>
                <w:sz w:val="18"/>
                <w:szCs w:val="18"/>
                <w:b w:val="1"/>
                <w:bCs w:val="1"/>
                <w:color w:val="auto"/>
              </w:rPr>
              <w:t>Unobservable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Pr>
          <w:p>
            <w:pPr>
              <w:ind w:left="16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tcPr>
          <w:p>
            <w:pPr>
              <w:spacing w:after="0"/>
              <w:rPr>
                <w:sz w:val="20"/>
                <w:szCs w:val="20"/>
                <w:color w:val="auto"/>
              </w:rPr>
            </w:pPr>
          </w:p>
        </w:tc>
        <w:tc>
          <w:tcPr>
            <w:tcW w:w="296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Inputs</w:t>
            </w:r>
          </w:p>
        </w:tc>
        <w:tc>
          <w:tcPr>
            <w:tcW w:w="1800" w:type="dxa"/>
            <w:vAlign w:val="bottom"/>
            <w:gridSpan w:val="2"/>
          </w:tcPr>
          <w:p>
            <w:pPr>
              <w:ind w:left="60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16"/>
        </w:trPr>
        <w:tc>
          <w:tcPr>
            <w:tcW w:w="4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63.75% – 67.43%</w:t>
            </w:r>
          </w:p>
        </w:tc>
        <w:tc>
          <w:tcPr>
            <w:tcW w:w="0" w:type="dxa"/>
            <w:vAlign w:val="bottom"/>
          </w:tcPr>
          <w:p>
            <w:pPr>
              <w:spacing w:after="0"/>
              <w:rPr>
                <w:sz w:val="1"/>
                <w:szCs w:val="1"/>
                <w:color w:val="auto"/>
              </w:rPr>
            </w:pPr>
          </w:p>
        </w:tc>
      </w:tr>
      <w:tr>
        <w:trPr>
          <w:trHeight w:val="216"/>
        </w:trPr>
        <w:tc>
          <w:tcPr>
            <w:tcW w:w="4120" w:type="dxa"/>
            <w:vAlign w:val="bottom"/>
            <w:vMerge w:val="restart"/>
          </w:tcPr>
          <w:p>
            <w:pPr>
              <w:spacing w:after="0"/>
              <w:rPr>
                <w:sz w:val="20"/>
                <w:szCs w:val="20"/>
                <w:color w:val="auto"/>
              </w:rPr>
            </w:pPr>
            <w:r>
              <w:rPr>
                <w:rFonts w:ascii="Arial" w:cs="Arial" w:eastAsia="Arial" w:hAnsi="Arial"/>
                <w:sz w:val="18"/>
                <w:szCs w:val="18"/>
                <w:color w:val="auto"/>
              </w:rPr>
              <w:t>Special Bridge Warrants, Conversion Warrants,</w:t>
            </w:r>
          </w:p>
        </w:tc>
        <w:tc>
          <w:tcPr>
            <w:tcW w:w="2420" w:type="dxa"/>
            <w:vAlign w:val="bottom"/>
            <w:gridSpan w:val="2"/>
            <w:vMerge w:val="restart"/>
          </w:tcPr>
          <w:p>
            <w:pPr>
              <w:ind w:left="120"/>
              <w:spacing w:after="0"/>
              <w:rPr>
                <w:sz w:val="20"/>
                <w:szCs w:val="20"/>
                <w:color w:val="auto"/>
              </w:rPr>
            </w:pPr>
            <w:r>
              <w:rPr>
                <w:rFonts w:ascii="Arial" w:cs="Arial" w:eastAsia="Arial" w:hAnsi="Arial"/>
                <w:sz w:val="18"/>
                <w:szCs w:val="18"/>
                <w:color w:val="auto"/>
                <w:w w:val="94"/>
              </w:rPr>
              <w:t>Black-Scholes-Merton and the</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0.27% – 0.63%</w:t>
            </w: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Expected term, in years</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 – 4.80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1"/>
              </w:rPr>
              <w:t>Preferential Reload Warrants and the Series 1 Warrants</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Monte-Carlo models</w:t>
            </w:r>
          </w:p>
        </w:tc>
        <w:tc>
          <w:tcPr>
            <w:tcW w:w="1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Probability and timing of down-round</w:t>
            </w:r>
          </w:p>
        </w:tc>
        <w:tc>
          <w:tcPr>
            <w:tcW w:w="180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15% occurrence in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triggering event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account for stock-based awards under </w:t>
      </w:r>
      <w:r>
        <w:rPr>
          <w:rFonts w:ascii="Arial" w:cs="Arial" w:eastAsia="Arial" w:hAnsi="Arial"/>
          <w:sz w:val="16"/>
          <w:szCs w:val="16"/>
          <w:i w:val="1"/>
          <w:iCs w:val="1"/>
          <w:color w:val="auto"/>
        </w:rPr>
        <w:t>ASC 718, “Compensation—Stock Compensation”</w:t>
      </w:r>
      <w:r>
        <w:rPr>
          <w:rFonts w:ascii="Arial" w:cs="Arial" w:eastAsia="Arial" w:hAnsi="Arial"/>
          <w:sz w:val="16"/>
          <w:szCs w:val="16"/>
          <w:color w:val="auto"/>
        </w:rPr>
        <w:t xml:space="preserve">, which requires measurement of compensation cost for stock-based awards at fair value on the date of grant and the recognition of compensation over the service period in which the awards are expected to vest. In addition, for options granted to consultants, </w:t>
      </w:r>
      <w:r>
        <w:rPr>
          <w:rFonts w:ascii="Arial" w:cs="Arial" w:eastAsia="Arial" w:hAnsi="Arial"/>
          <w:sz w:val="16"/>
          <w:szCs w:val="16"/>
          <w:i w:val="1"/>
          <w:iCs w:val="1"/>
          <w:color w:val="auto"/>
        </w:rPr>
        <w:t>FASB ASC 505-</w:t>
      </w:r>
      <w:r>
        <w:rPr>
          <w:rFonts w:ascii="Arial" w:cs="Arial" w:eastAsia="Arial" w:hAnsi="Arial"/>
          <w:sz w:val="16"/>
          <w:szCs w:val="16"/>
          <w:color w:val="auto"/>
        </w:rPr>
        <w:t>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determine the fair value of stock options granted to employees, directors and consultants using the Black-Scholes-Merton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incorporating historical stock volatility from comparable companies.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we made different assumptions about risk-free interest rate, volatility, or the estimated time that the options will be outstanding before they are ultimately exercised, the recorded expense, our net loss and net loss per share amounts could have been significantly different. Had we used different assumptions, our results may have been significantly different.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September 30, 2012 and December 31, 2011, we have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14 of Vringo consolidated financial statements for the year ended December 31, 2011.</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10-Q.</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our Chief Financial Officer (principal financial officer), evaluated the effectiveness of our disclosure controls and procedures as of September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2012, our Chief Executive Officer and Chief Financial Officer concluded that, as of such date, our disclosure controls and procedures were ineffective for the reasons set forth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In the past, our management has identified a material weakness in our disclosure controls and procedures relating to insufficient controls in connection with recognition, valuation and accounting for equity, debt and derivative instruments. We have been enhancing our proficiency of the professional literature on these subjects. In addition, we are in the process of remediating this material weakness by broadening the role of external qualified valuation and accounting experts, to allow for our stronger oversight in this area.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 ended September 30, 2012, there were no changes in our internal control over financial reporting identified in connection with the evaluation required by paragraph (d) of Rule 13a-15 or Rule 15d-15 that has materially affected, or is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 Engine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one of the means of realizing the value of the patents acquired from Lycos, on September 15, 2011, I/P initiated (through I/P Engine) litigation in the United States District Court, Eastern District of Virginia, against AOL, Inc. (“AOL”), Google, Inc. (“Google”), IAC Search &amp; Media, Inc. (“IAC”), Gannett Company, Inc. (“Gannett”), and Target Corporation (“Target”) for patent infringement regarding two of the patents acquired from Lycos (U.S. Patent Nos. 6,314,420 and 6,775,664) (together the “Defendants”).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15, 2012, Google submitted a request to the USPTO for ex parte reexamination of U.S. Patent No. 6,314,420, one of the two patents-in-suit. The request was deposited on March 16, 2012 and was assigned Control No. 90/009,991. We expected Google to seek reexamination and believe this request is a standard and typical tactic used by defendants in patent litigation cases. The filing of a request for reexamination is the first step in a process that ordinarily takes several years. On July 18, 2012 the USPTO issued a determination ordering a reexamination. On September 25, 2012, the USPTO issued a first, non-final office action where it adopted the rejections proposed by Google. Our response is due by November 25, 2012.</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the Court will issue a ruling on obviousness. We believe that the jury’s factual findings will support a finding that the patents are not invalid as obvious. After finding that the asserted claims of the Patents were both valid and infringed, the jury found that reasonable royalty damages should be based on a "running royalty", and that the running royalty rate should be 3.5%.</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finding that the asserted claims of the Patents were both valid and infringed by the Defendants, the jury found that the following sums of money, if paid now in cash, would reasonably compensate I/P Engine for the Defendants past infringement as follows: Google: $15,800,000, AOL: $7,943,000, IAC: $6,650,000, Gannett: $4,322, Target: $98,833. I/P Engine and Defendants are allowed to file post-trial motions with the court, the schedule for which has yet been determined.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Vringo Infrastructure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one of the means of realizing the value of the patents on telecom infrastructure, on October 5, 2012 our wholly-owned subsidiary, Vringo Infrastructure, Inc., filed suit in the UK High Court of Justice, Chancery Division, Patents Court, alleging infringement of European Patents (UK) 1,212,919; 1,166,589; and 1,808,029. Declarations have been filed at the European Telecommunications and Standards Institute (ETSI) that cover the patents. The complaint alleges that ZTE’s cellular network elements fall within the scope of all three patents, and ZTE’s GSM/UMTS multi-mode wireless handsets also fall within the scope of the ‘029 patent. On October 23, 2012, counsel for ZTE acknowledged service. ZTE (UK) formal response to the complaint is anticipated by November 22, 2012. A case management conference where among other matters, the schedule for the suit will be set, is anticipated in January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risk factors set forth below update the risk factors in Part I, “Item 1A. Risk Factors” in our Annual Report on Form 10-K for the year ended December 31, 2011 as updated in our Quarterly Report on Form 10-Q for the period ended June 30, 2012 filed on August 14, 2012.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and we generated no significant revenue to date. I/P, the accounting acquirer, was incorporated in June 2011, at which time it acquired its main patent assets. To date, our business focused mainly on prosecution based on these patents. Therefore we not only have a very limited operating history, but also a very limited track record in executing our business model which includes, among other things, creating, prosecuting, licensing, litigating or otherwise monetizing its patent assets. Our limited operating history makes it difficult to evaluate our current business model and future prospects.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business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execute any one of the foregoing or similar matters relating to its operations, our business may fail.</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license or otherwise monetize the patent assets acquired, we commenced legal proceedings against the owners of online search engines and other companies (including AOL, Inc., Google, Inc., IAC Search &amp; Media, Inc., Gannett Company, Inc., and Target Corporation), as well as against other leading communications companies, pursuant to which we allege that such companies infringe on one or more of our patents. Our viability is highly dependent on the outcome these litigations, and there is a risk that we may be unable to achieve the results we desire from such litigation, which failure would harm our business to a great degree. In addition, the defendants in these litigations have substantially more resources than we do, which could make our litigation efforts more difficult.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48"/>
        <w:spacing w:after="0" w:line="270" w:lineRule="auto"/>
        <w:rPr>
          <w:sz w:val="20"/>
          <w:szCs w:val="20"/>
          <w:color w:val="auto"/>
        </w:rPr>
      </w:pPr>
      <w:r>
        <w:rPr>
          <w:rFonts w:ascii="Arial" w:cs="Arial" w:eastAsia="Arial" w:hAnsi="Arial"/>
          <w:sz w:val="17"/>
          <w:szCs w:val="17"/>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others to enforce or defend our intellectual property rights or to determine the validity and scope of other parties’ proprietary rights. The defendants or other third parties involved in the lawsuits in which we are involved may allege defenses and/or file counterclaims in an effort to avoid or limit liability and damages for patent infringement. If such defenses or counterclaims are successful, they may preclude our ability to derive licensing revenue from the patents. A negative outcome of any such litigation, or one or more claims contained within any such litigation, could materially and adversely impact our business. Additionally, we anticipate that our legal fees and other expenses will be material and will negatively impact our financial condition and results of operations and may result in our inability to continue our business. Expenses are also dependent on the outcome of current processes. Our failure to monetize our patent assets would significantly harm our business.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While we believe that the patents acquired are being infringed by certain major online search engines and communications companies,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companies infringe on our patents, but recognize that obtaining and collecting a judgment against such infringers may be difficult or impossible. Patent litigation is inherently risky and the outcome is uncertain. Some of the parties we believe infringe on our patents are large and well-financed companies with substantially greater resources than ours. We believe that these parties would devote a substantial amount of resources in an attempt to avoid or limit a finding that they are liable for infringing our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we acquired.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statutory authority, regulatory authority, federal rules, local court rules, or governing standards relating to the substantive or procedural aspects of such enforcement actions. In such event, a court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its financial position.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believe that the more prevalent patent enforcement actions become, the more difficult it will be for us to license our patents without engaging in litigation. As a result, we may need to increase the number of our patent enforcement actions to cause infringing companies to license the patent or pay damages for lost royalties. This will adversely affect our operating results due to the high costs of litigation and the uncertainty of the results.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subsidiary, Vringo Infrastructure Inc., has commenced legal proceedings against ZTE (UK) Ltd. (“ZTE”) and expects such litigation to be time-consuming and costly, which may adversely affect our financial position and our ability to operate our business.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license or otherwise monetize the patent assets we acquired from Nokia, Vringo Infrastructure has commenced legal proceedings against ZTE, pursuant to which, Vringo Infrastructure alleges that ZTE infringe three of Vringo Infrastructure’s patents. The defendant’s parent company in the UK is much larger than Vringo and has substantially more resources, which could make our litigation efforts more difficult.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anticipate that the above mentioned legal proceedings may continue for several years and may require significant expenditures for legal fees and other expenses. Disputes regarding the assertion of patents and other intellectual property rights are highly complex and technical. Once initiated, Vringo Infrastructure may be forced to litigate against others to enforce or defend their intellectual property rights or to determine the validity and scope of other parties’ proprietary rights. ZTE may allege defenses and/or file counterclaims for inter alia revocation or file collateral litigations or initiate investigations in the UK or elsewhere in an effort to avoid or limit liability and damages for patent infringement. If such actions by ZTE are successful, they may preclude our ability to derive licensing revenue from the patents currently being asserted.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59" w:lineRule="auto"/>
        <w:rPr>
          <w:sz w:val="20"/>
          <w:szCs w:val="20"/>
          <w:color w:val="auto"/>
        </w:rPr>
      </w:pPr>
      <w:r>
        <w:rPr>
          <w:rFonts w:ascii="Arial" w:cs="Arial" w:eastAsia="Arial" w:hAnsi="Arial"/>
          <w:sz w:val="18"/>
          <w:szCs w:val="18"/>
          <w:color w:val="auto"/>
        </w:rPr>
        <w:t>Additionally, we anticipate that its legal fees and other expenses will be material and will negatively impact our financial condition and results of operations and may result in its inability to continue its business. We estimate that our legal fees in the UK actions over the next twelve months will be approximately $2,400,000.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should we be deemed the losing party in any of its applications to the Court in the UK Litigation or for the entire litigation, we may be held responsible for a substantial percentage of the defendant’s legal fees for the relevant application or for the litigation. These fees may be substantial. To date, ZTE has asserted that its anticipated fees in defending the UK litigation may be approximately $3,100,000. However, should we be successful on any court applications or the entire litigation, ZTE would be responsible for a substantial percentage of our legal fees.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European patents (UK) could be viewed as essential and therefore necessarily infringed by all unlicensed market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 is also possible that, in light of our litigation with ZTE, it will choose to suspend or sever its Facetones® related commercial relationship with us.</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have acquired from Nokia and thus we may fail to realize all of the anticipated benefits of such acquisition.</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is no assurance that we will be able to successfully monetize the patent portfolio that we have acquired from Nokia. The acquisition of Nokia patents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integration of a patent portfolio will be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Therefore, there is no assurance that we will realize enough revenues from the monetization of such patent portfolio we have acquired from Nokia in order to recoup our investment.</w:t>
      </w:r>
    </w:p>
    <w:p>
      <w:pPr>
        <w:spacing w:after="0" w:line="16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seek to internally develop additional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significant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and it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interference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may design around technologies we have developed;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enforcement of our patents would be complex, uncertain and very expensive.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its business. As to those patents that we may license or otherwise monetize, our rights will depend on maintaining its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Congress, the United States Patent and Trademark Office or courts implement new legislation, regulations or rulings that impact the patent enforcement process or the rights of patent holders, these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its patent or other intellectual property rights.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our business. However, the Leahy-Smith Act and its implementation could increase the uncertainties and costs surrounding the prosecution of patent applications and the enforcement or defense of issued to us patents, all of which could have a material adverse effect on our business and financial condition.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of patent or other intellectual property assets, which are and will be critical to our business plan, are often time consuming, complex and costly to consummate. We may utilize many different transaction structures in its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 assets, there is no guarantee that we will generate sufficient revenue related to those patent assets to offset the acquisition costs. While we will seek to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its investment in the assets.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We may also identify patent or other intellectual property assets that cost more than we are prepared to spend with our own capital resources. We may incur significant costs to organize and negotiate a structured acquisition that does not ultimately result in an acquisition of any patent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its patents and technologies in their products and services. As a result, there can be no assurance as to whether technologies we acquire or develop will have value that it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many of whom have greater cash resources than we have. In addition, any failure to satisfy our debt repayment obligations may result in adverse consequences to its operating results.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failure to maintain or protect our patent assets or other intellectual property rights could significantly impair our return on investment from such assets and harm our brand, business and operating results.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operate our business and compete in the intellectual property market largely depends on the superiority, uniqueness and value of our patent assets and other intellectual property. To protect our proprietary rights, we rely on and will rely on a combination of patent, trademark, copyright and trade secret laws, confidentiality agreements with its employees and third parties, and protective contractual provisions. No assurances can be given that any of the measures we undertake to protect and maintain our assets will have any measure of success.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acquisition of patent assets, we will likely be required to spend significant time and resources to maintain the effectiveness of those assets by paying maintenance fees and making filings with the United States Patent and Trademark Office. We may acquire patent assets, including patent applications, which require us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us, and such assertions or prosecutions could materially and adversely affect our business. Regardless of whether any such claims are valid or can be successfully asserted, defending such claims could cause us to incur significant costs and could divert resources away from our other activities.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Despite our efforts to protect its intellectual property rights, any of the following or similar occurrences may reduce the value of our intellectual property:</w:t>
      </w:r>
    </w:p>
    <w:p>
      <w:pPr>
        <w:spacing w:after="0" w:line="170"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applications for patents, trademarks and copyrights may not be granted and, if granted, may be challenged or invalidated;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issued trademarks, copyrights, or patents may not provide us with any competitive advantages versus potentially infringing parties;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efforts to protect our intellectual property rights may not be effective in preventing misappropriation of our technology; or</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efforts may not prevent the development and design by others of products or technologies similar to or competitive with, or superior to those we acquire and/or prosecute.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we may not be able to effectively protect our intellectual property rights in certain foreign countries where we may do business in the future or from which competitors may operate. If we fail to maintain, defend or prosecute our patent assets properly, the value of those assets would be reduced or eliminated, and our business would be harmed.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its financial condition and operating results.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After giving effect to the Merger, should our warrants outstanding as of November 14, 2012, be exercised (including the warrants issued in connection with the Merger), there would be an additional 20,346,640 shares of common stock eligible for trading in the public market. In addition, we currently have incentive equity instruments outstanding to purchase 9,284,362 shares of our common stock granted to our management, employees, directors and consultants. In addition, the vesting of all Vringo pre-Merger options are subject to further acceleration in case our common stock reaches certain price or market capitalization targets for 20 of 30 consecutive trading dates, as follows: (i) 75% acceleration if either the price of the our common stock is at least $10 or our market capitalization is $500,000,000 or more; and (ii) 100% acceleration if either the price of our common stock is at least $20 or our market capitalization is at least $1,000,000,000.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November 14, 2012, is $3.01 per share.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November 9, 2012, we had 80,328,144 shares of common stock issued and outstanding, excluding shares of common stock issuable upon exercise of warrants or options. As shares saleable under Rule 144 are sold or as restrictions on resale need,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are unable to adequately protect our intellectual property, we may not be able to compete effectively. In addition, the possibility of extensive delays in the patent issuance process could effectively reduce the term during which a marketed product is protected by patents.</w:t>
      </w:r>
    </w:p>
    <w:p>
      <w:pPr>
        <w:spacing w:after="0" w:line="142"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in such collaborators.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its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its intellectual property in a manner that maximizes competitive advantage. If we are unable to protect our intellectual property and proprietary rights from unauthorized use, the value of its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its proprietary technology. We entered into confidentiality and invention agreements with its employees and consultants. Nevertheless, these agreements may not be honored and they may not effectively protect our right to its un-patented trade secrets and know-how. Moreover, others may independently develop substantially equivalent proprietary information and techniques or otherwise gain access to our trade secrets and know-how.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its products, or we may have to obtain licenses from third parties to continue offering its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Third party infringement claims could also significantly limit the Vringo Studio products and the content available in Vringo’s content library. The Vringo Studio tool allows users to access video from multiple sites on the web or from their computer and allows them to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that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the Vringo studio library and significantly limit the availability of content in the Vringo Studio. This would negatively impact our user experience and may cause users to cancel our service and make our service less attractive to its partners.</w:t>
      </w:r>
    </w:p>
    <w:p>
      <w:pPr>
        <w:spacing w:after="0" w:line="18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unable to enter into or maintain distribution arrangements with major mobile carriers and/or other partners and develop and maintain our existing strategic relationships with mobile carriers, we will be unable to distribute our products effectively or generate significant revenue.</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strategy for distributing our applications and services is dependent upon establishing distribution arrangements with major mobile carriers and other partners. We currently have distribution arrangements with Etisalat (Emirates Telecom), Orange (Everything Everywhere), Vodafone, Verizon, Maxis, Celcom (Axiata Berhard), Hungama Mobile and Du. We need to develop and maintain strategic relationships with these entities in order for them to market our service to their end users. While we have entered into agreements with the aforementioned mobile carriers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its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it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that we currently support.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its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represents less than 5% of our revenue for the three months ended September 30, 2012, is heavily reliant upon our Android devices users. Currently, over 96% of our Facetones® users utilize the Android operating system. In addition, our commercial agreement with ZTE is solely reliant on our ability to maintain our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its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its service. Such lapses could have a material adverse effect on our business and its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Our business depends upon its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its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Facetones® application creates automated video slideshow using friends’ photos from social media web sites, primarily from Facebook®, the world’s leading social media site. Facetones® represented less than 5% of our revenue for the three months ended September 30, 2012; however, we believe that the rapid growth of our user base is critical to the value of our mobile application business. In the event Facebook® prohibits or restricts the ability of our application to access photos on its site, our business, financial condition, operating results and projected growth could be harmed. In February 2012, Vringo entered into an agreement with Facebook®, which clarifies our permitted use of the Facetones® mark and domain name.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Vringo’s ability to make use of that information. If we fail to successfully comply with applicable regulations in this area, its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NYSE MKT (formerly, NYSE Amex). Should stockholders not approve such issuances, our sole means to raise capital would be through debt, which could have a material adverse effect on our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and finance department are located in Israel and some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our current revenues are, and are expected to be, generated in U.S Dollars, British Pounds and Euros, while a portion of our expenses is, and is expected to be, incurred in British Pounds, Euros and in New Israeli Shekels, our results may be significantly affected by currency exchange rate fluctuations.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revenues are, and are expected to be, generated in U.S Dollars, Euros and in the British Pound, while significant salary related expenses are paid in New Israeli Shekels and expenses related to maintaining, prosecuting and enforcing the patents acquired from Nokia are expected to be paid in British Pounds and in Euros. As a result, we are exposed to the adverse effect of increased dollar-measured cost of our operations, as value of these currencies may materially fluctuate against the U.S Dollar, as it is affected by, among other things, changes in political and economic conditions. Fluctuations in the abovementioned exchange rates, or even the appearance of instability in any such exchange rate, could adversely affect our ability to operate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30, 2012, the Company issued 50,000 shares of its common stock to Chardan Capital Markets, LLC, pursuant to a consulting agreement. The issuance of the shares was made in reliance on the exemption from registration provided under Section 4(2) of the Securities Act of 1933,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12, 2012, the Company released H. Van Sinclair, a member of the board of directors of the Company, from certain restrictions on sales and other dispositions and public announcement or disclosure which were included in that certain Lock-Up Agreement, dated July 19, 2012, entered into between the Company and each of the directors and executive officers, as previously disclosed on the Company’s Current Report on Form 8-K filed with the Securities and Exchange Commission on July 20, 2012 in connection with the establishment of a pre-arranged trading plan that complies with Rule 10b5-1 under the Exchange Act. The Lock-Up Agreement was filed as Exhibit 10.6 to the Current Report. All other provisions of the Lock-Up Agreement have remained unchanged.</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 Van Sinclair intends to establish a stock trading plan with respect to shares of common stock owned by him or underlying warrants, restricted stock units or stock options owned by him in accordance with Rule 10b5-1 under the Exchange Act. All of such transactions will be made subject to the volume limitations under Rule 144.</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trading plan is in addition to trading plans already established by members of the Board and officers on August 31, 2012, some of which may be amended from time to time. The transactions under these trading plans will be disclosed publicly through Form 144 and Form 4 filings with the Securities and Exchange Commission. The trading plans are designed to align the interests of directors and officers with the Company’s investors by allowing them to monetize a portion of their equity positions in a systematic, nondiscretionary manner with the goal of minimal market impact, and compliance with federal securities laws and regulations adopted by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34"/>
        </w:trPr>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Agreement and Plan of Merger by and among Vringo, Inc., VIP Merger Sub, Inc. and I/P, Inc., dated as of March 12, 2012 (incorporated by</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Exhibit 2.1 to our Current Report on Form 8-K filed on March 14, 2012)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to effect an increase in authorized shares (incorporated by</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Exhibit 3.1 to our Current Report on Form 8-K filed on July 20, 2012)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Certificate of Designations, Preferences and Rights of Series A Convertible Preferred Stock (incorporated by reference from Exhibit 3.2 to</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our Current Report on Form 8-K filed on July 20, 2012)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Series 1 Warrant (incorporated by reference from Annex F to our Registration Statement on Form S-4 (File No. 333-180609)</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Series 1 Warrant (incorporated by reference from Annex G to our Registration Statement on Form S-4 (File No. 333-180609)</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Confidential Patent Purchase Agreement, dated August 9, 2012, by and between Vringo, Inc. and Nokia Corporation</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tcPr>
          <w:p>
            <w:pPr>
              <w:spacing w:after="0"/>
              <w:rPr>
                <w:sz w:val="20"/>
                <w:szCs w:val="20"/>
                <w:color w:val="auto"/>
              </w:rPr>
            </w:pPr>
            <w:r>
              <w:rPr>
                <w:rFonts w:ascii="Arial" w:cs="Arial" w:eastAsia="Arial" w:hAnsi="Arial"/>
                <w:sz w:val="18"/>
                <w:szCs w:val="18"/>
                <w:color w:val="auto"/>
              </w:rPr>
              <w:t>Vringo, Inc. 2012 Employee, Director and Consultant Equity Incentive Plan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Subscription Agreement, dated August 9, 2012, by and between Vringo, Inc. and each of the investors named therein (incorporated</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 reference from Exhibit 10.1 to our Current Report on Form 8-K filed on August 9, 2012)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Lease, dated July 10, 2012, by and between Vringo, Inc. and Teachers Insurance and Annuity Association of America, for the benefit of its</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separate Real Estate Account Landlord</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Principal Executive Officer Pursuant to Rule 13-14(a) of the Securities Exchange Act of 1934, pursuant to Section 302 of the</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Rule 13-14(a) of the Securities Exchange Act of 1934, pursuant to Section 302 of the</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Principal Executive Officer Pursuant to 18 U.S.C. Section 1350, pursuant to Section 906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of Principal Financial Officer Pursuant to 18 U.S.C. Section 1350, pursuant to Section 906 of the Sarbanes-Oxley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The following information from Vringo’s Quarterly Report on Form 10-Q for the quarter ended September 30, 2012 formatted in XBRL: (i)</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Unaudited Consolidated Statements of Operations for the three and nine months ended September 30, 2012, three month period ended</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September 30, 2011 and the period from inception of I/P (June 8, 2011) through September 30, 2011; (ii) Consolidated Balance Sheets as of</w:t>
            </w: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September 30, 2012 (Unaudited) and December 31, 2011; (iii) Unaudited Consolidated Statements of Stockholders’ Equity as of September</w:t>
            </w:r>
          </w:p>
        </w:tc>
      </w:tr>
    </w:tbl>
    <w:p>
      <w:pPr>
        <w:sectPr>
          <w:pgSz w:w="11900" w:h="16838" w:orient="portrait"/>
          <w:cols w:equalWidth="0" w:num="1">
            <w:col w:w="11420"/>
          </w:cols>
          <w:pgMar w:left="240" w:top="904" w:right="239" w:bottom="0" w:gutter="0" w:footer="0" w:header="0"/>
        </w:sectPr>
      </w:pPr>
    </w:p>
    <w:bookmarkStart w:id="50" w:name="page51"/>
    <w:bookmarkEnd w:id="50"/>
    <w:p>
      <w:pPr>
        <w:ind w:left="1160"/>
        <w:spacing w:after="0"/>
        <w:rPr>
          <w:sz w:val="20"/>
          <w:szCs w:val="20"/>
          <w:color w:val="auto"/>
        </w:rPr>
      </w:pPr>
      <w:r>
        <w:rPr>
          <w:rFonts w:ascii="Arial" w:cs="Arial" w:eastAsia="Arial" w:hAnsi="Arial"/>
          <w:sz w:val="16"/>
          <w:szCs w:val="16"/>
          <w:color w:val="auto"/>
        </w:rPr>
        <w:t>30, 2012; (iv) Unaudited Consolidated Statements of Cash Flows for the nine months ended September 30, 2012 and the Period from June 8,</w:t>
      </w:r>
    </w:p>
    <w:p>
      <w:pPr>
        <w:spacing w:after="0" w:line="4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2011 (inception) to September 30, 2011; and (v) Notes to Unaudited Consolidated Financial Statements tagged as blocks of text.</w:t>
      </w:r>
    </w:p>
    <w:p>
      <w:pPr>
        <w:spacing w:after="0" w:line="200" w:lineRule="exact"/>
        <w:rPr>
          <w:sz w:val="20"/>
          <w:szCs w:val="20"/>
          <w:color w:val="auto"/>
        </w:rPr>
      </w:pPr>
    </w:p>
    <w:p>
      <w:pPr>
        <w:spacing w:after="0" w:line="227" w:lineRule="exact"/>
        <w:rPr>
          <w:sz w:val="20"/>
          <w:szCs w:val="20"/>
          <w:color w:val="auto"/>
        </w:rPr>
      </w:pPr>
    </w:p>
    <w:p>
      <w:pPr>
        <w:ind w:left="700" w:hanging="69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management compensatory plan, contract or arrangement.</w:t>
      </w:r>
    </w:p>
    <w:p>
      <w:pPr>
        <w:spacing w:after="0" w:line="23"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which portions have been omitted and filed separately with</w:t>
      </w:r>
    </w:p>
    <w:p>
      <w:pPr>
        <w:spacing w:after="0" w:line="32" w:lineRule="exact"/>
        <w:rPr>
          <w:sz w:val="20"/>
          <w:szCs w:val="20"/>
          <w:color w:val="auto"/>
        </w:rPr>
      </w:pPr>
    </w:p>
    <w:p>
      <w:pPr>
        <w:ind w:left="700"/>
        <w:spacing w:after="0" w:line="250" w:lineRule="auto"/>
        <w:rPr>
          <w:sz w:val="20"/>
          <w:szCs w:val="20"/>
          <w:color w:val="auto"/>
        </w:rPr>
      </w:pPr>
      <w:r>
        <w:rPr>
          <w:rFonts w:ascii="Arial" w:cs="Arial" w:eastAsia="Arial" w:hAnsi="Arial"/>
          <w:sz w:val="18"/>
          <w:szCs w:val="18"/>
          <w:color w:val="auto"/>
        </w:rPr>
        <w:t>the Securities and Exchange Commission as part of an application for confidential treatment pursuant to the Securities and Exchange Act of 1934, as amended.</w:t>
      </w:r>
    </w:p>
    <w:p>
      <w:pPr>
        <w:spacing w:after="0" w:line="1"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700" w:right="100" w:hanging="692"/>
        <w:spacing w:after="0" w:line="277"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14th day of November,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280" w:type="dxa"/>
            <w:vAlign w:val="bottom"/>
          </w:tcPr>
          <w:p>
            <w:pPr>
              <w:spacing w:after="0"/>
              <w:rPr>
                <w:sz w:val="20"/>
                <w:szCs w:val="20"/>
                <w:color w:val="auto"/>
              </w:rPr>
            </w:pP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color w:val="auto"/>
              </w:rPr>
              <w:t>By:</w:t>
            </w:r>
          </w:p>
        </w:tc>
        <w:tc>
          <w:tcPr>
            <w:tcW w:w="8280" w:type="dxa"/>
            <w:vAlign w:val="bottom"/>
          </w:tcPr>
          <w:p>
            <w:pPr>
              <w:jc w:val="right"/>
              <w:ind w:right="473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LLEN</w:t>
            </w:r>
            <w:r>
              <w:rPr>
                <w:rFonts w:ascii="Arial" w:cs="Arial" w:eastAsia="Arial" w:hAnsi="Arial"/>
                <w:sz w:val="18"/>
                <w:szCs w:val="18"/>
                <w:color w:val="auto"/>
              </w:rPr>
              <w:t xml:space="preserve"> C</w:t>
            </w:r>
            <w:r>
              <w:rPr>
                <w:rFonts w:ascii="Arial" w:cs="Arial" w:eastAsia="Arial" w:hAnsi="Arial"/>
                <w:sz w:val="12"/>
                <w:szCs w:val="12"/>
                <w:color w:val="auto"/>
              </w:rPr>
              <w:t>OHL</w:t>
            </w:r>
          </w:p>
        </w:tc>
      </w:tr>
      <w:tr>
        <w:trPr>
          <w:trHeight w:val="191"/>
        </w:trPr>
        <w:tc>
          <w:tcPr>
            <w:tcW w:w="92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8280" w:type="dxa"/>
            <w:vAlign w:val="bottom"/>
            <w:tcBorders>
              <w:top w:val="single" w:sz="8" w:color="auto"/>
            </w:tcBorders>
          </w:tcPr>
          <w:p>
            <w:pPr>
              <w:jc w:val="center"/>
              <w:ind w:right="2130"/>
              <w:spacing w:after="0" w:line="191" w:lineRule="exact"/>
              <w:rPr>
                <w:sz w:val="20"/>
                <w:szCs w:val="20"/>
                <w:color w:val="auto"/>
              </w:rPr>
            </w:pPr>
            <w:r>
              <w:rPr>
                <w:rFonts w:ascii="Arial" w:cs="Arial" w:eastAsia="Arial" w:hAnsi="Arial"/>
                <w:sz w:val="18"/>
                <w:szCs w:val="18"/>
                <w:b w:val="1"/>
                <w:bCs w:val="1"/>
                <w:color w:val="auto"/>
                <w:w w:val="93"/>
              </w:rPr>
              <w:t>Ellen Cohl</w:t>
            </w:r>
          </w:p>
        </w:tc>
      </w:tr>
      <w:tr>
        <w:trPr>
          <w:trHeight w:val="216"/>
        </w:trPr>
        <w:tc>
          <w:tcPr>
            <w:tcW w:w="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2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48"/>
        </w:trPr>
        <w:tc>
          <w:tcPr>
            <w:tcW w:w="9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CONFIDENTIAL PATENT PURCHASE 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CONFIDENTIAL PATENT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August 9,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Nokia Corporation, a company organized under the laws of Finland (“</w:t>
      </w:r>
      <w:r>
        <w:rPr>
          <w:rFonts w:ascii="Arial" w:cs="Arial" w:eastAsia="Arial" w:hAnsi="Arial"/>
          <w:sz w:val="18"/>
          <w:szCs w:val="18"/>
          <w:b w:val="1"/>
          <w:bCs w:val="1"/>
          <w:color w:val="auto"/>
        </w:rPr>
        <w:t>Nokia</w:t>
      </w:r>
      <w:r>
        <w:rPr>
          <w:rFonts w:ascii="Arial" w:cs="Arial" w:eastAsia="Arial" w:hAnsi="Arial"/>
          <w:sz w:val="18"/>
          <w:szCs w:val="18"/>
          <w:color w:val="auto"/>
        </w:rPr>
        <w:t>”) and Vringo, Inc., a corporation organized under the laws of the State of Delaware (“</w:t>
      </w:r>
      <w:r>
        <w:rPr>
          <w:rFonts w:ascii="Arial" w:cs="Arial" w:eastAsia="Arial" w:hAnsi="Arial"/>
          <w:sz w:val="18"/>
          <w:szCs w:val="18"/>
          <w:b w:val="1"/>
          <w:bCs w:val="1"/>
          <w:color w:val="auto"/>
        </w:rPr>
        <w:t>Purchaser</w:t>
      </w:r>
      <w:r>
        <w:rPr>
          <w:rFonts w:ascii="Arial" w:cs="Arial" w:eastAsia="Arial" w:hAnsi="Arial"/>
          <w:sz w:val="18"/>
          <w:szCs w:val="18"/>
          <w:color w:val="auto"/>
        </w:rPr>
        <w:t>”). Nokia and Purchaser are herein referred to separately as “a party” or collectively as “the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Purchaser wishes to acquire certain patents and patent applications owned by Nokia, and Nokia wishes to sell such patents and patent applications to Purchaser in exchange for payments and consideration described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THEREFORE, in consideration of the mutual covenants and conditions stated herein, and for other good and valuable consideration, the receipt and sufficiency of which is hereby acknowledged, the parties hereby agree as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with respect to Purchaser, any entity Controlling, Controlled by, or under common Control with Purchaser whether in the past, present or future for so long, and only for so long, as such Control exists; (b) with respect to Nokia, any entity Controlling, Controlled by, or under common Control with Nokia as of the Effective Date and for so long, and only for so long, thereafter as such Control continues to exist; (c) [***], and (d) with respect to any third party, any entity Controlling, Controlled by, or under common Control with such third party for so long, and only for so long, as such Control exists.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first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shall have the meaning set forth in Section 13.6(a).</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w:t>
      </w:r>
      <w:r>
        <w:rPr>
          <w:rFonts w:ascii="Arial" w:cs="Arial" w:eastAsia="Arial" w:hAnsi="Arial"/>
          <w:sz w:val="18"/>
          <w:szCs w:val="18"/>
          <w:color w:val="auto"/>
        </w:rPr>
        <w:t>” means to sell, assign, convey, delegate or otherwise transfer any right, title or interest in or to this Agreement, in each case whether directly or indirectly, expressly or impliedly, voluntarily or involuntarily, in one or a series of transactions, by contract, operation of law or otherwise (including without limitation by means of any merger, consolidation, recapitalization, liquidation, dissolution, Change of Control, transfer or sale of all or substantially all of a business, or similar transaction).</w:t>
      </w:r>
    </w:p>
    <w:p>
      <w:pPr>
        <w:spacing w:after="0" w:line="184"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Patents</w:t>
      </w:r>
      <w:r>
        <w:rPr>
          <w:rFonts w:ascii="Arial" w:cs="Arial" w:eastAsia="Arial" w:hAnsi="Arial"/>
          <w:sz w:val="18"/>
          <w:szCs w:val="18"/>
          <w:color w:val="auto"/>
        </w:rPr>
        <w:t xml:space="preserve">” means (a) all patents and patent applications listed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(b) all reissues, reexaminations, continuations, continuations-in-part, divisionals, renewals and extensions of such patents and patent applications (whether pending, issued, abandoned or filed prior to, on or after the Effective Date); (c) all patents and patent applications (i) to which any or all of the foregoing directly or indirectly claims priority to, or the benefit of, the filing date, or (ii) for which any or all of the foregoing directly or indirectly forms a basis for priority or otherwise provides the benefit of an earlier filing date; and (d) all foreign counterparts to any or all of the foregoing, and all utility models, certificates of invention, patent registrations and equivalent rights worldwide.</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any one or more of the following, whether directly or indirectly, voluntarily or involuntarily, by agreement, operation of law or otherwise, and whether by means of one transaction or a series of related transactions: (a) the acquisition of a party or any Affiliate Controlling such party by another entity (including, without limitation, by means of any stock acquisition, reorganization, merger, consolidation or similar business combination) other than a transaction or series of transactions in which the holders of the voting securities of such party or any Affiliate Controlling such party (as applicable) outstanding immediately prior to such transaction continue to retain (either by such voting securities remaining outstanding or by such voting securities being converted into voting securities of the surviving entity), as a result of securities of such party or any Affiliate Controlling such party (as applicable) held by such holders prior to such transaction, at least fifty percent (50%) of the total voting power represented by the voting securities of such party or any Affiliate Controlling such party (as applicable), or such surviving entity, outstanding immediately after such transaction or series of transactions;</w:t>
      </w:r>
    </w:p>
    <w:p>
      <w:pPr>
        <w:spacing w:after="0" w:line="5"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sale, lease, license, assignment, transfer or other conveyance or disposition of all or substantially all the business, properties or assets of such party; or</w:t>
      </w:r>
    </w:p>
    <w:p>
      <w:pPr>
        <w:spacing w:after="0" w:line="32" w:lineRule="exact"/>
        <w:rPr>
          <w:rFonts w:ascii="Arial" w:cs="Arial" w:eastAsia="Arial" w:hAnsi="Arial"/>
          <w:sz w:val="16"/>
          <w:szCs w:val="16"/>
          <w:color w:val="auto"/>
        </w:rPr>
      </w:pPr>
    </w:p>
    <w:p>
      <w:pPr>
        <w:ind w:firstLine="8"/>
        <w:spacing w:after="0" w:line="290" w:lineRule="auto"/>
        <w:tabs>
          <w:tab w:leader="none" w:pos="2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commencement of any a proceeding under Title 11 of the United States Code (11 U.S.C. § 101 et seq.) or other insolvency, liquidation, reorganization, receivership, moratorium, dissolution or winding up or other similar proceeding of such party or any Affiliate Controlling such party.</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“Claims” </w:t>
      </w:r>
      <w:r>
        <w:rPr>
          <w:rFonts w:ascii="Arial" w:cs="Arial" w:eastAsia="Arial" w:hAnsi="Arial"/>
          <w:sz w:val="18"/>
          <w:szCs w:val="18"/>
          <w:color w:val="auto"/>
        </w:rPr>
        <w:t>means claims, counterclaims and cross-claims, as well as any and all actions, causes of action, costs, damages, debts, demands,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losses, obligations, proceedings, and suits of every kind and nature, liquidated or unliquidated, fixed or contingent, in law, equity or otherwise and whether presently known or unknown.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 direct or indirect ownership of more than fifty percent (50%) of the outstanding shares representing the right to vote for members of the board of directors or other managing officers of an entity, or (b) for an entity that does not have outstanding shares, more than fifty percent (50%) of the direct or indirect ownership interest representing the right to make decisions for such entity.</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Customer(s)</w:t>
      </w:r>
      <w:r>
        <w:rPr>
          <w:rFonts w:ascii="Arial" w:cs="Arial" w:eastAsia="Arial" w:hAnsi="Arial"/>
          <w:sz w:val="18"/>
          <w:szCs w:val="18"/>
          <w:color w:val="auto"/>
        </w:rPr>
        <w:t>” means direct and indirect distributors, resellers, dealers and customers (including end-user customers) of Licensed Products of Nokia, its Affiliates or NSN (in each case, solely to the extent acting in such capacity).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first paragraph hereto.</w:t>
      </w:r>
    </w:p>
    <w:p>
      <w:pPr>
        <w:spacing w:after="0" w:line="229"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charge, claim, pledge, security interest, conditional sale agreement or other title retention agreement, lease, mortgage, security agreement, right, option, restriction, immunity, license, covenant, adverse claim or other encumbrance, including without limitation any (a) patent licenses or sublicenses, covenants not to assert and/or similar patent immunities; (b) rights to renew or extend pre-existing patent licenses exercised solely by third parties (such as legally binding options); and (c) releases for past infringement.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Activities</w:t>
      </w:r>
      <w:r>
        <w:rPr>
          <w:rFonts w:ascii="Arial" w:cs="Arial" w:eastAsia="Arial" w:hAnsi="Arial"/>
          <w:sz w:val="18"/>
          <w:szCs w:val="18"/>
          <w:color w:val="auto"/>
        </w:rPr>
        <w:t>” shall have the meaning set forth in Section 8.1.</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Essential Cellular Patents</w:t>
      </w:r>
      <w:r>
        <w:rPr>
          <w:rFonts w:ascii="Arial" w:cs="Arial" w:eastAsia="Arial" w:hAnsi="Arial"/>
          <w:sz w:val="18"/>
          <w:szCs w:val="18"/>
          <w:color w:val="auto"/>
        </w:rPr>
        <w:t xml:space="preserve">” means Assigned Patents which have been declared essential to the GSM/GPRS Standard or UMTS Standard, including Patents, listed in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Encumbrances</w:t>
      </w:r>
      <w:r>
        <w:rPr>
          <w:rFonts w:ascii="Arial" w:cs="Arial" w:eastAsia="Arial" w:hAnsi="Arial"/>
          <w:sz w:val="18"/>
          <w:szCs w:val="18"/>
          <w:color w:val="auto"/>
        </w:rPr>
        <w:t>” means, in relation to the Assigned Patents, (a) pre-existing patent licenses, covenants not to assert and/or similar patent immunities, including the license to Nokia set forth herein; (b) rights to renew or extend pre-existing patent licenses exercised solely by third parties (such as legally binding options); (c) releases for past infringement; (d) pre-existing commitments or assurances pursuant to Nokia’s or its Affiliates’ standards- or specifications-related activities, and/or (e) [***], in each case of (a), (b), (c), (d) and (e) which transfer in connection with the transfer of the Assigned Patent(s) and/or which Nokia or any of its Affiliates has committed to maintain in connection with the transfer of such Assigned Patent(s), solely in the form they existed prior to the Effective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Grantee</w:t>
      </w:r>
      <w:r>
        <w:rPr>
          <w:rFonts w:ascii="Arial" w:cs="Arial" w:eastAsia="Arial" w:hAnsi="Arial"/>
          <w:sz w:val="18"/>
          <w:szCs w:val="18"/>
          <w:color w:val="auto"/>
        </w:rPr>
        <w:t>” shall have the meaning set forth in Section 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shall have the meaning set forth in Section 6.1.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w:t>
      </w:r>
      <w:r>
        <w:rPr>
          <w:rFonts w:ascii="Arial" w:cs="Arial" w:eastAsia="Arial" w:hAnsi="Arial"/>
          <w:sz w:val="18"/>
          <w:szCs w:val="18"/>
          <w:color w:val="auto"/>
        </w:rPr>
        <w:t>” means (i) all cash and other tangible consideration collected and/or received by Purchaser or its Affiliates from third parties (including under patent licenses, covenants not to assert, releases from past infringement, other licenses and patent Sale (excluding any Sale that causes an Impairment Payment)) in consideration for the grant of rights or immunities under one or more of the Assigned Patents or Later Acquired Patents (whether in connection with or otherwise related to an agreement or other settlement that includes one or more Assigned Patents or Later Acquired Patents) and (ii) any withholdings by third parties from any such consideration collected by Purchaser, including contingency fee arrangements with attorneys relating to the Assigned Patents or Later Acquired Patents where such fee was withheld by such attorneys from any settlement amount. Any Gross Revenues collected under this Agreement in a currency other than US Dollars may be converted to US Dollars at the interbank rate as of the date on which such amount is collected and/or received by Purchaser.</w:t>
      </w:r>
    </w:p>
    <w:p>
      <w:pPr>
        <w:spacing w:after="0" w:line="18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GSM/GPRS Standard</w:t>
      </w:r>
      <w:r>
        <w:rPr>
          <w:rFonts w:ascii="Arial" w:cs="Arial" w:eastAsia="Arial" w:hAnsi="Arial"/>
          <w:sz w:val="16"/>
          <w:szCs w:val="16"/>
          <w:color w:val="auto"/>
        </w:rPr>
        <w:t>” means the TDMA based GSM/GPRS specification as defined by ETSI and/or 3GPP prior to and at the time of the Effective Date as well as any updates or releases in respect of such GSM/GPRS Standard by ETSI, 3GPP and/or other relevant telecommunications standard setting bodies, as long as not fundamentally technically altering the character thereof, and includes E-GPRS (EDGE), GPRS/HSCSD/EDGE/EGSM and GSM850.</w:t>
      </w:r>
    </w:p>
    <w:p>
      <w:pPr>
        <w:spacing w:after="0" w:line="146"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Impairment Event</w:t>
      </w:r>
      <w:r>
        <w:rPr>
          <w:rFonts w:ascii="Arial" w:cs="Arial" w:eastAsia="Arial" w:hAnsi="Arial"/>
          <w:sz w:val="18"/>
          <w:szCs w:val="18"/>
          <w:color w:val="auto"/>
        </w:rPr>
        <w:t>” means any of the following by Purchaser or its Affiliate: (a)(i) the Sale of any Essential Cellular Patent to any third party, or (ii) the Sale to a third party in a single transaction of more than [***] percent ([***]%), or in aggregate [***] percent ([***]%), of the Assigned Patents (other than the Essential Cellular Patents); or (b) [***]. Notwithstanding the foregoing, an Impairment Event shall exclude (x) any Sale of an Assigned Patent (i) to any Affiliate of Purchaser, or (ii) in connection with the transfer or sale of all or substantially all of its business or assets to which this Agreement relates, or in the event of its merger, consolidation, recapitalization, liquidation, dissolution, Change of Control or similar transaction, provided that (A) any such assignee shall assume all obligations of Purchaser under this Agreement applicable to such Assigned Patent that is the subject of such Sale, and (B) if the Purchaser continues to be a separate legal entity after such Sale, Purchaser shall continue to be liable for all its obligations under this Agreement (including without limitation such Assigned Patent), and (y)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Impairment Payment</w:t>
      </w:r>
      <w:r>
        <w:rPr>
          <w:rFonts w:ascii="Arial" w:cs="Arial" w:eastAsia="Arial" w:hAnsi="Arial"/>
          <w:sz w:val="18"/>
          <w:szCs w:val="18"/>
          <w:color w:val="auto"/>
        </w:rPr>
        <w:t>” shall have the meaning set forth in Section 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Impairment Payment Amount</w:t>
      </w:r>
      <w:r>
        <w:rPr>
          <w:rFonts w:ascii="Arial" w:cs="Arial" w:eastAsia="Arial" w:hAnsi="Arial"/>
          <w:sz w:val="18"/>
          <w:szCs w:val="18"/>
          <w:color w:val="auto"/>
        </w:rPr>
        <w:t>” means, with respect to an Impairment Event, the remainder of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Payment</w:t>
      </w:r>
      <w:r>
        <w:rPr>
          <w:rFonts w:ascii="Arial" w:cs="Arial" w:eastAsia="Arial" w:hAnsi="Arial"/>
          <w:sz w:val="18"/>
          <w:szCs w:val="18"/>
          <w:color w:val="auto"/>
        </w:rPr>
        <w:t>” shall have the meaning set forth in Section 4.2.</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Later Acquired Patents</w:t>
      </w:r>
      <w:r>
        <w:rPr>
          <w:rFonts w:ascii="Arial" w:cs="Arial" w:eastAsia="Arial" w:hAnsi="Arial"/>
          <w:sz w:val="18"/>
          <w:szCs w:val="18"/>
          <w:color w:val="auto"/>
        </w:rPr>
        <w:t>” means any Patents which are acquired or controlled by Purchaser at any time after the Effective Date other than the Assigned Patents and which are received as consideration for rights acquired by a third party under the Assigned Patents or earlier Later Acquired Patents such as a patent license, covenant not to assert, release from past infringement, technology license and/or patent Sale (excluding any Sale that causes an Impairment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shall have the meaning set forth in Section 6.1.</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Licensed Products</w:t>
      </w:r>
      <w:r>
        <w:rPr>
          <w:rFonts w:ascii="Arial" w:cs="Arial" w:eastAsia="Arial" w:hAnsi="Arial"/>
          <w:sz w:val="16"/>
          <w:szCs w:val="16"/>
          <w:color w:val="auto"/>
        </w:rPr>
        <w:t>” means all software, products and services of Nokia, its Affiliate or NSN, in each case that are designed, made, used, sold, offered for sale, imported and otherwise provided and disposed of by or for Nokia, its Affiliate or NSN (as applicable) as its own software,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Nokia</w:t>
      </w:r>
      <w:r>
        <w:rPr>
          <w:rFonts w:ascii="Arial" w:cs="Arial" w:eastAsia="Arial" w:hAnsi="Arial"/>
          <w:sz w:val="18"/>
          <w:szCs w:val="18"/>
          <w:color w:val="auto"/>
        </w:rPr>
        <w:t>” shall have the meaning set forth in the first paragraph hereto.</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NSN</w:t>
      </w:r>
      <w:r>
        <w:rPr>
          <w:rFonts w:ascii="Arial" w:cs="Arial" w:eastAsia="Arial" w:hAnsi="Arial"/>
          <w:sz w:val="18"/>
          <w:szCs w:val="18"/>
          <w:color w:val="auto"/>
        </w:rPr>
        <w:t>” means Nokia Siemens Networks B.V., a private limited liability company incorporated under the laws of the Netherlands, including any and all Affiliates of such entity.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and all (a) patents and patent applications; (b) reissues, reexaminations, continuations, continuations-in-part, divisionals, renewals and extensions of such patents and patent applications (whether pending, issued, abandoned or filed prior to, on or after the Effective Date); and (c) foreign counterparts to any or all of the foregoing, and all utility models, certificates of invention, patent registrations and equivalent rights worldwide.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in Full Date</w:t>
      </w:r>
      <w:r>
        <w:rPr>
          <w:rFonts w:ascii="Arial" w:cs="Arial" w:eastAsia="Arial" w:hAnsi="Arial"/>
          <w:sz w:val="18"/>
          <w:szCs w:val="18"/>
          <w:color w:val="auto"/>
        </w:rPr>
        <w:t>” shall have the meaning set forth in Section 3.1.</w:t>
      </w:r>
    </w:p>
    <w:p>
      <w:pPr>
        <w:spacing w:after="0" w:line="229"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both"/>
        <w:spacing w:after="0" w:line="313" w:lineRule="auto"/>
        <w:rPr>
          <w:sz w:val="20"/>
          <w:szCs w:val="20"/>
          <w:color w:val="auto"/>
        </w:rPr>
      </w:pPr>
      <w:r>
        <w:rPr>
          <w:rFonts w:ascii="Arial" w:cs="Arial" w:eastAsia="Arial" w:hAnsi="Arial"/>
          <w:sz w:val="17"/>
          <w:szCs w:val="17"/>
          <w:b w:val="1"/>
          <w:bCs w:val="1"/>
          <w:color w:val="auto"/>
        </w:rPr>
        <w:t xml:space="preserve">“Pre-Assignment Agreements” </w:t>
      </w:r>
      <w:r>
        <w:rPr>
          <w:rFonts w:ascii="Arial" w:cs="Arial" w:eastAsia="Arial" w:hAnsi="Arial"/>
          <w:sz w:val="17"/>
          <w:szCs w:val="17"/>
          <w:color w:val="auto"/>
        </w:rPr>
        <w:t>means any and all agreements relating to any Encumbrance on the Assigned Patents entered into by Purchaser or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between the Effective Date and the date of assignment of the Assigned Patents to Nokia or its designee pursuant to Section 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shall have the meaning set forth in the first paragraph hereto.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Quarter</w:t>
      </w:r>
      <w:r>
        <w:rPr>
          <w:rFonts w:ascii="Arial" w:cs="Arial" w:eastAsia="Arial" w:hAnsi="Arial"/>
          <w:sz w:val="18"/>
          <w:szCs w:val="18"/>
          <w:color w:val="auto"/>
        </w:rPr>
        <w:t xml:space="preserve">” means a three-month accounting period ending on each of March 31, June 30, September 30, and December 31;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initial Reporting Quarter shall begin on the Effective Date and end on December 31, 2012.</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Year</w:t>
      </w:r>
      <w:r>
        <w:rPr>
          <w:rFonts w:ascii="Arial" w:cs="Arial" w:eastAsia="Arial" w:hAnsi="Arial"/>
          <w:sz w:val="18"/>
          <w:szCs w:val="18"/>
          <w:color w:val="auto"/>
        </w:rPr>
        <w:t>” means each period of four (4) consecutive Reporting Quarters beginning upon the Effective Date and ending upon the last day of the fourth Reporting Quarter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w:t>
      </w:r>
      <w:r>
        <w:rPr>
          <w:rFonts w:ascii="Arial" w:cs="Arial" w:eastAsia="Arial" w:hAnsi="Arial"/>
          <w:sz w:val="18"/>
          <w:szCs w:val="18"/>
          <w:color w:val="auto"/>
        </w:rPr>
        <w:t>” shall have the meaning set forth in Section 4.3.</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w:t>
      </w:r>
      <w:r>
        <w:rPr>
          <w:rFonts w:ascii="Arial" w:cs="Arial" w:eastAsia="Arial" w:hAnsi="Arial"/>
          <w:sz w:val="18"/>
          <w:szCs w:val="18"/>
          <w:color w:val="auto"/>
        </w:rPr>
        <w:t>” shall mean the sale, transfer, assignment or exclusive license (with the right to enforce and grant sublicenses) of an Assigned Patent, and “</w:t>
      </w:r>
      <w:r>
        <w:rPr>
          <w:rFonts w:ascii="Arial" w:cs="Arial" w:eastAsia="Arial" w:hAnsi="Arial"/>
          <w:sz w:val="18"/>
          <w:szCs w:val="18"/>
          <w:b w:val="1"/>
          <w:bCs w:val="1"/>
          <w:color w:val="auto"/>
        </w:rPr>
        <w:t>Sell</w:t>
      </w:r>
      <w:r>
        <w:rPr>
          <w:rFonts w:ascii="Arial" w:cs="Arial" w:eastAsia="Arial" w:hAnsi="Arial"/>
          <w:sz w:val="18"/>
          <w:szCs w:val="18"/>
          <w:color w:val="auto"/>
        </w:rPr>
        <w:t>” shall mean to consummate a Sale.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Standards Organization</w:t>
      </w:r>
      <w:r>
        <w:rPr>
          <w:rFonts w:ascii="Arial" w:cs="Arial" w:eastAsia="Arial" w:hAnsi="Arial"/>
          <w:sz w:val="18"/>
          <w:szCs w:val="18"/>
          <w:color w:val="auto"/>
        </w:rPr>
        <w:t>” means any standards organization, standards body, standards developing organization (SDO), standards setting organization (SSO), or any other organization, entity, association, body or other group of any type whatsoever that may impose upon an affiliated or associated member or participant an obligation or commitment to any Encumbrance on an Assigned Patent.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w:t>
      </w:r>
      <w:r>
        <w:rPr>
          <w:rFonts w:ascii="Arial" w:cs="Arial" w:eastAsia="Arial" w:hAnsi="Arial"/>
          <w:sz w:val="18"/>
          <w:szCs w:val="18"/>
          <w:color w:val="auto"/>
        </w:rPr>
        <w:t>” shall have the meaning set forth in Section 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UMTS Standard</w:t>
      </w:r>
      <w:r>
        <w:rPr>
          <w:rFonts w:ascii="Arial" w:cs="Arial" w:eastAsia="Arial" w:hAnsi="Arial"/>
          <w:sz w:val="18"/>
          <w:szCs w:val="18"/>
          <w:color w:val="auto"/>
        </w:rPr>
        <w:t>” means The Universal Mobile Telecommunications System Standard as promulgated by 3GPP and/or ETSI, as well as the TD-SCDMA, FOMA, HSPA, HSPA+, HSUPA and HSDPA Standards being derivative standards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shall mean[***].</w:t>
      </w:r>
    </w:p>
    <w:p>
      <w:pPr>
        <w:spacing w:after="0" w:line="221"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ATENTS</w:t>
      </w:r>
      <w:r>
        <w:rPr>
          <w:rFonts w:ascii="Arial" w:cs="Arial" w:eastAsia="Arial" w:hAnsi="Arial"/>
          <w:sz w:val="18"/>
          <w:szCs w:val="18"/>
          <w:b w:val="1"/>
          <w:bCs w:val="1"/>
          <w:color w:val="auto"/>
        </w:rPr>
        <w:t>; 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XISTING</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NCUMBRANCES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Patent Assignment</w:t>
      </w:r>
      <w:r>
        <w:rPr>
          <w:rFonts w:ascii="Arial" w:cs="Arial" w:eastAsia="Arial" w:hAnsi="Arial"/>
          <w:sz w:val="18"/>
          <w:szCs w:val="18"/>
          <w:color w:val="auto"/>
        </w:rPr>
        <w:t>. Nokia hereby sells and assigns to Purchaser, and Purchaser hereby acquires and accepts from Nokia, all right, title and interest in, to and under the Assigned Patents, including any and all inventions and discoveries claimed therein, any and all rights entitled by the original owner of the Assigned Patents and all rights to sue for past, present and future infringement, to collect royalties under such Assigned Patents, to prosecute all existing Assigned Patents worldwide, to apply for additional Assigned Patents worldwide and to have Assigned Patents issue in the name of Purchaser or its designated Affiliate. For the avoidance of doubt, no patent license or other agreements related to the Assigned Patents are being assigned to Purchaser under this Agreement.</w:t>
      </w:r>
    </w:p>
    <w:p>
      <w:pPr>
        <w:spacing w:after="0" w:line="193"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Assignment of Causes of Action</w:t>
      </w:r>
      <w:r>
        <w:rPr>
          <w:rFonts w:ascii="Arial" w:cs="Arial" w:eastAsia="Arial" w:hAnsi="Arial"/>
          <w:sz w:val="18"/>
          <w:szCs w:val="18"/>
          <w:color w:val="auto"/>
        </w:rPr>
        <w:t>. Nokia hereby sells and assigns to Purchaser, and Purchaser hereby acquires and accepts from Nokia, all right, title and interest in, to and under all causes of action and enforcement rights of any type or nature whatsoever, whether known, unknown, currently pending, filed, or otherwise, for the Assigned Patents, including all rights to pursue damages, injunctive relief and other remedies for past, current and future infringement of the Assigned Patents.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Existing Encumbrances</w:t>
      </w:r>
      <w:r>
        <w:rPr>
          <w:rFonts w:ascii="Arial" w:cs="Arial" w:eastAsia="Arial" w:hAnsi="Arial"/>
          <w:sz w:val="18"/>
          <w:szCs w:val="18"/>
          <w:color w:val="auto"/>
        </w:rPr>
        <w:t>. The Assigned Patents are assigned and transferred subject to the Existing Encumbrances, and Purchaser hereby commits to respect such Existing Encumbrances, including without limitation Purchaser shall ensure that any subsequent sale, assignment, lien, mortgage or other transfer of the Assigned Patents by Purchaser or its future assignees, transferees or successors of any Assigned Patents shall be made subject to Existing Encumbrances. For the avoidance of doubt, any pre-existing patent license agreements related to the Assigned Patents, including, without limitation, any related royalty payments, shall not be assigned or transferred to Purchaser.</w:t>
      </w:r>
    </w:p>
    <w:p>
      <w:pPr>
        <w:spacing w:after="0" w:line="184"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ELIVERY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Executed Assignment</w:t>
      </w:r>
      <w:r>
        <w:rPr>
          <w:rFonts w:ascii="Arial" w:cs="Arial" w:eastAsia="Arial" w:hAnsi="Arial"/>
          <w:sz w:val="18"/>
          <w:szCs w:val="18"/>
          <w:color w:val="auto"/>
        </w:rPr>
        <w:t>. Upon the date (the “</w:t>
      </w:r>
      <w:r>
        <w:rPr>
          <w:rFonts w:ascii="Arial" w:cs="Arial" w:eastAsia="Arial" w:hAnsi="Arial"/>
          <w:sz w:val="18"/>
          <w:szCs w:val="18"/>
          <w:b w:val="1"/>
          <w:bCs w:val="1"/>
          <w:color w:val="auto"/>
        </w:rPr>
        <w:t>Payment in Full Date</w:t>
      </w:r>
      <w:r>
        <w:rPr>
          <w:rFonts w:ascii="Arial" w:cs="Arial" w:eastAsia="Arial" w:hAnsi="Arial"/>
          <w:sz w:val="18"/>
          <w:szCs w:val="18"/>
          <w:color w:val="auto"/>
        </w:rPr>
        <w:t>”) on which Nokia receives payment in full of the Initial Payment, Nokia shall execute an assignment (“</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suitable for recordation with the United States Patent and Trademark Office and other patent offices worldwide.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Delivery</w:t>
      </w:r>
      <w:r>
        <w:rPr>
          <w:rFonts w:ascii="Arial" w:cs="Arial" w:eastAsia="Arial" w:hAnsi="Arial"/>
          <w:sz w:val="17"/>
          <w:szCs w:val="17"/>
          <w:color w:val="auto"/>
        </w:rPr>
        <w:t>. Within forty-five (45) days following the Payment in Full Date, Nokia shall send, or instruct its counsel and attorneys to send to Purchaser, the executed original or certified copy of the Assignment along with all material files and documents in the possession of or available to Nokia regarding patent prosecution of the Assigned Patents including (a) prosecution history files for all issued, pending or abandoned Assigned Patents, (b) a current electronic copy of a docketing report for the Assigned Patents accurately setting forth to the best of Nokia’s knowledge any and all dates relevant to the prosecution or maintenance of the Assigned Patents, including information relating to deadlines through and including a period of not less than the following three (3) months, payments and filings for the Assigned Patents, and the names, business addresses, email addresses, and phone numbers of all prosecution counsel and agents and (c) any other material files and documents not otherwise provided under Section 3.2 (a) through (b) in the possession of Nokia’s outside attorneys who have been involved in the prosecution of any of the Assigned Patents.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Cooperation After Payment in Full Date</w:t>
      </w:r>
      <w:r>
        <w:rPr>
          <w:rFonts w:ascii="Arial" w:cs="Arial" w:eastAsia="Arial" w:hAnsi="Arial"/>
          <w:sz w:val="18"/>
          <w:szCs w:val="18"/>
          <w:color w:val="auto"/>
        </w:rPr>
        <w:t>. Nokia further covenants and agrees that after the Payment in Full Date, it shall, upon request and without further consideration, promptly execute and deliver to Purchaser any and all other documents and materials, and take any and all reasonable further actions, that are reasonably necessary for Purchaser to perfect its title in the Assigned Patents.</w:t>
      </w:r>
    </w:p>
    <w:p>
      <w:pPr>
        <w:spacing w:after="0" w:line="181"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58" w:name="page59"/>
    <w:bookmarkEnd w:id="58"/>
    <w:p>
      <w:pPr>
        <w:ind w:left="640" w:hanging="632"/>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ONSIDERATION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Consideration</w:t>
      </w:r>
      <w:r>
        <w:rPr>
          <w:rFonts w:ascii="Arial" w:cs="Arial" w:eastAsia="Arial" w:hAnsi="Arial"/>
          <w:sz w:val="16"/>
          <w:szCs w:val="16"/>
          <w:color w:val="auto"/>
        </w:rPr>
        <w:t>. Consideration for the Assigned Patents shall be comprised of the Initial Payment and Royalty as set forth herein.</w:t>
      </w:r>
    </w:p>
    <w:p>
      <w:pPr>
        <w:spacing w:after="0" w:line="221"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Initial Payment</w:t>
      </w:r>
      <w:r>
        <w:rPr>
          <w:rFonts w:ascii="Arial" w:cs="Arial" w:eastAsia="Arial" w:hAnsi="Arial"/>
          <w:sz w:val="17"/>
          <w:szCs w:val="17"/>
          <w:color w:val="auto"/>
        </w:rPr>
        <w:t>. Purchaser hereby agrees to pay to Nokia the amount of Twenty-Two Million US Dollars (USD22,000,000) (“</w:t>
      </w:r>
      <w:r>
        <w:rPr>
          <w:rFonts w:ascii="Arial" w:cs="Arial" w:eastAsia="Arial" w:hAnsi="Arial"/>
          <w:sz w:val="17"/>
          <w:szCs w:val="17"/>
          <w:b w:val="1"/>
          <w:bCs w:val="1"/>
          <w:color w:val="auto"/>
        </w:rPr>
        <w:t>Initial Payment</w:t>
      </w:r>
      <w:r>
        <w:rPr>
          <w:rFonts w:ascii="Arial" w:cs="Arial" w:eastAsia="Arial" w:hAnsi="Arial"/>
          <w:sz w:val="17"/>
          <w:szCs w:val="17"/>
          <w:color w:val="auto"/>
        </w:rPr>
        <w:t>”) as partial consideration for the Assigned Patents. Purchaser shall pay the Initial Payment to Nokia on or before September 14, 2012.</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Royalty</w:t>
      </w:r>
      <w:r>
        <w:rPr>
          <w:rFonts w:ascii="Arial" w:cs="Arial" w:eastAsia="Arial" w:hAnsi="Arial"/>
          <w:sz w:val="17"/>
          <w:szCs w:val="17"/>
          <w:color w:val="auto"/>
        </w:rPr>
        <w:t>.</w:t>
      </w:r>
    </w:p>
    <w:p>
      <w:pPr>
        <w:spacing w:after="0" w:line="225" w:lineRule="exact"/>
        <w:rPr>
          <w:sz w:val="20"/>
          <w:szCs w:val="20"/>
          <w:color w:val="auto"/>
        </w:rPr>
      </w:pPr>
    </w:p>
    <w:p>
      <w:pPr>
        <w:ind w:left="1380" w:hanging="724"/>
        <w:spacing w:after="0"/>
        <w:tabs>
          <w:tab w:leader="none" w:pos="13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and to the extent Gross Revenue exceed Twenty-Two Million US Dollars (USD22,000,000), Purchaser hereby agrees to pay to Nokia 35</w:t>
      </w:r>
    </w:p>
    <w:p>
      <w:pPr>
        <w:spacing w:after="0" w:line="46" w:lineRule="exact"/>
        <w:rPr>
          <w:rFonts w:ascii="Arial" w:cs="Arial" w:eastAsia="Arial" w:hAnsi="Arial"/>
          <w:sz w:val="16"/>
          <w:szCs w:val="16"/>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(thirty five per cent) of such excess Gross Revenue (the “</w:t>
      </w:r>
      <w:r>
        <w:rPr>
          <w:rFonts w:ascii="Arial" w:cs="Arial" w:eastAsia="Arial" w:hAnsi="Arial"/>
          <w:sz w:val="18"/>
          <w:szCs w:val="18"/>
          <w:b w:val="1"/>
          <w:bCs w:val="1"/>
          <w:color w:val="auto"/>
        </w:rPr>
        <w:t>Royalty</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656"/>
        <w:spacing w:after="0" w:line="302" w:lineRule="auto"/>
        <w:tabs>
          <w:tab w:leader="none" w:pos="1444"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the extent Gross Revenue comprises cash or cash equivalents, Purchaser shall pay the applicable Royalty in the form of such cash or cash equivalents. To the extent Gross Revenue comprises tangible consideration other than cash or cash equivalents, Purchaser shall pay the applicable Royalty (i) in the form of the applicable share of such tangible consideration representing the Royalty thereon (to the extent divisible and transferable), and (ii) in the form of the applicable interest in such tangible consideration representing the Royalty thereon (to the extent not divisible or transferable).</w:t>
      </w:r>
    </w:p>
    <w:p>
      <w:pPr>
        <w:spacing w:after="0" w:line="154" w:lineRule="exact"/>
        <w:rPr>
          <w:rFonts w:ascii="Arial" w:cs="Arial" w:eastAsia="Arial" w:hAnsi="Arial"/>
          <w:sz w:val="16"/>
          <w:szCs w:val="16"/>
          <w:color w:val="auto"/>
        </w:rPr>
      </w:pPr>
    </w:p>
    <w:p>
      <w:pPr>
        <w:ind w:firstLine="656"/>
        <w:spacing w:after="0" w:line="277" w:lineRule="auto"/>
        <w:tabs>
          <w:tab w:leader="none" w:pos="1429"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of a Change of Control of Purchaser, Purchaser (or its successor-in-interest, as applicable) shall continue to be bound by the obligation to pay the Royalty and comply with any and all other obligations of Purchaser under this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Royalty Payments</w:t>
      </w:r>
      <w:r>
        <w:rPr>
          <w:rFonts w:ascii="Arial" w:cs="Arial" w:eastAsia="Arial" w:hAnsi="Arial"/>
          <w:sz w:val="18"/>
          <w:szCs w:val="18"/>
          <w:color w:val="auto"/>
        </w:rPr>
        <w:t>. The Royalty is payable within forty five (45) days after the end of each Reporting Quarter ending on March 31, June 30 or September 30, and within seventy five (75) days after the end of each Reporting Quarter ending on December 31. The parties agree that the share of Gross Revenue payable to Nokia will be calculated and paid in US Dollars.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payments from Purchaser to Nokia hereunder shall be made in United States Dollars by means of wire transfer to the account specified in </w:t>
      </w:r>
      <w:r>
        <w:rPr>
          <w:rFonts w:ascii="Arial" w:cs="Arial" w:eastAsia="Arial" w:hAnsi="Arial"/>
          <w:sz w:val="18"/>
          <w:szCs w:val="18"/>
          <w:b w:val="1"/>
          <w:bCs w:val="1"/>
          <w:color w:val="auto"/>
        </w:rPr>
        <w:t>Exhibit D</w:t>
      </w:r>
      <w:r>
        <w:rPr>
          <w:rFonts w:ascii="Arial" w:cs="Arial" w:eastAsia="Arial" w:hAnsi="Arial"/>
          <w:sz w:val="18"/>
          <w:szCs w:val="18"/>
          <w:color w:val="auto"/>
        </w:rPr>
        <w: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Assignability of Royalty</w:t>
      </w:r>
      <w:r>
        <w:rPr>
          <w:rFonts w:ascii="Arial" w:cs="Arial" w:eastAsia="Arial" w:hAnsi="Arial"/>
          <w:sz w:val="17"/>
          <w:szCs w:val="17"/>
          <w:color w:val="auto"/>
        </w:rPr>
        <w:t>. Nokia shall have the right to transfer and assign, either in whole or in part, its right to receive the Royalty, subject to the following: If Nokia desires to transfer and assign, whether directly or indirectly in whole or in part, its right to receive the Royalty to a third party, Nokia shall not so assign and transfer such right unless and until Nokia first offers to enter into an agreement to assign and transfer to Purchaser such right on such terms and conditions as such third party in good faith is prepared to enter into such agreement with Nokia. Purchaser shall have seven (7) days to accept or reject the offer to enter into such an agreement with Nokia on such terms and conditions. Nokia shall not enter into such an agreement with any third party unless and until Purchaser rejects such offer or such seven (7) day period expires without being accepted by Purchaser, whichever comes first, and Nokia may only enter into such an agreement with such third party if the terms and conditions offered to such third party are the same as (or more favorable to Nokia than) those offered to Purchaser. Nokia shall give Purchaser prompt notice of any such sale or assignment to a third party. The foregoing right of first refusal shall not apply to any transfer and sale to an Affiliate of Nokia provided that such Affiliate shall continue to be bound by such right of first refusal if it desires to further transfer and assign such right. Any transfer or assignment, either in whole or in part, by Nokia of its right to receive the Royalty shall not relieve Nokia for any of its obligations hereunder.</w:t>
      </w:r>
    </w:p>
    <w:p>
      <w:pPr>
        <w:spacing w:after="0" w:line="183"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9" w:name="page60"/>
    <w:bookmarkEnd w:id="59"/>
    <w:p>
      <w:pPr>
        <w:ind w:left="640" w:hanging="632"/>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Conduct of the Business</w:t>
      </w:r>
      <w:r>
        <w:rPr>
          <w:rFonts w:ascii="Arial" w:cs="Arial" w:eastAsia="Arial" w:hAnsi="Arial"/>
          <w:sz w:val="17"/>
          <w:szCs w:val="17"/>
          <w:color w:val="auto"/>
        </w:rPr>
        <w:t>. Purchaser shall exercise reasonable commercial efforts to monetize the Assigned Patents consistent with prudent business practices; provided, however, in light of the volume, breadth and extent of the Assigned Patents, Purchaser shall have the sole right in its discretion to determine the strategy, manner, timing, nature and extent of any and all actions (and inactions) to monetize the Assigned Patents. Purchaser shall employ, contract or otherwise retain the services of appropriate legal, technical, financial and administrative personnel, advisors and agents to conduct and operate its business. In addition to and without limiting the generality of the foregoing, no later than one business day following Purchaser’s or its Affiliate’s commencement of any patent infringement or other litigation to enforce the Assigned Patents that is filed in any court of law, which, for greater certainty, shall be in Purchaser’s sole discretion, Purchaser shall provide Nokia with notice of such action and, if the action is brought in the United States and to the extent that Purchaser’s counsel indicates disclosure is permitted under applicable rules or regulations, Purchaser shall provide Nokia a copy of the related complaint and initial filings. Nokia recognizes that such notice may be considered “material non-public information” for purposes of United States federal securities laws, and Nokia shall abide by all securities laws relating to the handling of, and acting upon, such information until (A) Purchaser or its Affiliate discloses such information publicly, (B) a third party discloses such information publicly, or (C) such information becomes otherwise publicly available through no fault of Nokia.</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Bundling</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86" w:lineRule="auto"/>
        <w:tabs>
          <w:tab w:leader="none" w:pos="1448"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Purchaser nor its Affiliates shall grant any Encumbrance on the Assigned Patents to any third party that has been granted an Encumbrance under other Patents by Purchaser or its Affiliate [***] ([***]) [***], nor shall Purchaser or its Affiliate grant an Encumbrance to any Patents to a third party that has been granted an Encumbrance by Purchaser or its Affiliate to the Assigned Patents within the previous [***] ([***]) [***]; and</w:t>
      </w:r>
    </w:p>
    <w:p>
      <w:pPr>
        <w:spacing w:after="0" w:line="165" w:lineRule="exact"/>
        <w:rPr>
          <w:rFonts w:ascii="Arial" w:cs="Arial" w:eastAsia="Arial" w:hAnsi="Arial"/>
          <w:sz w:val="17"/>
          <w:szCs w:val="17"/>
          <w:color w:val="auto"/>
        </w:rPr>
      </w:pPr>
    </w:p>
    <w:p>
      <w:pPr>
        <w:ind w:right="20" w:firstLine="656"/>
        <w:spacing w:after="0" w:line="277" w:lineRule="auto"/>
        <w:tabs>
          <w:tab w:leader="none" w:pos="13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Encumbrance of any Assigned Patent shall be included, bundled, or otherwise combined with an Encumbrance of any other Patents under which Purchaser or its Affiliates has the right to grant an Encumbrance.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Impairment Events</w:t>
      </w:r>
      <w:r>
        <w:rPr>
          <w:rFonts w:ascii="Arial" w:cs="Arial" w:eastAsia="Arial" w:hAnsi="Arial"/>
          <w:sz w:val="18"/>
          <w:szCs w:val="18"/>
          <w:color w:val="auto"/>
        </w:rPr>
        <w:t>. Concurrent with the occurrence of an Impairment Event, Purchaser shall pay to Nokia the applicable Impairment Payment Amount (the “</w:t>
      </w:r>
      <w:r>
        <w:rPr>
          <w:rFonts w:ascii="Arial" w:cs="Arial" w:eastAsia="Arial" w:hAnsi="Arial"/>
          <w:sz w:val="18"/>
          <w:szCs w:val="18"/>
          <w:b w:val="1"/>
          <w:bCs w:val="1"/>
          <w:color w:val="auto"/>
        </w:rPr>
        <w:t>Impairment Payment</w:t>
      </w:r>
      <w:r>
        <w:rPr>
          <w:rFonts w:ascii="Arial" w:cs="Arial" w:eastAsia="Arial" w:hAnsi="Arial"/>
          <w:sz w:val="18"/>
          <w:szCs w:val="18"/>
          <w:color w:val="auto"/>
        </w:rPr>
        <w:t>”).</w:t>
      </w:r>
    </w:p>
    <w:p>
      <w:pPr>
        <w:spacing w:after="0" w:line="170"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Non-Circumvention</w:t>
      </w:r>
      <w:r>
        <w:rPr>
          <w:rFonts w:ascii="Arial" w:cs="Arial" w:eastAsia="Arial" w:hAnsi="Arial"/>
          <w:sz w:val="16"/>
          <w:szCs w:val="16"/>
          <w:color w:val="auto"/>
        </w:rPr>
        <w:t>. Purchaser acknowledges and agrees that the Royalty is intended to capture Nokia’s share of the economic benefit of monetizing the Assigned Patents and agrees not to circumvent the Royalty, directly or indirectly, with the purpose or effect of impairing the economic value thereof to Nokia. Any Sale by Purchaser or its future assignees or transferees of any of the Assigned Patents shall be made subject to (a) the Existing Encumbrances and</w:t>
      </w:r>
    </w:p>
    <w:p>
      <w:pPr>
        <w:ind w:firstLine="8"/>
        <w:spacing w:after="0" w:line="261" w:lineRule="auto"/>
        <w:tabs>
          <w:tab w:leader="none" w:pos="2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licenses granted herein, and Purchaser shall take appropriate measures to comply with this Section 5.4. Any Sale which fails to so provide shall be null and void.</w:t>
      </w:r>
    </w:p>
    <w:p>
      <w:pPr>
        <w:spacing w:after="0" w:line="180"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ICENSE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License to Nokia</w:t>
      </w:r>
      <w:r>
        <w:rPr>
          <w:rFonts w:ascii="Arial" w:cs="Arial" w:eastAsia="Arial" w:hAnsi="Arial"/>
          <w:sz w:val="18"/>
          <w:szCs w:val="18"/>
          <w:color w:val="auto"/>
        </w:rPr>
        <w:t>. Subject to the terms and conditions of this Agreement, Purchaser on behalf of itself and its Affiliates (collectively “</w:t>
      </w:r>
      <w:r>
        <w:rPr>
          <w:rFonts w:ascii="Arial" w:cs="Arial" w:eastAsia="Arial" w:hAnsi="Arial"/>
          <w:sz w:val="18"/>
          <w:szCs w:val="18"/>
          <w:b w:val="1"/>
          <w:bCs w:val="1"/>
          <w:color w:val="auto"/>
        </w:rPr>
        <w:t>Grantor</w:t>
      </w:r>
      <w:r>
        <w:rPr>
          <w:rFonts w:ascii="Arial" w:cs="Arial" w:eastAsia="Arial" w:hAnsi="Arial"/>
          <w:sz w:val="18"/>
          <w:szCs w:val="18"/>
          <w:color w:val="auto"/>
        </w:rPr>
        <w:t>”) grants to Nokia, its Affiliates, and NSN (each as a “</w:t>
      </w:r>
      <w:r>
        <w:rPr>
          <w:rFonts w:ascii="Arial" w:cs="Arial" w:eastAsia="Arial" w:hAnsi="Arial"/>
          <w:sz w:val="18"/>
          <w:szCs w:val="18"/>
          <w:b w:val="1"/>
          <w:bCs w:val="1"/>
          <w:color w:val="auto"/>
        </w:rPr>
        <w:t>Grantee</w:t>
      </w:r>
      <w:r>
        <w:rPr>
          <w:rFonts w:ascii="Arial" w:cs="Arial" w:eastAsia="Arial" w:hAnsi="Arial"/>
          <w:sz w:val="18"/>
          <w:szCs w:val="18"/>
          <w:color w:val="auto"/>
        </w:rPr>
        <w:t>”), effective as of the Effective Date, a worldwide, irrevocable, non-exclusive, perpetual, and fully paid-up license, without the right to grant sublicenses, under any and all Assigned Patents solely for Grantee’s own business purposes to (a) make, have made (including the right to have Customers make copies of Grantee’s software and distribute or use such copies), use, lease, import, offer for sale, sell, supply, distribute, host, render, otherwise transfer and promote the commercialization of (collectively “</w:t>
      </w:r>
      <w:r>
        <w:rPr>
          <w:rFonts w:ascii="Arial" w:cs="Arial" w:eastAsia="Arial" w:hAnsi="Arial"/>
          <w:sz w:val="18"/>
          <w:szCs w:val="18"/>
          <w:b w:val="1"/>
          <w:bCs w:val="1"/>
          <w:color w:val="auto"/>
        </w:rPr>
        <w:t>Supply</w:t>
      </w:r>
      <w:r>
        <w:rPr>
          <w:rFonts w:ascii="Arial" w:cs="Arial" w:eastAsia="Arial" w:hAnsi="Arial"/>
          <w:sz w:val="18"/>
          <w:szCs w:val="18"/>
          <w:color w:val="auto"/>
        </w:rPr>
        <w:t>”), Grantee’s Licensed Products, (b) use any software, product or service, and practice any process or method while carrying-out the Supply of Grantee’s Licensed Products, and (c) perform any activities that, in absence of this Agreement, would constitute inducement or contributory infringement in furtherance of the Supply of Grantee’s Licensed Products (the “</w:t>
      </w:r>
      <w:r>
        <w:rPr>
          <w:rFonts w:ascii="Arial" w:cs="Arial" w:eastAsia="Arial" w:hAnsi="Arial"/>
          <w:sz w:val="18"/>
          <w:szCs w:val="18"/>
          <w:b w:val="1"/>
          <w:bCs w:val="1"/>
          <w:color w:val="auto"/>
        </w:rPr>
        <w:t>License</w:t>
      </w:r>
      <w:r>
        <w:rPr>
          <w:rFonts w:ascii="Arial" w:cs="Arial" w:eastAsia="Arial" w:hAnsi="Arial"/>
          <w:sz w:val="18"/>
          <w:szCs w:val="18"/>
          <w:color w:val="auto"/>
        </w:rPr>
        <w:t>”).</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Past Release</w:t>
      </w:r>
      <w:r>
        <w:rPr>
          <w:rFonts w:ascii="Arial" w:cs="Arial" w:eastAsia="Arial" w:hAnsi="Arial"/>
          <w:sz w:val="16"/>
          <w:szCs w:val="16"/>
          <w:color w:val="auto"/>
        </w:rPr>
        <w:t>. Purchaser, on behalf of itself and its Affiliates, irrevocably releases, acquits and forever discharges Nokia, its Affiliates, and NSN and all their respective Customers, and each of their respective officers, directors, employees, agents, successors, assigns, representatives, and attorneys from and against any and all Claims which Purchaser or its Affiliates may have or obtain based on acts prior to the Effective Date, which, had they been performed on or after the Effective Date, would have been licensed or otherwise immunized under this Agreement, including any infringement, misappropriation or other violation, or alleged infringement, misappropriation or other violation, of any Assigned Patents (whether direct, contributory or by inducement, and whether or not willful) based on Licensed Products (or the manufacture, use, sale, offer for sale, import, export or other exploitation thereof).</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Combinations</w:t>
      </w:r>
      <w:r>
        <w:rPr>
          <w:rFonts w:ascii="Arial" w:cs="Arial" w:eastAsia="Arial" w:hAnsi="Arial"/>
          <w:sz w:val="18"/>
          <w:szCs w:val="18"/>
          <w:color w:val="auto"/>
        </w:rPr>
        <w:t>. Without limiting the rights granted hereunder, the licenses granted in Section 6.1 extend to the Supply by or on behalf of each Grantee, and their respective Customers, of a combination of a Licensed Product with any third-party software, products and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 All rights not expressly granted in this Agreement are reserved. No additional rights whatsoever (including, without limitation, any implied licenses) are granted by implication, exhaustion, estoppel or otherwise.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Changes of Status</w:t>
      </w:r>
      <w:r>
        <w:rPr>
          <w:rFonts w:ascii="Arial" w:cs="Arial" w:eastAsia="Arial" w:hAnsi="Arial"/>
          <w:sz w:val="18"/>
          <w:szCs w:val="18"/>
          <w:color w:val="auto"/>
        </w:rPr>
        <w:t>. Notwithstanding anything to the contrary in this Agreement, if an entity ceases to be an Affiliate of Nokia or Nokia Siemens Networks B.V., such entity automatically thereafter shall cease to be a Grantee. In the event of a Change of Control of Nokia or NSN, then Licensed Products of Nokia and its Affiliates, or NSN (as applicable), automatically thereafter shall be limited solely (a) to those Licensed Products of Nokia and its Affiliates, or NSN (as applicable), in commercial production or sale immediately prior to giving effect to such Change of Control, and (b) to products of Nokia and its Affiliates, or NSN (as applicable), that are designated in good faith as follow-on versions or models of the Licensed Products described in clause (a) and in the same product lines of Nokia and its Affiliates, or NSN (as applicable), provided that such follow-on versions or models do not alter or add in any material respect any new or different form, function or feature. In no event shall a Licensed Product directly or indirectly include any product that is not specifically described in clause (a) or (b) above.</w:t>
      </w:r>
    </w:p>
    <w:p>
      <w:pPr>
        <w:spacing w:after="0" w:line="192"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ind w:right="20"/>
        <w:spacing w:after="0" w:line="30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New Affiliates License</w:t>
      </w:r>
      <w:r>
        <w:rPr>
          <w:rFonts w:ascii="Arial" w:cs="Arial" w:eastAsia="Arial" w:hAnsi="Arial"/>
          <w:sz w:val="17"/>
          <w:szCs w:val="17"/>
          <w:color w:val="auto"/>
        </w:rPr>
        <w:t>. If an Affiliate is acquired by Nokia or an Affiliate thereof after the Effective Date, the Affiliate shall be deemed a Grantee under Section 6.1 and the licenses and covenants granted under this Agreement shall extend to such Affiliate as from the date of acquisition.</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UDIT</w:t>
      </w:r>
      <w:r>
        <w:rPr>
          <w:rFonts w:ascii="Arial" w:cs="Arial" w:eastAsia="Arial" w:hAnsi="Arial"/>
          <w:sz w:val="18"/>
          <w:szCs w:val="18"/>
          <w:b w:val="1"/>
          <w:bCs w:val="1"/>
          <w:color w:val="auto"/>
        </w:rPr>
        <w:t>; R</w:t>
      </w:r>
      <w:r>
        <w:rPr>
          <w:rFonts w:ascii="Arial" w:cs="Arial" w:eastAsia="Arial" w:hAnsi="Arial"/>
          <w:sz w:val="12"/>
          <w:szCs w:val="12"/>
          <w:b w:val="1"/>
          <w:bCs w:val="1"/>
          <w:color w:val="auto"/>
        </w:rPr>
        <w:t>EPORTING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Quarterly Reports</w:t>
      </w:r>
      <w:r>
        <w:rPr>
          <w:rFonts w:ascii="Arial" w:cs="Arial" w:eastAsia="Arial" w:hAnsi="Arial"/>
          <w:sz w:val="18"/>
          <w:szCs w:val="18"/>
          <w:color w:val="auto"/>
        </w:rPr>
        <w:t>. Within forty five (45) days after the end of each Reporting Quarter ending on March 31, June 30 or September 30, and within seventy five (75) days after the end of each Reporting Quarter ending on December 31, Purchaser shall provide a written report to Nokia containing the following information:</w:t>
      </w:r>
    </w:p>
    <w:p>
      <w:pPr>
        <w:spacing w:after="0" w:line="181" w:lineRule="exact"/>
        <w:rPr>
          <w:sz w:val="20"/>
          <w:szCs w:val="20"/>
          <w:color w:val="auto"/>
        </w:rPr>
      </w:pPr>
    </w:p>
    <w:p>
      <w:pPr>
        <w:ind w:left="1260" w:hanging="604"/>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Gross Revenue with respect to such preceding Reporting Quarter;</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due and payable to Nokia, if any, under the Royalty with respect to such preceding Reporting Quarter;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calculations supporting Purchaser’s determinations under Sections 7.1(a) and 7.1(b).</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Annual Report</w:t>
      </w:r>
      <w:r>
        <w:rPr>
          <w:rFonts w:ascii="Arial" w:cs="Arial" w:eastAsia="Arial" w:hAnsi="Arial"/>
          <w:sz w:val="17"/>
          <w:szCs w:val="17"/>
          <w:color w:val="auto"/>
        </w:rPr>
        <w:t>. On at least an annual basis, Purchaser shall provide Nokia a written report summarizing key business developments and operations during the preceding year, as well as an overview of Purchaser’s licensing activities and market environment (including the number, but excluding the names, of its third party contacts during the reporting period). The annual report shall be provided in addition to the quarterly reports described above.</w:t>
      </w:r>
    </w:p>
    <w:p>
      <w:pPr>
        <w:spacing w:after="0" w:line="166"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Records</w:t>
      </w:r>
      <w:r>
        <w:rPr>
          <w:rFonts w:ascii="Arial" w:cs="Arial" w:eastAsia="Arial" w:hAnsi="Arial"/>
          <w:sz w:val="18"/>
          <w:szCs w:val="18"/>
          <w:color w:val="auto"/>
        </w:rPr>
        <w:t>. Purchaser shall maintain complete and accurate books, records and accounts in sufficient detail to confirm the accuracy of the Royalty due hereunder. Such books, records and accounts shall be retained by Purchaser until the later of (a) three (3) years after the end of the period to which such books, records and accounts pertain, and (b) the expiration of the applicable tax statute of limitations (or any extensions thereof), or for such longer period as may be required by applicable law.</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Information Rights; Audit</w:t>
      </w:r>
      <w:r>
        <w:rPr>
          <w:rFonts w:ascii="Arial" w:cs="Arial" w:eastAsia="Arial" w:hAnsi="Arial"/>
          <w:sz w:val="16"/>
          <w:szCs w:val="16"/>
          <w:color w:val="auto"/>
        </w:rPr>
        <w:t xml:space="preserve">. Purchaser shall permit Nokia to audit Purchaser’s books of account and records in accordance with the procedures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shall not be obliged pursuant to this Section 7.4 to provide access to any information the disclosure of which would adversely affect the attorney-client privilege between Purchaser and its counsel. Nokia shall have the right to have an independent certified public accounting firm of nationally recognized standing, selected by Nokia, inspect Purchaser’s books of account and records and have access to Purchaser’s officers during normal business hours, and upon reasonable prior notice, to such of the records of Purchaser (and its Affiliates) as may be reasonably necessary to verify the accuracy of any calculations that formed the basis for a payment to Nokia hereunder during the thirty six (36) months prior to the date of such request (other than records for any period for which Nokia already has conducted an audit);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Nokia shall not have the right to conduct more than one such audit in any twelve (12) month period. Nokia shall bear the cost of such audit unless the audit reveals a variance of more than the greater of (a) [***] percent ([***]%) or (b) [***] ([***]) from the reported Gross Revenue, in which case Purchaser shall bear the out of pocket cost of such audit charged by such accounting firm for such audit. The parties agree that errors in form, including, e.g., allocating payments to an incorrect reporting period, and other acts which do not affect aggregate amounts paid under this Agreement will not be included in the calculation of the variance revealed by an audit, provided, however, that only payments made before Nokia’s notice requesting commencement of an audit shall be included in aggregate amounts paid and taken into account in the audit. If, based on the results of such audit, additional payments are owed by Purchaser under this Agreement, Purchaser shall make such additional payments within thirty (30) days after the date on which such audit report is delivered to Purchaser. Nokia shall cause its accounting firm to retain all financial information subject to review under this Section 7.4 in strict confidence, and Purchaser shall have the right to require that such accounting firm, prior to conducting such audit, to enter into an appropriate non-disclosure agreement with Purchaser regarding such financial information. The accounting firm shall disclose to Nokia only whether the reports are correct or not and the amount of any discrepancy. No other information shall be shared, unless Purchaser agrees to comply with its additional payment obligations, if any, pursuant to an audit report.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avoidance of doubt, the audit and information rights set forth in this Section 7 do not confer on Nokia any rights to direct, control or influence Purchaser’s strategy or conduct.</w:t>
      </w:r>
    </w:p>
    <w:p>
      <w:pPr>
        <w:spacing w:after="0" w:line="170"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3" w:name="page64"/>
    <w:bookmarkEnd w:id="63"/>
    <w:p>
      <w:pPr>
        <w:ind w:left="620" w:hanging="612"/>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Covenant</w:t>
      </w:r>
      <w:r>
        <w:rPr>
          <w:rFonts w:ascii="Arial" w:cs="Arial" w:eastAsia="Arial" w:hAnsi="Arial"/>
          <w:sz w:val="17"/>
          <w:szCs w:val="17"/>
          <w:color w:val="auto"/>
        </w:rPr>
        <w:t>. If, at any time prior to the seventh (7th) anniversary of the Effective Date, Purchaser or any of its Affiliates files a lawsuit, including an action before the United States International Trade Commission, or otherwise commences legal proceedings in a court of law against Nokia and/or its Affiliate(s) accusing Nokia and/or its Affiliate(s) of the infringement of any Patent owned or controlled by Purchaser or its Affiliates by the Supply by Nokia or its Affiliates (as the case may be) of the Licensed Products of Nokia or its Affiliates (as applicable) (“</w:t>
      </w:r>
      <w:r>
        <w:rPr>
          <w:rFonts w:ascii="Arial" w:cs="Arial" w:eastAsia="Arial" w:hAnsi="Arial"/>
          <w:sz w:val="17"/>
          <w:szCs w:val="17"/>
          <w:b w:val="1"/>
          <w:bCs w:val="1"/>
          <w:color w:val="auto"/>
        </w:rPr>
        <w:t>Enforcement Activities</w:t>
      </w:r>
      <w:r>
        <w:rPr>
          <w:rFonts w:ascii="Arial" w:cs="Arial" w:eastAsia="Arial" w:hAnsi="Arial"/>
          <w:sz w:val="17"/>
          <w:szCs w:val="17"/>
          <w:color w:val="auto"/>
        </w:rPr>
        <w:t xml:space="preserve">”), Nokia shall have the right to require Purchaser to assign the Assigned Patents to Nokia or its designee, which right only may be exercised thirty (30) days after providing notice to Purchaser of Nokia’s intent if Purchaser or its Affiliate has not withdrawn its lawsuit or other action by the end of such thirty (30) day period. If Nokia timely exercises such right by giving Purchaser written instructions requiring such assignment in accordance with this Section 8.1 , then Purchaser shall assign the Assigned Patents to Nokia or its designee (in accordance with the instructions of Nokia) by executing and delivering to Nokia an assignment in substantially the form of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within ten (10) business days following Purchaser’s receipt of such written instructions requiring such assignment from Nokia, in exchange for [***] US Dollars (USD [***]), without representation or warranty (express or implied) of any kind, other than representations and warranties substantially similar to those provided by Nokia in Section 12.1. Any such assignment of the Assigned Patents to Nokia or its designee in accordance with this Section 8 shall be subject to the Pre-Assignment Agreements. Upon any such assignment of the Assigned Patents to Nokia or its designee in accordance with this Section 8, neither the Pre-Assignment Agreements nor any consideration received by or owing to Purchaser or its Affiliates thereunder shall be assigned. For clarity, Purchaser shall continue to administer all such Pre-Assignment Agreements for the duration of their terms (including any renewal or extension thereof exercised solely by a third party pursuant to existing contractual provisions of a Pre-Assignment Agreement), and the rights of Purchaser and its Affiliates to continue to receive consideration thereunder, as well as Purchaser’s obligation to pay the Royalty associated with the Pre-Assignment Agreements, shall survive any such assignment.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Termination of Obligations</w:t>
      </w:r>
      <w:r>
        <w:rPr>
          <w:rFonts w:ascii="Arial" w:cs="Arial" w:eastAsia="Arial" w:hAnsi="Arial"/>
          <w:sz w:val="18"/>
          <w:szCs w:val="18"/>
          <w:color w:val="auto"/>
        </w:rPr>
        <w:t>. The provisions of Section 8 shall not apply in the event of any lawsuit, including an action before the United States International Trade Commission, or other legal proceedings in a court of law, by Purchaser or its Affiliate in response to any claim, demand, action or other proceeding against Purchaser or its Affiliate directly or indirectly challenging the title, validity, enforceability or claim construction of any Assigned Patent or seeking a judgment or other determination of non-infringement of any Assigned Patent. If an entity ceases to be an Affiliate of Nokia, the provisions of Section 8 automatically thereafter shall cease to apply to such entity. In the event of a Change of Control of Nokia, the provisions of Section 8 automatically thereafter shall cease to apply in their entirety.</w:t>
      </w:r>
    </w:p>
    <w:p>
      <w:pPr>
        <w:spacing w:after="0" w:line="189"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XISTING</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NCUMBRANCES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ELIVERY</w:t>
      </w:r>
      <w:r>
        <w:rPr>
          <w:rFonts w:ascii="Arial" w:cs="Arial" w:eastAsia="Arial" w:hAnsi="Arial"/>
          <w:sz w:val="18"/>
          <w:szCs w:val="18"/>
          <w:b w:val="1"/>
          <w:bCs w:val="1"/>
          <w:color w:val="auto"/>
        </w:rPr>
        <w:t>; P</w:t>
      </w:r>
      <w:r>
        <w:rPr>
          <w:rFonts w:ascii="Arial" w:cs="Arial" w:eastAsia="Arial" w:hAnsi="Arial"/>
          <w:sz w:val="12"/>
          <w:szCs w:val="12"/>
          <w:b w:val="1"/>
          <w:bCs w:val="1"/>
          <w:color w:val="auto"/>
        </w:rPr>
        <w:t>ROSECUTION</w:t>
      </w:r>
      <w:r>
        <w:rPr>
          <w:rFonts w:ascii="Arial" w:cs="Arial" w:eastAsia="Arial" w:hAnsi="Arial"/>
          <w:sz w:val="18"/>
          <w:szCs w:val="18"/>
          <w:b w:val="1"/>
          <w:bCs w:val="1"/>
          <w:color w:val="auto"/>
        </w:rPr>
        <w:t>; C</w:t>
      </w:r>
      <w:r>
        <w:rPr>
          <w:rFonts w:ascii="Arial" w:cs="Arial" w:eastAsia="Arial" w:hAnsi="Arial"/>
          <w:sz w:val="12"/>
          <w:szCs w:val="12"/>
          <w:b w:val="1"/>
          <w:bCs w:val="1"/>
          <w:color w:val="auto"/>
        </w:rPr>
        <w:t>OOPERATION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Continued Prosecution</w:t>
      </w:r>
      <w:r>
        <w:rPr>
          <w:rFonts w:ascii="Arial" w:cs="Arial" w:eastAsia="Arial" w:hAnsi="Arial"/>
          <w:sz w:val="18"/>
          <w:szCs w:val="18"/>
          <w:color w:val="auto"/>
        </w:rPr>
        <w:t>. Nokia or its Affiliates shall pay, or cause to be paid, any maintenance fees, annuities and the like relating to the Assigned Patents for which the fee is due within sixty (60) days of the Effective Date.</w:t>
      </w:r>
    </w:p>
    <w:p>
      <w:pPr>
        <w:spacing w:after="0" w:line="170"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both"/>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Cooperation After Effective Date</w:t>
      </w:r>
      <w:r>
        <w:rPr>
          <w:rFonts w:ascii="Arial" w:cs="Arial" w:eastAsia="Arial" w:hAnsi="Arial"/>
          <w:sz w:val="16"/>
          <w:szCs w:val="16"/>
          <w:color w:val="auto"/>
        </w:rPr>
        <w:t>. Nokia further covenants and agrees that after the Effective Date, it shall, upon request and without further consideration, without unnecessary delay execute and deliver to Purchaser any and all other documents and materials, and take any and all reasonable further actions (including taking reasonable action to obtain the cooperation of the named inventors), that are reasonably necessary for Purchaser to perfect its right, title and interest in the Assigned Patents. In addition, Nokia shall take, or cause to be taken, any and all reasonable actions to provide reasonable access to employee inventors of Nokia, still employed by Nokia at the time of such request, and relevant documents (including information about whether a particular third party does not have a license under the Assigned Patents) to assist Purchaser in the prosecution, maintenance or defense of the Assigned Patents.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Costs</w:t>
      </w:r>
      <w:r>
        <w:rPr>
          <w:rFonts w:ascii="Arial" w:cs="Arial" w:eastAsia="Arial" w:hAnsi="Arial"/>
          <w:sz w:val="18"/>
          <w:szCs w:val="18"/>
          <w:color w:val="auto"/>
        </w:rPr>
        <w:t>. Unless expressly specified herein or in the Related Agreements, each party shall bear its own costs in connection with and arising out of obligations set forth herein.</w:t>
      </w:r>
    </w:p>
    <w:p>
      <w:pPr>
        <w:spacing w:after="0" w:line="166"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Section 11 governs the treatment of all taxes arising as a result of or in connection with this Agreement, notwithstanding any other provision of this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Responsibility for Own Taxes</w:t>
      </w:r>
      <w:r>
        <w:rPr>
          <w:rFonts w:ascii="Arial" w:cs="Arial" w:eastAsia="Arial" w:hAnsi="Arial"/>
          <w:sz w:val="18"/>
          <w:szCs w:val="18"/>
          <w:color w:val="auto"/>
        </w:rPr>
        <w:t>. Each party is responsible for all taxes (including, but not limited to, net income, gross receipts, franchise, or property taxes and taxes arising from transactions between such party and its customers) imposed on such party under applicable laws and arising as a result of or in connection with this Agreement or the transactions contemplated by this Agreement.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Payments by Purchaser</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57" w:lineRule="auto"/>
        <w:tabs>
          <w:tab w:leader="none" w:pos="1283"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any taxes are required by applicable law to be withheld on payments made by Purchaser to Nokia, Purchaser may deduct such taxes from the amount owed to Nokia and pay such taxes to the appropriate taxing authority, provided that Purchaser will furnish receipts evidencing such paid taxes to Nokia in the form issued by the relevant jurisdiction. Notwithstanding the preceding sentence to the contrary, Purchaser will not withhold taxes (or will withhold taxes at a reduced rate) on payments to Nokia to the extent that Nokia timely provides Purchaser with reasonably sufficient evidence that an exemption is applicable.</w:t>
      </w:r>
    </w:p>
    <w:p>
      <w:pPr>
        <w:spacing w:after="0" w:line="188" w:lineRule="exact"/>
        <w:rPr>
          <w:rFonts w:ascii="Arial" w:cs="Arial" w:eastAsia="Arial" w:hAnsi="Arial"/>
          <w:sz w:val="18"/>
          <w:szCs w:val="18"/>
          <w:color w:val="auto"/>
        </w:rPr>
      </w:pPr>
    </w:p>
    <w:p>
      <w:pPr>
        <w:ind w:firstLine="656"/>
        <w:spacing w:after="0" w:line="277" w:lineRule="auto"/>
        <w:tabs>
          <w:tab w:leader="none" w:pos="13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parties will use commercially reasonable efforts to mitigate, reduce, or eliminate any taxes collected from or withheld by either party pursuant to this Section 11.2.</w:t>
      </w:r>
    </w:p>
    <w:p>
      <w:pPr>
        <w:spacing w:after="0" w:line="166" w:lineRule="exact"/>
        <w:rPr>
          <w:rFonts w:ascii="Arial" w:cs="Arial" w:eastAsia="Arial" w:hAnsi="Arial"/>
          <w:sz w:val="18"/>
          <w:szCs w:val="18"/>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Nokia hereby represents and warrants to Purchaser that:</w:t>
      </w:r>
    </w:p>
    <w:p>
      <w:pPr>
        <w:spacing w:after="0" w:line="225" w:lineRule="exact"/>
        <w:rPr>
          <w:sz w:val="20"/>
          <w:szCs w:val="20"/>
          <w:color w:val="auto"/>
        </w:rPr>
      </w:pPr>
    </w:p>
    <w:p>
      <w:pPr>
        <w:jc w:val="both"/>
        <w:ind w:firstLine="656"/>
        <w:spacing w:after="0" w:line="302" w:lineRule="auto"/>
        <w:tabs>
          <w:tab w:leader="none" w:pos="129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Nokia has been duly organized, and is validly existing and in good standing under the laws of the jurisdiction of its incorporation. Nokia has the right and authority to enter into this Agreement and to carry out its obligations hereunder and requires no third party consent, approval, and/or other authorization to enter into this Agreement and to carry out its obligations hereunder. This Agreement has been duly authorized, executed and delivered by Nokia and constitutes a valid and binding agreement of such party, enforceable against such party in accordance with its terms.</w:t>
      </w:r>
    </w:p>
    <w:p>
      <w:pPr>
        <w:spacing w:after="0" w:line="154"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jc w:val="both"/>
        <w:ind w:firstLine="656"/>
        <w:spacing w:after="0" w:line="257"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After giving effect to the sale and assignment as set forth in Section 2, Purchaser shall be the sole and exclusive owner and assignee of, and shall have good and marketable title to, all right, title and interest in the Assigned Patents, including all rights to sue for past, present and future infringement thereof, [***]. All Assigned Patents have been duly filed or registered (as applicable) with the applicable Governmental Authorities, prosecuted and maintained, including the submission of all necessary filings and fees in accordance with all requirements of applicable laws, regulations and administrative requirements of the appropriate jurisdictions. [***].</w:t>
      </w:r>
    </w:p>
    <w:p>
      <w:pPr>
        <w:spacing w:after="0" w:line="188" w:lineRule="exact"/>
        <w:rPr>
          <w:rFonts w:ascii="Arial" w:cs="Arial" w:eastAsia="Arial" w:hAnsi="Arial"/>
          <w:sz w:val="18"/>
          <w:szCs w:val="18"/>
          <w:color w:val="auto"/>
        </w:rPr>
      </w:pPr>
    </w:p>
    <w:p>
      <w:pPr>
        <w:ind w:left="1260" w:hanging="604"/>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Unlicensed Companies</w:t>
      </w:r>
      <w:r>
        <w:rPr>
          <w:rFonts w:ascii="Arial" w:cs="Arial" w:eastAsia="Arial" w:hAnsi="Arial"/>
          <w:sz w:val="18"/>
          <w:szCs w:val="18"/>
          <w:color w:val="auto"/>
        </w:rPr>
        <w:t>. Nokia is the assignee of the Assigned Patents. [***].</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Purchaser</w:t>
      </w:r>
      <w:r>
        <w:rPr>
          <w:rFonts w:ascii="Arial" w:cs="Arial" w:eastAsia="Arial" w:hAnsi="Arial"/>
          <w:sz w:val="16"/>
          <w:szCs w:val="16"/>
          <w:color w:val="auto"/>
        </w:rPr>
        <w:t>. Purchaser hereby represents and warrants to Nokia that:</w:t>
      </w:r>
    </w:p>
    <w:p>
      <w:pPr>
        <w:spacing w:after="0" w:line="225" w:lineRule="exact"/>
        <w:rPr>
          <w:sz w:val="20"/>
          <w:szCs w:val="20"/>
          <w:color w:val="auto"/>
        </w:rPr>
      </w:pPr>
    </w:p>
    <w:p>
      <w:pPr>
        <w:ind w:left="1260" w:hanging="604"/>
        <w:spacing w:after="0"/>
        <w:tabs>
          <w:tab w:leader="none" w:pos="12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Purchaser has been duly organized, and is validly existing and in good standing under the laws of the jurisdiction of its incorporation.</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Purchaser has the right and authority to enter into this Agreement and to carry out its obligations hereunder and requires no third party consent, approval, and/or other authorization to enter into this Agreement and to carry out its obligations hereunder. This Agreement has been duly authorized, executed and delivered by Purchaser and constitutes a valid and binding agreement of such party, enforceable against such party in accordance with its terms.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2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Purchaser’s existing agreements and other undertakings shall not result in the imposition of any encumbrances on the Assigned Patents, and Purchaser covenants and agrees not to enter into any agreements or permit any arrangements that would result in Purchaser’s existing agreements and other undertakings so imposing any encumbrances on the Assigned Patents.</w:t>
      </w:r>
    </w:p>
    <w:p>
      <w:pPr>
        <w:spacing w:after="0" w:line="177" w:lineRule="exact"/>
        <w:rPr>
          <w:rFonts w:ascii="Arial" w:cs="Arial" w:eastAsia="Arial" w:hAnsi="Arial"/>
          <w:sz w:val="18"/>
          <w:szCs w:val="18"/>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Applicable Law, Jurisdiction, Venue and Waiver of Jury Trial</w:t>
      </w:r>
      <w:r>
        <w:rPr>
          <w:rFonts w:ascii="Arial" w:cs="Arial" w:eastAsia="Arial" w:hAnsi="Arial"/>
          <w:sz w:val="18"/>
          <w:szCs w:val="18"/>
          <w:color w:val="auto"/>
        </w:rPr>
        <w:t>. The validity, construction, and performance of this Agreement shall be governed by and construed in accordance with the laws of the State of New York, U.S.A., exclusive of its choice of law rules. Any legal suit, action or proceeding arising out of or related to or arising out of this Agreement or any transaction contemplated hereby shall be commenced solely in the United States District Court for the Southern District of New York, U.S.A., and each party (a) irrevocably submits to the personal and exclusive jurisdiction and venue of such court in any such suit, action or proceeding, and (b) waives any right to trial by jury with respect to any action related to or arising out of this Agreement or any transaction contemplated hereby.</w:t>
      </w:r>
    </w:p>
    <w:p>
      <w:pPr>
        <w:spacing w:after="0" w:line="193"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LIMITATION ON CONSEQUENTIAL DAMAGES</w:t>
      </w:r>
      <w:r>
        <w:rPr>
          <w:rFonts w:ascii="Arial" w:cs="Arial" w:eastAsia="Arial" w:hAnsi="Arial"/>
          <w:sz w:val="18"/>
          <w:szCs w:val="18"/>
          <w:color w:val="auto"/>
        </w:rPr>
        <w:t>. EXCEPT IN THE CASE OF INTENTIONAL MISUSE OR GROSS NEGLIGENCE, NO PARTY SHALL BE LIABLE TO ANY OTHER FOR ANY SPECIAL, CONSEQUENTIAL OR INCIDENTAL DAMAGES, HOWEVER CAUSED, KNOWN OR UNKNOWN, ANTICIPATED OR UNANTICIPATED, EVEN IF ADVISED OF THE POSSIBILITY OF SUCH DAMAGES. THE PARTIES ACKNOWLEDGE THAT THESE LIMITATIONS ON POTENTIAL DAMAGES WERE AN ESSENTIAL ELEMENT IN SETTING CONSIDERATION UNDER THIS AGREEMENT.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DISCLAIMER OF REPRESENTATIONS AND WARRANTIES</w:t>
      </w:r>
      <w:r>
        <w:rPr>
          <w:rFonts w:ascii="Arial" w:cs="Arial" w:eastAsia="Arial" w:hAnsi="Arial"/>
          <w:sz w:val="17"/>
          <w:szCs w:val="17"/>
          <w:color w:val="auto"/>
        </w:rPr>
        <w:t>. NO PARTY MAKES ANY REPRESENTATION OR WARRANTY EXCEPT FOR THEIR RESPECTIVE REPRESENTATIONS AND WARRANTIES SET FORTH IN SECTIONS 8 AND 12, AND EACH PARTY DISCLAIMS ALL IMPLIED WARRANTIES, INCLUDING THE IMPLIED WARRANTIES OF MERCHANTABILITY AND FITNESS FOR A PARTICULAR PURPOSE. EXCEPT AS EXPRESSLY SET FORTH IN SECTIONS 8 AND 12 HEREOF, NEITHER PARTY GIVES THE OTHER PARTY ANY ASSURANCE</w:t>
      </w:r>
    </w:p>
    <w:p>
      <w:pPr>
        <w:spacing w:after="0" w:line="2" w:lineRule="exact"/>
        <w:rPr>
          <w:sz w:val="20"/>
          <w:szCs w:val="20"/>
          <w:color w:val="auto"/>
        </w:rPr>
      </w:pPr>
    </w:p>
    <w:p>
      <w:pPr>
        <w:jc w:val="both"/>
        <w:ind w:firstLine="8"/>
        <w:spacing w:after="0" w:line="253" w:lineRule="auto"/>
        <w:tabs>
          <w:tab w:leader="none" w:pos="3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REGARDING THE PATENTABILITY OF ANY CLAIMED INVENTION IN, OR THE VALIDITY, OF ANY PATENT OR (B) THAT MANUFACTURE, USE, SALE, OFFERING FOR SALE, IMPORTATION, EXPORTATION OR OTHER DISTRIBUTION OF ANY PRODUCT OR METHOD DISCLOSED AND CLAIMED IN ANY PATENT SHALL NOT CONSTITUTE AN INFRINGEMENT OF THE INTELLECTUAL PROPERTY RIGHTS OF OTHER PERSONS. EXCEPT AS SPECIFICALLY PROVIDED IN SECTIONS 8 AND 12 HEREOF, THE ASSIGNED PATENTS ARE ASSIGNED “AS IS” WITHOUT ANY FURTHER REPRESENTATION OR WARRANTY.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anything contained in this Agreement to the contrary, the obligations of the parties shall be subject to all laws, present and future, of any government having jurisdiction over the parties and this transaction, and to orders, regulations, directions or requests of any such government.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Confidentiality of Terms; Announcements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7" w:lineRule="auto"/>
        <w:tabs>
          <w:tab w:leader="none" w:pos="14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than the existence of this Agreement and the identity of its parties all other provisions of this Agreement shall be kept in strict confidence by the parties.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656"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Neither party shall issue any press release or otherwise make any public statement, announcement or advertisement (each, an “</w:t>
      </w:r>
      <w:r>
        <w:rPr>
          <w:rFonts w:ascii="Arial" w:cs="Arial" w:eastAsia="Arial" w:hAnsi="Arial"/>
          <w:sz w:val="17"/>
          <w:szCs w:val="17"/>
          <w:b w:val="1"/>
          <w:bCs w:val="1"/>
          <w:color w:val="auto"/>
        </w:rPr>
        <w:t>Announcement</w:t>
      </w:r>
      <w:r>
        <w:rPr>
          <w:rFonts w:ascii="Arial" w:cs="Arial" w:eastAsia="Arial" w:hAnsi="Arial"/>
          <w:sz w:val="17"/>
          <w:szCs w:val="17"/>
          <w:color w:val="auto"/>
        </w:rPr>
        <w:t>”) related to this Agreement without the prior consent of the other party. Notwithstanding the parties agree to prepare a public statement regarding the assignment of the Assigned Patents to be published by Purchaser and Nokia agrees to cooperate in preparing and reviewing such public statement and Nokia shall not unreasonably withhold, delay or condition its consent for the public statement. To the extent commercially practicable, a party shall submit each Announcement to the other party, and the receiving party shall have five (5) days to review and approve any such Announcement or to propose reasonable modifications thereto. Prior to issuing or otherwise making such Announcement, the submitting party shall implement any reasonable modifications to such Announcement that are provided in writing by the receiving party within the applicable five (5) days period. If the receiving party does not respond or proposes no reasonable modifications within the applicable five (5) days period, the submitting party shall have the right to issue or otherwise make such Announcement in the form so submitted.</w:t>
      </w:r>
    </w:p>
    <w:p>
      <w:pPr>
        <w:spacing w:after="0" w:line="182"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jc w:val="both"/>
        <w:ind w:firstLine="656"/>
        <w:spacing w:after="0" w:line="284" w:lineRule="auto"/>
        <w:tabs>
          <w:tab w:leader="none" w:pos="1309"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confidentiality obligations of the parties set forth in this Section 13.6 shall not apply to any disclosure (i) with the prior consent of the other party; (ii) to any governmental body having jurisdiction to require disclosure or to any arbitral body, to the extent required by same; (iii) as otherwise may be required by applicable law, regulation, rule of a stock exchange or automated quotation system, order of a governmental agency or a court of competent jurisdiction or legal process, including tax authorities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and to legal and financial advisors in their capacity of advising a party in such matters; (iv) during the course of litigation, so long as the disclosure of such terms and conditions are restricted in the same manner as is the confidential information of other litigating parties; (v) to legal and financial advisors in their capacity of advising a party in such matters as needed in the normal course of business; (vi) to a bona fide potential acquiror; or (vii) to bona fide potential assignee of Royalty;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(ii) through (vii) above,</w:t>
      </w:r>
    </w:p>
    <w:p>
      <w:pPr>
        <w:spacing w:after="0" w:line="2" w:lineRule="exact"/>
        <w:rPr>
          <w:rFonts w:ascii="Arial" w:cs="Arial" w:eastAsia="Arial" w:hAnsi="Arial"/>
          <w:sz w:val="16"/>
          <w:szCs w:val="16"/>
          <w:color w:val="auto"/>
        </w:rPr>
      </w:pPr>
    </w:p>
    <w:p>
      <w:pPr>
        <w:jc w:val="both"/>
        <w:ind w:firstLine="8"/>
        <w:spacing w:after="0" w:line="270" w:lineRule="auto"/>
        <w:tabs>
          <w:tab w:leader="none" w:pos="2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parties shall use reasonable means available to minimize the disclosure to third parties, including seeking a confidential treatment request or protective order whenever appropriate or available; and (B) except for permitted disclosures to legal and financial advisors and accountants or potential acquirers and assignees, the parties provide the other party, when reasonable, with at least ten (10) days’ prior notice of such disclosure to afford the other party reasonable opportunity to object thereto or to seek confidential treatment or a protective order. Nokia acknowledges that, without limiting the foregoing, Purchaser will be required under applicable United States federal and state securities laws and regulations to make certain disclosures regarding this Agreement, and to file a copy of this Agreement with the United States Securities and Exchange Commission.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Entire Agreement; Headings</w:t>
      </w:r>
      <w:r>
        <w:rPr>
          <w:rFonts w:ascii="Arial" w:cs="Arial" w:eastAsia="Arial" w:hAnsi="Arial"/>
          <w:sz w:val="18"/>
          <w:szCs w:val="18"/>
          <w:color w:val="auto"/>
        </w:rPr>
        <w:t>. This Agreement reflects the complete understanding of the parties regarding the subject of the Agreement, and supersedes all prior related negotiations. The section headings contained in this Agreement are for reference purposes only and shall not affect in any way the meaning or interpretation of this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consent, waiver or other communication required or permitted to be given by one party to the other party pursuant to this Agreement shall be in writing, shall conspicuously reference (including in the subject line) this Agreement and the provision to which it relates, shall be delivered by any lawful means to such other party at its address indicated below, or to such other address as the addressee shall have last furnished in writing to the addressor, and shall be effective upon actual receipt by the addressee: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If to Nokia:</w:t>
            </w:r>
          </w:p>
        </w:tc>
        <w:tc>
          <w:tcPr>
            <w:tcW w:w="102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If to Purchaser:</w:t>
            </w:r>
          </w:p>
        </w:tc>
      </w:tr>
      <w:tr>
        <w:trPr>
          <w:trHeight w:val="418"/>
        </w:trPr>
        <w:tc>
          <w:tcPr>
            <w:tcW w:w="6280" w:type="dxa"/>
            <w:vAlign w:val="bottom"/>
            <w:gridSpan w:val="2"/>
          </w:tcPr>
          <w:p>
            <w:pPr>
              <w:spacing w:after="0"/>
              <w:rPr>
                <w:sz w:val="20"/>
                <w:szCs w:val="20"/>
                <w:color w:val="auto"/>
              </w:rPr>
            </w:pPr>
            <w:r>
              <w:rPr>
                <w:rFonts w:ascii="Arial" w:cs="Arial" w:eastAsia="Arial" w:hAnsi="Arial"/>
                <w:sz w:val="18"/>
                <w:szCs w:val="18"/>
                <w:color w:val="auto"/>
              </w:rPr>
              <w:t>Nokia Corporation</w:t>
            </w:r>
          </w:p>
        </w:tc>
        <w:tc>
          <w:tcPr>
            <w:tcW w:w="5140" w:type="dxa"/>
            <w:vAlign w:val="bottom"/>
          </w:tcPr>
          <w:p>
            <w:pPr>
              <w:spacing w:after="0"/>
              <w:rPr>
                <w:sz w:val="20"/>
                <w:szCs w:val="20"/>
                <w:color w:val="auto"/>
              </w:rPr>
            </w:pPr>
            <w:r>
              <w:rPr>
                <w:rFonts w:ascii="Arial" w:cs="Arial" w:eastAsia="Arial" w:hAnsi="Arial"/>
                <w:sz w:val="18"/>
                <w:szCs w:val="18"/>
                <w:color w:val="auto"/>
              </w:rPr>
              <w:t>Vringo, Inc.</w:t>
            </w:r>
          </w:p>
        </w:tc>
      </w:tr>
      <w:tr>
        <w:trPr>
          <w:trHeight w:val="217"/>
        </w:trPr>
        <w:tc>
          <w:tcPr>
            <w:tcW w:w="6280" w:type="dxa"/>
            <w:vAlign w:val="bottom"/>
            <w:gridSpan w:val="2"/>
          </w:tcPr>
          <w:p>
            <w:pPr>
              <w:spacing w:after="0"/>
              <w:rPr>
                <w:sz w:val="20"/>
                <w:szCs w:val="20"/>
                <w:color w:val="auto"/>
              </w:rPr>
            </w:pPr>
            <w:r>
              <w:rPr>
                <w:rFonts w:ascii="Arial" w:cs="Arial" w:eastAsia="Arial" w:hAnsi="Arial"/>
                <w:sz w:val="18"/>
                <w:szCs w:val="18"/>
                <w:color w:val="auto"/>
              </w:rPr>
              <w:t>Keilalahdentie 4</w:t>
            </w:r>
          </w:p>
        </w:tc>
        <w:tc>
          <w:tcPr>
            <w:tcW w:w="5140" w:type="dxa"/>
            <w:vAlign w:val="bottom"/>
          </w:tcPr>
          <w:p>
            <w:pPr>
              <w:spacing w:after="0" w:line="217" w:lineRule="exact"/>
              <w:rPr>
                <w:sz w:val="20"/>
                <w:szCs w:val="20"/>
                <w:color w:val="auto"/>
              </w:rPr>
            </w:pPr>
            <w:r>
              <w:rPr>
                <w:rFonts w:ascii="Arial" w:cs="Arial" w:eastAsia="Arial" w:hAnsi="Arial"/>
                <w:sz w:val="16"/>
                <w:szCs w:val="16"/>
                <w:color w:val="auto"/>
              </w:rPr>
              <w:t>780 Third Avenue, 15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02150 Espoo, Finland</w:t>
            </w:r>
          </w:p>
        </w:tc>
        <w:tc>
          <w:tcPr>
            <w:tcW w:w="5140" w:type="dxa"/>
            <w:vAlign w:val="bottom"/>
          </w:tcPr>
          <w:p>
            <w:pPr>
              <w:spacing w:after="0"/>
              <w:rPr>
                <w:sz w:val="20"/>
                <w:szCs w:val="20"/>
                <w:color w:val="auto"/>
              </w:rPr>
            </w:pPr>
            <w:r>
              <w:rPr>
                <w:rFonts w:ascii="Arial" w:cs="Arial" w:eastAsia="Arial" w:hAnsi="Arial"/>
                <w:sz w:val="18"/>
                <w:szCs w:val="18"/>
                <w:color w:val="auto"/>
              </w:rPr>
              <w:t>New York, New York 10017, U.S.A.</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Attn: VP, Intellectual Property</w:t>
            </w:r>
          </w:p>
        </w:tc>
        <w:tc>
          <w:tcPr>
            <w:tcW w:w="5140" w:type="dxa"/>
            <w:vAlign w:val="bottom"/>
          </w:tcPr>
          <w:p>
            <w:pPr>
              <w:spacing w:after="0"/>
              <w:rPr>
                <w:sz w:val="20"/>
                <w:szCs w:val="20"/>
                <w:color w:val="auto"/>
              </w:rPr>
            </w:pPr>
            <w:r>
              <w:rPr>
                <w:rFonts w:ascii="Arial" w:cs="Arial" w:eastAsia="Arial" w:hAnsi="Arial"/>
                <w:sz w:val="18"/>
                <w:szCs w:val="18"/>
                <w:color w:val="auto"/>
              </w:rPr>
              <w:t>Attn: Chief Operating Officer</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Facsimile: +358.718.038842</w:t>
            </w:r>
          </w:p>
        </w:tc>
        <w:tc>
          <w:tcPr>
            <w:tcW w:w="5140" w:type="dxa"/>
            <w:vAlign w:val="bottom"/>
          </w:tcPr>
          <w:p>
            <w:pPr>
              <w:spacing w:after="0"/>
              <w:rPr>
                <w:sz w:val="20"/>
                <w:szCs w:val="20"/>
                <w:color w:val="auto"/>
              </w:rPr>
            </w:pPr>
            <w:r>
              <w:rPr>
                <w:rFonts w:ascii="Arial" w:cs="Arial" w:eastAsia="Arial" w:hAnsi="Arial"/>
                <w:sz w:val="18"/>
                <w:szCs w:val="18"/>
                <w:color w:val="auto"/>
              </w:rPr>
              <w:t>Fascimile: (646) 532-6775</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13.9 </w:t>
      </w:r>
      <w:r>
        <w:rPr>
          <w:rFonts w:ascii="Arial" w:cs="Arial" w:eastAsia="Arial" w:hAnsi="Arial"/>
          <w:sz w:val="17"/>
          <w:szCs w:val="17"/>
          <w:u w:val="single" w:color="auto"/>
          <w:color w:val="auto"/>
        </w:rPr>
        <w:t>Relationship of Parties</w:t>
      </w:r>
      <w:r>
        <w:rPr>
          <w:rFonts w:ascii="Arial" w:cs="Arial" w:eastAsia="Arial" w:hAnsi="Arial"/>
          <w:sz w:val="17"/>
          <w:szCs w:val="17"/>
          <w:color w:val="auto"/>
        </w:rPr>
        <w:t>. The parties hereto are independent contractors. Neither party has any express or implied right or authority to assume or create any obligations on behalf of the other or to bind the other to any contract, agreement or undertaking with any third party. Nothing in this Agreement shall be construed to create a partnership, joint venture, employment or agency relationship between Purchaser and Nokia.</w:t>
      </w:r>
    </w:p>
    <w:p>
      <w:pPr>
        <w:spacing w:after="0" w:line="166"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any terms or conditions of this Agreement are held invalid or unenforceable in a jurisdiction, those terms or conditions shall be enforced to the maximum extent possible in that jurisdiction and the remaining terms and conditions shall retain full force and effect in that jurisdiction, so long as the remaining Agreement continues to express the intent of the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Waiver</w:t>
      </w:r>
      <w:r>
        <w:rPr>
          <w:rFonts w:ascii="Arial" w:cs="Arial" w:eastAsia="Arial" w:hAnsi="Arial"/>
          <w:sz w:val="18"/>
          <w:szCs w:val="18"/>
          <w:color w:val="auto"/>
        </w:rPr>
        <w:t>. Failure by either party to enforce any term of this Agreement shall not be deemed a waiver of future enforcement of that or any other term in this Agreement.</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u w:val="single" w:color="auto"/>
          <w:color w:val="auto"/>
        </w:rPr>
        <w:t>Assignment; Successors; Assigns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76" w:lineRule="auto"/>
        <w:tabs>
          <w:tab w:leader="none" w:pos="12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Agreement is personal to the parties, and except as provided in Section 4.6 or 13.12(b), neither this Agreement nor any right or obligation hereunder is Assignable by either party (whether directly or indirectly, expressly or impliedly, voluntarily or involuntarily, in one or a series of transactions, by contract, operation of law or otherwise (including without limitation by means of any merger, consolidation, recapitalization, liquidation, dissolution, Change of Control, transfer or sale of all or substantially all of a business, or similar transaction)), and shall not be Assigned by a party, without the prior express consent of the other party, which consent may be withheld at the sole discretion of said other Party.</w:t>
      </w:r>
    </w:p>
    <w:p>
      <w:pPr>
        <w:spacing w:after="0" w:line="172" w:lineRule="exact"/>
        <w:rPr>
          <w:rFonts w:ascii="Arial" w:cs="Arial" w:eastAsia="Arial" w:hAnsi="Arial"/>
          <w:sz w:val="17"/>
          <w:szCs w:val="17"/>
          <w:color w:val="auto"/>
        </w:rPr>
      </w:pPr>
    </w:p>
    <w:p>
      <w:pPr>
        <w:jc w:val="both"/>
        <w:ind w:right="60" w:firstLine="656"/>
        <w:spacing w:after="0" w:line="279" w:lineRule="auto"/>
        <w:tabs>
          <w:tab w:leader="none" w:pos="1263"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Purchaser shall have the right to Assign this Agreement or any of its rights or obligations hereunder (i) to an Affiliate of Purchaser, or (ii) in connection with the transfer or sale of all or substantially all of its business or assets to which this Agreement relates, or in the event of its merger, consolidation, recapitalization, liquidation, dissolution, Change of Control or similar transaction, without the prior express consent of Nokia. Any such assignee shall assume all applicable obligations of Purchaser under this Agreement.</w:t>
      </w:r>
    </w:p>
    <w:p>
      <w:pPr>
        <w:spacing w:after="0" w:line="171" w:lineRule="exact"/>
        <w:rPr>
          <w:rFonts w:ascii="Arial" w:cs="Arial" w:eastAsia="Arial" w:hAnsi="Arial"/>
          <w:sz w:val="17"/>
          <w:szCs w:val="17"/>
          <w:color w:val="auto"/>
        </w:rPr>
      </w:pPr>
    </w:p>
    <w:p>
      <w:pPr>
        <w:ind w:right="600" w:firstLine="656"/>
        <w:spacing w:after="0" w:line="277" w:lineRule="auto"/>
        <w:tabs>
          <w:tab w:leader="none" w:pos="12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purported Assignment in violation of this Section 13.12 shall be null and void. Subject to the foregoing, this Agreement shall be binding on and inure to the benefit of the parties and their permitted successors and assigns.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not be modified after the Effective Date except by a written amendment that expressly references this Agreement and that is signed by an authorized officer of each party.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Construction</w:t>
      </w:r>
      <w:r>
        <w:rPr>
          <w:rFonts w:ascii="Arial" w:cs="Arial" w:eastAsia="Arial" w:hAnsi="Arial"/>
          <w:sz w:val="18"/>
          <w:szCs w:val="18"/>
          <w:color w:val="auto"/>
        </w:rPr>
        <w:t>. As used in this Agreement, (a) the words “include” and “including” and variations thereof, shall not be deemed to be terms of limitation, but rather shall be deemed to be followed by the words “without limitation,” and (b) unless the context otherwise requires, the word “or” shall be deemed to be an inclusive “or” and shall have the meaning equivalent to “and/or.”</w:t>
      </w:r>
    </w:p>
    <w:p>
      <w:pPr>
        <w:spacing w:after="0" w:line="181"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9" w:name="page70"/>
    <w:bookmarkEnd w:id="69"/>
    <w:p>
      <w:pPr>
        <w:jc w:val="both"/>
        <w:ind w:right="20"/>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Signatures</w:t>
      </w:r>
      <w:r>
        <w:rPr>
          <w:rFonts w:ascii="Arial" w:cs="Arial" w:eastAsia="Arial" w:hAnsi="Arial"/>
          <w:sz w:val="18"/>
          <w:szCs w:val="18"/>
          <w:color w:val="auto"/>
        </w:rPr>
        <w:t>. This Agreement may be executed in counterparts, each of which shall be deemed an original, but each together shall constitute one and the same instrument. For purposes hereof, an email or facsimile copy of this Agreement, including the executed signature pages hereto, shall be deemed to be an original. Notwithstanding the foregoing, the parties shall deliver original signature copies of this Agreement to the other party as soon as practicable following execution thereof.</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they would be irreparably damaged if any provision of this Agreement was not performed in accordance with its specific terms or was otherwise breached and that any non-performance or breach of this Agreement by any party could not be adequately compensated by monetary damages alone and that the parties would not have any adequate remedy at law. Accordingly, the parties shall be entitled to an injunction or injunctions to prevent breaches of this Agreement and to enforce specifically the performance of the terms of this Agreement to prevent breaches or threatened breaches of any of the provisions of this Agreement without posting any bond or other undertaking, in addition to any other remedy at law or in equity.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13.17 </w:t>
      </w:r>
      <w:r>
        <w:rPr>
          <w:rFonts w:ascii="Arial" w:cs="Arial" w:eastAsia="Arial" w:hAnsi="Arial"/>
          <w:sz w:val="18"/>
          <w:szCs w:val="18"/>
          <w:u w:val="single" w:color="auto"/>
          <w:color w:val="auto"/>
        </w:rPr>
        <w:t>Mutual Drafting</w:t>
      </w:r>
      <w:r>
        <w:rPr>
          <w:rFonts w:ascii="Arial" w:cs="Arial" w:eastAsia="Arial" w:hAnsi="Arial"/>
          <w:sz w:val="18"/>
          <w:szCs w:val="18"/>
          <w:color w:val="auto"/>
        </w:rPr>
        <w:t>. Each of the parties has participated in the drafting of this Agreement, which each of the parties acknowledges is the result of extensive negotiations among the parties.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Third Party Beneficiary</w:t>
      </w:r>
      <w:r>
        <w:rPr>
          <w:rFonts w:ascii="Arial" w:cs="Arial" w:eastAsia="Arial" w:hAnsi="Arial"/>
          <w:sz w:val="18"/>
          <w:szCs w:val="18"/>
          <w:color w:val="auto"/>
        </w:rPr>
        <w:t>. Notwithstanding the license and/or provisions granting rights to potential acquirer and/or assignee of Royalty nothing in this Agreement, express or implied, is intended to, or shall confer upon, any third party, any legal or equitable right, benefit or remedy of any nature whatsoever.</w:t>
      </w:r>
    </w:p>
    <w:p>
      <w:pPr>
        <w:spacing w:after="0" w:line="181" w:lineRule="exact"/>
        <w:rPr>
          <w:sz w:val="20"/>
          <w:szCs w:val="20"/>
          <w:color w:val="auto"/>
        </w:rPr>
      </w:pPr>
    </w:p>
    <w:p>
      <w:pPr>
        <w:ind w:left="4860"/>
        <w:spacing w:after="0"/>
        <w:tabs>
          <w:tab w:leader="none" w:pos="5640" w:val="left"/>
          <w:tab w:leader="none" w:pos="6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IN WITNESS WHEREOF, the parties have executed this Confidential Patent Purchase Agreement as of the Effective Date:</w:t>
      </w:r>
    </w:p>
    <w:p>
      <w:pPr>
        <w:sectPr>
          <w:pgSz w:w="11900" w:h="16838" w:orient="portrait"/>
          <w:cols w:equalWidth="0" w:num="1">
            <w:col w:w="11340"/>
          </w:cols>
          <w:pgMar w:left="240" w:top="909" w:right="31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NOKIA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Paul Melin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Paul Melin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Espoo, August 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Jukka Nihtilä</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Jukka Nihtilä</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Head, Business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Legal &amp; 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Espoo, August 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216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Perlman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73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ANDREW PERLMAN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73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734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August 8,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734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76" w:lineRule="exact"/>
        <w:rPr>
          <w:sz w:val="20"/>
          <w:szCs w:val="20"/>
          <w:color w:val="auto"/>
        </w:rPr>
      </w:pPr>
    </w:p>
    <w:p>
      <w:pPr>
        <w:sectPr>
          <w:pgSz w:w="11900" w:h="16838" w:orient="portrait"/>
          <w:cols w:equalWidth="0" w:num="2">
            <w:col w:w="5240" w:space="720"/>
            <w:col w:w="5380"/>
          </w:cols>
          <w:pgMar w:left="240" w:top="909" w:right="319" w:bottom="1440" w:gutter="0" w:footer="0" w:header="0"/>
          <w:type w:val="continuous"/>
        </w:sectPr>
      </w:pPr>
    </w:p>
    <w:p>
      <w:pPr>
        <w:spacing w:after="0" w:line="51" w:lineRule="exact"/>
        <w:rPr>
          <w:sz w:val="20"/>
          <w:szCs w:val="20"/>
          <w:color w:val="auto"/>
        </w:rPr>
      </w:pPr>
    </w:p>
    <w:p>
      <w:pPr>
        <w:jc w:val="center"/>
        <w:ind w:left="10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Confidential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Patent/</w:t>
      </w:r>
    </w:p>
    <w:p>
      <w:pPr>
        <w:spacing w:after="0" w:line="20" w:lineRule="exact"/>
        <w:rPr>
          <w:sz w:val="20"/>
          <w:szCs w:val="20"/>
          <w:color w:val="auto"/>
        </w:rPr>
      </w:pPr>
      <w:r>
        <w:rPr>
          <w:sz w:val="20"/>
          <w:szCs w:val="20"/>
          <w:color w:val="auto"/>
        </w:rPr>
        <w:br w:type="column"/>
      </w:r>
    </w:p>
    <w:p>
      <w:pPr>
        <w:jc w:val="center"/>
        <w:ind w:right="48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820"/>
        <w:spacing w:after="0"/>
        <w:rPr>
          <w:sz w:val="20"/>
          <w:szCs w:val="20"/>
          <w:color w:val="auto"/>
        </w:rPr>
      </w:pPr>
      <w:r>
        <w:rPr>
          <w:rFonts w:ascii="Arial" w:cs="Arial" w:eastAsia="Arial" w:hAnsi="Arial"/>
          <w:sz w:val="17"/>
          <w:szCs w:val="17"/>
          <w:b w:val="1"/>
          <w:bCs w:val="1"/>
          <w:color w:val="auto"/>
        </w:rPr>
        <w:t>ASSIGNED PATENTS</w:t>
      </w:r>
    </w:p>
    <w:p>
      <w:pPr>
        <w:spacing w:after="0" w:line="484" w:lineRule="exact"/>
        <w:rPr>
          <w:sz w:val="20"/>
          <w:szCs w:val="20"/>
          <w:color w:val="auto"/>
        </w:rPr>
      </w:pPr>
    </w:p>
    <w:p>
      <w:pPr>
        <w:sectPr>
          <w:pgSz w:w="11900" w:h="16838" w:orient="portrait"/>
          <w:cols w:equalWidth="0" w:num="2">
            <w:col w:w="4060" w:space="720"/>
            <w:col w:w="6600"/>
          </w:cols>
          <w:pgMar w:left="280" w:top="1121" w:right="239" w:bottom="1440" w:gutter="0" w:footer="0" w:header="0"/>
        </w:sectPr>
      </w:pPr>
    </w:p>
    <w:p>
      <w:pPr>
        <w:jc w:val="center"/>
        <w:ind w:left="100"/>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DE69330097.3</w:t>
      </w: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EP660992</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FI109064</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FR660992</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GB660992</w:t>
      </w:r>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US5682600</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DE69331152.5</w:t>
      </w: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EP720805</w:t>
      </w:r>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US5722074</w:t>
      </w:r>
    </w:p>
    <w:p>
      <w:pPr>
        <w:spacing w:after="0" w:line="20" w:lineRule="exact"/>
        <w:rPr>
          <w:sz w:val="20"/>
          <w:szCs w:val="20"/>
          <w:color w:val="auto"/>
        </w:rPr>
      </w:pPr>
      <w:r>
        <w:rPr>
          <w:sz w:val="20"/>
          <w:szCs w:val="20"/>
          <w:color w:val="auto"/>
        </w:rPr>
        <w:br w:type="column"/>
      </w:r>
    </w:p>
    <w:p>
      <w:pPr>
        <w:jc w:val="center"/>
        <w:ind w:left="-57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23241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5" w:lineRule="exact"/>
        <w:rPr>
          <w:sz w:val="20"/>
          <w:szCs w:val="20"/>
          <w:color w:val="auto"/>
        </w:rPr>
      </w:pPr>
    </w:p>
    <w:p>
      <w:pPr>
        <w:ind w:right="520"/>
        <w:spacing w:after="0" w:line="276" w:lineRule="auto"/>
        <w:rPr>
          <w:sz w:val="20"/>
          <w:szCs w:val="20"/>
          <w:color w:val="auto"/>
        </w:rPr>
      </w:pPr>
      <w:r>
        <w:rPr>
          <w:rFonts w:ascii="Arial" w:cs="Arial" w:eastAsia="Arial" w:hAnsi="Arial"/>
          <w:sz w:val="17"/>
          <w:szCs w:val="17"/>
          <w:color w:val="auto"/>
        </w:rPr>
        <w:t>MENETELMÄ SMS-SANOMIEN LÄHETTÄMISEKSI ALERTIA VIIVÄSTÄMÄLLÄ MENETELMÄ SMS-SANOMIEN LÄHETTÄMISEKSI ALERTIA VIIVÄSTÄMÄLLÄ MENETELMÄ SMS-SANOMIEN LÄHETTÄMISEKSI ALERTIA VIIVÄSTÄMÄLLÄ MENETELMÄ SMS-SANOMIEN LÄHETTÄMISEKSI ALERTIA VIIVÄSTÄMÄLLÄ MENETELMÄ SMS-SANOMIEN LÄHETTÄMISEKSI ALERTIA VIIVÄSTÄMÄLLÄ</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 METHOD FOR STARTING A SHORT MESSAGE TRANSMISSION METHOD AND APPARATUS FOR SYNCHRONIZING SPEECH FRAMES BETWEENBASE STATIONS METHOD AND APPARATUS FOR SYNCHRONIZING SPEECH FRAMES BETWEENBASE STATIONS</w:t>
      </w:r>
    </w:p>
    <w:p>
      <w:pPr>
        <w:spacing w:after="0" w:line="5"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SOFT HANDOFF IN A CELLULAR TELECOMMUNICATIONS SYSTEM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19"/>
                <w:szCs w:val="19"/>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43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2089</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93919376.9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2089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93919376.9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2089</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18.09.1992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924198</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2089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93919376.9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2089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93919376.9</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2089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08/403901</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2314</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93920866.6</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2314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93920866.6</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2314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24.09.1993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08/619701</w:t>
            </w:r>
          </w:p>
        </w:tc>
      </w:tr>
    </w:tbl>
    <w:p>
      <w:pPr>
        <w:spacing w:after="0" w:line="120" w:lineRule="exact"/>
        <w:rPr>
          <w:sz w:val="20"/>
          <w:szCs w:val="20"/>
          <w:color w:val="auto"/>
        </w:rPr>
      </w:pPr>
    </w:p>
    <w:p>
      <w:pPr>
        <w:sectPr>
          <w:pgSz w:w="11900" w:h="16838" w:orient="portrait"/>
          <w:cols w:equalWidth="0" w:num="3">
            <w:col w:w="1200" w:space="280"/>
            <w:col w:w="3060" w:space="700"/>
            <w:col w:w="6140"/>
          </w:cols>
          <w:pgMar w:left="280" w:top="1121"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US5600705</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CNZL96190165.9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US5805301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CN97192428.7</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EP885540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IN200572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PH1-1997-55589</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SG55627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US6285884</w:t>
      </w:r>
    </w:p>
    <w:p>
      <w:pPr>
        <w:spacing w:after="0" w:line="20" w:lineRule="exact"/>
        <w:rPr>
          <w:sz w:val="20"/>
          <w:szCs w:val="20"/>
          <w:color w:val="auto"/>
        </w:rPr>
      </w:pPr>
      <w:r>
        <w:rPr>
          <w:sz w:val="20"/>
          <w:szCs w:val="20"/>
          <w:color w:val="auto"/>
        </w:rPr>
        <w:br w:type="column"/>
      </w:r>
    </w:p>
    <w:p>
      <w:pPr>
        <w:ind w:right="260"/>
        <w:spacing w:after="0" w:line="281" w:lineRule="auto"/>
        <w:rPr>
          <w:sz w:val="20"/>
          <w:szCs w:val="20"/>
          <w:color w:val="auto"/>
        </w:rPr>
      </w:pPr>
      <w:r>
        <w:rPr>
          <w:rFonts w:ascii="Arial" w:cs="Arial" w:eastAsia="Arial" w:hAnsi="Arial"/>
          <w:sz w:val="17"/>
          <w:szCs w:val="17"/>
          <w:color w:val="auto"/>
        </w:rPr>
        <w:t>METHOD FOR CALL ESTABLISHMENT A METHOD FOR SPLITTING AND COMBINING FAX GROUP 3 DATA IN TRANSPARENT HSCSD</w:t>
      </w: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FACSIMILE TRANSMISSION IN A MOBILE COMMUNICATION SYSTEM</w:t>
      </w:r>
    </w:p>
    <w:p>
      <w:pPr>
        <w:ind w:right="740"/>
        <w:spacing w:after="0" w:line="281" w:lineRule="auto"/>
        <w:rPr>
          <w:sz w:val="20"/>
          <w:szCs w:val="20"/>
          <w:color w:val="auto"/>
        </w:rPr>
      </w:pPr>
      <w:r>
        <w:rPr>
          <w:rFonts w:ascii="Arial" w:cs="Arial" w:eastAsia="Arial" w:hAnsi="Arial"/>
          <w:sz w:val="17"/>
          <w:szCs w:val="17"/>
          <w:color w:val="auto"/>
        </w:rPr>
        <w:t>FAST MOVING MOBILE STATION HANDLING IN A MACRO CELL</w:t>
      </w:r>
    </w:p>
    <w:p>
      <w:pPr>
        <w:spacing w:after="0" w:line="1" w:lineRule="exact"/>
        <w:rPr>
          <w:sz w:val="20"/>
          <w:szCs w:val="20"/>
          <w:color w:val="auto"/>
        </w:rPr>
      </w:pPr>
    </w:p>
    <w:p>
      <w:pPr>
        <w:ind w:right="740"/>
        <w:spacing w:after="0" w:line="281" w:lineRule="auto"/>
        <w:rPr>
          <w:sz w:val="20"/>
          <w:szCs w:val="20"/>
          <w:color w:val="auto"/>
        </w:rPr>
      </w:pPr>
      <w:r>
        <w:rPr>
          <w:rFonts w:ascii="Arial" w:cs="Arial" w:eastAsia="Arial" w:hAnsi="Arial"/>
          <w:sz w:val="17"/>
          <w:szCs w:val="17"/>
          <w:color w:val="auto"/>
        </w:rPr>
        <w:t>FAST MOVING MOBILE STATION HANDLING IN A MACRO CELL</w:t>
      </w:r>
    </w:p>
    <w:p>
      <w:pPr>
        <w:spacing w:after="0" w:line="1" w:lineRule="exact"/>
        <w:rPr>
          <w:sz w:val="20"/>
          <w:szCs w:val="20"/>
          <w:color w:val="auto"/>
        </w:rPr>
      </w:pPr>
    </w:p>
    <w:p>
      <w:pPr>
        <w:ind w:right="740"/>
        <w:spacing w:after="0" w:line="281" w:lineRule="auto"/>
        <w:rPr>
          <w:sz w:val="20"/>
          <w:szCs w:val="20"/>
          <w:color w:val="auto"/>
        </w:rPr>
      </w:pPr>
      <w:r>
        <w:rPr>
          <w:rFonts w:ascii="Arial" w:cs="Arial" w:eastAsia="Arial" w:hAnsi="Arial"/>
          <w:sz w:val="17"/>
          <w:szCs w:val="17"/>
          <w:color w:val="auto"/>
        </w:rPr>
        <w:t>FAST MOVING MOBILE STATION HANDLING IN A MACRO CELL</w:t>
      </w:r>
    </w:p>
    <w:p>
      <w:pPr>
        <w:spacing w:after="0" w:line="1" w:lineRule="exact"/>
        <w:rPr>
          <w:sz w:val="20"/>
          <w:szCs w:val="20"/>
          <w:color w:val="auto"/>
        </w:rPr>
      </w:pPr>
    </w:p>
    <w:p>
      <w:pPr>
        <w:ind w:right="740"/>
        <w:spacing w:after="0" w:line="281" w:lineRule="auto"/>
        <w:rPr>
          <w:sz w:val="20"/>
          <w:szCs w:val="20"/>
          <w:color w:val="auto"/>
        </w:rPr>
      </w:pPr>
      <w:r>
        <w:rPr>
          <w:rFonts w:ascii="Arial" w:cs="Arial" w:eastAsia="Arial" w:hAnsi="Arial"/>
          <w:sz w:val="17"/>
          <w:szCs w:val="17"/>
          <w:color w:val="auto"/>
        </w:rPr>
        <w:t>FAST MOVING MOBILE STATION HANDLING IN A MACRO CELL</w:t>
      </w:r>
    </w:p>
    <w:p>
      <w:pPr>
        <w:spacing w:after="0" w:line="1" w:lineRule="exact"/>
        <w:rPr>
          <w:sz w:val="20"/>
          <w:szCs w:val="20"/>
          <w:color w:val="auto"/>
        </w:rPr>
      </w:pPr>
    </w:p>
    <w:p>
      <w:pPr>
        <w:ind w:right="740"/>
        <w:spacing w:after="0" w:line="281" w:lineRule="auto"/>
        <w:rPr>
          <w:sz w:val="20"/>
          <w:szCs w:val="20"/>
          <w:color w:val="auto"/>
        </w:rPr>
      </w:pPr>
      <w:r>
        <w:rPr>
          <w:rFonts w:ascii="Arial" w:cs="Arial" w:eastAsia="Arial" w:hAnsi="Arial"/>
          <w:sz w:val="17"/>
          <w:szCs w:val="17"/>
          <w:color w:val="auto"/>
        </w:rPr>
        <w:t>FAST MOVING MOBILE STATION HANDLING IN A MACRO CELL</w:t>
      </w:r>
    </w:p>
    <w:p>
      <w:pPr>
        <w:spacing w:after="0" w:line="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FAST MOVING MOBILE STATION HANDLING IN A MACRO CELL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2336</w:t>
            </w:r>
          </w:p>
        </w:tc>
        <w:tc>
          <w:tcPr>
            <w:tcW w:w="1060" w:type="dxa"/>
            <w:vAlign w:val="bottom"/>
          </w:tcPr>
          <w:p>
            <w:pPr>
              <w:ind w:left="48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20.09.1993</w:t>
            </w:r>
          </w:p>
        </w:tc>
        <w:tc>
          <w:tcPr>
            <w:tcW w:w="1120" w:type="dxa"/>
            <w:vAlign w:val="bottom"/>
          </w:tcPr>
          <w:p>
            <w:pPr>
              <w:jc w:val="center"/>
              <w:ind w:left="90"/>
              <w:spacing w:after="0"/>
              <w:rPr>
                <w:sz w:val="20"/>
                <w:szCs w:val="20"/>
                <w:color w:val="auto"/>
              </w:rPr>
            </w:pPr>
            <w:r>
              <w:rPr>
                <w:rFonts w:ascii="Arial" w:cs="Arial" w:eastAsia="Arial" w:hAnsi="Arial"/>
                <w:sz w:val="18"/>
                <w:szCs w:val="18"/>
                <w:color w:val="auto"/>
                <w:w w:val="91"/>
              </w:rPr>
              <w:t>08/387926</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2390</w:t>
            </w:r>
          </w:p>
        </w:tc>
        <w:tc>
          <w:tcPr>
            <w:tcW w:w="1060" w:type="dxa"/>
            <w:vAlign w:val="bottom"/>
          </w:tcPr>
          <w:p>
            <w:pPr>
              <w:ind w:left="460"/>
              <w:spacing w:after="0"/>
              <w:rPr>
                <w:sz w:val="20"/>
                <w:szCs w:val="20"/>
                <w:color w:val="auto"/>
              </w:rPr>
            </w:pPr>
            <w:r>
              <w:rPr>
                <w:rFonts w:ascii="Arial" w:cs="Arial" w:eastAsia="Arial" w:hAnsi="Arial"/>
                <w:sz w:val="18"/>
                <w:szCs w:val="18"/>
                <w:color w:val="auto"/>
              </w:rPr>
              <w:t>CN</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06.03.1996</w:t>
            </w:r>
          </w:p>
        </w:tc>
        <w:tc>
          <w:tcPr>
            <w:tcW w:w="1120" w:type="dxa"/>
            <w:vAlign w:val="bottom"/>
          </w:tcPr>
          <w:p>
            <w:pPr>
              <w:jc w:val="center"/>
              <w:ind w:left="90"/>
              <w:spacing w:after="0"/>
              <w:rPr>
                <w:sz w:val="20"/>
                <w:szCs w:val="20"/>
                <w:color w:val="auto"/>
              </w:rPr>
            </w:pPr>
            <w:r>
              <w:rPr>
                <w:rFonts w:ascii="Arial" w:cs="Arial" w:eastAsia="Arial" w:hAnsi="Arial"/>
                <w:sz w:val="18"/>
                <w:szCs w:val="18"/>
                <w:color w:val="auto"/>
                <w:w w:val="90"/>
              </w:rPr>
              <w:t>96190165.9</w:t>
            </w:r>
          </w:p>
        </w:tc>
      </w:tr>
      <w:tr>
        <w:trPr>
          <w:trHeight w:val="567"/>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2390</w:t>
            </w:r>
          </w:p>
        </w:tc>
        <w:tc>
          <w:tcPr>
            <w:tcW w:w="1060" w:type="dxa"/>
            <w:vAlign w:val="bottom"/>
          </w:tcPr>
          <w:p>
            <w:pPr>
              <w:ind w:left="48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06.03.1996</w:t>
            </w:r>
          </w:p>
        </w:tc>
        <w:tc>
          <w:tcPr>
            <w:tcW w:w="1120" w:type="dxa"/>
            <w:vAlign w:val="bottom"/>
          </w:tcPr>
          <w:p>
            <w:pPr>
              <w:jc w:val="center"/>
              <w:ind w:left="90"/>
              <w:spacing w:after="0"/>
              <w:rPr>
                <w:sz w:val="20"/>
                <w:szCs w:val="20"/>
                <w:color w:val="auto"/>
              </w:rPr>
            </w:pPr>
            <w:r>
              <w:rPr>
                <w:rFonts w:ascii="Arial" w:cs="Arial" w:eastAsia="Arial" w:hAnsi="Arial"/>
                <w:sz w:val="18"/>
                <w:szCs w:val="18"/>
                <w:color w:val="auto"/>
                <w:w w:val="91"/>
              </w:rPr>
              <w:t>08/732467</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2398</w:t>
            </w:r>
          </w:p>
        </w:tc>
        <w:tc>
          <w:tcPr>
            <w:tcW w:w="1060" w:type="dxa"/>
            <w:vAlign w:val="bottom"/>
          </w:tcPr>
          <w:p>
            <w:pPr>
              <w:ind w:left="460"/>
              <w:spacing w:after="0"/>
              <w:rPr>
                <w:sz w:val="20"/>
                <w:szCs w:val="20"/>
                <w:color w:val="auto"/>
              </w:rPr>
            </w:pPr>
            <w:r>
              <w:rPr>
                <w:rFonts w:ascii="Arial" w:cs="Arial" w:eastAsia="Arial" w:hAnsi="Arial"/>
                <w:sz w:val="18"/>
                <w:szCs w:val="18"/>
                <w:color w:val="auto"/>
              </w:rPr>
              <w:t>CN</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18.02.1997</w:t>
            </w:r>
          </w:p>
        </w:tc>
        <w:tc>
          <w:tcPr>
            <w:tcW w:w="1120" w:type="dxa"/>
            <w:vAlign w:val="bottom"/>
          </w:tcPr>
          <w:p>
            <w:pPr>
              <w:jc w:val="center"/>
              <w:ind w:left="90"/>
              <w:spacing w:after="0"/>
              <w:rPr>
                <w:sz w:val="20"/>
                <w:szCs w:val="20"/>
                <w:color w:val="auto"/>
              </w:rPr>
            </w:pPr>
            <w:r>
              <w:rPr>
                <w:rFonts w:ascii="Arial" w:cs="Arial" w:eastAsia="Arial" w:hAnsi="Arial"/>
                <w:sz w:val="18"/>
                <w:szCs w:val="18"/>
                <w:color w:val="auto"/>
                <w:w w:val="90"/>
              </w:rPr>
              <w:t>97192428.7</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91"/>
              </w:rPr>
              <w:t>Abandoned</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2398</w:t>
            </w:r>
          </w:p>
        </w:tc>
        <w:tc>
          <w:tcPr>
            <w:tcW w:w="1060" w:type="dxa"/>
            <w:vAlign w:val="bottom"/>
          </w:tcPr>
          <w:p>
            <w:pPr>
              <w:ind w:left="480"/>
              <w:spacing w:after="0"/>
              <w:rPr>
                <w:sz w:val="20"/>
                <w:szCs w:val="20"/>
                <w:color w:val="auto"/>
              </w:rPr>
            </w:pPr>
            <w:r>
              <w:rPr>
                <w:rFonts w:ascii="Arial" w:cs="Arial" w:eastAsia="Arial" w:hAnsi="Arial"/>
                <w:sz w:val="18"/>
                <w:szCs w:val="18"/>
                <w:color w:val="auto"/>
              </w:rPr>
              <w:t>EP</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18.02.1997</w:t>
            </w:r>
          </w:p>
        </w:tc>
        <w:tc>
          <w:tcPr>
            <w:tcW w:w="1120" w:type="dxa"/>
            <w:vAlign w:val="bottom"/>
          </w:tcPr>
          <w:p>
            <w:pPr>
              <w:jc w:val="center"/>
              <w:ind w:left="110"/>
              <w:spacing w:after="0"/>
              <w:rPr>
                <w:sz w:val="20"/>
                <w:szCs w:val="20"/>
                <w:color w:val="auto"/>
              </w:rPr>
            </w:pPr>
            <w:r>
              <w:rPr>
                <w:rFonts w:ascii="Arial" w:cs="Arial" w:eastAsia="Arial" w:hAnsi="Arial"/>
                <w:sz w:val="18"/>
                <w:szCs w:val="18"/>
                <w:color w:val="auto"/>
                <w:w w:val="89"/>
              </w:rPr>
              <w:t>97903403</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2398</w:t>
            </w:r>
          </w:p>
        </w:tc>
        <w:tc>
          <w:tcPr>
            <w:tcW w:w="1060" w:type="dxa"/>
            <w:vAlign w:val="bottom"/>
          </w:tcPr>
          <w:p>
            <w:pPr>
              <w:ind w:left="500"/>
              <w:spacing w:after="0"/>
              <w:rPr>
                <w:sz w:val="20"/>
                <w:szCs w:val="20"/>
                <w:color w:val="auto"/>
              </w:rPr>
            </w:pPr>
            <w:r>
              <w:rPr>
                <w:rFonts w:ascii="Arial" w:cs="Arial" w:eastAsia="Arial" w:hAnsi="Arial"/>
                <w:sz w:val="18"/>
                <w:szCs w:val="18"/>
                <w:color w:val="auto"/>
              </w:rPr>
              <w:t>IN</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14.02.1997</w:t>
            </w:r>
          </w:p>
        </w:tc>
        <w:tc>
          <w:tcPr>
            <w:tcW w:w="1120" w:type="dxa"/>
            <w:vAlign w:val="bottom"/>
          </w:tcPr>
          <w:p>
            <w:pPr>
              <w:jc w:val="center"/>
              <w:ind w:left="90"/>
              <w:spacing w:after="0"/>
              <w:rPr>
                <w:sz w:val="20"/>
                <w:szCs w:val="20"/>
                <w:color w:val="auto"/>
              </w:rPr>
            </w:pPr>
            <w:r>
              <w:rPr>
                <w:rFonts w:ascii="Arial" w:cs="Arial" w:eastAsia="Arial" w:hAnsi="Arial"/>
                <w:sz w:val="18"/>
                <w:szCs w:val="18"/>
                <w:color w:val="auto"/>
                <w:w w:val="94"/>
              </w:rPr>
              <w:t>304/MAS/97</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2398</w:t>
            </w:r>
          </w:p>
        </w:tc>
        <w:tc>
          <w:tcPr>
            <w:tcW w:w="1060" w:type="dxa"/>
            <w:vAlign w:val="bottom"/>
          </w:tcPr>
          <w:p>
            <w:pPr>
              <w:ind w:left="480"/>
              <w:spacing w:after="0"/>
              <w:rPr>
                <w:sz w:val="20"/>
                <w:szCs w:val="20"/>
                <w:color w:val="auto"/>
              </w:rPr>
            </w:pPr>
            <w:r>
              <w:rPr>
                <w:rFonts w:ascii="Arial" w:cs="Arial" w:eastAsia="Arial" w:hAnsi="Arial"/>
                <w:sz w:val="18"/>
                <w:szCs w:val="18"/>
                <w:color w:val="auto"/>
              </w:rPr>
              <w:t>PH</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17.02.1997</w:t>
            </w:r>
          </w:p>
        </w:tc>
        <w:tc>
          <w:tcPr>
            <w:tcW w:w="1120" w:type="dxa"/>
            <w:vAlign w:val="bottom"/>
          </w:tcPr>
          <w:p>
            <w:pPr>
              <w:ind w:left="360"/>
              <w:spacing w:after="0"/>
              <w:rPr>
                <w:sz w:val="20"/>
                <w:szCs w:val="20"/>
                <w:color w:val="auto"/>
              </w:rPr>
            </w:pPr>
            <w:r>
              <w:rPr>
                <w:rFonts w:ascii="Arial" w:cs="Arial" w:eastAsia="Arial" w:hAnsi="Arial"/>
                <w:sz w:val="18"/>
                <w:szCs w:val="18"/>
                <w:color w:val="auto"/>
              </w:rPr>
              <w:t>I-55589</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2398</w:t>
            </w:r>
          </w:p>
        </w:tc>
        <w:tc>
          <w:tcPr>
            <w:tcW w:w="1060" w:type="dxa"/>
            <w:vAlign w:val="bottom"/>
          </w:tcPr>
          <w:p>
            <w:pPr>
              <w:ind w:left="480"/>
              <w:spacing w:after="0"/>
              <w:rPr>
                <w:sz w:val="20"/>
                <w:szCs w:val="20"/>
                <w:color w:val="auto"/>
              </w:rPr>
            </w:pPr>
            <w:r>
              <w:rPr>
                <w:rFonts w:ascii="Arial" w:cs="Arial" w:eastAsia="Arial" w:hAnsi="Arial"/>
                <w:sz w:val="18"/>
                <w:szCs w:val="18"/>
                <w:color w:val="auto"/>
              </w:rPr>
              <w:t>SG</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18.02.1997</w:t>
            </w:r>
          </w:p>
        </w:tc>
        <w:tc>
          <w:tcPr>
            <w:tcW w:w="1120" w:type="dxa"/>
            <w:vAlign w:val="bottom"/>
          </w:tcPr>
          <w:p>
            <w:pPr>
              <w:jc w:val="center"/>
              <w:ind w:left="110"/>
              <w:spacing w:after="0"/>
              <w:rPr>
                <w:sz w:val="20"/>
                <w:szCs w:val="20"/>
                <w:color w:val="auto"/>
              </w:rPr>
            </w:pPr>
            <w:r>
              <w:rPr>
                <w:rFonts w:ascii="Arial" w:cs="Arial" w:eastAsia="Arial" w:hAnsi="Arial"/>
                <w:sz w:val="18"/>
                <w:szCs w:val="18"/>
                <w:color w:val="auto"/>
                <w:w w:val="89"/>
              </w:rPr>
              <w:t>9804369.8</w:t>
            </w:r>
          </w:p>
        </w:tc>
      </w:tr>
      <w:tr>
        <w:trPr>
          <w:trHeight w:val="45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Grant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2398</w:t>
            </w:r>
          </w:p>
        </w:tc>
        <w:tc>
          <w:tcPr>
            <w:tcW w:w="1060" w:type="dxa"/>
            <w:vAlign w:val="bottom"/>
          </w:tcPr>
          <w:p>
            <w:pPr>
              <w:ind w:left="48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30.11.2000</w:t>
            </w:r>
          </w:p>
        </w:tc>
        <w:tc>
          <w:tcPr>
            <w:tcW w:w="1120" w:type="dxa"/>
            <w:vAlign w:val="bottom"/>
          </w:tcPr>
          <w:p>
            <w:pPr>
              <w:jc w:val="center"/>
              <w:ind w:left="110"/>
              <w:spacing w:after="0"/>
              <w:rPr>
                <w:sz w:val="20"/>
                <w:szCs w:val="20"/>
                <w:color w:val="auto"/>
              </w:rPr>
            </w:pPr>
            <w:r>
              <w:rPr>
                <w:rFonts w:ascii="Arial" w:cs="Arial" w:eastAsia="Arial" w:hAnsi="Arial"/>
                <w:sz w:val="18"/>
                <w:szCs w:val="18"/>
                <w:color w:val="auto"/>
                <w:w w:val="89"/>
              </w:rPr>
              <w:t>09/117486</w:t>
            </w:r>
          </w:p>
        </w:tc>
      </w:tr>
    </w:tbl>
    <w:p>
      <w:pPr>
        <w:spacing w:after="0" w:line="323" w:lineRule="exact"/>
        <w:rPr>
          <w:sz w:val="20"/>
          <w:szCs w:val="20"/>
          <w:color w:val="auto"/>
        </w:rPr>
      </w:pPr>
    </w:p>
    <w:p>
      <w:pPr>
        <w:sectPr>
          <w:pgSz w:w="11900" w:h="16838" w:orient="portrait"/>
          <w:cols w:equalWidth="0" w:num="3">
            <w:col w:w="1320" w:space="160"/>
            <w:col w:w="3460" w:space="460"/>
            <w:col w:w="5980"/>
          </w:cols>
          <w:pgMar w:left="280" w:top="1121" w:right="239" w:bottom="1440" w:gutter="0" w:footer="0" w:header="0"/>
          <w:type w:val="continuous"/>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112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875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DE69326903</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EP788698</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GB788698</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US5638359</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DE69328565.6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EP673573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FR673573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GB673573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JP3273790</w:t>
      </w:r>
    </w:p>
    <w:p>
      <w:pPr>
        <w:spacing w:after="0" w:line="200" w:lineRule="exact"/>
        <w:rPr>
          <w:sz w:val="20"/>
          <w:szCs w:val="20"/>
          <w:color w:val="auto"/>
        </w:rPr>
      </w:pPr>
    </w:p>
    <w:p>
      <w:pPr>
        <w:spacing w:after="0" w:line="3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US6064648</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AU696034</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CA2181333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CNZL95191251.8</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DE69528819.9</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EP740875</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ES2186710</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FI94816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25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23241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Method for congestion management in a frame relay network and a node in a frame relay network</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Method for congestion management in a frame relay network and a node in a frame relay network</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Method for congestion management in a frame relay network and a node in a frame relay network</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Method for congestion management in a frame relay network and a node in a frame relay network</w:t>
      </w:r>
    </w:p>
    <w:p>
      <w:pPr>
        <w:spacing w:after="0" w:line="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 METHOD FOR CONGESTION MANAGEMENT IN A FRAME RELAY NETWORK AND A NODE IN A FRAME RELAY NETWORK</w:t>
      </w:r>
    </w:p>
    <w:p>
      <w:pPr>
        <w:spacing w:after="0" w:line="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 METHOD FOR CONGESTION MANAGEMENT IN A FRAME RELAY NETWORK AND A NODE IN A FRAME RELAY NETWORK</w:t>
      </w:r>
    </w:p>
    <w:p>
      <w:pPr>
        <w:spacing w:after="0" w:line="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 METHOD FOR CONGESTION MANAGEMENT IN A FRAME RELAY NETWORK AND A NODE IN A FRAME RELAY NETWORK</w:t>
      </w:r>
    </w:p>
    <w:p>
      <w:pPr>
        <w:spacing w:after="0" w:line="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 METHOD FOR CONGESTION MANAGEMENT IN A FRAME RELAY NETWORK AND A NODE IN A FRAME RELAY NETWORK</w:t>
      </w:r>
    </w:p>
    <w:p>
      <w:pPr>
        <w:spacing w:after="0" w:line="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 METHOD FOR CONGESTION MANAGEMENT IN A FRAME RELAY NETWORK AND A NODE IN A FRAME RELAY NETWORK</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METHOD FOR NOTIFYING A FRAME RELAY NETWORK OF TRAFFIC CONGESTION IN AN ATM METHOD AND SYSTEM FOR CONTROLLING STATISTICALLY MULTIPLEXEDATM BUS METHOD AND SYSTEM FOR CONTROLLING STATISTICALLY MULTIPLEXEDATM BUS METHOD AND SYSTEM FOR CONTROLLING STATISTICALLY MULTIPLEXEDATM BUS METHOD AND SYSTEM FOR CONTROLLING STATISTICALLY MULTIPLEXEDATM BUS METHOD AND SYSTEM FOR CONTROLLING STATISTICALLY MULTIPLEXEDATM BUS METHOD AND SYSTEM FOR CONTROLLING STATISTICALLY MULTIPLEXEDATM BUS METHOD AND SYSTEM FOR CONTROLLING STATISTICALLY MULTIPLEXEDATM BUS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43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94901974.9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94901974.9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94901974.9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08/454233</w:t>
            </w:r>
          </w:p>
        </w:tc>
      </w:tr>
      <w:tr>
        <w:trPr>
          <w:trHeight w:val="7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94901973.1</w:t>
            </w:r>
          </w:p>
        </w:tc>
      </w:tr>
      <w:tr>
        <w:trPr>
          <w:trHeight w:val="89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94901973.1</w:t>
            </w:r>
          </w:p>
        </w:tc>
      </w:tr>
      <w:tr>
        <w:trPr>
          <w:trHeight w:val="89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94901973</w:t>
            </w:r>
          </w:p>
        </w:tc>
      </w:tr>
      <w:tr>
        <w:trPr>
          <w:trHeight w:val="89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94901973</w:t>
            </w:r>
          </w:p>
        </w:tc>
      </w:tr>
      <w:tr>
        <w:trPr>
          <w:trHeight w:val="89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2652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14.12.1993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6513838</w:t>
            </w:r>
          </w:p>
        </w:tc>
      </w:tr>
      <w:tr>
        <w:trPr>
          <w:trHeight w:val="78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21.12.1995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08/875582</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14180/95</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2181333</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95191251.8</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95905653.2</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95905653.2</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95905653.2</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17.1.1994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940220</w:t>
            </w:r>
          </w:p>
        </w:tc>
      </w:tr>
    </w:tbl>
    <w:p>
      <w:pPr>
        <w:spacing w:after="0" w:line="428" w:lineRule="exact"/>
        <w:rPr>
          <w:sz w:val="20"/>
          <w:szCs w:val="20"/>
          <w:color w:val="auto"/>
        </w:rPr>
      </w:pPr>
    </w:p>
    <w:p>
      <w:pPr>
        <w:sectPr>
          <w:pgSz w:w="11900" w:h="16838" w:orient="portrait"/>
          <w:cols w:equalWidth="0" w:num="3">
            <w:col w:w="1320" w:space="160"/>
            <w:col w:w="3380" w:space="380"/>
            <w:col w:w="6140"/>
          </w:cols>
          <w:pgMar w:left="280" w:top="891" w:right="239" w:bottom="1085" w:gutter="0" w:footer="0" w:header="0"/>
        </w:sectPr>
      </w:pPr>
    </w:p>
    <w:p>
      <w:pPr>
        <w:spacing w:after="0" w:line="2" w:lineRule="exact"/>
        <w:rPr>
          <w:sz w:val="20"/>
          <w:szCs w:val="20"/>
          <w:color w:val="auto"/>
        </w:r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085"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Patent/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Publication</w:t>
            </w:r>
          </w:p>
        </w:tc>
        <w:tc>
          <w:tcPr>
            <w:tcW w:w="3780" w:type="dxa"/>
            <w:vAlign w:val="bottom"/>
            <w:gridSpan w:val="2"/>
          </w:tcPr>
          <w:p>
            <w:pPr>
              <w:ind w:left="1660"/>
              <w:spacing w:after="0"/>
              <w:rPr>
                <w:sz w:val="20"/>
                <w:szCs w:val="20"/>
                <w:color w:val="auto"/>
              </w:rPr>
            </w:pPr>
            <w:r>
              <w:rPr>
                <w:rFonts w:ascii="Arial" w:cs="Arial" w:eastAsia="Arial" w:hAnsi="Arial"/>
                <w:sz w:val="18"/>
                <w:szCs w:val="18"/>
                <w:b w:val="1"/>
                <w:bCs w:val="1"/>
                <w:color w:val="auto"/>
              </w:rPr>
              <w:t>Title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Family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County</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Filing 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0" w:type="dxa"/>
            <w:vAlign w:val="bottom"/>
          </w:tcPr>
          <w:p>
            <w:pPr>
              <w:spacing w:after="0"/>
              <w:rPr>
                <w:sz w:val="1"/>
                <w:szCs w:val="1"/>
                <w:color w:val="auto"/>
              </w:rPr>
            </w:pPr>
          </w:p>
        </w:tc>
      </w:tr>
      <w:tr>
        <w:trPr>
          <w:trHeight w:val="209"/>
        </w:trPr>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METHOD AND SYSTEM FOR</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FR740875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CONTROLLING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95905653.2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STATISTICALLY MULTIPLEXEDATM BUS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METHOD AND SYSTEM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GB740875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CONTROLLING STATISTICALLY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95905653.2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MULTIPLEXEDATM BUS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METHOD AND SYSTEM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IT740875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CONTROLLING STATISTICALLY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95905653.2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MULTIPLEXEDATM BUS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METHOD AND SYSTEM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JP2927553</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CONTROLLING STATISTICALLY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7-518860</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MULTIPLEXEDATM BUS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METHOD AND SYSTEM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NZ278086</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CONTROLLING STATISTICALLY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NZ</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278086</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MULTIPLEXEDATM BUS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METHOD AND SYSTEM FOR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US5841774</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CONTROLLING STATISTICALLY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08/676202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MULTIPLEXEDATM BUS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US20050240981</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SPLIT ADVERTISEMENT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4561</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24.06.2005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11/165994</w:t>
            </w:r>
          </w:p>
        </w:tc>
        <w:tc>
          <w:tcPr>
            <w:tcW w:w="0" w:type="dxa"/>
            <w:vAlign w:val="bottom"/>
          </w:tcPr>
          <w:p>
            <w:pPr>
              <w:spacing w:after="0"/>
              <w:rPr>
                <w:sz w:val="1"/>
                <w:szCs w:val="1"/>
                <w:color w:val="auto"/>
              </w:rPr>
            </w:pPr>
          </w:p>
        </w:tc>
      </w:tr>
      <w:tr>
        <w:trPr>
          <w:trHeight w:val="243"/>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US6961953</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SPLIT ADVERTISEMENT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4561</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29.12.2000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09/752127</w:t>
            </w:r>
          </w:p>
        </w:tc>
        <w:tc>
          <w:tcPr>
            <w:tcW w:w="0" w:type="dxa"/>
            <w:vAlign w:val="bottom"/>
          </w:tcPr>
          <w:p>
            <w:pPr>
              <w:spacing w:after="0"/>
              <w:rPr>
                <w:sz w:val="1"/>
                <w:szCs w:val="1"/>
                <w:color w:val="auto"/>
              </w:rPr>
            </w:pPr>
          </w:p>
        </w:tc>
      </w:tr>
      <w:tr>
        <w:trPr>
          <w:trHeight w:val="243"/>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US6577721</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CONFERENCE CALL MACRO</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6390</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30.04.1999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09/302811</w:t>
            </w:r>
          </w:p>
        </w:tc>
        <w:tc>
          <w:tcPr>
            <w:tcW w:w="0" w:type="dxa"/>
            <w:vAlign w:val="bottom"/>
          </w:tcPr>
          <w:p>
            <w:pPr>
              <w:spacing w:after="0"/>
              <w:rPr>
                <w:sz w:val="1"/>
                <w:szCs w:val="1"/>
                <w:color w:val="auto"/>
              </w:rPr>
            </w:pPr>
          </w:p>
        </w:tc>
      </w:tr>
      <w:tr>
        <w:trPr>
          <w:trHeight w:val="229"/>
        </w:trPr>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US6029065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REMOTE FEATURE CODE PROGRAMMING</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6815</w:t>
            </w:r>
          </w:p>
        </w:tc>
        <w:tc>
          <w:tcPr>
            <w:tcW w:w="100" w:type="dxa"/>
            <w:vAlign w:val="bottom"/>
          </w:tcPr>
          <w:p>
            <w:pPr>
              <w:spacing w:after="0"/>
              <w:rPr>
                <w:sz w:val="19"/>
                <w:szCs w:val="19"/>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0"/>
              </w:rPr>
              <w:t>05.05.1997</w:t>
            </w: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08/841850</w:t>
            </w:r>
          </w:p>
        </w:tc>
        <w:tc>
          <w:tcPr>
            <w:tcW w:w="0" w:type="dxa"/>
            <w:vAlign w:val="bottom"/>
          </w:tcPr>
          <w:p>
            <w:pPr>
              <w:spacing w:after="0"/>
              <w:rPr>
                <w:sz w:val="1"/>
                <w:szCs w:val="1"/>
                <w:color w:val="auto"/>
              </w:rPr>
            </w:pPr>
          </w:p>
        </w:tc>
      </w:tr>
      <w:tr>
        <w:trPr>
          <w:trHeight w:val="122"/>
        </w:trPr>
        <w:tc>
          <w:tcPr>
            <w:tcW w:w="1540" w:type="dxa"/>
            <w:vAlign w:val="bottom"/>
            <w:gridSpan w:val="2"/>
            <w:vMerge w:val="continue"/>
          </w:tcPr>
          <w:p>
            <w:pPr>
              <w:spacing w:after="0"/>
              <w:rPr>
                <w:sz w:val="10"/>
                <w:szCs w:val="10"/>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8"/>
                <w:szCs w:val="18"/>
                <w:color w:val="auto"/>
              </w:rPr>
              <w:t>FOR MOBILE STATIONS</w:t>
            </w: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METHOD FOR INDICATING A MULTI-</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CNZL95197341.X</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SLOT CHANNEL IN A TDMA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7158</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24.11.1995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95197341.X</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RADIOSYSTEM</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METHOD FOR INDICATING A MULTI-</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NL1001744</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SLOT CHANNEL IN A TDMA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7158</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24.11.1995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1001744</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RADIOSYSTEM</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METHOD FOR INDICATING A MULTI-</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US6295286</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SLOT CHANNEL IN A TDMA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7158</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24.11.1995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08/836969</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RADIOSYSTEM</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CNZL96195981.9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29.05.1996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96195981.9</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DE69633315.5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05.06.1996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96304138.9</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EP748136</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05.06.1996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96304138.9</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JP3842335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30.05.1996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8-136887</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NL748136</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05.06.1996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96304138.9</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RU2153238</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RU</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29.05.1996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97119934</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IMPLEMENTATION OF MUTUAL RATE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US6081534</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ADAPTATIONS IN DATA SERVICES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06.06.1996</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08/659590</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BETWEEN GSM AND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AU716158</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NEW 14.4 KBIT/S SERVICE FOR GSM</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7272</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31.10.1996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73003/96</w:t>
            </w:r>
          </w:p>
        </w:tc>
        <w:tc>
          <w:tcPr>
            <w:tcW w:w="0" w:type="dxa"/>
            <w:vAlign w:val="bottom"/>
          </w:tcPr>
          <w:p>
            <w:pPr>
              <w:spacing w:after="0"/>
              <w:rPr>
                <w:sz w:val="1"/>
                <w:szCs w:val="1"/>
                <w:color w:val="auto"/>
              </w:rPr>
            </w:pPr>
          </w:p>
        </w:tc>
      </w:tr>
      <w:tr>
        <w:trPr>
          <w:trHeight w:val="243"/>
        </w:trPr>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US7420948</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NEW 14.4 KBIT/S SERVICE FOR GSM</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7272</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09.09.2005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11/221797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875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US6173187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US6366602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US6349099</w:t>
      </w:r>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US6859447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AT1068762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AU755890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CH1068762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CNZL99804679.5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DE69927492.3</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EP1068762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JP4059626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NL1068762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NO325596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US6456237</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GB2370183</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US6249816</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DE69935006.9</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EP1135962</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FR1135962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23241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ADAPTIIVINEN MENETELMÄ</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OPTIMAALISEN SIR-TAVOITTEEN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ASETTAMISEKSI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BCCH-CARRIER CHANGE FOR GSM</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Connection identification in transmission system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wireless telecommunication network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ATM protocol stack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 BASESTATION CONTROLLER (BSC)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BASED ON AN ATM SWITCH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DIFFERENCE VALUES INTIME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TRACKING OF REAL TIME AND OBSERVED</w:t>
      </w:r>
    </w:p>
    <w:p>
      <w:pPr>
        <w:spacing w:after="0" w:line="35"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TIME DIFFERENCE VALUES INTIME NBR POOL FOR SIMA NETWORK NBR POOL FOR SIMA NETWORK System and method for prioritizing multicast packets in a network service class utilizing a priority-based quality of service</w:t>
      </w:r>
    </w:p>
    <w:p>
      <w:pPr>
        <w:spacing w:after="0" w:line="2" w:lineRule="exact"/>
        <w:rPr>
          <w:sz w:val="20"/>
          <w:szCs w:val="20"/>
          <w:color w:val="auto"/>
        </w:rPr>
      </w:pPr>
    </w:p>
    <w:p>
      <w:pPr>
        <w:jc w:val="both"/>
        <w:ind w:right="380"/>
        <w:spacing w:after="0" w:line="293" w:lineRule="auto"/>
        <w:rPr>
          <w:sz w:val="20"/>
          <w:szCs w:val="20"/>
          <w:color w:val="auto"/>
        </w:rPr>
      </w:pPr>
      <w:r>
        <w:rPr>
          <w:rFonts w:ascii="Arial" w:cs="Arial" w:eastAsia="Arial" w:hAnsi="Arial"/>
          <w:sz w:val="16"/>
          <w:szCs w:val="16"/>
          <w:color w:val="auto"/>
        </w:rPr>
        <w:t>System and method for prioritizing multicast packets in a network service class utilizing a priority-based quality of service</w:t>
      </w:r>
    </w:p>
    <w:p>
      <w:pPr>
        <w:spacing w:after="0" w:line="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System and method for prioritizing multicast packets in a network service class utilizing a priority-based quality of service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43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7300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25.11.1997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09/117274</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7485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03.12.1997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09/117700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7776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11.6.1998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09/460158</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7794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30.12.1997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09/607065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99945702.1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59468/99</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99945702.1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99804679.5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99945702.1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99945702.1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2000-544146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99945702.1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NO</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20004893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09/677114</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7959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20.7.1999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30514.4</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7959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22.7.1998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09/120607</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99966074.9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99966074.9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99966074.9</w:t>
            </w:r>
          </w:p>
        </w:tc>
      </w:tr>
    </w:tbl>
    <w:p>
      <w:pPr>
        <w:spacing w:after="0" w:line="431" w:lineRule="exact"/>
        <w:rPr>
          <w:sz w:val="20"/>
          <w:szCs w:val="20"/>
          <w:color w:val="auto"/>
        </w:rPr>
      </w:pPr>
    </w:p>
    <w:p>
      <w:pPr>
        <w:sectPr>
          <w:pgSz w:w="11900" w:h="16838" w:orient="portrait"/>
          <w:cols w:equalWidth="0" w:num="3">
            <w:col w:w="1320" w:space="160"/>
            <w:col w:w="3620" w:space="140"/>
            <w:col w:w="6140"/>
          </w:cols>
          <w:pgMar w:left="280" w:top="891" w:right="239" w:bottom="1440"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GB1135962</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IT1135962</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SE1135962</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US6549938</w:t>
      </w:r>
    </w:p>
    <w:p>
      <w:pPr>
        <w:spacing w:after="0" w:line="252" w:lineRule="exact"/>
        <w:rPr>
          <w:sz w:val="20"/>
          <w:szCs w:val="20"/>
          <w:color w:val="auto"/>
        </w:rPr>
      </w:pPr>
    </w:p>
    <w:p>
      <w:pPr>
        <w:jc w:val="center"/>
        <w:spacing w:after="0" w:line="337" w:lineRule="auto"/>
        <w:rPr>
          <w:sz w:val="20"/>
          <w:szCs w:val="20"/>
          <w:color w:val="auto"/>
        </w:rPr>
      </w:pPr>
      <w:r>
        <w:rPr>
          <w:rFonts w:ascii="Arial" w:cs="Arial" w:eastAsia="Arial" w:hAnsi="Arial"/>
          <w:sz w:val="16"/>
          <w:szCs w:val="16"/>
          <w:color w:val="auto"/>
        </w:rPr>
        <w:t>US6466794 CNZL97192088.5 FI102346 US6463291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CA2250037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CNZL97194117.3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DE69738106.4</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EP894383</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ES894383</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FI103456</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FR894383</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GB894383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HK1017189</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IN206503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IT894383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PH1-1997-55861</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US6738374</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US6085100</w:t>
      </w:r>
    </w:p>
    <w:p>
      <w:pPr>
        <w:spacing w:after="0" w:line="144" w:lineRule="exact"/>
        <w:rPr>
          <w:sz w:val="20"/>
          <w:szCs w:val="20"/>
          <w:color w:val="auto"/>
        </w:rPr>
      </w:pPr>
    </w:p>
    <w:p>
      <w:pPr>
        <w:jc w:val="center"/>
        <w:spacing w:after="0" w:line="337" w:lineRule="auto"/>
        <w:rPr>
          <w:sz w:val="20"/>
          <w:szCs w:val="20"/>
          <w:color w:val="auto"/>
        </w:rPr>
      </w:pPr>
      <w:r>
        <w:rPr>
          <w:rFonts w:ascii="Arial" w:cs="Arial" w:eastAsia="Arial" w:hAnsi="Arial"/>
          <w:sz w:val="16"/>
          <w:szCs w:val="16"/>
          <w:color w:val="auto"/>
        </w:rPr>
        <w:t>CNZL98807025.1 DE69834402.2 EP992164 ES992164</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FI109511</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FR992164</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GB992164</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IT992164</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JP3988836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jc w:val="both"/>
        <w:ind w:right="340"/>
        <w:spacing w:after="0" w:line="293" w:lineRule="auto"/>
        <w:rPr>
          <w:sz w:val="20"/>
          <w:szCs w:val="20"/>
          <w:color w:val="auto"/>
        </w:rPr>
      </w:pPr>
      <w:r>
        <w:rPr>
          <w:rFonts w:ascii="Arial" w:cs="Arial" w:eastAsia="Arial" w:hAnsi="Arial"/>
          <w:sz w:val="16"/>
          <w:szCs w:val="16"/>
          <w:color w:val="auto"/>
        </w:rPr>
        <w:t>System and method for prioritizing multicast packets in a network service class utilizing a priority-based quality of service</w:t>
      </w:r>
    </w:p>
    <w:p>
      <w:pPr>
        <w:spacing w:after="0" w:line="1" w:lineRule="exact"/>
        <w:rPr>
          <w:sz w:val="20"/>
          <w:szCs w:val="20"/>
          <w:color w:val="auto"/>
        </w:rPr>
      </w:pPr>
    </w:p>
    <w:p>
      <w:pPr>
        <w:jc w:val="both"/>
        <w:ind w:right="340"/>
        <w:spacing w:after="0" w:line="293" w:lineRule="auto"/>
        <w:rPr>
          <w:sz w:val="20"/>
          <w:szCs w:val="20"/>
          <w:color w:val="auto"/>
        </w:rPr>
      </w:pPr>
      <w:r>
        <w:rPr>
          <w:rFonts w:ascii="Arial" w:cs="Arial" w:eastAsia="Arial" w:hAnsi="Arial"/>
          <w:sz w:val="16"/>
          <w:szCs w:val="16"/>
          <w:color w:val="auto"/>
        </w:rPr>
        <w:t>System and method for prioritizing multicast packets in a network service class utilizing a priority-based quality of service</w:t>
      </w:r>
    </w:p>
    <w:p>
      <w:pPr>
        <w:spacing w:after="0" w:line="1" w:lineRule="exact"/>
        <w:rPr>
          <w:sz w:val="20"/>
          <w:szCs w:val="20"/>
          <w:color w:val="auto"/>
        </w:rPr>
      </w:pPr>
    </w:p>
    <w:p>
      <w:pPr>
        <w:jc w:val="both"/>
        <w:ind w:right="340"/>
        <w:spacing w:after="0" w:line="293" w:lineRule="auto"/>
        <w:rPr>
          <w:sz w:val="20"/>
          <w:szCs w:val="20"/>
          <w:color w:val="auto"/>
        </w:rPr>
      </w:pPr>
      <w:r>
        <w:rPr>
          <w:rFonts w:ascii="Arial" w:cs="Arial" w:eastAsia="Arial" w:hAnsi="Arial"/>
          <w:sz w:val="16"/>
          <w:szCs w:val="16"/>
          <w:color w:val="auto"/>
        </w:rPr>
        <w:t>System and method for prioritizing multicast packets in a network service class utilizing a priority-based quality of service</w:t>
      </w:r>
    </w:p>
    <w:p>
      <w:pPr>
        <w:spacing w:after="0" w:line="1" w:lineRule="exact"/>
        <w:rPr>
          <w:sz w:val="20"/>
          <w:szCs w:val="20"/>
          <w:color w:val="auto"/>
        </w:rPr>
      </w:pPr>
    </w:p>
    <w:p>
      <w:pPr>
        <w:jc w:val="both"/>
        <w:ind w:right="340"/>
        <w:spacing w:after="0" w:line="293" w:lineRule="auto"/>
        <w:rPr>
          <w:sz w:val="20"/>
          <w:szCs w:val="20"/>
          <w:color w:val="auto"/>
        </w:rPr>
      </w:pPr>
      <w:r>
        <w:rPr>
          <w:rFonts w:ascii="Arial" w:cs="Arial" w:eastAsia="Arial" w:hAnsi="Arial"/>
          <w:sz w:val="16"/>
          <w:szCs w:val="16"/>
          <w:color w:val="auto"/>
        </w:rPr>
        <w:t>System and method for prioritizing multicast packets in a network service class utilizing a priority-based quality of service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CHANNEL ALLOCATION</w:t>
      </w:r>
    </w:p>
    <w:p>
      <w:pPr>
        <w:spacing w:after="0" w:line="36"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MT SMS QUEUING AT THE VISITED MSC MT SMS QUEUING AT THE VISITED MSC MT SMS QUEUING AT THE VISITED MSC SPEECH TRANSMISSION IN A PACKET NETWORK</w:t>
      </w:r>
    </w:p>
    <w:p>
      <w:pPr>
        <w:spacing w:after="0" w:line="3"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00"/>
        <w:spacing w:after="0" w:line="266" w:lineRule="auto"/>
        <w:rPr>
          <w:sz w:val="20"/>
          <w:szCs w:val="20"/>
          <w:color w:val="auto"/>
        </w:rPr>
      </w:pPr>
      <w:r>
        <w:rPr>
          <w:rFonts w:ascii="Arial" w:cs="Arial" w:eastAsia="Arial" w:hAnsi="Arial"/>
          <w:sz w:val="18"/>
          <w:szCs w:val="18"/>
          <w:color w:val="auto"/>
        </w:rPr>
        <w:t>SPEECH TRANSMISSION IN A PACKET NETWORK</w:t>
      </w:r>
    </w:p>
    <w:p>
      <w:pPr>
        <w:ind w:right="460"/>
        <w:spacing w:after="0" w:line="266" w:lineRule="auto"/>
        <w:rPr>
          <w:sz w:val="20"/>
          <w:szCs w:val="20"/>
          <w:color w:val="auto"/>
        </w:rPr>
      </w:pPr>
      <w:r>
        <w:rPr>
          <w:rFonts w:ascii="Arial" w:cs="Arial" w:eastAsia="Arial" w:hAnsi="Arial"/>
          <w:sz w:val="18"/>
          <w:szCs w:val="18"/>
          <w:color w:val="auto"/>
        </w:rPr>
        <w:t>METHOD OF ROUTING REPLY SHORT MESSAGES</w:t>
      </w: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ROUTING OF MOBILE ORIGINATED SHORT MESSAGES (MO-SM) FORM SMSC TO THE RIGHT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Filing No.</w:t>
            </w:r>
          </w:p>
        </w:tc>
        <w:tc>
          <w:tcPr>
            <w:tcW w:w="0" w:type="dxa"/>
            <w:vAlign w:val="bottom"/>
          </w:tcPr>
          <w:p>
            <w:pPr>
              <w:spacing w:after="0"/>
              <w:rPr>
                <w:sz w:val="1"/>
                <w:szCs w:val="1"/>
                <w:color w:val="auto"/>
              </w:rPr>
            </w:pPr>
          </w:p>
        </w:tc>
      </w:tr>
      <w:tr>
        <w:trPr>
          <w:trHeight w:val="44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99966074.9</w:t>
            </w:r>
          </w:p>
        </w:tc>
        <w:tc>
          <w:tcPr>
            <w:tcW w:w="0" w:type="dxa"/>
            <w:vAlign w:val="bottom"/>
          </w:tcPr>
          <w:p>
            <w:pPr>
              <w:spacing w:after="0"/>
              <w:rPr>
                <w:sz w:val="1"/>
                <w:szCs w:val="1"/>
                <w:color w:val="auto"/>
              </w:rPr>
            </w:pP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99966074.9</w:t>
            </w:r>
          </w:p>
        </w:tc>
        <w:tc>
          <w:tcPr>
            <w:tcW w:w="0" w:type="dxa"/>
            <w:vAlign w:val="bottom"/>
          </w:tcPr>
          <w:p>
            <w:pPr>
              <w:spacing w:after="0"/>
              <w:rPr>
                <w:sz w:val="1"/>
                <w:szCs w:val="1"/>
                <w:color w:val="auto"/>
              </w:rPr>
            </w:pP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99966074.9</w:t>
            </w:r>
          </w:p>
        </w:tc>
        <w:tc>
          <w:tcPr>
            <w:tcW w:w="0" w:type="dxa"/>
            <w:vAlign w:val="bottom"/>
          </w:tcPr>
          <w:p>
            <w:pPr>
              <w:spacing w:after="0"/>
              <w:rPr>
                <w:sz w:val="1"/>
                <w:szCs w:val="1"/>
                <w:color w:val="auto"/>
              </w:rPr>
            </w:pP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7960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10.12.1998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09/209182</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10215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21.01.1998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09/357180</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10609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04.02.1997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97192088.5</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10609</w:t>
            </w: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05.02.1996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 960523</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10609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04.02.1997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09/117701</w:t>
            </w:r>
          </w:p>
        </w:tc>
        <w:tc>
          <w:tcPr>
            <w:tcW w:w="0" w:type="dxa"/>
            <w:vAlign w:val="bottom"/>
          </w:tcPr>
          <w:p>
            <w:pPr>
              <w:spacing w:after="0"/>
              <w:rPr>
                <w:sz w:val="1"/>
                <w:szCs w:val="1"/>
                <w:color w:val="auto"/>
              </w:rPr>
            </w:pP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2250037</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97194117.3</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97908301.1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97908301.1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97908301.1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29.3.1996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961442</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97908301.1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97908301.1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HK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27.4.1999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99101866.1</w:t>
            </w:r>
          </w:p>
        </w:tc>
        <w:tc>
          <w:tcPr>
            <w:tcW w:w="0" w:type="dxa"/>
            <w:vAlign w:val="bottom"/>
          </w:tcPr>
          <w:p>
            <w:pPr>
              <w:spacing w:after="0"/>
              <w:rPr>
                <w:sz w:val="1"/>
                <w:szCs w:val="1"/>
                <w:color w:val="auto"/>
              </w:rPr>
            </w:pPr>
          </w:p>
        </w:tc>
      </w:tr>
      <w:tr>
        <w:trPr>
          <w:trHeight w:val="337"/>
        </w:trPr>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IN</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20.3.1997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IN</w:t>
            </w:r>
          </w:p>
        </w:tc>
        <w:tc>
          <w:tcPr>
            <w:tcW w:w="0" w:type="dxa"/>
            <w:vAlign w:val="bottom"/>
          </w:tcPr>
          <w:p>
            <w:pPr>
              <w:spacing w:after="0"/>
              <w:rPr>
                <w:sz w:val="1"/>
                <w:szCs w:val="1"/>
                <w:color w:val="auto"/>
              </w:rPr>
            </w:pPr>
          </w:p>
        </w:tc>
      </w:tr>
      <w:tr>
        <w:trPr>
          <w:trHeight w:val="122"/>
        </w:trPr>
        <w:tc>
          <w:tcPr>
            <w:tcW w:w="12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588/MAS/97</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97908301.1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PH</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I-55861</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27.3.1997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09/155426</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02.01.1998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09/125752</w:t>
            </w:r>
          </w:p>
        </w:tc>
        <w:tc>
          <w:tcPr>
            <w:tcW w:w="0" w:type="dxa"/>
            <w:vAlign w:val="bottom"/>
          </w:tcPr>
          <w:p>
            <w:pPr>
              <w:spacing w:after="0"/>
              <w:rPr>
                <w:sz w:val="1"/>
                <w:szCs w:val="1"/>
                <w:color w:val="auto"/>
              </w:rPr>
            </w:pP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98807025.1</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03.06.1997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 972357</w:t>
            </w:r>
          </w:p>
        </w:tc>
        <w:tc>
          <w:tcPr>
            <w:tcW w:w="0" w:type="dxa"/>
            <w:vAlign w:val="bottom"/>
          </w:tcPr>
          <w:p>
            <w:pPr>
              <w:spacing w:after="0"/>
              <w:rPr>
                <w:sz w:val="1"/>
                <w:szCs w:val="1"/>
                <w:color w:val="auto"/>
              </w:rPr>
            </w:pP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c>
          <w:tcPr>
            <w:tcW w:w="0" w:type="dxa"/>
            <w:vAlign w:val="bottom"/>
          </w:tcPr>
          <w:p>
            <w:pPr>
              <w:spacing w:after="0"/>
              <w:rPr>
                <w:sz w:val="1"/>
                <w:szCs w:val="1"/>
                <w:color w:val="auto"/>
              </w:rPr>
            </w:pP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11-501673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1320" w:space="160"/>
            <w:col w:w="3580" w:space="180"/>
            <w:col w:w="6140"/>
          </w:cols>
          <w:pgMar w:left="280" w:top="891" w:right="239" w:bottom="910" w:gutter="0" w:footer="0" w:header="0"/>
        </w:sectPr>
      </w:pPr>
    </w:p>
    <w:p>
      <w:pPr>
        <w:spacing w:after="0" w:line="15" w:lineRule="exact"/>
        <w:rPr>
          <w:sz w:val="20"/>
          <w:szCs w:val="20"/>
          <w:color w:val="auto"/>
        </w:r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91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8921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NL992164</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SE992164</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US6292669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US6571284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CNZL00816538.6</w:t>
      </w: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EP1234418</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GB1234418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US7606261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CNZL01810732.X</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DE60115454.1</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EP1303942</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ES1303942</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FI111594</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FR1303942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GB1303942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IT1303942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US20040038679</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US7012924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CA2287227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CNZL98804385.8</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DE69834917.2</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EP985288</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FR985288</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755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ROUTING SHORT MESSAGES</w:t>
      </w:r>
    </w:p>
    <w:p>
      <w:pPr>
        <w:spacing w:after="0" w:line="36"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ROUTING SHORT MESSAGES ROUTING SHORT MESSAGES RADIOTOISTINTEN AUTOMAATTINEN VIRITYS</w:t>
      </w:r>
    </w:p>
    <w:p>
      <w:pPr>
        <w:ind w:right="240"/>
        <w:spacing w:after="0" w:line="268" w:lineRule="auto"/>
        <w:rPr>
          <w:sz w:val="20"/>
          <w:szCs w:val="20"/>
          <w:color w:val="auto"/>
        </w:rPr>
      </w:pPr>
      <w:r>
        <w:rPr>
          <w:rFonts w:ascii="Arial" w:cs="Arial" w:eastAsia="Arial" w:hAnsi="Arial"/>
          <w:sz w:val="18"/>
          <w:szCs w:val="18"/>
          <w:color w:val="auto"/>
        </w:rPr>
        <w:t>CALL ROUTING IN A TELECOMMUNICATION SYSTEM CALL ROUTING IN A TELECOMMUNICATION SYSTEM CALL ROUTING IN A TELECOMMUNICATION SYSTEM CALL ROUTING IN A TELECOMMUNICATION SYSTEM MANAGEMENT OF SUBSCRIBER DATA IN MOBILE SYSTEM</w:t>
      </w:r>
    </w:p>
    <w:p>
      <w:pPr>
        <w:spacing w:after="0" w:line="200" w:lineRule="exact"/>
        <w:rPr>
          <w:sz w:val="20"/>
          <w:szCs w:val="20"/>
          <w:color w:val="auto"/>
        </w:rPr>
      </w:pPr>
    </w:p>
    <w:p>
      <w:pPr>
        <w:spacing w:after="0" w:line="24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MANAGEMENT OF SUBSCRIBER DATA IN MOBILE SYSTEM</w:t>
      </w:r>
    </w:p>
    <w:p>
      <w:pPr>
        <w:ind w:right="240"/>
        <w:spacing w:after="0" w:line="266" w:lineRule="auto"/>
        <w:rPr>
          <w:sz w:val="20"/>
          <w:szCs w:val="20"/>
          <w:color w:val="auto"/>
        </w:rPr>
      </w:pPr>
      <w:r>
        <w:rPr>
          <w:rFonts w:ascii="Arial" w:cs="Arial" w:eastAsia="Arial" w:hAnsi="Arial"/>
          <w:sz w:val="18"/>
          <w:szCs w:val="18"/>
          <w:color w:val="auto"/>
        </w:rPr>
        <w:t>MANAGEMENT OF SUBSCRIBER DATA IN MOBILE SYSTEM</w:t>
      </w:r>
    </w:p>
    <w:p>
      <w:pPr>
        <w:ind w:right="240"/>
        <w:spacing w:after="0" w:line="266" w:lineRule="auto"/>
        <w:rPr>
          <w:sz w:val="20"/>
          <w:szCs w:val="20"/>
          <w:color w:val="auto"/>
        </w:rPr>
      </w:pPr>
      <w:r>
        <w:rPr>
          <w:rFonts w:ascii="Arial" w:cs="Arial" w:eastAsia="Arial" w:hAnsi="Arial"/>
          <w:sz w:val="18"/>
          <w:szCs w:val="18"/>
          <w:color w:val="auto"/>
        </w:rPr>
        <w:t>MANAGEMENT OF SUBSCRIBER DATA IN MOBILE SYSTEM</w:t>
      </w:r>
    </w:p>
    <w:p>
      <w:pPr>
        <w:spacing w:after="0"/>
        <w:rPr>
          <w:sz w:val="20"/>
          <w:szCs w:val="20"/>
          <w:color w:val="auto"/>
        </w:rPr>
      </w:pPr>
      <w:r>
        <w:rPr>
          <w:rFonts w:ascii="Arial" w:cs="Arial" w:eastAsia="Arial" w:hAnsi="Arial"/>
          <w:sz w:val="18"/>
          <w:szCs w:val="18"/>
          <w:color w:val="auto"/>
        </w:rPr>
        <w:t>IP-TEKNIIKAN JA WEB-SIVUJEN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HYÖDYNTÄMINEN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MATKAPUHELINVERKONTILAAJATIETOJEN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MANAGEMENT OF SUBSCRIBER DATA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MOBILE SYSTEM</w:t>
      </w:r>
    </w:p>
    <w:p>
      <w:pPr>
        <w:spacing w:after="0" w:line="2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MANAGEMENT OF SUBSCRIBER DATA IN MOBILE SYSTEM</w:t>
      </w:r>
    </w:p>
    <w:p>
      <w:pPr>
        <w:ind w:right="240"/>
        <w:spacing w:after="0" w:line="266" w:lineRule="auto"/>
        <w:rPr>
          <w:sz w:val="20"/>
          <w:szCs w:val="20"/>
          <w:color w:val="auto"/>
        </w:rPr>
      </w:pPr>
      <w:r>
        <w:rPr>
          <w:rFonts w:ascii="Arial" w:cs="Arial" w:eastAsia="Arial" w:hAnsi="Arial"/>
          <w:sz w:val="18"/>
          <w:szCs w:val="18"/>
          <w:color w:val="auto"/>
        </w:rPr>
        <w:t>MANAGEMENT OF SUBSCRIBER DATA IN MOBILE SYSTEM</w:t>
      </w:r>
    </w:p>
    <w:p>
      <w:pPr>
        <w:ind w:right="240"/>
        <w:spacing w:after="0" w:line="266" w:lineRule="auto"/>
        <w:rPr>
          <w:sz w:val="20"/>
          <w:szCs w:val="20"/>
          <w:color w:val="auto"/>
        </w:rPr>
      </w:pPr>
      <w:r>
        <w:rPr>
          <w:rFonts w:ascii="Arial" w:cs="Arial" w:eastAsia="Arial" w:hAnsi="Arial"/>
          <w:sz w:val="18"/>
          <w:szCs w:val="18"/>
          <w:color w:val="auto"/>
        </w:rPr>
        <w:t>MANAGEMENT OF SUBSCRIBER DATA IN MOBILE SYSTEM</w:t>
      </w:r>
    </w:p>
    <w:p>
      <w:pPr>
        <w:ind w:right="340"/>
        <w:spacing w:after="0" w:line="299" w:lineRule="auto"/>
        <w:rPr>
          <w:sz w:val="20"/>
          <w:szCs w:val="20"/>
          <w:color w:val="auto"/>
        </w:rPr>
      </w:pPr>
      <w:r>
        <w:rPr>
          <w:rFonts w:ascii="Arial" w:cs="Arial" w:eastAsia="Arial" w:hAnsi="Arial"/>
          <w:sz w:val="16"/>
          <w:szCs w:val="16"/>
          <w:color w:val="auto"/>
        </w:rPr>
        <w:t>Process and unit for configuring or monitoring ATM devices comprising registers</w:t>
      </w:r>
    </w:p>
    <w:p>
      <w:pPr>
        <w:spacing w:after="0" w:line="1"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Method to combine the radio and fixed network transmission channels effectively in the fixed</w:t>
      </w:r>
    </w:p>
    <w:p>
      <w:pPr>
        <w:spacing w:after="0" w:line="1"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color w:val="auto"/>
        </w:rPr>
        <w:t>DATA TRANSMISSION IN A MOBILE NETWORK</w:t>
      </w:r>
    </w:p>
    <w:p>
      <w:pPr>
        <w:ind w:right="260"/>
        <w:spacing w:after="0" w:line="308" w:lineRule="auto"/>
        <w:rPr>
          <w:sz w:val="20"/>
          <w:szCs w:val="20"/>
          <w:color w:val="auto"/>
        </w:rPr>
      </w:pPr>
      <w:r>
        <w:rPr>
          <w:rFonts w:ascii="Arial" w:cs="Arial" w:eastAsia="Arial" w:hAnsi="Arial"/>
          <w:sz w:val="16"/>
          <w:szCs w:val="16"/>
          <w:color w:val="auto"/>
        </w:rPr>
        <w:t>Method to combine the radio and fixed network transmission channels effectively in the fixed Method to combine the radio and fixed network transmission channels effectively in the fixed Method to combine the radio and fixed network transmission channels effectively in the fixed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Status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Family</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County</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Filing 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Filing No.</w:t>
            </w:r>
          </w:p>
        </w:tc>
      </w:tr>
      <w:tr>
        <w:trPr>
          <w:trHeight w:val="230"/>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10765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NL</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98924342.3</w:t>
            </w:r>
          </w:p>
        </w:tc>
      </w:tr>
      <w:tr>
        <w:trPr>
          <w:trHeight w:val="242"/>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98924342.3</w:t>
            </w:r>
          </w:p>
        </w:tc>
      </w:tr>
      <w:tr>
        <w:trPr>
          <w:trHeight w:val="243"/>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10765</w:t>
            </w: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02.06.1998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09/454946</w:t>
            </w:r>
          </w:p>
        </w:tc>
      </w:tr>
      <w:tr>
        <w:trPr>
          <w:trHeight w:val="351"/>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10780</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02.01.1998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09/331764</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10906</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29.11.2000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816538.6</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10906</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29.11.2000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985284.9</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10906</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29.11.2000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985284.9</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10906</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29.11.2000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10/153180</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01810732.X</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1938289.4</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1938289.4</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1938289.4</w:t>
            </w:r>
          </w:p>
        </w:tc>
      </w:tr>
      <w:tr>
        <w:trPr>
          <w:trHeight w:val="567"/>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20001339</w:t>
            </w:r>
          </w:p>
        </w:tc>
      </w:tr>
      <w:tr>
        <w:trPr>
          <w:trHeight w:val="567"/>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1938289.4</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1938289.4</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1938289.4</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Pending</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10919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10/297333</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10969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09/889522</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2287227</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98804385.8</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98913785.6</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98913785.6</w:t>
            </w:r>
          </w:p>
        </w:tc>
      </w:tr>
      <w:tr>
        <w:trPr>
          <w:trHeight w:val="459"/>
        </w:trPr>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98913785.6</w:t>
            </w:r>
          </w:p>
        </w:tc>
      </w:tr>
    </w:tbl>
    <w:p>
      <w:pPr>
        <w:spacing w:after="0" w:line="322" w:lineRule="exact"/>
        <w:rPr>
          <w:sz w:val="20"/>
          <w:szCs w:val="20"/>
          <w:color w:val="auto"/>
        </w:rPr>
      </w:pPr>
    </w:p>
    <w:p>
      <w:pPr>
        <w:sectPr>
          <w:pgSz w:w="11900" w:h="16838" w:orient="portrait"/>
          <w:cols w:equalWidth="0" w:num="3">
            <w:col w:w="1380" w:space="120"/>
            <w:col w:w="3700" w:space="140"/>
            <w:col w:w="6060"/>
          </w:cols>
          <w:pgMar w:left="260" w:top="891" w:right="239" w:bottom="1440" w:gutter="0" w:footer="0" w:header="0"/>
        </w:sectPr>
      </w:pPr>
    </w:p>
    <w:p>
      <w:pPr>
        <w:jc w:val="center"/>
        <w:ind w:left="8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91"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GB985288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IT985288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US6353605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DE69733613.1</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EP941592</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FR941592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GB941592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IT941592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US6870839</w:t>
      </w:r>
    </w:p>
    <w:p>
      <w:pPr>
        <w:spacing w:after="0" w:line="144" w:lineRule="exact"/>
        <w:rPr>
          <w:sz w:val="20"/>
          <w:szCs w:val="20"/>
          <w:color w:val="auto"/>
        </w:rPr>
      </w:pPr>
    </w:p>
    <w:p>
      <w:pPr>
        <w:jc w:val="center"/>
        <w:spacing w:after="0" w:line="332" w:lineRule="auto"/>
        <w:rPr>
          <w:sz w:val="20"/>
          <w:szCs w:val="20"/>
          <w:color w:val="auto"/>
        </w:rPr>
      </w:pPr>
      <w:r>
        <w:rPr>
          <w:rFonts w:ascii="Arial" w:cs="Arial" w:eastAsia="Arial" w:hAnsi="Arial"/>
          <w:sz w:val="16"/>
          <w:szCs w:val="16"/>
          <w:color w:val="auto"/>
        </w:rPr>
        <w:t>CNZL98812499.8 DE69829118.2 EP1053626 GB1053626 US6678368</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US6345091</w:t>
      </w:r>
    </w:p>
    <w:p>
      <w:pPr>
        <w:spacing w:after="0" w:line="144" w:lineRule="exact"/>
        <w:rPr>
          <w:sz w:val="20"/>
          <w:szCs w:val="20"/>
          <w:color w:val="auto"/>
        </w:rPr>
      </w:pPr>
    </w:p>
    <w:p>
      <w:pPr>
        <w:jc w:val="center"/>
        <w:ind w:right="20"/>
        <w:spacing w:after="0" w:line="327" w:lineRule="auto"/>
        <w:rPr>
          <w:sz w:val="20"/>
          <w:szCs w:val="20"/>
          <w:color w:val="auto"/>
        </w:rPr>
      </w:pPr>
      <w:r>
        <w:rPr>
          <w:rFonts w:ascii="Arial" w:cs="Arial" w:eastAsia="Arial" w:hAnsi="Arial"/>
          <w:sz w:val="16"/>
          <w:szCs w:val="16"/>
          <w:color w:val="auto"/>
        </w:rPr>
        <w:t>EP1013132 GB1013132 US6735203 DE69838103.3 EP1031253 FR1031253 US6549541</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US6954426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CA2276374</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CN98802213.3</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DE69828151.9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17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Method to combine the radio and fixed network transmission channels effectively in the fixed Method to combine the radio and fixed network transmission channels effectively in the fixed Method to combine the radio and fixed network transmission channels effectively in the fixed</w:t>
      </w:r>
    </w:p>
    <w:p>
      <w:pPr>
        <w:spacing w:after="0" w:line="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ROUTING OF PACKETS IN A TELECOMMUNICATIONS SYSTEM ROUTING OF PACKETS IN A TELECOMMUNICATIONS SYSTEM ROUTING OF PACKETS IN A TELECOMMUNICATIONS SYSTEM ROUTING OF PACKETS IN A TELECOMMUNICATIONS SYSTEM ROUTING OF PACKETS IN A TELECOMMUNICATIONS SYSTEM CROSS-CONNECTING SUB-TIMESLOT DATA RATES</w:t>
      </w:r>
    </w:p>
    <w:p>
      <w:pPr>
        <w:spacing w:after="0" w:line="2" w:lineRule="exact"/>
        <w:rPr>
          <w:sz w:val="20"/>
          <w:szCs w:val="20"/>
          <w:color w:val="auto"/>
        </w:rPr>
      </w:pPr>
    </w:p>
    <w:p>
      <w:pPr>
        <w:jc w:val="both"/>
        <w:ind w:right="320"/>
        <w:spacing w:after="0" w:line="293" w:lineRule="auto"/>
        <w:rPr>
          <w:sz w:val="20"/>
          <w:szCs w:val="20"/>
          <w:color w:val="auto"/>
        </w:rPr>
      </w:pPr>
      <w:r>
        <w:rPr>
          <w:rFonts w:ascii="Arial" w:cs="Arial" w:eastAsia="Arial" w:hAnsi="Arial"/>
          <w:sz w:val="17"/>
          <w:szCs w:val="17"/>
          <w:color w:val="auto"/>
        </w:rPr>
        <w:t>CALLING SUBSCRIBER VALIDATION CALLING SUBSCRIBER VALIDATION CALLING SUBSCRIBER VALIDATION CALLING SUBSCRIBER VALIDATION CALLING SUBSCRIBER VALIDATION Telecommunication system and method for implementing an ISDN PBX interface</w:t>
      </w:r>
    </w:p>
    <w:p>
      <w:pPr>
        <w:spacing w:after="0" w:line="4" w:lineRule="exact"/>
        <w:rPr>
          <w:sz w:val="20"/>
          <w:szCs w:val="20"/>
          <w:color w:val="auto"/>
        </w:rPr>
      </w:pPr>
    </w:p>
    <w:p>
      <w:pPr>
        <w:ind w:right="1320"/>
        <w:spacing w:after="0" w:line="298" w:lineRule="auto"/>
        <w:rPr>
          <w:sz w:val="20"/>
          <w:szCs w:val="20"/>
          <w:color w:val="auto"/>
        </w:rPr>
      </w:pPr>
      <w:r>
        <w:rPr>
          <w:rFonts w:ascii="Arial" w:cs="Arial" w:eastAsia="Arial" w:hAnsi="Arial"/>
          <w:sz w:val="17"/>
          <w:szCs w:val="17"/>
          <w:color w:val="auto"/>
        </w:rPr>
        <w:t>SWITCH ARRANGEMENT SWITCH ARRANGEMENT SWITCH ARRANGEMENT BUFFER MANAGEMENT BUFFER MANAGEMENT BUFFER MANAGEMENT BUFFER MANAGEMENT</w:t>
      </w: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METHOD AND SYSTEM FOR ROUTING IN AN ATM NETWORK</w:t>
      </w:r>
    </w:p>
    <w:p>
      <w:pPr>
        <w:ind w:right="280"/>
        <w:spacing w:after="0" w:line="287" w:lineRule="auto"/>
        <w:rPr>
          <w:sz w:val="20"/>
          <w:szCs w:val="20"/>
          <w:color w:val="auto"/>
        </w:rPr>
      </w:pPr>
      <w:r>
        <w:rPr>
          <w:rFonts w:ascii="Arial" w:cs="Arial" w:eastAsia="Arial" w:hAnsi="Arial"/>
          <w:sz w:val="17"/>
          <w:szCs w:val="17"/>
          <w:color w:val="auto"/>
        </w:rPr>
        <w:t>SCP.N OHJAAMAN LISÄVALINNAN KERÄÄMISEN MONIPUOLISTAMINEN SCP.N OHJAAMAN LISÄVALINNAN KERÄÄMISEN MONIPUOLISTAMINEN SCP.N OHJAAMAN LISÄVALINNAN KERÄÄMISEN MONIPUOLISTAMINEN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3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98913785.6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98913785.6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11159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09.04.1998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09/418660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11162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97910478.3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97910478.3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97910478.3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97910478.3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11162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97910478.3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21.9.1999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09/400645</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11399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98812499.8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11399</w:t>
            </w: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98962457.2</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11399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98962457.2</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11399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98962457.2</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11399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09/594334</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11406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16.2.1999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09/641381</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11590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14.7.1998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98935047.5</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11590</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14.7.1998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98935047.5</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11590</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14.7.1998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09/480235</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11602</w:t>
            </w: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98950138.2</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11602</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98950138.2</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11602</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98950138.2</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11602</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27.10.1998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09/557467</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11674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31.5.1999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09/728615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2276374</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98802213.3</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98950132.5</w:t>
            </w:r>
          </w:p>
        </w:tc>
      </w:tr>
    </w:tbl>
    <w:p>
      <w:pPr>
        <w:spacing w:after="0" w:line="323" w:lineRule="exact"/>
        <w:rPr>
          <w:sz w:val="20"/>
          <w:szCs w:val="20"/>
          <w:color w:val="auto"/>
        </w:rPr>
      </w:pPr>
    </w:p>
    <w:p>
      <w:pPr>
        <w:sectPr>
          <w:pgSz w:w="11900" w:h="16838" w:orient="portrait"/>
          <w:cols w:equalWidth="0" w:num="3">
            <w:col w:w="1320" w:space="160"/>
            <w:col w:w="3440" w:space="320"/>
            <w:col w:w="6140"/>
          </w:cols>
          <w:pgMar w:left="280" w:top="891" w:right="239" w:bottom="1440"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EP956714</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ES956714</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FI105981</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FR956714</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GB956714</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IT956714</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JP4317271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US6393121</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EP1232646</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US6980791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EP1142236</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JP4477240</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US7792092</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US6466790</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US7031318</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US7050403</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BR9917334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CA2374847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CNZL99816695.2</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JP3782348</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KR700080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US7072358</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DE69940526.2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color w:val="auto"/>
        </w:rPr>
        <w:t>SCP.N OHJAAMAN LISÄVALINNAN KERÄÄMISEN MONIPUOLISTAMINEN SCP.N OHJAAMAN LISÄVALINNAN KERÄÄMISEN MONIPUOLISTAMINEN SCP.N OHJAAMAN LISÄVALINNAN KERÄÄMISEN MONIPUOLISTAMINEN SCP.N OHJAAMAN LISÄVALINNAN KERÄÄMISEN MONIPUOLISTAMINEN SCP.N OHJAAMAN LISÄVALINNAN KERÄÄMISEN MONIPUOLISTAMINEN SCP.N OHJAAMAN LISÄVALINNAN KERÄÄMISEN MONIPUOLISTAMINEN SCP.N OHJAAMAN LISÄVALINNAN KERÄÄMISEN MONIPUOLISTAMINEN SCP.N OHJAAMAN LISÄVALINNAN KERÄÄMISEN MONIPUOLISTAMINEN MENETELMÄ GSM-TILAAJAN LASKUTUKSEN OHJAAMISEKSI KESKITETYN SSP-KESKUKSEN MENETELMÄ GSM-TILAAJAN LASKUTUKSEN OHJAAMISEKSI KESKITETYN SSP-KESKUKSEN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Data transmission method and a network element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Data transmission method and a network element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Data transmission method and a network element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SOLSA AND GPRS</w:t>
      </w:r>
    </w:p>
    <w:p>
      <w:pPr>
        <w:spacing w:after="0" w:line="36"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Selection of a virtual path or channel in a communications network</w:t>
      </w:r>
    </w:p>
    <w:p>
      <w:pPr>
        <w:ind w:right="40"/>
        <w:spacing w:after="0" w:line="271" w:lineRule="auto"/>
        <w:rPr>
          <w:sz w:val="20"/>
          <w:szCs w:val="20"/>
          <w:color w:val="auto"/>
        </w:rPr>
      </w:pPr>
      <w:r>
        <w:rPr>
          <w:rFonts w:ascii="Arial" w:cs="Arial" w:eastAsia="Arial" w:hAnsi="Arial"/>
          <w:sz w:val="18"/>
          <w:szCs w:val="18"/>
          <w:color w:val="auto"/>
        </w:rPr>
        <w:t>PACKET LENGTH CLASSIFICATION TRANSMISSION AND INTERCONNECTION METHOD</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TRANSMISSION AND INTERCONNECTION METHOD</w:t>
      </w:r>
    </w:p>
    <w:p>
      <w:pPr>
        <w:ind w:right="40"/>
        <w:spacing w:after="0" w:line="266" w:lineRule="auto"/>
        <w:rPr>
          <w:sz w:val="20"/>
          <w:szCs w:val="20"/>
          <w:color w:val="auto"/>
        </w:rPr>
      </w:pPr>
      <w:r>
        <w:rPr>
          <w:rFonts w:ascii="Arial" w:cs="Arial" w:eastAsia="Arial" w:hAnsi="Arial"/>
          <w:sz w:val="18"/>
          <w:szCs w:val="18"/>
          <w:color w:val="auto"/>
        </w:rPr>
        <w:t>TRANSMISSION AND INTERCONNECTION METHOD</w:t>
      </w:r>
    </w:p>
    <w:p>
      <w:pPr>
        <w:ind w:right="40"/>
        <w:spacing w:after="0" w:line="266" w:lineRule="auto"/>
        <w:rPr>
          <w:sz w:val="20"/>
          <w:szCs w:val="20"/>
          <w:color w:val="auto"/>
        </w:rPr>
      </w:pPr>
      <w:r>
        <w:rPr>
          <w:rFonts w:ascii="Arial" w:cs="Arial" w:eastAsia="Arial" w:hAnsi="Arial"/>
          <w:sz w:val="18"/>
          <w:szCs w:val="18"/>
          <w:color w:val="auto"/>
        </w:rPr>
        <w:t>TRANSMISSION AND INTERCONNECTION METHOD</w:t>
      </w:r>
    </w:p>
    <w:p>
      <w:pPr>
        <w:ind w:right="40"/>
        <w:spacing w:after="0" w:line="266" w:lineRule="auto"/>
        <w:rPr>
          <w:sz w:val="20"/>
          <w:szCs w:val="20"/>
          <w:color w:val="auto"/>
        </w:rPr>
      </w:pPr>
      <w:r>
        <w:rPr>
          <w:rFonts w:ascii="Arial" w:cs="Arial" w:eastAsia="Arial" w:hAnsi="Arial"/>
          <w:sz w:val="18"/>
          <w:szCs w:val="18"/>
          <w:color w:val="auto"/>
        </w:rPr>
        <w:t>TRANSMISSION AND INTERCONNECTION METHOD</w:t>
      </w:r>
    </w:p>
    <w:p>
      <w:pPr>
        <w:ind w:right="40"/>
        <w:spacing w:after="0" w:line="266" w:lineRule="auto"/>
        <w:rPr>
          <w:sz w:val="20"/>
          <w:szCs w:val="20"/>
          <w:color w:val="auto"/>
        </w:rPr>
      </w:pPr>
      <w:r>
        <w:rPr>
          <w:rFonts w:ascii="Arial" w:cs="Arial" w:eastAsia="Arial" w:hAnsi="Arial"/>
          <w:sz w:val="18"/>
          <w:szCs w:val="18"/>
          <w:color w:val="auto"/>
        </w:rPr>
        <w:t>TRANSMISSION AND INTERCONNECTION METHOD</w:t>
      </w:r>
    </w:p>
    <w:p>
      <w:pPr>
        <w:ind w:right="60"/>
        <w:spacing w:after="0" w:line="277" w:lineRule="auto"/>
        <w:rPr>
          <w:sz w:val="20"/>
          <w:szCs w:val="20"/>
          <w:color w:val="auto"/>
        </w:rPr>
      </w:pPr>
      <w:r>
        <w:rPr>
          <w:rFonts w:ascii="Arial" w:cs="Arial" w:eastAsia="Arial" w:hAnsi="Arial"/>
          <w:sz w:val="18"/>
          <w:szCs w:val="18"/>
          <w:color w:val="auto"/>
        </w:rPr>
        <w:t>IP TELEPHONY GATEWAY FOR SOLUTION FOR TELECOM SWITCHES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Filing Date</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Filing No.</w:t>
            </w:r>
          </w:p>
        </w:tc>
      </w:tr>
      <w:tr>
        <w:trPr>
          <w:trHeight w:val="33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EP</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98950132.5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98950132.5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FI</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30.10.1997</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89"/>
              </w:rPr>
              <w:t>974100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FR</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98950132.5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GB</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98950132.5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IT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98950132.5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JP</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11-530114</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26.10.1998</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09/331874</w:t>
            </w:r>
          </w:p>
        </w:tc>
      </w:tr>
      <w:tr>
        <w:trPr>
          <w:trHeight w:val="567"/>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14208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EP</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23.11.2000</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0"/>
              </w:rPr>
              <w:t>981400.5</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14208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23.11.2000</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10/152353</w:t>
            </w:r>
          </w:p>
        </w:tc>
      </w:tr>
      <w:tr>
        <w:trPr>
          <w:trHeight w:val="45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14268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EP</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23.12.1999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99967599.4</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14268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JP</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23.12.1999</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0"/>
              </w:rPr>
              <w:t>2000-591759</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14268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23.12.1999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09/868819</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14541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17.01.2000</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09/903865</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14633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9"/>
              </w:rPr>
              <w:t>20.4.2000</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10/013634</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14670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12.04.1999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09/970754</w:t>
            </w:r>
          </w:p>
        </w:tc>
      </w:tr>
      <w:tr>
        <w:trPr>
          <w:trHeight w:val="351"/>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BR</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31.05.1999</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0"/>
              </w:rPr>
              <w:t>PI9917334.4</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CA</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31.05.1999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88"/>
              </w:rPr>
              <w:t>2374847</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CN</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31.05.1999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99816695.2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JP</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31.05.1999</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0"/>
              </w:rPr>
              <w:t>2001-500582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KR</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31.05.1999</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0"/>
              </w:rPr>
              <w:t>7015377/2001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31.05.1999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09/997200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14777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89"/>
              </w:rPr>
              <w:t>14.5.1999</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99973857.8</w:t>
            </w:r>
          </w:p>
        </w:tc>
      </w:tr>
    </w:tbl>
    <w:p>
      <w:pPr>
        <w:spacing w:after="0" w:line="323" w:lineRule="exact"/>
        <w:rPr>
          <w:sz w:val="20"/>
          <w:szCs w:val="20"/>
          <w:color w:val="auto"/>
        </w:rPr>
      </w:pPr>
    </w:p>
    <w:p>
      <w:pPr>
        <w:sectPr>
          <w:pgSz w:w="11900" w:h="16838" w:orient="portrait"/>
          <w:cols w:equalWidth="0" w:num="3">
            <w:col w:w="1320" w:space="160"/>
            <w:col w:w="3560" w:space="200"/>
            <w:col w:w="6100"/>
          </w:cols>
          <w:pgMar w:left="280" w:top="891" w:right="279" w:bottom="1440" w:gutter="0" w:footer="0" w:header="0"/>
        </w:sectPr>
      </w:pPr>
    </w:p>
    <w:p>
      <w:pPr>
        <w:jc w:val="center"/>
        <w:ind w:left="60" w:right="4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891" w:right="27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EP1179266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FR1179266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GB1179266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11/448132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US7075923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DE69917686.7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EP1245130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US7467209</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CA2375995</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CN811870.1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US7502339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BR13975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CA2384290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CNZL00812876.6</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DE60044939.4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EP1212919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ES1212919</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GB1212919</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JP3602501</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KR531144</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US7242933</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AU773182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BE1221212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CA2385914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9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IP TELEPHONY GATEWAY FOR SOLUTION FOR TELECOM SWITCHES</w:t>
      </w:r>
    </w:p>
    <w:p>
      <w:pPr>
        <w:ind w:right="40"/>
        <w:spacing w:after="0" w:line="266" w:lineRule="auto"/>
        <w:rPr>
          <w:sz w:val="20"/>
          <w:szCs w:val="20"/>
          <w:color w:val="auto"/>
        </w:rPr>
      </w:pPr>
      <w:r>
        <w:rPr>
          <w:rFonts w:ascii="Arial" w:cs="Arial" w:eastAsia="Arial" w:hAnsi="Arial"/>
          <w:sz w:val="18"/>
          <w:szCs w:val="18"/>
          <w:color w:val="auto"/>
        </w:rPr>
        <w:t>IP TELEPHONY GATEWAY FOR SOLUTION FOR TELECOM SWITCHES</w:t>
      </w:r>
    </w:p>
    <w:p>
      <w:pPr>
        <w:ind w:right="40"/>
        <w:spacing w:after="0" w:line="266" w:lineRule="auto"/>
        <w:rPr>
          <w:sz w:val="20"/>
          <w:szCs w:val="20"/>
          <w:color w:val="auto"/>
        </w:rPr>
      </w:pPr>
      <w:r>
        <w:rPr>
          <w:rFonts w:ascii="Arial" w:cs="Arial" w:eastAsia="Arial" w:hAnsi="Arial"/>
          <w:sz w:val="18"/>
          <w:szCs w:val="18"/>
          <w:color w:val="auto"/>
        </w:rPr>
        <w:t>IP TELEPHONY GATEWAY FOR SOLUTION FOR TELECOM SWITCHES</w:t>
      </w:r>
    </w:p>
    <w:p>
      <w:pPr>
        <w:ind w:right="40"/>
        <w:spacing w:after="0" w:line="266" w:lineRule="auto"/>
        <w:rPr>
          <w:sz w:val="20"/>
          <w:szCs w:val="20"/>
          <w:color w:val="auto"/>
        </w:rPr>
      </w:pPr>
      <w:r>
        <w:rPr>
          <w:rFonts w:ascii="Arial" w:cs="Arial" w:eastAsia="Arial" w:hAnsi="Arial"/>
          <w:sz w:val="18"/>
          <w:szCs w:val="18"/>
          <w:color w:val="auto"/>
        </w:rPr>
        <w:t>IP TELEPHONY GATEWAY FOR SOLUTION FOR TELECOM SWITCHES</w:t>
      </w:r>
    </w:p>
    <w:p>
      <w:pPr>
        <w:ind w:right="40"/>
        <w:spacing w:after="0" w:line="266" w:lineRule="auto"/>
        <w:rPr>
          <w:sz w:val="20"/>
          <w:szCs w:val="20"/>
          <w:color w:val="auto"/>
        </w:rPr>
      </w:pPr>
      <w:r>
        <w:rPr>
          <w:rFonts w:ascii="Arial" w:cs="Arial" w:eastAsia="Arial" w:hAnsi="Arial"/>
          <w:sz w:val="18"/>
          <w:szCs w:val="18"/>
          <w:color w:val="auto"/>
        </w:rPr>
        <w:t>IP TELEPHONY GATEWAY FOR SOLUTION FOR TELECOM SWITCHES</w:t>
      </w:r>
    </w:p>
    <w:p>
      <w:pPr>
        <w:ind w:right="40"/>
        <w:spacing w:after="0" w:line="266" w:lineRule="auto"/>
        <w:rPr>
          <w:sz w:val="20"/>
          <w:szCs w:val="20"/>
          <w:color w:val="auto"/>
        </w:rPr>
      </w:pPr>
      <w:r>
        <w:rPr>
          <w:rFonts w:ascii="Arial" w:cs="Arial" w:eastAsia="Arial" w:hAnsi="Arial"/>
          <w:sz w:val="18"/>
          <w:szCs w:val="18"/>
          <w:color w:val="auto"/>
        </w:rPr>
        <w:t>Connection management in ATM based network and in ATM network elements</w:t>
      </w:r>
    </w:p>
    <w:p>
      <w:pPr>
        <w:ind w:right="40"/>
        <w:spacing w:after="0" w:line="266" w:lineRule="auto"/>
        <w:rPr>
          <w:sz w:val="20"/>
          <w:szCs w:val="20"/>
          <w:color w:val="auto"/>
        </w:rPr>
      </w:pPr>
      <w:r>
        <w:rPr>
          <w:rFonts w:ascii="Arial" w:cs="Arial" w:eastAsia="Arial" w:hAnsi="Arial"/>
          <w:sz w:val="18"/>
          <w:szCs w:val="18"/>
          <w:color w:val="auto"/>
        </w:rPr>
        <w:t>Connection management in ATM based network and in ATM network elements</w:t>
      </w:r>
    </w:p>
    <w:p>
      <w:pPr>
        <w:ind w:right="40"/>
        <w:spacing w:after="0" w:line="266" w:lineRule="auto"/>
        <w:rPr>
          <w:sz w:val="20"/>
          <w:szCs w:val="20"/>
          <w:color w:val="auto"/>
        </w:rPr>
      </w:pPr>
      <w:r>
        <w:rPr>
          <w:rFonts w:ascii="Arial" w:cs="Arial" w:eastAsia="Arial" w:hAnsi="Arial"/>
          <w:sz w:val="18"/>
          <w:szCs w:val="18"/>
          <w:color w:val="auto"/>
        </w:rPr>
        <w:t>Connection management in ATM based network and in ATM network elements</w:t>
      </w:r>
    </w:p>
    <w:p>
      <w:pPr>
        <w:spacing w:after="0" w:line="266" w:lineRule="auto"/>
        <w:rPr>
          <w:sz w:val="20"/>
          <w:szCs w:val="20"/>
          <w:color w:val="auto"/>
        </w:rPr>
      </w:pPr>
      <w:r>
        <w:rPr>
          <w:rFonts w:ascii="Arial" w:cs="Arial" w:eastAsia="Arial" w:hAnsi="Arial"/>
          <w:sz w:val="18"/>
          <w:szCs w:val="18"/>
          <w:color w:val="auto"/>
        </w:rPr>
        <w:t>ARCHITECTURE FOR IP TEPELHONY NETWORK WITH MOBILITY SUPPORT ARCHITECTURE FOR IP TEPELHONY NETWORK WITH MOBILITY SUPPORT ARCHITECTURE FOR IP TEPELHONY NETWORK WITH MOBILITY SUPPORT RELOCATION OF RRC PROTOCOL IN SRNS RELOCATION</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line="266" w:lineRule="auto"/>
        <w:rPr>
          <w:sz w:val="20"/>
          <w:szCs w:val="20"/>
          <w:color w:val="auto"/>
        </w:rPr>
      </w:pPr>
      <w:r>
        <w:rPr>
          <w:rFonts w:ascii="Arial" w:cs="Arial" w:eastAsia="Arial" w:hAnsi="Arial"/>
          <w:sz w:val="18"/>
          <w:szCs w:val="18"/>
          <w:color w:val="auto"/>
        </w:rPr>
        <w:t>RELOCATION OF RRC PROTOCOL IN SRNS RELOCATION</w:t>
      </w: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3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14.5.1999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99973857.8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14.5.1999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99973857.8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14.5.1999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99973857.8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7.6.2006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11/448132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14.5.1999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10/002242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14786</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99968379</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14786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99968379</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14786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10/149734</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14926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2375995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14926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811870.1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14926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21.06.1999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09/337330</w:t>
            </w:r>
          </w:p>
        </w:tc>
      </w:tr>
      <w:tr>
        <w:trPr>
          <w:trHeight w:val="45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BR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PI0013975.0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2384290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812876.6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966045.7</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966045.7</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966045.7</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966045.7</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524385/2001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7003438/2002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10/088452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63372/99</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2385914</w:t>
            </w:r>
          </w:p>
        </w:tc>
      </w:tr>
    </w:tbl>
    <w:p>
      <w:pPr>
        <w:spacing w:after="0" w:line="298" w:lineRule="exact"/>
        <w:rPr>
          <w:sz w:val="20"/>
          <w:szCs w:val="20"/>
          <w:color w:val="auto"/>
        </w:rPr>
      </w:pPr>
    </w:p>
    <w:p>
      <w:pPr>
        <w:sectPr>
          <w:pgSz w:w="11900" w:h="16838" w:orient="portrait"/>
          <w:cols w:equalWidth="0" w:num="3">
            <w:col w:w="1320" w:space="160"/>
            <w:col w:w="3540" w:space="220"/>
            <w:col w:w="6140"/>
          </w:cols>
          <w:pgMar w:left="280" w:top="891" w:right="239" w:bottom="1440" w:gutter="0" w:footer="0" w:header="0"/>
        </w:sectPr>
      </w:pPr>
    </w:p>
    <w:p>
      <w:pPr>
        <w:spacing w:after="0" w:line="24" w:lineRule="exact"/>
        <w:rPr>
          <w:sz w:val="20"/>
          <w:szCs w:val="20"/>
          <w:color w:val="auto"/>
        </w:r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CH1221212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CNZL99816942.0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DE69923611.8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EP1221212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ES1221212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FR1221212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GB1221212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IT1221212</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JP3694266</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KR621232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NL1221212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SE1221212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US7720048</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JP4357835</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JP4929248</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US7043246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CNZL00819649.4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DE60010529.6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EP1295465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FR1295465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GB1295465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US7986422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US6934280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US7353278</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CN200480014430</w:t>
      </w: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EP1627316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SYNCHRONIZATION OF PROTOCOL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REMAPPING</w:t>
      </w:r>
    </w:p>
    <w:p>
      <w:pPr>
        <w:spacing w:after="0" w:line="2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Channel allocation in a network element between at least two networks</w:t>
      </w:r>
    </w:p>
    <w:p>
      <w:pPr>
        <w:ind w:right="40"/>
        <w:spacing w:after="0" w:line="260" w:lineRule="auto"/>
        <w:rPr>
          <w:sz w:val="20"/>
          <w:szCs w:val="20"/>
          <w:color w:val="auto"/>
        </w:rPr>
      </w:pPr>
      <w:r>
        <w:rPr>
          <w:rFonts w:ascii="Arial" w:cs="Arial" w:eastAsia="Arial" w:hAnsi="Arial"/>
          <w:sz w:val="18"/>
          <w:szCs w:val="18"/>
          <w:color w:val="auto"/>
        </w:rPr>
        <w:t>PROVIDING MT SERVICES FOR UNREGISTERED SUBSCRIBERS IN R2000IM NETWORKS</w:t>
      </w:r>
    </w:p>
    <w:p>
      <w:pPr>
        <w:spacing w:after="0" w:line="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PROVIDING MT SERVICES FOR UNREGISTERED SUBSCRIBERS IN R2000IM NETWORKS</w:t>
      </w:r>
    </w:p>
    <w:p>
      <w:pPr>
        <w:spacing w:after="0" w:line="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PROVIDING MT SERVICES FOR UNREGISTERED SUBSCRIBERS IN R2000IM NETWORKS</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MULTIMEDIA MESSAGING DIGITAL PRINT DESIGNATION FORMAT</w:t>
      </w:r>
    </w:p>
    <w:p>
      <w:pPr>
        <w:ind w:right="60"/>
        <w:spacing w:after="0" w:line="266" w:lineRule="auto"/>
        <w:rPr>
          <w:sz w:val="20"/>
          <w:szCs w:val="20"/>
          <w:color w:val="auto"/>
        </w:rPr>
      </w:pPr>
      <w:r>
        <w:rPr>
          <w:rFonts w:ascii="Arial" w:cs="Arial" w:eastAsia="Arial" w:hAnsi="Arial"/>
          <w:sz w:val="18"/>
          <w:szCs w:val="18"/>
          <w:color w:val="auto"/>
        </w:rPr>
        <w:t>MULTIMEDIA MESSAGING DIGITAL PRINT DESIGNATION FORMAT</w:t>
      </w:r>
    </w:p>
    <w:p>
      <w:pPr>
        <w:ind w:right="60"/>
        <w:spacing w:after="0" w:line="266" w:lineRule="auto"/>
        <w:rPr>
          <w:sz w:val="20"/>
          <w:szCs w:val="20"/>
          <w:color w:val="auto"/>
        </w:rPr>
      </w:pPr>
      <w:r>
        <w:rPr>
          <w:rFonts w:ascii="Arial" w:cs="Arial" w:eastAsia="Arial" w:hAnsi="Arial"/>
          <w:sz w:val="18"/>
          <w:szCs w:val="18"/>
          <w:color w:val="auto"/>
        </w:rPr>
        <w:t>MULTIMEDIA MESSAGING DIGITAL PRINT DESIGNATION FORMAT</w:t>
      </w:r>
    </w:p>
    <w:p>
      <w:pPr>
        <w:ind w:right="60"/>
        <w:spacing w:after="0" w:line="266" w:lineRule="auto"/>
        <w:rPr>
          <w:sz w:val="20"/>
          <w:szCs w:val="20"/>
          <w:color w:val="auto"/>
        </w:rPr>
      </w:pPr>
      <w:r>
        <w:rPr>
          <w:rFonts w:ascii="Arial" w:cs="Arial" w:eastAsia="Arial" w:hAnsi="Arial"/>
          <w:sz w:val="18"/>
          <w:szCs w:val="18"/>
          <w:color w:val="auto"/>
        </w:rPr>
        <w:t>MULTIMEDIA MESSAGING DIGITAL PRINT DESIGNATION FORMAT</w:t>
      </w:r>
    </w:p>
    <w:p>
      <w:pPr>
        <w:ind w:right="60"/>
        <w:spacing w:after="0" w:line="266" w:lineRule="auto"/>
        <w:rPr>
          <w:sz w:val="20"/>
          <w:szCs w:val="20"/>
          <w:color w:val="auto"/>
        </w:rPr>
      </w:pPr>
      <w:r>
        <w:rPr>
          <w:rFonts w:ascii="Arial" w:cs="Arial" w:eastAsia="Arial" w:hAnsi="Arial"/>
          <w:sz w:val="18"/>
          <w:szCs w:val="18"/>
          <w:color w:val="auto"/>
        </w:rPr>
        <w:t>MULTIMEDIA MESSAGING DIGITAL PRINT DESIGNATION FORMAT</w:t>
      </w:r>
    </w:p>
    <w:p>
      <w:pPr>
        <w:ind w:right="60"/>
        <w:spacing w:after="0" w:line="266" w:lineRule="auto"/>
        <w:rPr>
          <w:sz w:val="20"/>
          <w:szCs w:val="20"/>
          <w:color w:val="auto"/>
        </w:rPr>
      </w:pPr>
      <w:r>
        <w:rPr>
          <w:rFonts w:ascii="Arial" w:cs="Arial" w:eastAsia="Arial" w:hAnsi="Arial"/>
          <w:sz w:val="18"/>
          <w:szCs w:val="18"/>
          <w:color w:val="auto"/>
        </w:rPr>
        <w:t>MULTIMEDIA MESSAGING DIGITAL PRINT DESIGNATION FORMAT</w:t>
      </w:r>
    </w:p>
    <w:p>
      <w:pPr>
        <w:spacing w:after="0" w:line="266" w:lineRule="auto"/>
        <w:rPr>
          <w:sz w:val="20"/>
          <w:szCs w:val="20"/>
          <w:color w:val="auto"/>
        </w:rPr>
      </w:pPr>
      <w:r>
        <w:rPr>
          <w:rFonts w:ascii="Arial" w:cs="Arial" w:eastAsia="Arial" w:hAnsi="Arial"/>
          <w:sz w:val="18"/>
          <w:szCs w:val="18"/>
          <w:color w:val="auto"/>
        </w:rPr>
        <w:t>Multiple services emulation over a single network service</w:t>
      </w:r>
    </w:p>
    <w:p>
      <w:pPr>
        <w:ind w:right="40"/>
        <w:spacing w:after="0" w:line="263" w:lineRule="auto"/>
        <w:rPr>
          <w:sz w:val="20"/>
          <w:szCs w:val="20"/>
          <w:color w:val="auto"/>
        </w:rPr>
      </w:pPr>
      <w:r>
        <w:rPr>
          <w:rFonts w:ascii="Arial" w:cs="Arial" w:eastAsia="Arial" w:hAnsi="Arial"/>
          <w:sz w:val="18"/>
          <w:szCs w:val="18"/>
          <w:color w:val="auto"/>
        </w:rPr>
        <w:t>SUBSCRIPTION OF EVENTS IN IMS FROM AN EXTERNAL NETWORK TRANSMITTING KEY LOAD/THROUGHPUT FIGURES FOR CLUSTER NODES IN HEARTBEAT</w:t>
      </w:r>
    </w:p>
    <w:p>
      <w:pPr>
        <w:ind w:right="40"/>
        <w:spacing w:after="0" w:line="264" w:lineRule="auto"/>
        <w:rPr>
          <w:sz w:val="20"/>
          <w:szCs w:val="20"/>
          <w:color w:val="auto"/>
        </w:rPr>
      </w:pPr>
      <w:r>
        <w:rPr>
          <w:rFonts w:ascii="Arial" w:cs="Arial" w:eastAsia="Arial" w:hAnsi="Arial"/>
          <w:sz w:val="18"/>
          <w:szCs w:val="18"/>
          <w:color w:val="auto"/>
        </w:rPr>
        <w:t>TRANSMITTING KEY LOAD/THROUGHPUT FIGURES FOR CLUSTER NODES IN HEARTBEAT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3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99816942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2001-530235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7004651/2002</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15251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11.4.2001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10/297764</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15483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04.01.2002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2002-555050</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15483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06.08.2008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2008-202743</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15483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04.01.2002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10/035339</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15513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819649.4</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15513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942088.6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15513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942088.6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15513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942088.6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15513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942088.6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15513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10/296891</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16675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4.5.2000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09/565675</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16712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10/517532</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16875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24.05.2004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200480014430</w:t>
            </w:r>
          </w:p>
        </w:tc>
      </w:tr>
      <w:tr>
        <w:trPr>
          <w:trHeight w:val="675"/>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16875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24.05.2004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4734532.7</w:t>
            </w:r>
          </w:p>
        </w:tc>
      </w:tr>
    </w:tbl>
    <w:p>
      <w:pPr>
        <w:spacing w:after="0" w:line="431" w:lineRule="exact"/>
        <w:rPr>
          <w:sz w:val="20"/>
          <w:szCs w:val="20"/>
          <w:color w:val="auto"/>
        </w:rPr>
      </w:pPr>
    </w:p>
    <w:p>
      <w:pPr>
        <w:sectPr>
          <w:pgSz w:w="11900" w:h="16838" w:orient="portrait"/>
          <w:cols w:equalWidth="0" w:num="3">
            <w:col w:w="1320" w:space="160"/>
            <w:col w:w="3620" w:space="140"/>
            <w:col w:w="6140"/>
          </w:cols>
          <w:pgMar w:left="280" w:top="891" w:right="239" w:bottom="613"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613" w:gutter="0" w:footer="0" w:header="0"/>
          <w:type w:val="continuous"/>
        </w:sectPr>
      </w:pPr>
    </w:p>
    <w:bookmarkStart w:id="81" w:name="page82"/>
    <w:bookmarkEnd w:id="81"/>
    <w:p>
      <w:pPr>
        <w:jc w:val="center"/>
        <w:ind w:left="40"/>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8750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JP4129473</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US7546366</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DE69727641.4</w:t>
      </w: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EP841770</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FR841770</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GB841770</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US5909491</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US6996195</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Arial" w:cs="Arial" w:eastAsia="Arial" w:hAnsi="Arial"/>
          <w:sz w:val="17"/>
          <w:szCs w:val="17"/>
          <w:color w:val="auto"/>
        </w:rPr>
        <w:t>CN2806506.9</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DE60243027.5</w:t>
      </w: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EP1378064</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IN223183</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RU2273091</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US7155173</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US7693492</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DE60331071</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EP1523840</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FR1523840</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GB1523840</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US7218618</w:t>
      </w:r>
    </w:p>
    <w:p>
      <w:pPr>
        <w:spacing w:after="0" w:line="36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US6128659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3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TRANSMITTING KEY LOAD/THROUGHPUT FIGURES FOR CLUSTER NODES IN HEARTBEAT</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TRANSMITTING KEY LOAD/THROUGHPUT FIGURES FOR CLUSTER NODES IN HEARTBEAT</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METHOD FOR SENDING A SECURE MESSAGE IN A TELECOMMUNICATION SYSTEM</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METHOD FOR SENDING A SECURE MESSAGE IN A TELECOMMUNICATION SYSTEM</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METHOD FOR SENDING A SECURE MESSAGE IN A TELECOMMUNICATION SYSTEM</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METHOD FOR SENDING A SECURE MESSAGE IN A TELECOMMUNICATION SYSTEM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METHOD FOR SENDING A SECURE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MESSAGE IN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TELECOMMUNICATIONSSYSTEM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MMSE INTERPOLATION TECHNIQUES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LEAST SQUARES CHANNELESTIMATE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STC</w:t>
      </w:r>
    </w:p>
    <w:p>
      <w:pPr>
        <w:spacing w:after="0" w:line="2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CROSS SESSION DICTIONARY FOR COMPRESSION OF TEXT-BASED MESSAGES</w:t>
      </w:r>
    </w:p>
    <w:p>
      <w:pPr>
        <w:spacing w:after="0" w:line="3"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GPRS/UMTS GGSN/IGSN ACTING AS MOBILE IP PROXY</w:t>
      </w:r>
    </w:p>
    <w:p>
      <w:pPr>
        <w:ind w:right="600"/>
        <w:spacing w:after="0" w:line="266" w:lineRule="auto"/>
        <w:rPr>
          <w:sz w:val="20"/>
          <w:szCs w:val="20"/>
          <w:color w:val="auto"/>
        </w:rPr>
      </w:pPr>
      <w:r>
        <w:rPr>
          <w:rFonts w:ascii="Arial" w:cs="Arial" w:eastAsia="Arial" w:hAnsi="Arial"/>
          <w:sz w:val="18"/>
          <w:szCs w:val="18"/>
          <w:color w:val="auto"/>
        </w:rPr>
        <w:t>GPRS/UMTS GGSN/IGSN ACTING AS MOBILE IP PROXY</w:t>
      </w:r>
    </w:p>
    <w:p>
      <w:pPr>
        <w:ind w:right="600"/>
        <w:spacing w:after="0" w:line="266" w:lineRule="auto"/>
        <w:rPr>
          <w:sz w:val="20"/>
          <w:szCs w:val="20"/>
          <w:color w:val="auto"/>
        </w:rPr>
      </w:pPr>
      <w:r>
        <w:rPr>
          <w:rFonts w:ascii="Arial" w:cs="Arial" w:eastAsia="Arial" w:hAnsi="Arial"/>
          <w:sz w:val="18"/>
          <w:szCs w:val="18"/>
          <w:color w:val="auto"/>
        </w:rPr>
        <w:t>GPRS/UMTS GGSN/IGSN ACTING AS MOBILE IP PROXY</w:t>
      </w:r>
    </w:p>
    <w:p>
      <w:pPr>
        <w:ind w:right="600"/>
        <w:spacing w:after="0" w:line="266" w:lineRule="auto"/>
        <w:rPr>
          <w:sz w:val="20"/>
          <w:szCs w:val="20"/>
          <w:color w:val="auto"/>
        </w:rPr>
      </w:pPr>
      <w:r>
        <w:rPr>
          <w:rFonts w:ascii="Arial" w:cs="Arial" w:eastAsia="Arial" w:hAnsi="Arial"/>
          <w:sz w:val="18"/>
          <w:szCs w:val="18"/>
          <w:color w:val="auto"/>
        </w:rPr>
        <w:t>GPRS/UMTS GGSN/IGSN ACTING AS MOBILE IP PROXY</w:t>
      </w:r>
    </w:p>
    <w:p>
      <w:pPr>
        <w:ind w:right="600"/>
        <w:spacing w:after="0" w:line="266" w:lineRule="auto"/>
        <w:rPr>
          <w:sz w:val="20"/>
          <w:szCs w:val="20"/>
          <w:color w:val="auto"/>
        </w:rPr>
      </w:pPr>
      <w:r>
        <w:rPr>
          <w:rFonts w:ascii="Arial" w:cs="Arial" w:eastAsia="Arial" w:hAnsi="Arial"/>
          <w:sz w:val="18"/>
          <w:szCs w:val="18"/>
          <w:color w:val="auto"/>
        </w:rPr>
        <w:t>GPRS/UMTS GGSN/IGSN ACTING AS MOBILE IP PROXY</w:t>
      </w:r>
    </w:p>
    <w:p>
      <w:pPr>
        <w:ind w:right="40"/>
        <w:spacing w:after="0" w:line="264" w:lineRule="auto"/>
        <w:rPr>
          <w:sz w:val="20"/>
          <w:szCs w:val="20"/>
          <w:color w:val="auto"/>
        </w:rPr>
      </w:pPr>
      <w:r>
        <w:rPr>
          <w:rFonts w:ascii="Arial" w:cs="Arial" w:eastAsia="Arial" w:hAnsi="Arial"/>
          <w:sz w:val="18"/>
          <w:szCs w:val="18"/>
          <w:color w:val="auto"/>
        </w:rPr>
        <w:t>Method and apparatus for resolving dynamic channel assignment conflict in AAL2 negotiation procedure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Filing No.</w:t>
            </w:r>
          </w:p>
        </w:tc>
      </w:tr>
      <w:tr>
        <w:trPr>
          <w:trHeight w:val="446"/>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16875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24.05.2004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2006-508328</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16875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31.07.2003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10/630972</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17007</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04.11.1997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97308890.9</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17007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04.11.1997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97308890.9</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17007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04.11.1997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97308890.9</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17007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04.11.1997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97308890.9</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17007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06.11.1996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08/744682</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17122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21.12.2000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09/746376</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2806506.9</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02707033.3</w:t>
            </w:r>
          </w:p>
        </w:tc>
      </w:tr>
      <w:tr>
        <w:trPr>
          <w:trHeight w:val="675"/>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Allowance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2707033.3</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1420/CHENP/2</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RU</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2003130270</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17.12.2001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10/024412</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12.09.2005</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11/225263</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17.07.2003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3765225.2</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17242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17.07.2003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3765225.2</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17242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17.07.2003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3765225.2</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17242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17.07.2003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3765225.2</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17242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19.07.2002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10/198599</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17304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24.2.1998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09/028804</w:t>
            </w:r>
          </w:p>
        </w:tc>
      </w:tr>
    </w:tbl>
    <w:p>
      <w:pPr>
        <w:spacing w:after="0" w:line="431" w:lineRule="exact"/>
        <w:rPr>
          <w:sz w:val="20"/>
          <w:szCs w:val="20"/>
          <w:color w:val="auto"/>
        </w:rPr>
      </w:pPr>
    </w:p>
    <w:p>
      <w:pPr>
        <w:sectPr>
          <w:pgSz w:w="11900" w:h="16838" w:orient="portrait"/>
          <w:cols w:equalWidth="0" w:num="3">
            <w:col w:w="1140" w:space="280"/>
            <w:col w:w="3600" w:space="160"/>
            <w:col w:w="6140"/>
          </w:cols>
          <w:pgMar w:left="340" w:top="891" w:right="239" w:bottom="532" w:gutter="0" w:footer="0" w:header="0"/>
        </w:sectPr>
      </w:pPr>
    </w:p>
    <w:p>
      <w:pPr>
        <w:jc w:val="center"/>
        <w:ind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Confidential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891" w:right="239" w:bottom="532"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DE69901031.4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EP1080601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US6449276</w:t>
      </w:r>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US6717948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CNZL00804632.8</w:t>
      </w:r>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US6331978</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DE60039288</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EP1157506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FR1157506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GB1157506</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IT29517 BE/2008</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US6366961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DE60234466.2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EP1451705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US7420943</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CN200580013835</w:t>
      </w: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EP1776644</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IN243980</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JP4672002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Method and apparatus for efficient switching of partial minicells in ATM adaptation layer 2 Method and apparatus for efficient switching of partial minicells in ATM adaptation layer 2 Method and apparatus for efficient switching of partial minicells in ATM adaptation layer 2 Knowledge-based connection admission method and apparatus for providing efficient multiplexing of data and speech over AAL2</w:t>
      </w:r>
    </w:p>
    <w:p>
      <w:pPr>
        <w:spacing w:after="0" w:line="4" w:lineRule="exact"/>
        <w:rPr>
          <w:sz w:val="20"/>
          <w:szCs w:val="20"/>
          <w:color w:val="auto"/>
        </w:rPr>
      </w:pPr>
    </w:p>
    <w:p>
      <w:pPr>
        <w:jc w:val="both"/>
        <w:ind w:right="680"/>
        <w:spacing w:after="0" w:line="276" w:lineRule="auto"/>
        <w:rPr>
          <w:sz w:val="20"/>
          <w:szCs w:val="20"/>
          <w:color w:val="auto"/>
        </w:rPr>
      </w:pPr>
      <w:r>
        <w:rPr>
          <w:rFonts w:ascii="Arial" w:cs="Arial" w:eastAsia="Arial" w:hAnsi="Arial"/>
          <w:sz w:val="17"/>
          <w:szCs w:val="17"/>
          <w:color w:val="auto"/>
        </w:rPr>
        <w:t>GENERIC LABEL ENCAPSULATION PROTOCOL FOR CARRYING LABEL SWITCHED PACKETS</w:t>
      </w:r>
    </w:p>
    <w:p>
      <w:pPr>
        <w:spacing w:after="0" w:line="1" w:lineRule="exact"/>
        <w:rPr>
          <w:sz w:val="20"/>
          <w:szCs w:val="20"/>
          <w:color w:val="auto"/>
        </w:rPr>
      </w:pPr>
    </w:p>
    <w:p>
      <w:pPr>
        <w:jc w:val="both"/>
        <w:ind w:right="680"/>
        <w:spacing w:after="0" w:line="276" w:lineRule="auto"/>
        <w:rPr>
          <w:sz w:val="20"/>
          <w:szCs w:val="20"/>
          <w:color w:val="auto"/>
        </w:rPr>
      </w:pPr>
      <w:r>
        <w:rPr>
          <w:rFonts w:ascii="Arial" w:cs="Arial" w:eastAsia="Arial" w:hAnsi="Arial"/>
          <w:sz w:val="17"/>
          <w:szCs w:val="17"/>
          <w:color w:val="auto"/>
        </w:rPr>
        <w:t>GENERIC LABEL ENCAPSULATION PROTOCOL FOR CARRYING LABEL SWITCHED PACKETS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MINI PACKET SWITCHING IN IP BASED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CELLULAR ACCESS NETWORKS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MINI PACKET SWITCHING IN IP BASED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CELLULAR ACCESS NETWORKS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MINI PACKET SWITCHING IN IP BASED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CELLULAR ACCESS NETWORKS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MINI PACKET SWITCHING IN IP BASED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CELLULAR ACCESS NETWORKS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MINI PACKET SWITCHING IN IP BASED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CELLULAR ACCESS NETWORKS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METHOD AND APPARATUS FOR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PROVIDING MINI PACKET SWITCHING INIP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BASED</w:t>
      </w:r>
    </w:p>
    <w:p>
      <w:pPr>
        <w:spacing w:after="0" w:line="2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Mechanism to create pinhole for existing session in middlebox</w:t>
      </w:r>
    </w:p>
    <w:p>
      <w:pPr>
        <w:ind w:right="100"/>
        <w:spacing w:after="0" w:line="266" w:lineRule="auto"/>
        <w:rPr>
          <w:sz w:val="20"/>
          <w:szCs w:val="20"/>
          <w:color w:val="auto"/>
        </w:rPr>
      </w:pPr>
      <w:r>
        <w:rPr>
          <w:rFonts w:ascii="Arial" w:cs="Arial" w:eastAsia="Arial" w:hAnsi="Arial"/>
          <w:sz w:val="18"/>
          <w:szCs w:val="18"/>
          <w:color w:val="auto"/>
        </w:rPr>
        <w:t>Mechanism to create pinhole for existing session in middlebox</w:t>
      </w:r>
    </w:p>
    <w:p>
      <w:pPr>
        <w:ind w:right="100"/>
        <w:spacing w:after="0" w:line="266" w:lineRule="auto"/>
        <w:rPr>
          <w:sz w:val="20"/>
          <w:szCs w:val="20"/>
          <w:color w:val="auto"/>
        </w:rPr>
      </w:pPr>
      <w:r>
        <w:rPr>
          <w:rFonts w:ascii="Arial" w:cs="Arial" w:eastAsia="Arial" w:hAnsi="Arial"/>
          <w:sz w:val="18"/>
          <w:szCs w:val="18"/>
          <w:color w:val="auto"/>
        </w:rPr>
        <w:t>Mechanism to create pinhole for existing session in middlebox</w:t>
      </w:r>
    </w:p>
    <w:p>
      <w:pPr>
        <w:ind w:right="20"/>
        <w:spacing w:after="0" w:line="260" w:lineRule="auto"/>
        <w:rPr>
          <w:sz w:val="20"/>
          <w:szCs w:val="20"/>
          <w:color w:val="auto"/>
        </w:rPr>
      </w:pPr>
      <w:r>
        <w:rPr>
          <w:rFonts w:ascii="Arial" w:cs="Arial" w:eastAsia="Arial" w:hAnsi="Arial"/>
          <w:sz w:val="18"/>
          <w:szCs w:val="18"/>
          <w:color w:val="auto"/>
        </w:rPr>
        <w:t>CORRELATION OF SERVICE INSTANCE, R-P CONNECTION AND RADIO CONNECTION IN</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CORRELATION OF SERVICE INSTANCE, R-P CONNECTION AND RADIO CONNECTION IN</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CORRELATION OF SERVICE INSTANCE, R-P CONNECTION AND RADIO CONNECTION IN</w:t>
      </w:r>
    </w:p>
    <w:p>
      <w:pPr>
        <w:spacing w:after="0" w:line="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CORRELATION OF SERVICE INSTANCE, R-P CONNECTION AND RADIO CONNECTION IN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County</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38"/>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17307</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19.5.1999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99924367.8</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17307</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19.5.1999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99924367.8</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17307</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20.5.1998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09/082031</w:t>
            </w:r>
          </w:p>
        </w:tc>
      </w:tr>
      <w:tr>
        <w:trPr>
          <w:trHeight w:val="567"/>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17309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30.7.1998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09/126835</w:t>
            </w:r>
          </w:p>
        </w:tc>
      </w:tr>
      <w:tr>
        <w:trPr>
          <w:trHeight w:val="675"/>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17315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09.03.2000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804632.8</w:t>
            </w:r>
          </w:p>
        </w:tc>
      </w:tr>
      <w:tr>
        <w:trPr>
          <w:trHeight w:val="675"/>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17315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09.03.1999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09/264758</w:t>
            </w:r>
          </w:p>
        </w:tc>
      </w:tr>
      <w:tr>
        <w:trPr>
          <w:trHeight w:val="567"/>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17326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03.03.2000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917722.1</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17326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03.03.2000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917722.1</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17326</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03.03.2000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917722.1</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17326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03.03.2000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917722.1</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17326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03.03.2000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917722.1</w:t>
            </w:r>
          </w:p>
        </w:tc>
      </w:tr>
      <w:tr>
        <w:trPr>
          <w:trHeight w:val="567"/>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17326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03.03.1999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09/262148</w:t>
            </w:r>
          </w:p>
        </w:tc>
      </w:tr>
      <w:tr>
        <w:trPr>
          <w:trHeight w:val="567"/>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17439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6.12.2002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2788297.6</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17439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6.12.2002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2788297.6</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17439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6.12.2002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10/314494</w:t>
            </w:r>
          </w:p>
        </w:tc>
      </w:tr>
      <w:tr>
        <w:trPr>
          <w:trHeight w:val="567"/>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17746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10.03.2005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200580013835</w:t>
            </w:r>
          </w:p>
        </w:tc>
      </w:tr>
      <w:tr>
        <w:trPr>
          <w:trHeight w:val="675"/>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17746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10.03.2005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5725368.4</w:t>
            </w:r>
          </w:p>
        </w:tc>
      </w:tr>
      <w:tr>
        <w:trPr>
          <w:trHeight w:val="675"/>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17746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10.03.2005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5366/DELNP/2</w:t>
            </w:r>
          </w:p>
        </w:tc>
      </w:tr>
      <w:tr>
        <w:trPr>
          <w:trHeight w:val="675"/>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17746</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7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10.03.2005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2007-503048</w:t>
            </w:r>
          </w:p>
        </w:tc>
      </w:tr>
    </w:tbl>
    <w:p>
      <w:pPr>
        <w:spacing w:after="0" w:line="431" w:lineRule="exact"/>
        <w:rPr>
          <w:sz w:val="20"/>
          <w:szCs w:val="20"/>
          <w:color w:val="auto"/>
        </w:rPr>
      </w:pPr>
    </w:p>
    <w:p>
      <w:pPr>
        <w:sectPr>
          <w:pgSz w:w="11900" w:h="16838" w:orient="portrait"/>
          <w:cols w:equalWidth="0" w:num="3">
            <w:col w:w="1320" w:space="160"/>
            <w:col w:w="3620" w:space="140"/>
            <w:col w:w="6140"/>
          </w:cols>
          <w:pgMar w:left="280" w:top="891" w:right="239" w:bottom="1440"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US7558283</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ZA2006/8432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CN200580026870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EP1767009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TW94121076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US7289807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US6408063</w:t>
      </w:r>
    </w:p>
    <w:p>
      <w:pPr>
        <w:spacing w:after="0" w:line="144" w:lineRule="exact"/>
        <w:rPr>
          <w:sz w:val="20"/>
          <w:szCs w:val="20"/>
          <w:color w:val="auto"/>
        </w:rPr>
      </w:pPr>
    </w:p>
    <w:p>
      <w:pPr>
        <w:jc w:val="center"/>
        <w:spacing w:after="0" w:line="325" w:lineRule="auto"/>
        <w:rPr>
          <w:sz w:val="20"/>
          <w:szCs w:val="20"/>
          <w:color w:val="auto"/>
        </w:rPr>
      </w:pPr>
      <w:r>
        <w:rPr>
          <w:rFonts w:ascii="Arial" w:cs="Arial" w:eastAsia="Arial" w:hAnsi="Arial"/>
          <w:sz w:val="16"/>
          <w:szCs w:val="16"/>
          <w:color w:val="auto"/>
        </w:rPr>
        <w:t>CNZL00806049.5 DE60039231.7 EP1166589 FR1166589 GB1166589 IT1166589 NL1166589 US6973060</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AT1330933</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BE1330933</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BRPI0114863-</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CA2426082</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CH1330933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CNZL01817866.9</w:t>
      </w: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DE60115947</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EP1330933</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ES1330933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3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CORRELATION OF SERVICE INSTANCE, R-P CONNECTION AND RADIO CONNECTION IN</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CORRELATION OF SERVICE INSTANCE, R-P CONNECTION AND RADIO CONNECTION IN CDMA2000 NETWORK</w:t>
      </w:r>
    </w:p>
    <w:p>
      <w:pPr>
        <w:spacing w:after="0" w:line="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CELLULAR ENABLED WLAN OPERATION CONFIGURATION</w:t>
      </w:r>
    </w:p>
    <w:p>
      <w:pPr>
        <w:ind w:right="140"/>
        <w:spacing w:after="0" w:line="266" w:lineRule="auto"/>
        <w:rPr>
          <w:sz w:val="20"/>
          <w:szCs w:val="20"/>
          <w:color w:val="auto"/>
        </w:rPr>
      </w:pPr>
      <w:r>
        <w:rPr>
          <w:rFonts w:ascii="Arial" w:cs="Arial" w:eastAsia="Arial" w:hAnsi="Arial"/>
          <w:sz w:val="18"/>
          <w:szCs w:val="18"/>
          <w:color w:val="auto"/>
        </w:rPr>
        <w:t>CELLULAR ENABLED WLAN OPERATION CONFIGURATION</w:t>
      </w:r>
    </w:p>
    <w:p>
      <w:pPr>
        <w:ind w:right="140"/>
        <w:spacing w:after="0" w:line="266" w:lineRule="auto"/>
        <w:rPr>
          <w:sz w:val="20"/>
          <w:szCs w:val="20"/>
          <w:color w:val="auto"/>
        </w:rPr>
      </w:pPr>
      <w:r>
        <w:rPr>
          <w:rFonts w:ascii="Arial" w:cs="Arial" w:eastAsia="Arial" w:hAnsi="Arial"/>
          <w:sz w:val="18"/>
          <w:szCs w:val="18"/>
          <w:color w:val="auto"/>
        </w:rPr>
        <w:t>CELLULAR ENABLED WLAN OPERATION CONFIGURATION</w:t>
      </w:r>
    </w:p>
    <w:p>
      <w:pPr>
        <w:ind w:right="140"/>
        <w:spacing w:after="0" w:line="266" w:lineRule="auto"/>
        <w:rPr>
          <w:sz w:val="20"/>
          <w:szCs w:val="20"/>
          <w:color w:val="auto"/>
        </w:rPr>
      </w:pPr>
      <w:r>
        <w:rPr>
          <w:rFonts w:ascii="Arial" w:cs="Arial" w:eastAsia="Arial" w:hAnsi="Arial"/>
          <w:sz w:val="18"/>
          <w:szCs w:val="18"/>
          <w:color w:val="auto"/>
        </w:rPr>
        <w:t>CELLULAR ENABLED WLAN OPERATION CONFIGURATION</w:t>
      </w:r>
    </w:p>
    <w:p>
      <w:pPr>
        <w:spacing w:after="0" w:line="266" w:lineRule="auto"/>
        <w:rPr>
          <w:sz w:val="20"/>
          <w:szCs w:val="20"/>
          <w:color w:val="auto"/>
        </w:rPr>
      </w:pPr>
      <w:r>
        <w:rPr>
          <w:rFonts w:ascii="Arial" w:cs="Arial" w:eastAsia="Arial" w:hAnsi="Arial"/>
          <w:sz w:val="18"/>
          <w:szCs w:val="18"/>
          <w:color w:val="auto"/>
        </w:rPr>
        <w:t>A SUBSCRIBER RELATED INFO TO B-SUBSCRIBER BEFORE CALL IS ANSWERED ROTATING SCH TRANSMISSION ROTATING SCH TRANSMISSION ROTATING SCH TRANSMISSION ROTATING SCH TRANSMISSION ROTATING SCH TRANSMISSION ROTATING SCH TRANSMISSION ROTATING SCH TRANSMISSION ROTATING SCH TRANSMISSION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44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17746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02.03.2005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11/071492</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17746</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ZA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10.03.2005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2006/8432</w:t>
            </w:r>
          </w:p>
        </w:tc>
      </w:tr>
      <w:tr>
        <w:trPr>
          <w:trHeight w:val="56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17918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23.06.2005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200580026870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Local 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17918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23.06.2005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5754686.3</w:t>
            </w:r>
          </w:p>
        </w:tc>
      </w:tr>
      <w:tr>
        <w:trPr>
          <w:trHeight w:val="45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Allowance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17918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TW</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24.06.2005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94121076</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17918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23.06.2005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11/159700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18052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09/412926</w:t>
            </w: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806049.5</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920976.8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920976.8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920976.8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920976.8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920976.8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07.04.2000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920976.8</w:t>
            </w:r>
          </w:p>
        </w:tc>
      </w:tr>
      <w:tr>
        <w:trPr>
          <w:trHeight w:val="243"/>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18319</w:t>
            </w: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03.01.2000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09/476500</w:t>
            </w:r>
          </w:p>
        </w:tc>
      </w:tr>
      <w:tr>
        <w:trPr>
          <w:trHeight w:val="459"/>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75"/>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BR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PI0114863.0</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CA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2426082</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1817866.9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75"/>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bl>
    <w:p>
      <w:pPr>
        <w:spacing w:after="0" w:line="200" w:lineRule="exact"/>
        <w:rPr>
          <w:sz w:val="20"/>
          <w:szCs w:val="20"/>
          <w:color w:val="auto"/>
        </w:rPr>
      </w:pPr>
    </w:p>
    <w:p>
      <w:pPr>
        <w:sectPr>
          <w:pgSz w:w="11900" w:h="16838" w:orient="portrait"/>
          <w:cols w:equalWidth="0" w:num="3">
            <w:col w:w="1320" w:space="160"/>
            <w:col w:w="3600" w:space="160"/>
            <w:col w:w="6140"/>
          </w:cols>
          <w:pgMar w:left="280" w:top="891" w:right="239" w:bottom="1440" w:gutter="0" w:footer="0" w:header="0"/>
        </w:sectPr>
      </w:pPr>
    </w:p>
    <w:p>
      <w:pPr>
        <w:spacing w:after="0" w:line="231" w:lineRule="exact"/>
        <w:rPr>
          <w:sz w:val="20"/>
          <w:szCs w:val="20"/>
          <w:color w:val="auto"/>
        </w:r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440" w:gutter="0" w:footer="0" w:header="0"/>
          <w:type w:val="continuous"/>
        </w:sectPr>
      </w:pPr>
    </w:p>
    <w:bookmarkStart w:id="84" w:name="page85"/>
    <w:bookmarkEnd w:id="84"/>
    <w:p>
      <w:pPr>
        <w:jc w:val="center"/>
        <w:ind w:left="40"/>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875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FI111044</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FR1330933</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GB1330933</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IT1330933</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JP4638470</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KR509575</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NL1330933</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SE1330933</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SG95367</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US7126940</w:t>
      </w:r>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ZA2003/3108</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US7647374</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CN1701329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EP1500012</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US7860806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EP1451994</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US7782777</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6"/>
          <w:szCs w:val="16"/>
          <w:color w:val="auto"/>
        </w:rPr>
        <w:t>DE60307707.2</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EP1347603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FR1347603</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Title</w:t>
      </w:r>
    </w:p>
    <w:p>
      <w:pPr>
        <w:spacing w:after="0" w:line="27" w:lineRule="exact"/>
        <w:rPr>
          <w:sz w:val="20"/>
          <w:szCs w:val="20"/>
          <w:color w:val="auto"/>
        </w:rPr>
      </w:pPr>
    </w:p>
    <w:p>
      <w:pPr>
        <w:ind w:right="800"/>
        <w:spacing w:after="0" w:line="251" w:lineRule="auto"/>
        <w:rPr>
          <w:sz w:val="20"/>
          <w:szCs w:val="20"/>
          <w:color w:val="auto"/>
        </w:rPr>
      </w:pPr>
      <w:r>
        <w:rPr>
          <w:rFonts w:ascii="Arial" w:cs="Arial" w:eastAsia="Arial" w:hAnsi="Arial"/>
          <w:sz w:val="18"/>
          <w:szCs w:val="18"/>
          <w:color w:val="auto"/>
        </w:rPr>
        <w:t>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ASSOCIATION OF TLLI AND SCCP CONNECTION TO ENABLE FAST DEPLOYMENT OF LCS IN GERAN, SDOMAIN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-4672965</wp:posOffset>
            </wp:positionV>
            <wp:extent cx="23241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65" w:lineRule="auto"/>
        <w:rPr>
          <w:sz w:val="20"/>
          <w:szCs w:val="20"/>
          <w:color w:val="auto"/>
        </w:rPr>
      </w:pPr>
      <w:r>
        <w:rPr>
          <w:rFonts w:ascii="Arial" w:cs="Arial" w:eastAsia="Arial" w:hAnsi="Arial"/>
          <w:sz w:val="17"/>
          <w:szCs w:val="17"/>
          <w:color w:val="auto"/>
        </w:rPr>
        <w:t>OPTIMIZED SIP SIGNALING FOR MULTIPLE SIMULTANEOUS SIP SESSIONS</w:t>
      </w:r>
    </w:p>
    <w:p>
      <w:pPr>
        <w:ind w:right="340"/>
        <w:spacing w:after="0" w:line="265" w:lineRule="auto"/>
        <w:rPr>
          <w:sz w:val="20"/>
          <w:szCs w:val="20"/>
          <w:color w:val="auto"/>
        </w:rPr>
      </w:pPr>
      <w:r>
        <w:rPr>
          <w:rFonts w:ascii="Arial" w:cs="Arial" w:eastAsia="Arial" w:hAnsi="Arial"/>
          <w:sz w:val="17"/>
          <w:szCs w:val="17"/>
          <w:color w:val="auto"/>
        </w:rPr>
        <w:t>A METHOD FOR COLLECTING USAGE BASED INFORMATION FOR CHARGING A METHOD FOR COLLECTING USAGE BASED INFORMATION FOR CHARGING A METHOD FOR COLLECTING USAGE BASED INFORMATION FOR CHARGING Method and system for handling network congestion</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Method and system for handling network congestion</w:t>
      </w:r>
    </w:p>
    <w:p>
      <w:pPr>
        <w:spacing w:after="0" w:line="1"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SIMPLE ADMISSION CONTROL FOR IP BASED RADIO ACCESS NETWORKS SIMPLE ADMISSION CONTROL FOR IP BASED RADIO ACCESS NETWORKS SIMPLE ADMISSION CONTROL FOR IP BASED RADIO ACCESS NETWORKS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42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24.10.2000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20002337</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05.09.2007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2007-230678</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20037005573</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1980558.9</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SG</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200301203.6</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10/004084</w:t>
            </w:r>
          </w:p>
        </w:tc>
      </w:tr>
      <w:tr>
        <w:trPr>
          <w:trHeight w:val="75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ZA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2003/3108</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19120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03.07.2001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10/483006</w:t>
            </w:r>
          </w:p>
        </w:tc>
      </w:tr>
      <w:tr>
        <w:trPr>
          <w:trHeight w:val="432"/>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Allowance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19264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3806589.4</w:t>
            </w:r>
          </w:p>
        </w:tc>
      </w:tr>
      <w:tr>
        <w:trPr>
          <w:trHeight w:val="432"/>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19264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11.03.2003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3706810.3</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19264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12.03.2002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10/096712</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Abandoned</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19277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23.11.2001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1274740.8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19277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23.11.2001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10/495011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19437</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20.03.2003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3251763.3</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19437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20.03.2003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3251763.3</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19437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20.03.2003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3251763.3</w:t>
            </w:r>
          </w:p>
        </w:tc>
      </w:tr>
    </w:tbl>
    <w:p>
      <w:pPr>
        <w:spacing w:after="0" w:line="309" w:lineRule="exact"/>
        <w:rPr>
          <w:sz w:val="20"/>
          <w:szCs w:val="20"/>
          <w:color w:val="auto"/>
        </w:rPr>
      </w:pPr>
    </w:p>
    <w:p>
      <w:pPr>
        <w:sectPr>
          <w:pgSz w:w="11900" w:h="16838" w:orient="portrait"/>
          <w:cols w:equalWidth="0" w:num="3">
            <w:col w:w="1140" w:space="260"/>
            <w:col w:w="3620" w:space="160"/>
            <w:col w:w="6140"/>
          </w:cols>
          <w:pgMar w:left="340" w:top="877" w:right="239" w:bottom="1440" w:gutter="0" w:footer="0" w:header="0"/>
        </w:sectPr>
      </w:pPr>
    </w:p>
    <w:p>
      <w:pPr>
        <w:jc w:val="center"/>
        <w:ind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Confidential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877" w:right="239" w:bottom="1440" w:gutter="0" w:footer="0" w:header="0"/>
          <w:type w:val="continuous"/>
        </w:sectPr>
      </w:pPr>
    </w:p>
    <w:bookmarkStart w:id="85" w:name="page86"/>
    <w:bookmarkEnd w:id="85"/>
    <w:p>
      <w:pPr>
        <w:jc w:val="center"/>
        <w:ind w:left="40"/>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875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US7489632</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EP1500209</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GB1500209</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US7940857</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EP1579640</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US7489691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BE1186119</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CH1186119</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7"/>
          <w:szCs w:val="17"/>
          <w:color w:val="auto"/>
        </w:rPr>
        <w:t>CN101969326</w:t>
      </w:r>
    </w:p>
    <w:p>
      <w:pPr>
        <w:spacing w:after="0" w:line="237"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CN1360764</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6"/>
          <w:szCs w:val="16"/>
          <w:color w:val="auto"/>
        </w:rPr>
        <w:t>DE60010882.1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EP1186119</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ES1186119</w:t>
      </w:r>
    </w:p>
    <w:p>
      <w:pPr>
        <w:spacing w:after="0" w:line="22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FI111438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FR1186119</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GB1186119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IT1186119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JP3977640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KR449817</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NL1186119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SE1186119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419"/>
        <w:spacing w:after="0"/>
        <w:rPr>
          <w:sz w:val="20"/>
          <w:szCs w:val="20"/>
          <w:color w:val="auto"/>
        </w:rPr>
      </w:pPr>
      <w:r>
        <w:rPr>
          <w:rFonts w:ascii="Arial" w:cs="Arial" w:eastAsia="Arial" w:hAnsi="Arial"/>
          <w:sz w:val="18"/>
          <w:szCs w:val="18"/>
          <w:b w:val="1"/>
          <w:bCs w:val="1"/>
          <w:color w:val="auto"/>
        </w:rPr>
        <w:t>Title</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SIMPLE ADMISSION CONTROL FOR IP BASED RADIO ACCESS NETWORKS NEW CLIPPING METHOD NEW CLIPPING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-555625</wp:posOffset>
            </wp:positionV>
            <wp:extent cx="23241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NEW CLIPPING 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PRIORITIZED RLC RETRANSMISSIONS,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MAC BUFFERING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PRIORITIZED RLC RETRANSMISSIONS,</w:t>
      </w:r>
    </w:p>
    <w:p>
      <w:pPr>
        <w:spacing w:after="0" w:line="2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WITH MAC BUFFERING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 METHOD FOR TRANSMITTING A SEQUENCE OF SYMBOLS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1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19437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22.03.2002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10/105067</w:t>
            </w:r>
          </w:p>
        </w:tc>
      </w:tr>
      <w:tr>
        <w:trPr>
          <w:trHeight w:val="31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23720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29.04.2003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3722635.4</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23720</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29.04.2003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3722635.4</w:t>
            </w:r>
          </w:p>
        </w:tc>
      </w:tr>
      <w:tr>
        <w:trPr>
          <w:trHeight w:val="23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23720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29.04.2003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10/511759</w:t>
            </w:r>
          </w:p>
        </w:tc>
      </w:tr>
      <w:tr>
        <w:trPr>
          <w:trHeight w:val="324"/>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23857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01.12.2003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3775703.6</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23857</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23.12.2002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10/325736</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9944091.8</w:t>
            </w:r>
          </w:p>
        </w:tc>
      </w:tr>
      <w:tr>
        <w:trPr>
          <w:trHeight w:val="432"/>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28.10.2010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201010526581</w:t>
            </w:r>
          </w:p>
        </w:tc>
      </w:tr>
      <w:tr>
        <w:trPr>
          <w:trHeight w:val="432"/>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810081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Opposition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09.07.1999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991589</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2001-509178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2001-7016957</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944091.8</w:t>
            </w:r>
          </w:p>
        </w:tc>
      </w:tr>
    </w:tbl>
    <w:p>
      <w:pPr>
        <w:spacing w:after="0" w:line="293" w:lineRule="exact"/>
        <w:rPr>
          <w:sz w:val="20"/>
          <w:szCs w:val="20"/>
          <w:color w:val="auto"/>
        </w:rPr>
      </w:pPr>
    </w:p>
    <w:p>
      <w:pPr>
        <w:sectPr>
          <w:pgSz w:w="11900" w:h="16838" w:orient="portrait"/>
          <w:cols w:equalWidth="0" w:num="3">
            <w:col w:w="1140" w:space="260"/>
            <w:col w:w="3260" w:space="520"/>
            <w:col w:w="6140"/>
          </w:cols>
          <w:pgMar w:left="340" w:top="877" w:right="239" w:bottom="1440" w:gutter="0" w:footer="0" w:header="0"/>
        </w:sectPr>
      </w:pPr>
    </w:p>
    <w:p>
      <w:pPr>
        <w:spacing w:after="0" w:line="16" w:lineRule="exact"/>
        <w:rPr>
          <w:sz w:val="20"/>
          <w:szCs w:val="20"/>
          <w:color w:val="auto"/>
        </w:rPr>
      </w:pPr>
    </w:p>
    <w:p>
      <w:pPr>
        <w:jc w:val="center"/>
        <w:ind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Confidential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877"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wp:posOffset>
            </wp:positionV>
            <wp:extent cx="875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US7724720</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US20080144570</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US6901046</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US7561509</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US6665309</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US7050406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US7085257</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US6965562</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EP1073295</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US7171209</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DE60002904.2</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EP1221149</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FI1221149</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FR1221149</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GB1221149</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SE1221149</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US6288641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DE1197036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EP1197036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FI111583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FR1197036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GB1197036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NL1197036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US7193995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Title</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METHOD FOR TRANSMITTING A SEQUENCE OF SYMBOLS METHOD AND APPARRATUS OF SCHEDULING AND MODULATION/CODING SELECTION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-564515</wp:posOffset>
            </wp:positionV>
            <wp:extent cx="23241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METHOD AND APPARRATUS OF SCHEDULING AND MODULATION/CODING SELECTION FOR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METHOD AND APPARRATUS OF SCHEDULING AND MODULATION/CODING SELECTION FOR</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METHODS AND APPARATUS OF CHANNEL ALLOCATION WITH CODE DIVISION MULTIPLEXING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METHODS AND APPARATUS OF CHANNEL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ALLOCATION WITH CODE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MULTIPLEXING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Network phonebook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POOLING H.323 GATEWAYS TO RESTRICT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WAN-LINK OVERLOADING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UPDATE PROCEDURE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(OR INTER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OPERATIONAL) WIRELESS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UPDATE PROCEDURE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(OR INTER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OPERATIONAL) WIRELESS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ASSEMBLY AND ASSOCIATED METHOD,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REMOTELY MONITORING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SURVEILLANCE</w:t>
      </w:r>
    </w:p>
    <w:p>
      <w:pPr>
        <w:spacing w:after="0" w:line="9"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ASSEMBLY AND ASSOCIATED METHOD, FOR REMOTELY MONITORING A SURVEILLANCE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ASSEMBLY AND ASSOCIATED METHOD, FOR REMOTELY MONITORING A SURVEILLANCE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ASSEMBLY AND ASSOCIATED METHOD, FOR REMOTELY MONITORING A SURVEILLANCE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ASSEMBLY AND ASSOCIATED METHOD, FOR REMOTELY MONITORING A SURVEILLANCE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ASSEMBLY AND ASSOCIATED METHOD, FOR REMOTELY MONITORING A SURVEILLANCE</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REMOTE AUDIO-SURVEILLANCE WITH A MOBILE PHONE</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LICENSE CONTROL AT A GATEWAY SERVER</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LICENSE CONTROL AT A GATEWAY SERVER</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LICENSE CONTROL AT A GATEWAY SERVER</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LICENSE CONTROL AT A GATEWAY SERVER</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LICENSE CONTROL AT A GATEWAY SERVER</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LICENSE CONTROL AT A GATEWAY SERVER</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LICENSE CONTROL AT A GATEWAY SERVER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1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24835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17.07.2006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11/457879</w:t>
            </w:r>
          </w:p>
        </w:tc>
      </w:tr>
      <w:tr>
        <w:trPr>
          <w:trHeight w:val="54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25862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21.02.2008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12/035133</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25862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26.12.2001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10/025609</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25862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26.07.2004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10/898354</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25975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28.06.2002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10/185402</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25975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12.12.2003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10/735266</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26053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06.04.2000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09/544141</w:t>
            </w:r>
          </w:p>
        </w:tc>
      </w:tr>
      <w:tr>
        <w:trPr>
          <w:trHeight w:val="324"/>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26126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14.12.2000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09/735516</w:t>
            </w:r>
          </w:p>
        </w:tc>
      </w:tr>
      <w:tr>
        <w:trPr>
          <w:trHeight w:val="540"/>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26505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28.07.2000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306448.2</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26505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30.03.2004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10/812171</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958915.1</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958915.1</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958915.1</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958915.1</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958915.1</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958915.1</w:t>
            </w:r>
          </w:p>
        </w:tc>
      </w:tr>
      <w:tr>
        <w:trPr>
          <w:trHeight w:val="54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15.09.1999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09/396692</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935241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935241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30.06.1999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991493</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935241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935241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935241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27008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10/019893</w:t>
            </w:r>
          </w:p>
        </w:tc>
      </w:tr>
    </w:tbl>
    <w:p>
      <w:pPr>
        <w:spacing w:after="0" w:line="310" w:lineRule="exact"/>
        <w:rPr>
          <w:sz w:val="20"/>
          <w:szCs w:val="20"/>
          <w:color w:val="auto"/>
        </w:rPr>
      </w:pPr>
    </w:p>
    <w:p>
      <w:pPr>
        <w:sectPr>
          <w:pgSz w:w="11900" w:h="16838" w:orient="portrait"/>
          <w:cols w:equalWidth="0" w:num="3">
            <w:col w:w="1220" w:space="200"/>
            <w:col w:w="3580" w:space="200"/>
            <w:col w:w="6140"/>
          </w:cols>
          <w:pgMar w:left="320" w:top="878" w:right="239" w:bottom="694" w:gutter="0" w:footer="0" w:header="0"/>
        </w:sectPr>
      </w:pPr>
    </w:p>
    <w:p>
      <w:pPr>
        <w:jc w:val="center"/>
        <w:ind w:left="2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Confidential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878" w:right="239" w:bottom="694"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9004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US7333946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FI111899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US7590225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US6930988</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DE60331848.7</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EP1559242</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GB1559242</w:t>
      </w: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KR745206</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US7035940</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US6741555</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CNZL02122854.X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DE60208990.5</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EP1265420</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ES1265420</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FR1265420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GB1265420</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IT1265420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US7085808</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US7103681</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EP1680879</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US7478146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23241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TICKETING WITH PRINTING OPTION</w:t>
      </w:r>
    </w:p>
    <w:p>
      <w:pPr>
        <w:spacing w:after="0" w:line="3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 BILLING SOLUTION FOR MULTIMEDIA MESSAGING</w:t>
      </w:r>
    </w:p>
    <w:p>
      <w:pPr>
        <w:ind w:right="180"/>
        <w:spacing w:after="0" w:line="266" w:lineRule="auto"/>
        <w:rPr>
          <w:sz w:val="20"/>
          <w:szCs w:val="20"/>
          <w:color w:val="auto"/>
        </w:rPr>
      </w:pPr>
      <w:r>
        <w:rPr>
          <w:rFonts w:ascii="Arial" w:cs="Arial" w:eastAsia="Arial" w:hAnsi="Arial"/>
          <w:sz w:val="18"/>
          <w:szCs w:val="18"/>
          <w:color w:val="auto"/>
        </w:rPr>
        <w:t>A BILLING SOLUTION FOR MULTIMEDIA MESSAGING</w:t>
      </w:r>
    </w:p>
    <w:p>
      <w:pPr>
        <w:ind w:right="180"/>
        <w:spacing w:after="0" w:line="266" w:lineRule="auto"/>
        <w:rPr>
          <w:sz w:val="20"/>
          <w:szCs w:val="20"/>
          <w:color w:val="auto"/>
        </w:rPr>
      </w:pPr>
      <w:r>
        <w:rPr>
          <w:rFonts w:ascii="Arial" w:cs="Arial" w:eastAsia="Arial" w:hAnsi="Arial"/>
          <w:sz w:val="18"/>
          <w:szCs w:val="18"/>
          <w:color w:val="auto"/>
        </w:rPr>
        <w:t>Method and system for fast IP connectivity in a mobile network</w:t>
      </w:r>
    </w:p>
    <w:p>
      <w:pPr>
        <w:spacing w:after="0" w:line="260" w:lineRule="auto"/>
        <w:rPr>
          <w:sz w:val="20"/>
          <w:szCs w:val="20"/>
          <w:color w:val="auto"/>
        </w:rPr>
      </w:pPr>
      <w:r>
        <w:rPr>
          <w:rFonts w:ascii="Arial" w:cs="Arial" w:eastAsia="Arial" w:hAnsi="Arial"/>
          <w:sz w:val="18"/>
          <w:szCs w:val="18"/>
          <w:color w:val="auto"/>
        </w:rPr>
        <w:t>MOBILE ROUTER COST METRIC FOR ROUTING PROTOCOL UPDATES IN MOBILE ROUTER</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MOBILE ROUTER COST METRIC FOR ROUTING PROTOCOL UPDATES IN MOBILE ROUTER</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MOBILE ROUTER COST METRIC FOR ROUTING PROTOCOL UPDATES IN MOBILE ROUTER</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MOBILE ROUTER COST METRIC FOR ROUTING PROTOCOL UPDATES IN MOBILE ROUTER</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MOBILE ROUTER COST METRIC FOR ROUTING PROTOCOL UPDATES IN MOBILE ROUTER</w:t>
      </w:r>
    </w:p>
    <w:p>
      <w:pPr>
        <w:spacing w:after="0" w:line="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ENHANCEMENT OF EXPLICIT CONGESTION FOR NOTIFICATION (ECN) FOR WIRELESS NETWORK</w:t>
      </w:r>
    </w:p>
    <w:p>
      <w:pPr>
        <w:spacing w:after="0" w:line="3" w:lineRule="exact"/>
        <w:rPr>
          <w:sz w:val="20"/>
          <w:szCs w:val="20"/>
          <w:color w:val="auto"/>
        </w:rPr>
      </w:pPr>
    </w:p>
    <w:p>
      <w:pPr>
        <w:ind w:right="640"/>
        <w:spacing w:after="0" w:line="281" w:lineRule="auto"/>
        <w:rPr>
          <w:sz w:val="20"/>
          <w:szCs w:val="20"/>
          <w:color w:val="auto"/>
        </w:rPr>
      </w:pPr>
      <w:r>
        <w:rPr>
          <w:rFonts w:ascii="Arial" w:cs="Arial" w:eastAsia="Arial" w:hAnsi="Arial"/>
          <w:sz w:val="17"/>
          <w:szCs w:val="17"/>
          <w:color w:val="auto"/>
        </w:rPr>
        <w:t>METHOD OF TELLING A WIRELESS CLIENT FROM A LOCAL SERVER METHOD OF TELLING A WIRELESS CLIENT FROM A LOCAL SERVER METHOD OF TELLING A WIRELESS CLIENT FROM A LOCAL SERVER METHOD OF TELLING A WIRELESS CLIENT FROM A LOCAL SERVER METHOD OF TELLING A WIRELESS CLIENT FROM A LOCAL SERVER METHOD OF TELLING A WIRELESS CLIENT FROM A LOCAL SERVER METHOD OF TELLING A WIRELESS CLIENT FROM A LOCAL SERVER METHOD OF TELLING A WIRELESS CLIENT FROM A LOCAL SERVER ADAPTATION SYSTEM PROVIDING TERMINAL-SPECIFIC URLS OF DOWNLOADABLE</w:t>
      </w:r>
    </w:p>
    <w:p>
      <w:pPr>
        <w:ind w:right="60"/>
        <w:spacing w:after="0" w:line="260" w:lineRule="auto"/>
        <w:rPr>
          <w:sz w:val="20"/>
          <w:szCs w:val="20"/>
          <w:color w:val="auto"/>
        </w:rPr>
      </w:pPr>
      <w:r>
        <w:rPr>
          <w:rFonts w:ascii="Arial" w:cs="Arial" w:eastAsia="Arial" w:hAnsi="Arial"/>
          <w:sz w:val="18"/>
          <w:szCs w:val="18"/>
          <w:color w:val="auto"/>
        </w:rPr>
        <w:t>METHOD OF INFORMING TERMINAL CAPABILITY TO NETWORK AFTER START-UP OR ON</w:t>
      </w:r>
    </w:p>
    <w:p>
      <w:pPr>
        <w:spacing w:after="0" w:line="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METHOD OF INFORMING TERMINAL CAPABILITY TO NETWORK AFTER START-UP OR 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Family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County</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Filing 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Filing No.</w:t>
            </w:r>
          </w:p>
        </w:tc>
      </w:tr>
      <w:tr>
        <w:trPr>
          <w:trHeight w:val="230"/>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27014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US</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30.04.2001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09/843718</w:t>
            </w:r>
          </w:p>
        </w:tc>
      </w:tr>
      <w:tr>
        <w:trPr>
          <w:trHeight w:val="350"/>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29648</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FI</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16.06.2000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20001437</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29648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09/882756</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30602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28.10.2002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10/282926</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30625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08.10.2003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3751094.8</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30625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08.10.2003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3751094.8</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30625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08.10.2003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3751094.8</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30625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08.10.2003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7008153/2005</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30625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07.11.2002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10/290031</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31502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14.6.2000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09/594463</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02122854.X</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28.05.2002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2396076.8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28.05.2002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2396076.8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28.05.2002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2396076.8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28.05.2002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2396076.8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28.05.2002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2396076.8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IT</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28.05.2002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2396076.8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33025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07.06.2001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09/876480</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36688</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19.06.2003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10/601278</w:t>
            </w:r>
          </w:p>
        </w:tc>
      </w:tr>
      <w:tr>
        <w:trPr>
          <w:trHeight w:val="675"/>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36740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28.10.2004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4791765.3</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36740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03.11.2003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10/700346</w:t>
            </w:r>
          </w:p>
        </w:tc>
      </w:tr>
    </w:tbl>
    <w:p>
      <w:pPr>
        <w:spacing w:after="0" w:line="431" w:lineRule="exact"/>
        <w:rPr>
          <w:sz w:val="20"/>
          <w:szCs w:val="20"/>
          <w:color w:val="auto"/>
        </w:rPr>
      </w:pPr>
    </w:p>
    <w:p>
      <w:pPr>
        <w:sectPr>
          <w:pgSz w:w="11900" w:h="16838" w:orient="portrait"/>
          <w:cols w:equalWidth="0" w:num="3">
            <w:col w:w="1360" w:space="160"/>
            <w:col w:w="3600" w:space="160"/>
            <w:col w:w="6100"/>
          </w:cols>
          <w:pgMar w:left="280" w:top="891" w:right="239" w:bottom="1440"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Patent/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Publication</w:t>
            </w: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County</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c>
          <w:tcPr>
            <w:tcW w:w="0" w:type="dxa"/>
            <w:vAlign w:val="bottom"/>
          </w:tcPr>
          <w:p>
            <w:pPr>
              <w:spacing w:after="0"/>
              <w:rPr>
                <w:sz w:val="1"/>
                <w:szCs w:val="1"/>
                <w:color w:val="auto"/>
              </w:rPr>
            </w:pPr>
          </w:p>
        </w:tc>
      </w:tr>
      <w:tr>
        <w:trPr>
          <w:trHeight w:val="215"/>
        </w:trPr>
        <w:tc>
          <w:tcPr>
            <w:tcW w:w="15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US7627692</w:t>
            </w:r>
          </w:p>
        </w:tc>
        <w:tc>
          <w:tcPr>
            <w:tcW w:w="3660" w:type="dxa"/>
            <w:vAlign w:val="bottom"/>
          </w:tcPr>
          <w:p>
            <w:pPr>
              <w:ind w:left="20"/>
              <w:spacing w:after="0"/>
              <w:rPr>
                <w:sz w:val="20"/>
                <w:szCs w:val="20"/>
                <w:color w:val="auto"/>
              </w:rPr>
            </w:pPr>
            <w:r>
              <w:rPr>
                <w:rFonts w:ascii="Arial" w:cs="Arial" w:eastAsia="Arial" w:hAnsi="Arial"/>
                <w:sz w:val="18"/>
                <w:szCs w:val="18"/>
                <w:color w:val="auto"/>
              </w:rPr>
              <w:t>MULTIPLEXING OF COMPRESSED</w:t>
            </w:r>
          </w:p>
        </w:tc>
        <w:tc>
          <w:tcPr>
            <w:tcW w:w="120" w:type="dxa"/>
            <w:vAlign w:val="bottom"/>
          </w:tcPr>
          <w:p>
            <w:pPr>
              <w:spacing w:after="0"/>
              <w:rPr>
                <w:sz w:val="18"/>
                <w:szCs w:val="18"/>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7"/>
              </w:rPr>
              <w:t>37366</w:t>
            </w:r>
          </w:p>
        </w:tc>
        <w:tc>
          <w:tcPr>
            <w:tcW w:w="120" w:type="dxa"/>
            <w:vAlign w:val="bottom"/>
          </w:tcPr>
          <w:p>
            <w:pPr>
              <w:spacing w:after="0"/>
              <w:rPr>
                <w:sz w:val="18"/>
                <w:szCs w:val="18"/>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vMerge w:val="restart"/>
          </w:tcPr>
          <w:p>
            <w:pPr>
              <w:ind w:left="160"/>
              <w:spacing w:after="0"/>
              <w:rPr>
                <w:sz w:val="20"/>
                <w:szCs w:val="20"/>
                <w:color w:val="auto"/>
              </w:rPr>
            </w:pPr>
            <w:r>
              <w:rPr>
                <w:rFonts w:ascii="Arial" w:cs="Arial" w:eastAsia="Arial" w:hAnsi="Arial"/>
                <w:sz w:val="18"/>
                <w:szCs w:val="18"/>
                <w:color w:val="auto"/>
              </w:rPr>
              <w:t>30.01.2004</w:t>
            </w:r>
          </w:p>
        </w:tc>
        <w:tc>
          <w:tcPr>
            <w:tcW w:w="1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10/768343</w:t>
            </w:r>
          </w:p>
        </w:tc>
        <w:tc>
          <w:tcPr>
            <w:tcW w:w="0" w:type="dxa"/>
            <w:vAlign w:val="bottom"/>
          </w:tcPr>
          <w:p>
            <w:pPr>
              <w:spacing w:after="0"/>
              <w:rPr>
                <w:sz w:val="1"/>
                <w:szCs w:val="1"/>
                <w:color w:val="auto"/>
              </w:rPr>
            </w:pPr>
          </w:p>
        </w:tc>
      </w:tr>
      <w:tr>
        <w:trPr>
          <w:trHeight w:val="122"/>
        </w:trPr>
        <w:tc>
          <w:tcPr>
            <w:tcW w:w="1500" w:type="dxa"/>
            <w:vAlign w:val="bottom"/>
            <w:gridSpan w:val="2"/>
            <w:vMerge w:val="continue"/>
          </w:tcPr>
          <w:p>
            <w:pPr>
              <w:spacing w:after="0"/>
              <w:rPr>
                <w:sz w:val="10"/>
                <w:szCs w:val="10"/>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8"/>
                <w:szCs w:val="18"/>
                <w:color w:val="auto"/>
              </w:rPr>
              <w:t>CONTROL AND USER-PLANE MESSAGES</w:t>
            </w:r>
          </w:p>
        </w:tc>
        <w:tc>
          <w:tcPr>
            <w:tcW w:w="12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CN200480020637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200480020637</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DE602004033083</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4743792.6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EP1645157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4743792.6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GB1645157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GB</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4743792.6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PL1645157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PL</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4743792.6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RO1645157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RO</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4743792.6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SE1645157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SE</w:t>
            </w:r>
          </w:p>
        </w:tc>
        <w:tc>
          <w:tcPr>
            <w:tcW w:w="1140" w:type="dxa"/>
            <w:vAlign w:val="bottom"/>
          </w:tcPr>
          <w:p>
            <w:pPr>
              <w:ind w:left="160"/>
              <w:spacing w:after="0"/>
              <w:rPr>
                <w:sz w:val="20"/>
                <w:szCs w:val="20"/>
                <w:color w:val="auto"/>
              </w:rPr>
            </w:pPr>
            <w:r>
              <w:rPr>
                <w:rFonts w:ascii="Arial" w:cs="Arial" w:eastAsia="Arial" w:hAnsi="Arial"/>
                <w:sz w:val="18"/>
                <w:szCs w:val="18"/>
                <w:color w:val="auto"/>
              </w:rPr>
              <w:t>23.06.2004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4743792.6</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A MECHANISM FOR ENABLING A MOBILE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US7917152</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NODE TO ENGAGE IN IP SIGNALING WITH</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39894</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ind w:left="160"/>
              <w:spacing w:after="0"/>
              <w:rPr>
                <w:sz w:val="20"/>
                <w:szCs w:val="20"/>
                <w:color w:val="auto"/>
              </w:rPr>
            </w:pPr>
            <w:r>
              <w:rPr>
                <w:rFonts w:ascii="Arial" w:cs="Arial" w:eastAsia="Arial" w:hAnsi="Arial"/>
                <w:sz w:val="18"/>
                <w:szCs w:val="18"/>
                <w:color w:val="auto"/>
              </w:rPr>
              <w:t>12.02.2004</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10/776502</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ITS OFF-</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AT1700419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AT</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AU2004309946</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2004309946</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CN200480041579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200480041579</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CN200910126587</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ind w:left="160"/>
              <w:spacing w:after="0"/>
              <w:rPr>
                <w:sz w:val="20"/>
                <w:szCs w:val="20"/>
                <w:color w:val="auto"/>
              </w:rPr>
            </w:pPr>
            <w:r>
              <w:rPr>
                <w:rFonts w:ascii="Arial" w:cs="Arial" w:eastAsia="Arial" w:hAnsi="Arial"/>
                <w:sz w:val="18"/>
                <w:szCs w:val="18"/>
                <w:color w:val="auto"/>
              </w:rPr>
              <w:t>16.03.2009</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200910126587</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EP1700419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ES1700419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FR1700419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FR</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GB1700419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GB</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HU1700419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IN3722/DELNP/2</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3722/DELNP/2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IT1700419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IT</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JP4078381</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75"/>
              </w:rPr>
              <w:t>JP</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2006-546370</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KR761805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KR</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2006-7014663</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NL1700419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NL</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RO1700419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RO</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SE</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TR1700419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TR</w:t>
            </w:r>
          </w:p>
        </w:tc>
        <w:tc>
          <w:tcPr>
            <w:tcW w:w="1140" w:type="dxa"/>
            <w:vAlign w:val="bottom"/>
          </w:tcPr>
          <w:p>
            <w:pPr>
              <w:ind w:left="160"/>
              <w:spacing w:after="0"/>
              <w:rPr>
                <w:sz w:val="20"/>
                <w:szCs w:val="20"/>
                <w:color w:val="auto"/>
              </w:rPr>
            </w:pPr>
            <w:r>
              <w:rPr>
                <w:rFonts w:ascii="Arial" w:cs="Arial" w:eastAsia="Arial" w:hAnsi="Arial"/>
                <w:sz w:val="18"/>
                <w:szCs w:val="18"/>
                <w:color w:val="auto"/>
              </w:rPr>
              <w:t>16.12.2004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4806376.2</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US7920499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INDICATING INITIAL FLOOR STATE IN SDP</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ind w:left="160"/>
              <w:spacing w:after="0"/>
              <w:rPr>
                <w:sz w:val="20"/>
                <w:szCs w:val="20"/>
                <w:color w:val="auto"/>
              </w:rPr>
            </w:pPr>
            <w:r>
              <w:rPr>
                <w:rFonts w:ascii="Arial" w:cs="Arial" w:eastAsia="Arial" w:hAnsi="Arial"/>
                <w:sz w:val="18"/>
                <w:szCs w:val="18"/>
                <w:color w:val="auto"/>
              </w:rPr>
              <w:t>26.03.2004</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10/809710</w:t>
            </w:r>
          </w:p>
        </w:tc>
        <w:tc>
          <w:tcPr>
            <w:tcW w:w="0" w:type="dxa"/>
            <w:vAlign w:val="bottom"/>
          </w:tcPr>
          <w:p>
            <w:pPr>
              <w:spacing w:after="0"/>
              <w:rPr>
                <w:sz w:val="1"/>
                <w:szCs w:val="1"/>
                <w:color w:val="auto"/>
              </w:rPr>
            </w:pPr>
          </w:p>
        </w:tc>
      </w:tr>
      <w:tr>
        <w:trPr>
          <w:trHeight w:val="297"/>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DE602005020445</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DISCOVERY OF V4-V6 INTERWORKING</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40233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ind w:left="160"/>
              <w:spacing w:after="0"/>
              <w:rPr>
                <w:sz w:val="20"/>
                <w:szCs w:val="20"/>
                <w:color w:val="auto"/>
              </w:rPr>
            </w:pPr>
            <w:r>
              <w:rPr>
                <w:rFonts w:ascii="Arial" w:cs="Arial" w:eastAsia="Arial" w:hAnsi="Arial"/>
                <w:sz w:val="18"/>
                <w:szCs w:val="18"/>
                <w:color w:val="auto"/>
              </w:rPr>
              <w:t>08.06.2005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5748845.4</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ROUTER</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EP1759519</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DISCOVERY OF V4-V6 INTERWORKING</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7"/>
              </w:rPr>
              <w:t>40233</w:t>
            </w:r>
          </w:p>
        </w:tc>
        <w:tc>
          <w:tcPr>
            <w:tcW w:w="120" w:type="dxa"/>
            <w:vAlign w:val="bottom"/>
          </w:tcPr>
          <w:p>
            <w:pPr>
              <w:spacing w:after="0"/>
              <w:rPr>
                <w:sz w:val="18"/>
                <w:szCs w:val="18"/>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vMerge w:val="restart"/>
          </w:tcPr>
          <w:p>
            <w:pPr>
              <w:ind w:left="160"/>
              <w:spacing w:after="0"/>
              <w:rPr>
                <w:sz w:val="20"/>
                <w:szCs w:val="20"/>
                <w:color w:val="auto"/>
              </w:rPr>
            </w:pPr>
            <w:r>
              <w:rPr>
                <w:rFonts w:ascii="Arial" w:cs="Arial" w:eastAsia="Arial" w:hAnsi="Arial"/>
                <w:sz w:val="18"/>
                <w:szCs w:val="18"/>
                <w:color w:val="auto"/>
              </w:rPr>
              <w:t>08.06.2005</w:t>
            </w:r>
          </w:p>
        </w:tc>
        <w:tc>
          <w:tcPr>
            <w:tcW w:w="1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89"/>
              </w:rPr>
              <w:t>5748845.4</w:t>
            </w:r>
          </w:p>
        </w:tc>
        <w:tc>
          <w:tcPr>
            <w:tcW w:w="0" w:type="dxa"/>
            <w:vAlign w:val="bottom"/>
          </w:tcPr>
          <w:p>
            <w:pPr>
              <w:spacing w:after="0"/>
              <w:rPr>
                <w:sz w:val="1"/>
                <w:szCs w:val="1"/>
                <w:color w:val="auto"/>
              </w:rPr>
            </w:pPr>
          </w:p>
        </w:tc>
      </w:tr>
      <w:tr>
        <w:trPr>
          <w:trHeight w:val="122"/>
        </w:trPr>
        <w:tc>
          <w:tcPr>
            <w:tcW w:w="1500" w:type="dxa"/>
            <w:vAlign w:val="bottom"/>
            <w:gridSpan w:val="2"/>
            <w:vMerge w:val="continue"/>
          </w:tcPr>
          <w:p>
            <w:pPr>
              <w:spacing w:after="0"/>
              <w:rPr>
                <w:sz w:val="10"/>
                <w:szCs w:val="10"/>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8"/>
                <w:szCs w:val="18"/>
                <w:color w:val="auto"/>
              </w:rPr>
              <w:t>ROUTER</w:t>
            </w:r>
          </w:p>
        </w:tc>
        <w:tc>
          <w:tcPr>
            <w:tcW w:w="12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IN388/DELNP/20</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US7710964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EA10335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EP1719352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RU10335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US20080062930</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US7333793</w:t>
      </w:r>
    </w:p>
    <w:p>
      <w:pPr>
        <w:spacing w:after="0" w:line="144" w:lineRule="exact"/>
        <w:rPr>
          <w:sz w:val="20"/>
          <w:szCs w:val="20"/>
          <w:color w:val="auto"/>
        </w:rPr>
      </w:pPr>
    </w:p>
    <w:p>
      <w:pPr>
        <w:jc w:val="center"/>
        <w:spacing w:after="0" w:line="337" w:lineRule="auto"/>
        <w:rPr>
          <w:sz w:val="20"/>
          <w:szCs w:val="20"/>
          <w:color w:val="auto"/>
        </w:rPr>
      </w:pPr>
      <w:r>
        <w:rPr>
          <w:rFonts w:ascii="Arial" w:cs="Arial" w:eastAsia="Arial" w:hAnsi="Arial"/>
          <w:sz w:val="16"/>
          <w:szCs w:val="16"/>
          <w:color w:val="auto"/>
        </w:rPr>
        <w:t>AU2005212893 CN200580010576 IN4685/DELNP/2 JP4551902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US20050278420</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EP1797693</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US7583647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EP1779697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IN1569/DELNP/2</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JP4954073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KR927525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CN101044771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DE602004021646</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DK1808029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EP1808029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GB1808029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IN2238/DELNP/2</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JP4612050</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KR912629</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MYMY-142706-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PK783/2005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RO1808029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TW94137753</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US20090156215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19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DISCOVERY OF V4-V6 INTERWORKING ROUTER</w:t>
      </w:r>
    </w:p>
    <w:p>
      <w:pPr>
        <w:ind w:right="160"/>
        <w:spacing w:after="0" w:line="266" w:lineRule="auto"/>
        <w:rPr>
          <w:sz w:val="20"/>
          <w:szCs w:val="20"/>
          <w:color w:val="auto"/>
        </w:rPr>
      </w:pPr>
      <w:r>
        <w:rPr>
          <w:rFonts w:ascii="Arial" w:cs="Arial" w:eastAsia="Arial" w:hAnsi="Arial"/>
          <w:sz w:val="18"/>
          <w:szCs w:val="18"/>
          <w:color w:val="auto"/>
        </w:rPr>
        <w:t>DISCOVERY OF V4-V6 INTERWORKING ROUTER</w:t>
      </w:r>
    </w:p>
    <w:p>
      <w:pPr>
        <w:ind w:right="540"/>
        <w:spacing w:after="0" w:line="266" w:lineRule="auto"/>
        <w:rPr>
          <w:sz w:val="20"/>
          <w:szCs w:val="20"/>
          <w:color w:val="auto"/>
        </w:rPr>
      </w:pPr>
      <w:r>
        <w:rPr>
          <w:rFonts w:ascii="Arial" w:cs="Arial" w:eastAsia="Arial" w:hAnsi="Arial"/>
          <w:sz w:val="18"/>
          <w:szCs w:val="18"/>
          <w:color w:val="auto"/>
        </w:rPr>
        <w:t>PS HANDOVER MECHANISM - LLC SYCHRONISATION</w:t>
      </w:r>
    </w:p>
    <w:p>
      <w:pPr>
        <w:ind w:right="540"/>
        <w:spacing w:after="0" w:line="266" w:lineRule="auto"/>
        <w:rPr>
          <w:sz w:val="20"/>
          <w:szCs w:val="20"/>
          <w:color w:val="auto"/>
        </w:rPr>
      </w:pPr>
      <w:r>
        <w:rPr>
          <w:rFonts w:ascii="Arial" w:cs="Arial" w:eastAsia="Arial" w:hAnsi="Arial"/>
          <w:sz w:val="18"/>
          <w:szCs w:val="18"/>
          <w:color w:val="auto"/>
        </w:rPr>
        <w:t>PS HANDOVER MECHANISM - LLC SYCHRONISATION</w:t>
      </w:r>
    </w:p>
    <w:p>
      <w:pPr>
        <w:ind w:right="540"/>
        <w:spacing w:after="0" w:line="266" w:lineRule="auto"/>
        <w:rPr>
          <w:sz w:val="20"/>
          <w:szCs w:val="20"/>
          <w:color w:val="auto"/>
        </w:rPr>
      </w:pPr>
      <w:r>
        <w:rPr>
          <w:rFonts w:ascii="Arial" w:cs="Arial" w:eastAsia="Arial" w:hAnsi="Arial"/>
          <w:sz w:val="18"/>
          <w:szCs w:val="18"/>
          <w:color w:val="auto"/>
        </w:rPr>
        <w:t>PS HANDOVER MECHANISM - LLC SYCHRONISATION</w:t>
      </w:r>
    </w:p>
    <w:p>
      <w:pPr>
        <w:ind w:right="540"/>
        <w:spacing w:after="0" w:line="266" w:lineRule="auto"/>
        <w:rPr>
          <w:sz w:val="20"/>
          <w:szCs w:val="20"/>
          <w:color w:val="auto"/>
        </w:rPr>
      </w:pPr>
      <w:r>
        <w:rPr>
          <w:rFonts w:ascii="Arial" w:cs="Arial" w:eastAsia="Arial" w:hAnsi="Arial"/>
          <w:sz w:val="18"/>
          <w:szCs w:val="18"/>
          <w:color w:val="auto"/>
        </w:rPr>
        <w:t>PS HANDOVER MECHANISM - LLC SYCHRONISATION</w:t>
      </w:r>
    </w:p>
    <w:p>
      <w:pPr>
        <w:ind w:right="540"/>
        <w:spacing w:after="0" w:line="266" w:lineRule="auto"/>
        <w:rPr>
          <w:sz w:val="20"/>
          <w:szCs w:val="20"/>
          <w:color w:val="auto"/>
        </w:rPr>
      </w:pPr>
      <w:r>
        <w:rPr>
          <w:rFonts w:ascii="Arial" w:cs="Arial" w:eastAsia="Arial" w:hAnsi="Arial"/>
          <w:sz w:val="18"/>
          <w:szCs w:val="18"/>
          <w:color w:val="auto"/>
        </w:rPr>
        <w:t>PS HANDOVER MECHANISM - LLC SYCHRONISATION</w:t>
      </w:r>
    </w:p>
    <w:p>
      <w:pPr>
        <w:spacing w:after="0"/>
        <w:rPr>
          <w:sz w:val="20"/>
          <w:szCs w:val="20"/>
          <w:color w:val="auto"/>
        </w:rPr>
      </w:pPr>
      <w:r>
        <w:rPr>
          <w:rFonts w:ascii="Arial" w:cs="Arial" w:eastAsia="Arial" w:hAnsi="Arial"/>
          <w:sz w:val="18"/>
          <w:szCs w:val="18"/>
          <w:color w:val="auto"/>
        </w:rPr>
        <w:t>HSDPA HS-DPCCH DUTY CYCLE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HSDPA HS-DPCCH DUTY CYCLE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HSDPA HS-DPCCH DUTY CYCLE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HSDPA HS-DPCCH DUTY CYCLE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METHOD TO GET SUBCRIBER'S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IDENTITIES FROM IMS BASED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IMSI.METHOD TO CHECK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REQUEST RATE LIMITER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REQUEST RATE LIMITER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SCHEDULING NODE B CHANGE DURING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SHO</w:t>
      </w:r>
    </w:p>
    <w:p>
      <w:pPr>
        <w:spacing w:after="0" w:line="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SCHEDULING NODE B CHANGE DURING SHO</w:t>
      </w:r>
    </w:p>
    <w:p>
      <w:pPr>
        <w:ind w:right="40"/>
        <w:spacing w:after="0" w:line="266" w:lineRule="auto"/>
        <w:rPr>
          <w:sz w:val="20"/>
          <w:szCs w:val="20"/>
          <w:color w:val="auto"/>
        </w:rPr>
      </w:pPr>
      <w:r>
        <w:rPr>
          <w:rFonts w:ascii="Arial" w:cs="Arial" w:eastAsia="Arial" w:hAnsi="Arial"/>
          <w:sz w:val="18"/>
          <w:szCs w:val="18"/>
          <w:color w:val="auto"/>
        </w:rPr>
        <w:t>SCHEDULING NODE B CHANGE DURING SHO</w:t>
      </w:r>
    </w:p>
    <w:p>
      <w:pPr>
        <w:ind w:right="40"/>
        <w:spacing w:after="0" w:line="266" w:lineRule="auto"/>
        <w:rPr>
          <w:sz w:val="20"/>
          <w:szCs w:val="20"/>
          <w:color w:val="auto"/>
        </w:rPr>
      </w:pPr>
      <w:r>
        <w:rPr>
          <w:rFonts w:ascii="Arial" w:cs="Arial" w:eastAsia="Arial" w:hAnsi="Arial"/>
          <w:sz w:val="18"/>
          <w:szCs w:val="18"/>
          <w:color w:val="auto"/>
        </w:rPr>
        <w:t>SCHEDULING NODE B CHANGE DURING SHO</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66" w:lineRule="auto"/>
        <w:rPr>
          <w:sz w:val="20"/>
          <w:szCs w:val="20"/>
          <w:color w:val="auto"/>
        </w:rPr>
      </w:pPr>
      <w:r>
        <w:rPr>
          <w:rFonts w:ascii="Arial" w:cs="Arial" w:eastAsia="Arial" w:hAnsi="Arial"/>
          <w:sz w:val="18"/>
          <w:szCs w:val="18"/>
          <w:color w:val="auto"/>
        </w:rPr>
        <w:t>LACK OF CHANNEL CODINGS IMPLIES A HANDOVER</w:t>
      </w:r>
    </w:p>
    <w:p>
      <w:pPr>
        <w:spacing w:after="0" w:line="277" w:lineRule="auto"/>
        <w:rPr>
          <w:sz w:val="20"/>
          <w:szCs w:val="20"/>
          <w:color w:val="auto"/>
        </w:rPr>
      </w:pPr>
      <w:r>
        <w:rPr>
          <w:rFonts w:ascii="Arial" w:cs="Arial" w:eastAsia="Arial" w:hAnsi="Arial"/>
          <w:sz w:val="18"/>
          <w:szCs w:val="18"/>
          <w:color w:val="auto"/>
        </w:rPr>
        <w:t>LACK OF CHANNEL CODINGS IMPLIES A HANDOVER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County</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38"/>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40233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08.06.2005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388/DELNP/20</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40233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20.08.2004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10/921849</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40284</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18.02.2005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EA200601344/</w:t>
            </w:r>
          </w:p>
        </w:tc>
      </w:tr>
      <w:tr>
        <w:trPr>
          <w:trHeight w:val="45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40284</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18.02.2005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5717234.8</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40284</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RU</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18.02.2005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200601344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Pending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40284</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14.09.2007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11/898773</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40284</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05.04.2004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10/816931</w:t>
            </w:r>
          </w:p>
        </w:tc>
      </w:tr>
      <w:tr>
        <w:trPr>
          <w:trHeight w:val="351"/>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40312</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14.02.2005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2005212893</w:t>
            </w:r>
          </w:p>
        </w:tc>
      </w:tr>
      <w:tr>
        <w:trPr>
          <w:trHeight w:val="243"/>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40312</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14.02.2005</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200580010576</w:t>
            </w:r>
          </w:p>
        </w:tc>
      </w:tr>
      <w:tr>
        <w:trPr>
          <w:trHeight w:val="243"/>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40312</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14.02.2005</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4685/DELNP/2</w:t>
            </w:r>
          </w:p>
        </w:tc>
      </w:tr>
      <w:tr>
        <w:trPr>
          <w:trHeight w:val="243"/>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40312</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7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14.02.2005</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2006-553605</w:t>
            </w:r>
          </w:p>
        </w:tc>
      </w:tr>
      <w:tr>
        <w:trPr>
          <w:trHeight w:val="45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Allowance</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40322</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26.04.2005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11/114216</w:t>
            </w:r>
          </w:p>
        </w:tc>
      </w:tr>
      <w:tr>
        <w:trPr>
          <w:trHeight w:val="45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40333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26.08.2005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5784113.2</w:t>
            </w:r>
          </w:p>
        </w:tc>
      </w:tr>
      <w:tr>
        <w:trPr>
          <w:trHeight w:val="243"/>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40333</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24.02.2005</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11/063967</w:t>
            </w:r>
          </w:p>
        </w:tc>
      </w:tr>
      <w:tr>
        <w:trPr>
          <w:trHeight w:val="351"/>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40609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12.08.2005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5772926.1</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Local 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40609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12.08.2005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1569/DELNP/2</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40609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7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12.08.2005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2007-526603</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40609</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12.08.2005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2007-7006069</w:t>
            </w:r>
          </w:p>
        </w:tc>
      </w:tr>
      <w:tr>
        <w:trPr>
          <w:trHeight w:val="45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200480044232</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4798766.4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DK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4798766.4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4798766.4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GB</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4798766.4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Local 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2238/DELNP/2</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7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2007-539641</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2007-7010154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MY</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PI20055102</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24.08.2005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783/2005</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RO</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03.11.2004</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4798766.4</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TW</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28.10.2005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94137753</w:t>
            </w:r>
          </w:p>
        </w:tc>
      </w:tr>
      <w:tr>
        <w:trPr>
          <w:trHeight w:val="459"/>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Pending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40773</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27.04.2007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11/666578</w:t>
            </w:r>
          </w:p>
        </w:tc>
      </w:tr>
    </w:tbl>
    <w:p>
      <w:pPr>
        <w:spacing w:after="0" w:line="323" w:lineRule="exact"/>
        <w:rPr>
          <w:sz w:val="20"/>
          <w:szCs w:val="20"/>
          <w:color w:val="auto"/>
        </w:rPr>
      </w:pPr>
    </w:p>
    <w:p>
      <w:pPr>
        <w:sectPr>
          <w:pgSz w:w="11900" w:h="16838" w:orient="portrait"/>
          <w:cols w:equalWidth="0" w:num="3">
            <w:col w:w="1320" w:space="160"/>
            <w:col w:w="3440" w:space="320"/>
            <w:col w:w="6140"/>
          </w:cols>
          <w:pgMar w:left="280" w:top="891" w:right="239" w:bottom="478"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91" w:right="239" w:bottom="478"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875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US7283092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EP1842386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HR39569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RU2405285</w:t>
      </w:r>
    </w:p>
    <w:p>
      <w:pPr>
        <w:spacing w:after="0" w:line="225" w:lineRule="exact"/>
        <w:rPr>
          <w:sz w:val="20"/>
          <w:szCs w:val="20"/>
          <w:color w:val="auto"/>
        </w:rPr>
      </w:pPr>
    </w:p>
    <w:p>
      <w:pPr>
        <w:jc w:val="center"/>
        <w:ind w:right="20"/>
        <w:spacing w:after="0" w:line="453" w:lineRule="auto"/>
        <w:rPr>
          <w:sz w:val="20"/>
          <w:szCs w:val="20"/>
          <w:color w:val="auto"/>
        </w:rPr>
      </w:pPr>
      <w:r>
        <w:rPr>
          <w:rFonts w:ascii="Arial" w:cs="Arial" w:eastAsia="Arial" w:hAnsi="Arial"/>
          <w:sz w:val="16"/>
          <w:szCs w:val="16"/>
          <w:color w:val="auto"/>
        </w:rPr>
        <w:t>UA93039 US7817622 EP1964357</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US20070143502</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AU2005268547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BRPI0514400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CA2575106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CN200580032286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EP1779684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HK8102265.6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IDW00200700292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IN856/DELNP/20</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JP4750114</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KR899132</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MX277338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RU2407236</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SG200700603.4</w:t>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7"/>
          <w:szCs w:val="17"/>
          <w:color w:val="auto"/>
        </w:rPr>
        <w:t>SG200905097.2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ENHANCED SWITCHED BEAM SMART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324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ANTENNAS FOR TD-SCDMA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DOWNLINK DATA OPTIMIZATION FOR 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HANDOVER</w:t>
      </w:r>
    </w:p>
    <w:p>
      <w:pPr>
        <w:spacing w:after="0" w:line="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DOWNLINK DATA OPTIMIZATION FOR PS HANDOVER</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DOWNLINK DATA OPTIMIZATION FOR PS HANDOVER</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DOWNLINK DATA OPTIMIZATION FOR PS HANDOVER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UMA WITH OPTIMISED USER PLANE SUBSCRIPTION TO RSS/ATOM FEEDS WITH SIP</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SUBSCRIPTION TO RSS/ATOM FEEDS WITH SIP</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 FORBIDDING OF CONTENT ADAPTATION WHEN SENDING A MESSAGE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County</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18"/>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40837</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ind w:left="160"/>
              <w:spacing w:after="0"/>
              <w:rPr>
                <w:sz w:val="20"/>
                <w:szCs w:val="20"/>
                <w:color w:val="auto"/>
              </w:rPr>
            </w:pPr>
            <w:r>
              <w:rPr>
                <w:rFonts w:ascii="Arial" w:cs="Arial" w:eastAsia="Arial" w:hAnsi="Arial"/>
                <w:sz w:val="18"/>
                <w:szCs w:val="18"/>
                <w:color w:val="auto"/>
              </w:rPr>
              <w:t>20.05.2005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11/133277</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40985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ind w:left="160"/>
              <w:spacing w:after="0"/>
              <w:rPr>
                <w:sz w:val="20"/>
                <w:szCs w:val="20"/>
                <w:color w:val="auto"/>
              </w:rPr>
            </w:pPr>
            <w:r>
              <w:rPr>
                <w:rFonts w:ascii="Arial" w:cs="Arial" w:eastAsia="Arial" w:hAnsi="Arial"/>
                <w:sz w:val="18"/>
                <w:szCs w:val="18"/>
                <w:color w:val="auto"/>
              </w:rPr>
              <w:t>08.12.2005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5824117.5</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40985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HR</w:t>
            </w:r>
          </w:p>
        </w:tc>
        <w:tc>
          <w:tcPr>
            <w:tcW w:w="1140" w:type="dxa"/>
            <w:vAlign w:val="bottom"/>
          </w:tcPr>
          <w:p>
            <w:pPr>
              <w:ind w:left="160"/>
              <w:spacing w:after="0"/>
              <w:rPr>
                <w:sz w:val="20"/>
                <w:szCs w:val="20"/>
                <w:color w:val="auto"/>
              </w:rPr>
            </w:pPr>
            <w:r>
              <w:rPr>
                <w:rFonts w:ascii="Arial" w:cs="Arial" w:eastAsia="Arial" w:hAnsi="Arial"/>
                <w:sz w:val="18"/>
                <w:szCs w:val="18"/>
                <w:color w:val="auto"/>
              </w:rPr>
              <w:t>08.12.2005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P200703056A</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40985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RU</w:t>
            </w:r>
          </w:p>
        </w:tc>
        <w:tc>
          <w:tcPr>
            <w:tcW w:w="1140" w:type="dxa"/>
            <w:vAlign w:val="bottom"/>
          </w:tcPr>
          <w:p>
            <w:pPr>
              <w:ind w:left="160"/>
              <w:spacing w:after="0"/>
              <w:rPr>
                <w:sz w:val="20"/>
                <w:szCs w:val="20"/>
                <w:color w:val="auto"/>
              </w:rPr>
            </w:pPr>
            <w:r>
              <w:rPr>
                <w:rFonts w:ascii="Arial" w:cs="Arial" w:eastAsia="Arial" w:hAnsi="Arial"/>
                <w:sz w:val="18"/>
                <w:szCs w:val="18"/>
                <w:color w:val="auto"/>
              </w:rPr>
              <w:t>08.12.2005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2007132872</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40985</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UA</w:t>
            </w:r>
          </w:p>
        </w:tc>
        <w:tc>
          <w:tcPr>
            <w:tcW w:w="1140" w:type="dxa"/>
            <w:vAlign w:val="bottom"/>
          </w:tcPr>
          <w:p>
            <w:pPr>
              <w:ind w:left="160"/>
              <w:spacing w:after="0"/>
              <w:rPr>
                <w:sz w:val="20"/>
                <w:szCs w:val="20"/>
                <w:color w:val="auto"/>
              </w:rPr>
            </w:pPr>
            <w:r>
              <w:rPr>
                <w:rFonts w:ascii="Arial" w:cs="Arial" w:eastAsia="Arial" w:hAnsi="Arial"/>
                <w:sz w:val="18"/>
                <w:szCs w:val="18"/>
                <w:color w:val="auto"/>
              </w:rPr>
              <w:t>08.12.2005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2007 09534</w:t>
            </w:r>
          </w:p>
        </w:tc>
      </w:tr>
      <w:tr>
        <w:trPr>
          <w:trHeight w:val="324"/>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41305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ind w:left="160"/>
              <w:spacing w:after="0"/>
              <w:rPr>
                <w:sz w:val="20"/>
                <w:szCs w:val="20"/>
                <w:color w:val="auto"/>
              </w:rPr>
            </w:pPr>
            <w:r>
              <w:rPr>
                <w:rFonts w:ascii="Arial" w:cs="Arial" w:eastAsia="Arial" w:hAnsi="Arial"/>
                <w:sz w:val="18"/>
                <w:szCs w:val="18"/>
                <w:color w:val="auto"/>
              </w:rPr>
              <w:t>12.12.2005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11/298622</w:t>
            </w:r>
          </w:p>
        </w:tc>
      </w:tr>
      <w:tr>
        <w:trPr>
          <w:trHeight w:val="324"/>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Local 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41410</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ind w:left="160"/>
              <w:spacing w:after="0"/>
              <w:rPr>
                <w:sz w:val="20"/>
                <w:szCs w:val="20"/>
                <w:color w:val="auto"/>
              </w:rPr>
            </w:pPr>
            <w:r>
              <w:rPr>
                <w:rFonts w:ascii="Arial" w:cs="Arial" w:eastAsia="Arial" w:hAnsi="Arial"/>
                <w:sz w:val="18"/>
                <w:szCs w:val="18"/>
                <w:color w:val="auto"/>
              </w:rPr>
              <w:t>26.10.2006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6809713.8</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Pending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41410</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US</w:t>
            </w:r>
          </w:p>
        </w:tc>
        <w:tc>
          <w:tcPr>
            <w:tcW w:w="1140" w:type="dxa"/>
            <w:vAlign w:val="bottom"/>
          </w:tcPr>
          <w:p>
            <w:pPr>
              <w:ind w:left="160"/>
              <w:spacing w:after="0"/>
              <w:rPr>
                <w:sz w:val="20"/>
                <w:szCs w:val="20"/>
                <w:color w:val="auto"/>
              </w:rPr>
            </w:pPr>
            <w:r>
              <w:rPr>
                <w:rFonts w:ascii="Arial" w:cs="Arial" w:eastAsia="Arial" w:hAnsi="Arial"/>
                <w:sz w:val="18"/>
                <w:szCs w:val="18"/>
                <w:color w:val="auto"/>
              </w:rPr>
              <w:t>27.03.2006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11/389026</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AU</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2005268547</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BR</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PI0514400.0</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CA</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2575106</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CN</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200580032286</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EP</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5772981.6</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HK</w:t>
            </w:r>
          </w:p>
        </w:tc>
        <w:tc>
          <w:tcPr>
            <w:tcW w:w="1140" w:type="dxa"/>
            <w:vAlign w:val="bottom"/>
          </w:tcPr>
          <w:p>
            <w:pPr>
              <w:ind w:left="160"/>
              <w:spacing w:after="0"/>
              <w:rPr>
                <w:sz w:val="20"/>
                <w:szCs w:val="20"/>
                <w:color w:val="auto"/>
              </w:rPr>
            </w:pPr>
            <w:r>
              <w:rPr>
                <w:rFonts w:ascii="Arial" w:cs="Arial" w:eastAsia="Arial" w:hAnsi="Arial"/>
                <w:sz w:val="18"/>
                <w:szCs w:val="18"/>
                <w:color w:val="auto"/>
              </w:rPr>
              <w:t>28.02.2008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8102265.6</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ID</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W00200700292</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Local filing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IN</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856/DELNP/20</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75"/>
              </w:rPr>
              <w:t>JP</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2007-523168</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KR</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2007-7003351</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MX</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MX/a/2007/001</w:t>
            </w:r>
          </w:p>
        </w:tc>
      </w:tr>
      <w:tr>
        <w:trPr>
          <w:trHeight w:val="432"/>
        </w:trPr>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RU</w:t>
            </w:r>
          </w:p>
        </w:tc>
        <w:tc>
          <w:tcPr>
            <w:tcW w:w="1140" w:type="dxa"/>
            <w:vAlign w:val="bottom"/>
          </w:tcPr>
          <w:p>
            <w:pPr>
              <w:ind w:left="160"/>
              <w:spacing w:after="0"/>
              <w:rPr>
                <w:sz w:val="20"/>
                <w:szCs w:val="20"/>
                <w:color w:val="auto"/>
              </w:rPr>
            </w:pPr>
            <w:r>
              <w:rPr>
                <w:rFonts w:ascii="Arial" w:cs="Arial" w:eastAsia="Arial" w:hAnsi="Arial"/>
                <w:sz w:val="18"/>
                <w:szCs w:val="18"/>
                <w:color w:val="auto"/>
              </w:rPr>
              <w:t>25.07.2005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2007105981</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Allowance</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SG</w:t>
            </w:r>
          </w:p>
        </w:tc>
        <w:tc>
          <w:tcPr>
            <w:tcW w:w="1140" w:type="dxa"/>
            <w:vAlign w:val="bottom"/>
          </w:tcPr>
          <w:p>
            <w:pPr>
              <w:ind w:left="160"/>
              <w:spacing w:after="0"/>
              <w:rPr>
                <w:sz w:val="20"/>
                <w:szCs w:val="20"/>
                <w:color w:val="auto"/>
              </w:rPr>
            </w:pPr>
            <w:r>
              <w:rPr>
                <w:rFonts w:ascii="Arial" w:cs="Arial" w:eastAsia="Arial" w:hAnsi="Arial"/>
                <w:sz w:val="18"/>
                <w:szCs w:val="18"/>
                <w:color w:val="auto"/>
              </w:rPr>
              <w:t>26.01.2007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200700603.4</w:t>
            </w:r>
          </w:p>
        </w:tc>
      </w:tr>
      <w:tr>
        <w:trPr>
          <w:trHeight w:val="432"/>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43895</w:t>
            </w: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SG</w:t>
            </w:r>
          </w:p>
        </w:tc>
        <w:tc>
          <w:tcPr>
            <w:tcW w:w="1140" w:type="dxa"/>
            <w:vAlign w:val="bottom"/>
          </w:tcPr>
          <w:p>
            <w:pPr>
              <w:ind w:left="160"/>
              <w:spacing w:after="0"/>
              <w:rPr>
                <w:sz w:val="20"/>
                <w:szCs w:val="20"/>
                <w:color w:val="auto"/>
              </w:rPr>
            </w:pPr>
            <w:r>
              <w:rPr>
                <w:rFonts w:ascii="Arial" w:cs="Arial" w:eastAsia="Arial" w:hAnsi="Arial"/>
                <w:sz w:val="18"/>
                <w:szCs w:val="18"/>
                <w:color w:val="auto"/>
              </w:rPr>
              <w:t>27.07.2009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200905097.2</w:t>
            </w:r>
          </w:p>
        </w:tc>
      </w:tr>
    </w:tbl>
    <w:p>
      <w:pPr>
        <w:spacing w:after="0" w:line="309" w:lineRule="exact"/>
        <w:rPr>
          <w:sz w:val="20"/>
          <w:szCs w:val="20"/>
          <w:color w:val="auto"/>
        </w:rPr>
      </w:pPr>
    </w:p>
    <w:p>
      <w:pPr>
        <w:sectPr>
          <w:pgSz w:w="11900" w:h="16838" w:orient="portrait"/>
          <w:cols w:equalWidth="0" w:num="3">
            <w:col w:w="1360" w:space="120"/>
            <w:col w:w="3600" w:space="180"/>
            <w:col w:w="6140"/>
          </w:cols>
          <w:pgMar w:left="260" w:top="877" w:right="239" w:bottom="1440" w:gutter="0" w:footer="0" w:header="0"/>
        </w:sectPr>
      </w:pPr>
    </w:p>
    <w:p>
      <w:pPr>
        <w:jc w:val="center"/>
        <w:ind w:left="8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7"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875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US20060020669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ZA2007/1602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US20060015520</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CN101112048</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EP1829292</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KR899331</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US7366511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CN200580023268</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EP1769377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JP4657294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US7730294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CN101053201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EP1807970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US7729385</w:t>
      </w:r>
    </w:p>
    <w:p>
      <w:pPr>
        <w:spacing w:after="0" w:line="225" w:lineRule="exact"/>
        <w:rPr>
          <w:sz w:val="20"/>
          <w:szCs w:val="20"/>
          <w:color w:val="auto"/>
        </w:rPr>
      </w:pPr>
    </w:p>
    <w:p>
      <w:pPr>
        <w:jc w:val="center"/>
        <w:spacing w:after="0" w:line="297" w:lineRule="auto"/>
        <w:rPr>
          <w:sz w:val="20"/>
          <w:szCs w:val="20"/>
          <w:color w:val="auto"/>
        </w:rPr>
      </w:pPr>
      <w:r>
        <w:rPr>
          <w:rFonts w:ascii="Arial" w:cs="Arial" w:eastAsia="Arial" w:hAnsi="Arial"/>
          <w:sz w:val="16"/>
          <w:szCs w:val="16"/>
          <w:color w:val="auto"/>
        </w:rPr>
        <w:t>CN200580044792 EP1810445 IN3635/DELNP/2 KR895028 US8150920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EP1869929</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US7630338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APAP/P/08/00440</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CN101278589</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EP1938648</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219"/>
        <w:spacing w:after="0"/>
        <w:rPr>
          <w:sz w:val="20"/>
          <w:szCs w:val="20"/>
          <w:color w:val="auto"/>
        </w:rPr>
      </w:pPr>
      <w:r>
        <w:rPr>
          <w:rFonts w:ascii="Arial" w:cs="Arial" w:eastAsia="Arial" w:hAnsi="Arial"/>
          <w:sz w:val="18"/>
          <w:szCs w:val="18"/>
          <w:b w:val="1"/>
          <w:bCs w:val="1"/>
          <w:color w:val="auto"/>
        </w:rPr>
        <w:t>Title</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FORBIDDING OF CONTENT ADAPTATION WHEN SENDING A MESSAGE FORBIDDING OF CONTENT ADAPTATION WHEN SENDING A MESSAGE METHOD TO ENHANCE APPLICATION CONTENT PURCHASE PROCEDURE SMART WLAN NETWORK SCANNING SMART WLAN NETWORK SCANNING SMART WLAN NETWORK SCANNING SMART WLAN NETWORK SCANNING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-1374775</wp:posOffset>
            </wp:positionV>
            <wp:extent cx="23241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right="320"/>
        <w:spacing w:after="0" w:line="265" w:lineRule="auto"/>
        <w:rPr>
          <w:sz w:val="20"/>
          <w:szCs w:val="20"/>
          <w:color w:val="auto"/>
        </w:rPr>
      </w:pPr>
      <w:r>
        <w:rPr>
          <w:rFonts w:ascii="Arial" w:cs="Arial" w:eastAsia="Arial" w:hAnsi="Arial"/>
          <w:sz w:val="17"/>
          <w:szCs w:val="17"/>
          <w:color w:val="auto"/>
        </w:rPr>
        <w:t>A SYSTEM AND ARCHITECTURE FOR VIRTUAL PRIVATE NETWORKING</w:t>
      </w:r>
    </w:p>
    <w:p>
      <w:pPr>
        <w:ind w:right="320"/>
        <w:spacing w:after="0" w:line="265" w:lineRule="auto"/>
        <w:rPr>
          <w:sz w:val="20"/>
          <w:szCs w:val="20"/>
          <w:color w:val="auto"/>
        </w:rPr>
      </w:pPr>
      <w:r>
        <w:rPr>
          <w:rFonts w:ascii="Arial" w:cs="Arial" w:eastAsia="Arial" w:hAnsi="Arial"/>
          <w:sz w:val="17"/>
          <w:szCs w:val="17"/>
          <w:color w:val="auto"/>
        </w:rPr>
        <w:t>A SYSTEM AND ARCHITECTURE FOR VIRTUAL PRIVATE NETWORKING</w:t>
      </w:r>
    </w:p>
    <w:p>
      <w:pPr>
        <w:ind w:right="320"/>
        <w:spacing w:after="0" w:line="265" w:lineRule="auto"/>
        <w:rPr>
          <w:sz w:val="20"/>
          <w:szCs w:val="20"/>
          <w:color w:val="auto"/>
        </w:rPr>
      </w:pPr>
      <w:r>
        <w:rPr>
          <w:rFonts w:ascii="Arial" w:cs="Arial" w:eastAsia="Arial" w:hAnsi="Arial"/>
          <w:sz w:val="17"/>
          <w:szCs w:val="17"/>
          <w:color w:val="auto"/>
        </w:rPr>
        <w:t>A SYSTEM AND ARCHITECTURE FOR VIRTUAL PRIVATE NETWORKING</w:t>
      </w:r>
    </w:p>
    <w:p>
      <w:pPr>
        <w:ind w:right="320"/>
        <w:spacing w:after="0" w:line="265" w:lineRule="auto"/>
        <w:rPr>
          <w:sz w:val="20"/>
          <w:szCs w:val="20"/>
          <w:color w:val="auto"/>
        </w:rPr>
      </w:pPr>
      <w:r>
        <w:rPr>
          <w:rFonts w:ascii="Arial" w:cs="Arial" w:eastAsia="Arial" w:hAnsi="Arial"/>
          <w:sz w:val="17"/>
          <w:szCs w:val="17"/>
          <w:color w:val="auto"/>
        </w:rPr>
        <w:t>A SYSTEM AND ARCHITECTURE FOR VIRTUAL PRIVATE NETWORKING</w:t>
      </w:r>
    </w:p>
    <w:p>
      <w:pPr>
        <w:spacing w:after="0" w:line="250" w:lineRule="auto"/>
        <w:rPr>
          <w:sz w:val="20"/>
          <w:szCs w:val="20"/>
          <w:color w:val="auto"/>
        </w:rPr>
      </w:pPr>
      <w:r>
        <w:rPr>
          <w:rFonts w:ascii="Arial" w:cs="Arial" w:eastAsia="Arial" w:hAnsi="Arial"/>
          <w:sz w:val="18"/>
          <w:szCs w:val="18"/>
          <w:color w:val="auto"/>
        </w:rPr>
        <w:t>IP CAROUSELS FOR BANDWIDTH USAGE OPTIMIZATION IN DVB-H IP ENCAPSULATORS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IP CAROUSELS FOR BANDWIDTH USAGE OPTIMIZATION IN DVB-H IP ENCAPSULATORS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IP CAROUSELS FOR BANDWIDTH USAGE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OPTIMIZATION IN DVB-H 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ENCAPSULATORS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CONFERENCING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CONFERENCING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CONFERENCING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CONFERENCING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CONFERENCING</w:t>
      </w:r>
    </w:p>
    <w:p>
      <w:pPr>
        <w:spacing w:after="0" w:line="9"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A METHOD FOR PACKET TRAFFIC OPTIMIZED RADIO RESOURCE MANAGEMENT</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A METHOD FOR PACKET TRAFFIC OPTIMIZED RADIO RESOURCE MANAGEMENT</w:t>
      </w:r>
    </w:p>
    <w:p>
      <w:pPr>
        <w:spacing w:after="0" w:line="1"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No.</w:t>
            </w:r>
          </w:p>
        </w:tc>
      </w:tr>
      <w:tr>
        <w:trPr>
          <w:trHeight w:val="31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43895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26.07.2004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10/899322</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43895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ZA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25.07.2005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2007/1602</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44802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14.06.2004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10/868499</w:t>
            </w:r>
          </w:p>
        </w:tc>
      </w:tr>
      <w:tr>
        <w:trPr>
          <w:trHeight w:val="310"/>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Allowance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44839</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20.12.2005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200580047549</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Local 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44839</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20.12.2005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5850701.3</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44839</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20.12.2005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2007-7016572</w:t>
            </w:r>
          </w:p>
        </w:tc>
      </w:tr>
      <w:tr>
        <w:trPr>
          <w:trHeight w:val="23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44839</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20.12.2004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11/017426</w:t>
            </w:r>
          </w:p>
        </w:tc>
      </w:tr>
      <w:tr>
        <w:trPr>
          <w:trHeight w:val="324"/>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45193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31.05.2005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200580023268</w:t>
            </w:r>
          </w:p>
        </w:tc>
      </w:tr>
      <w:tr>
        <w:trPr>
          <w:trHeight w:val="432"/>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45193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31.05.2005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5751741.9</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45193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31.05.2005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2007-514186</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45193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04.06.2004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10/861226</w:t>
            </w:r>
          </w:p>
        </w:tc>
      </w:tr>
      <w:tr>
        <w:trPr>
          <w:trHeight w:val="540"/>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45236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200580037510</w:t>
            </w:r>
          </w:p>
        </w:tc>
      </w:tr>
      <w:tr>
        <w:trPr>
          <w:trHeight w:val="648"/>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45236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27.10.2005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5809969.8</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45236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01.11.2004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10/976851</w:t>
            </w:r>
          </w:p>
        </w:tc>
      </w:tr>
      <w:tr>
        <w:trPr>
          <w:trHeight w:val="41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45410</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200580044792</w:t>
            </w:r>
          </w:p>
        </w:tc>
      </w:tr>
      <w:tr>
        <w:trPr>
          <w:trHeight w:val="216"/>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45410</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26.10.2005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5819781.5</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Local 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45410</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26.10.2005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3635/DELNP/2</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45410</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rPr>
              <w:t>KR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26.10.2005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2007-7012367</w:t>
            </w:r>
          </w:p>
        </w:tc>
      </w:tr>
      <w:tr>
        <w:trPr>
          <w:trHeight w:val="230"/>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45410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01.11.2004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10/978861</w:t>
            </w: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Local 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46645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12.04.2006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6727470.4</w:t>
            </w:r>
          </w:p>
        </w:tc>
      </w:tr>
      <w:tr>
        <w:trPr>
          <w:trHeight w:val="64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46645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US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12.04.2006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11/403695</w:t>
            </w:r>
          </w:p>
        </w:tc>
      </w:tr>
      <w:tr>
        <w:trPr>
          <w:trHeight w:val="648"/>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Allowance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46841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29.09.2006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AP/P/08/00440</w:t>
            </w:r>
          </w:p>
        </w:tc>
      </w:tr>
      <w:tr>
        <w:trPr>
          <w:trHeight w:val="648"/>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46841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29.09.2006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200680036107</w:t>
            </w:r>
          </w:p>
        </w:tc>
      </w:tr>
      <w:tr>
        <w:trPr>
          <w:trHeight w:val="648"/>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46841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29.09.2006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6808913.5</w:t>
            </w:r>
          </w:p>
        </w:tc>
      </w:tr>
    </w:tbl>
    <w:p>
      <w:pPr>
        <w:spacing w:after="0" w:line="417" w:lineRule="exact"/>
        <w:rPr>
          <w:sz w:val="20"/>
          <w:szCs w:val="20"/>
          <w:color w:val="auto"/>
        </w:rPr>
      </w:pPr>
    </w:p>
    <w:p>
      <w:pPr>
        <w:sectPr>
          <w:pgSz w:w="11900" w:h="16838" w:orient="portrait"/>
          <w:cols w:equalWidth="0" w:num="3">
            <w:col w:w="1320" w:space="140"/>
            <w:col w:w="3460" w:space="320"/>
            <w:col w:w="6140"/>
          </w:cols>
          <w:pgMar w:left="280" w:top="877" w:right="239" w:bottom="1440" w:gutter="0" w:footer="0" w:header="0"/>
        </w:sectPr>
      </w:pPr>
    </w:p>
    <w:p>
      <w:pPr>
        <w:jc w:val="center"/>
        <w:ind w:left="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80" w:top="877"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Patent/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875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IN1917/DELNP/2</w:t>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JP2009-</w:t>
      </w:r>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KR992075</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PK1286/2006</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TW95136469</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US20070070949</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US20070238525</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EP2011311</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US20070240189</w:t>
      </w: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US7869837</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US8112075</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EP1873998</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US20080002829</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US20080153510</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CN101653023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EP2132915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IN5874/CHENP/2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US7907969</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US20080256627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11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3241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4"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PSI/SI INDICATOR AND TRANSFERING PSI/SI BLOCKS IN THE TRANSPARENT CONTAINER FOR</w:t>
      </w:r>
    </w:p>
    <w:p>
      <w:pPr>
        <w:spacing w:after="0" w:line="1"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color w:val="auto"/>
        </w:rPr>
        <w:t>EVENT TRIGGERED MICRO AND MINIGAMES</w:t>
      </w:r>
    </w:p>
    <w:p>
      <w:pPr>
        <w:ind w:right="480"/>
        <w:spacing w:after="0" w:line="260" w:lineRule="auto"/>
        <w:rPr>
          <w:sz w:val="20"/>
          <w:szCs w:val="20"/>
          <w:color w:val="auto"/>
        </w:rPr>
      </w:pPr>
      <w:r>
        <w:rPr>
          <w:rFonts w:ascii="Arial" w:cs="Arial" w:eastAsia="Arial" w:hAnsi="Arial"/>
          <w:sz w:val="18"/>
          <w:szCs w:val="18"/>
          <w:color w:val="auto"/>
        </w:rPr>
        <w:t>UTILIZING PRESENCE SERVICE FOR SERVICE DISCOVERY IN MOBILE BROADCAST</w:t>
      </w:r>
    </w:p>
    <w:p>
      <w:pPr>
        <w:spacing w:after="0" w:line="3"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UTILIZING PRESENCE SERVICE FOR SERVICE DISCOVERY IN MOBILE BROADCAST</w:t>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MOBILE IP NODE LOSSLESS TRANSITION FROM IDLE TO AWAKE STATE HARQ-AWARE CQI REPORTING</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USER PRIVACY: PROTECTING IMSI FROM ACTIVE ATTACKERS IN 3GPPLTE (REL 8) USER PRIVACY: PROTECTING IMSI FROM ACTIVE ATTACKERS IN 3GPPLTE (REL 8) UPDATING SERVER WHEN NO TAG EXISTING</w:t>
      </w:r>
    </w:p>
    <w:p>
      <w:pPr>
        <w:spacing w:after="0" w:line="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I-HSPA ADAPTER IDENTIFICATION IN SGSN</w:t>
      </w:r>
    </w:p>
    <w:p>
      <w:pPr>
        <w:ind w:right="360"/>
        <w:spacing w:after="0" w:line="266" w:lineRule="auto"/>
        <w:rPr>
          <w:sz w:val="20"/>
          <w:szCs w:val="20"/>
          <w:color w:val="auto"/>
        </w:rPr>
      </w:pPr>
      <w:r>
        <w:rPr>
          <w:rFonts w:ascii="Arial" w:cs="Arial" w:eastAsia="Arial" w:hAnsi="Arial"/>
          <w:sz w:val="18"/>
          <w:szCs w:val="18"/>
          <w:color w:val="auto"/>
        </w:rPr>
        <w:t>I-HSPA ADAPTER IDENTIFICATION IN SGSN</w:t>
      </w:r>
    </w:p>
    <w:p>
      <w:pPr>
        <w:ind w:right="360"/>
        <w:spacing w:after="0" w:line="266" w:lineRule="auto"/>
        <w:rPr>
          <w:sz w:val="20"/>
          <w:szCs w:val="20"/>
          <w:color w:val="auto"/>
        </w:rPr>
      </w:pPr>
      <w:r>
        <w:rPr>
          <w:rFonts w:ascii="Arial" w:cs="Arial" w:eastAsia="Arial" w:hAnsi="Arial"/>
          <w:sz w:val="18"/>
          <w:szCs w:val="18"/>
          <w:color w:val="auto"/>
        </w:rPr>
        <w:t>I-HSPA ADAPTER IDENTIFICATION IN SGSN</w:t>
      </w:r>
    </w:p>
    <w:p>
      <w:pPr>
        <w:ind w:right="360"/>
        <w:spacing w:after="0" w:line="266" w:lineRule="auto"/>
        <w:rPr>
          <w:sz w:val="20"/>
          <w:szCs w:val="20"/>
          <w:color w:val="auto"/>
        </w:rPr>
      </w:pPr>
      <w:r>
        <w:rPr>
          <w:rFonts w:ascii="Arial" w:cs="Arial" w:eastAsia="Arial" w:hAnsi="Arial"/>
          <w:sz w:val="18"/>
          <w:szCs w:val="18"/>
          <w:color w:val="auto"/>
        </w:rPr>
        <w:t>I-HSPA ADAPTER IDENTIFICATION IN SGSN</w:t>
      </w:r>
    </w:p>
    <w:p>
      <w:pPr>
        <w:spacing w:after="0" w:line="277" w:lineRule="auto"/>
        <w:rPr>
          <w:sz w:val="20"/>
          <w:szCs w:val="20"/>
          <w:color w:val="auto"/>
        </w:rPr>
      </w:pPr>
      <w:r>
        <w:rPr>
          <w:rFonts w:ascii="Arial" w:cs="Arial" w:eastAsia="Arial" w:hAnsi="Arial"/>
          <w:sz w:val="18"/>
          <w:szCs w:val="18"/>
          <w:color w:val="auto"/>
        </w:rPr>
        <w:t>COPYRIGHTS WITH POST-PAYMENTS FOR P2P FILE SHARING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Family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County</w:t>
            </w: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Filing Date</w:t>
            </w:r>
          </w:p>
        </w:tc>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Filing No.</w:t>
            </w:r>
          </w:p>
        </w:tc>
      </w:tr>
      <w:tr>
        <w:trPr>
          <w:trHeight w:val="446"/>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Local 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46841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IN</w:t>
            </w:r>
          </w:p>
        </w:tc>
        <w:tc>
          <w:tcPr>
            <w:tcW w:w="1220" w:type="dxa"/>
            <w:vAlign w:val="bottom"/>
          </w:tcPr>
          <w:p>
            <w:pPr>
              <w:ind w:left="260"/>
              <w:spacing w:after="0"/>
              <w:rPr>
                <w:sz w:val="20"/>
                <w:szCs w:val="20"/>
                <w:color w:val="auto"/>
              </w:rPr>
            </w:pPr>
            <w:r>
              <w:rPr>
                <w:rFonts w:ascii="Arial" w:cs="Arial" w:eastAsia="Arial" w:hAnsi="Arial"/>
                <w:sz w:val="18"/>
                <w:szCs w:val="18"/>
                <w:color w:val="auto"/>
              </w:rPr>
              <w:t>29.09.2006</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4"/>
              </w:rPr>
              <w:t>1917/DELNP/2</w:t>
            </w:r>
          </w:p>
        </w:tc>
      </w:tr>
      <w:tr>
        <w:trPr>
          <w:trHeight w:val="675"/>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46841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JP</w:t>
            </w:r>
          </w:p>
        </w:tc>
        <w:tc>
          <w:tcPr>
            <w:tcW w:w="1220" w:type="dxa"/>
            <w:vAlign w:val="bottom"/>
          </w:tcPr>
          <w:p>
            <w:pPr>
              <w:ind w:left="260"/>
              <w:spacing w:after="0"/>
              <w:rPr>
                <w:sz w:val="20"/>
                <w:szCs w:val="20"/>
                <w:color w:val="auto"/>
              </w:rPr>
            </w:pPr>
            <w:r>
              <w:rPr>
                <w:rFonts w:ascii="Arial" w:cs="Arial" w:eastAsia="Arial" w:hAnsi="Arial"/>
                <w:sz w:val="18"/>
                <w:szCs w:val="18"/>
                <w:color w:val="auto"/>
              </w:rPr>
              <w:t>29.09.2006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90"/>
              </w:rPr>
              <w:t>2008-531818</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46841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KR</w:t>
            </w:r>
          </w:p>
        </w:tc>
        <w:tc>
          <w:tcPr>
            <w:tcW w:w="1220" w:type="dxa"/>
            <w:vAlign w:val="bottom"/>
          </w:tcPr>
          <w:p>
            <w:pPr>
              <w:ind w:left="260"/>
              <w:spacing w:after="0"/>
              <w:rPr>
                <w:sz w:val="20"/>
                <w:szCs w:val="20"/>
                <w:color w:val="auto"/>
              </w:rPr>
            </w:pPr>
            <w:r>
              <w:rPr>
                <w:rFonts w:ascii="Arial" w:cs="Arial" w:eastAsia="Arial" w:hAnsi="Arial"/>
                <w:sz w:val="18"/>
                <w:szCs w:val="18"/>
                <w:color w:val="auto"/>
              </w:rPr>
              <w:t>29.09.2006</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1"/>
              </w:rPr>
              <w:t>2008-7007485</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46841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PK</w:t>
            </w:r>
          </w:p>
        </w:tc>
        <w:tc>
          <w:tcPr>
            <w:tcW w:w="1220" w:type="dxa"/>
            <w:vAlign w:val="bottom"/>
          </w:tcPr>
          <w:p>
            <w:pPr>
              <w:ind w:left="260"/>
              <w:spacing w:after="0"/>
              <w:rPr>
                <w:sz w:val="20"/>
                <w:szCs w:val="20"/>
                <w:color w:val="auto"/>
              </w:rPr>
            </w:pPr>
            <w:r>
              <w:rPr>
                <w:rFonts w:ascii="Arial" w:cs="Arial" w:eastAsia="Arial" w:hAnsi="Arial"/>
                <w:sz w:val="18"/>
                <w:szCs w:val="18"/>
                <w:color w:val="auto"/>
              </w:rPr>
              <w:t>29.09.2006</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1"/>
              </w:rPr>
              <w:t>1286/2006</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46841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TW</w:t>
            </w:r>
          </w:p>
        </w:tc>
        <w:tc>
          <w:tcPr>
            <w:tcW w:w="1220" w:type="dxa"/>
            <w:vAlign w:val="bottom"/>
          </w:tcPr>
          <w:p>
            <w:pPr>
              <w:ind w:left="260"/>
              <w:spacing w:after="0"/>
              <w:rPr>
                <w:sz w:val="20"/>
                <w:szCs w:val="20"/>
                <w:color w:val="auto"/>
              </w:rPr>
            </w:pPr>
            <w:r>
              <w:rPr>
                <w:rFonts w:ascii="Arial" w:cs="Arial" w:eastAsia="Arial" w:hAnsi="Arial"/>
                <w:sz w:val="18"/>
                <w:szCs w:val="18"/>
                <w:color w:val="auto"/>
              </w:rPr>
              <w:t>29.09.2006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95136469</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46841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28.09.2006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11/540940</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51553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30.03.2006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11/393588</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Abandoned</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52014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EP</w:t>
            </w:r>
          </w:p>
        </w:tc>
        <w:tc>
          <w:tcPr>
            <w:tcW w:w="1220" w:type="dxa"/>
            <w:vAlign w:val="bottom"/>
          </w:tcPr>
          <w:p>
            <w:pPr>
              <w:ind w:left="260"/>
              <w:spacing w:after="0"/>
              <w:rPr>
                <w:sz w:val="20"/>
                <w:szCs w:val="20"/>
                <w:color w:val="auto"/>
              </w:rPr>
            </w:pPr>
            <w:r>
              <w:rPr>
                <w:rFonts w:ascii="Arial" w:cs="Arial" w:eastAsia="Arial" w:hAnsi="Arial"/>
                <w:sz w:val="18"/>
                <w:szCs w:val="18"/>
                <w:color w:val="auto"/>
              </w:rPr>
              <w:t>05.04.2007</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7754821.2</w:t>
            </w:r>
          </w:p>
        </w:tc>
      </w:tr>
      <w:tr>
        <w:trPr>
          <w:trHeight w:val="675"/>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Abandoned</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52014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06.04.2006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11/398757</w:t>
            </w:r>
          </w:p>
        </w:tc>
      </w:tr>
      <w:tr>
        <w:trPr>
          <w:trHeight w:val="567"/>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52069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13.12.2006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11/610436</w:t>
            </w:r>
          </w:p>
        </w:tc>
      </w:tr>
      <w:tr>
        <w:trPr>
          <w:trHeight w:val="351"/>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52716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23.03.2007</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11/728265</w:t>
            </w:r>
          </w:p>
        </w:tc>
      </w:tr>
      <w:tr>
        <w:trPr>
          <w:trHeight w:val="351"/>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53394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EP</w:t>
            </w:r>
          </w:p>
        </w:tc>
        <w:tc>
          <w:tcPr>
            <w:tcW w:w="1220" w:type="dxa"/>
            <w:vAlign w:val="bottom"/>
          </w:tcPr>
          <w:p>
            <w:pPr>
              <w:ind w:left="260"/>
              <w:spacing w:after="0"/>
              <w:rPr>
                <w:sz w:val="20"/>
                <w:szCs w:val="20"/>
                <w:color w:val="auto"/>
              </w:rPr>
            </w:pPr>
            <w:r>
              <w:rPr>
                <w:rFonts w:ascii="Arial" w:cs="Arial" w:eastAsia="Arial" w:hAnsi="Arial"/>
                <w:sz w:val="18"/>
                <w:szCs w:val="18"/>
                <w:color w:val="auto"/>
              </w:rPr>
              <w:t>22.06.2007</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7252548.8</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53394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27.06.2007</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11/769621</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54228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22.12.2006</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11/615327</w:t>
            </w:r>
          </w:p>
        </w:tc>
      </w:tr>
      <w:tr>
        <w:trPr>
          <w:trHeight w:val="459"/>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56536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CN</w:t>
            </w:r>
          </w:p>
        </w:tc>
        <w:tc>
          <w:tcPr>
            <w:tcW w:w="1220" w:type="dxa"/>
            <w:vAlign w:val="bottom"/>
          </w:tcPr>
          <w:p>
            <w:pPr>
              <w:ind w:left="260"/>
              <w:spacing w:after="0"/>
              <w:rPr>
                <w:sz w:val="20"/>
                <w:szCs w:val="20"/>
                <w:color w:val="auto"/>
              </w:rPr>
            </w:pPr>
            <w:r>
              <w:rPr>
                <w:rFonts w:ascii="Arial" w:cs="Arial" w:eastAsia="Arial" w:hAnsi="Arial"/>
                <w:sz w:val="18"/>
                <w:szCs w:val="18"/>
                <w:color w:val="auto"/>
              </w:rPr>
              <w:t>31.03.2008</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200880010870</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Local filing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56536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EP</w:t>
            </w:r>
          </w:p>
        </w:tc>
        <w:tc>
          <w:tcPr>
            <w:tcW w:w="1220" w:type="dxa"/>
            <w:vAlign w:val="bottom"/>
          </w:tcPr>
          <w:p>
            <w:pPr>
              <w:ind w:left="260"/>
              <w:spacing w:after="0"/>
              <w:rPr>
                <w:sz w:val="20"/>
                <w:szCs w:val="20"/>
                <w:color w:val="auto"/>
              </w:rPr>
            </w:pPr>
            <w:r>
              <w:rPr>
                <w:rFonts w:ascii="Arial" w:cs="Arial" w:eastAsia="Arial" w:hAnsi="Arial"/>
                <w:sz w:val="18"/>
                <w:szCs w:val="18"/>
                <w:color w:val="auto"/>
              </w:rPr>
              <w:t>31.03.2008</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8736805.6</w:t>
            </w:r>
          </w:p>
        </w:tc>
      </w:tr>
      <w:tr>
        <w:trPr>
          <w:trHeight w:val="459"/>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Publication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56536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IN</w:t>
            </w:r>
          </w:p>
        </w:tc>
        <w:tc>
          <w:tcPr>
            <w:tcW w:w="1220" w:type="dxa"/>
            <w:vAlign w:val="bottom"/>
          </w:tcPr>
          <w:p>
            <w:pPr>
              <w:ind w:left="260"/>
              <w:spacing w:after="0"/>
              <w:rPr>
                <w:sz w:val="20"/>
                <w:szCs w:val="20"/>
                <w:color w:val="auto"/>
              </w:rPr>
            </w:pPr>
            <w:r>
              <w:rPr>
                <w:rFonts w:ascii="Arial" w:cs="Arial" w:eastAsia="Arial" w:hAnsi="Arial"/>
                <w:sz w:val="18"/>
                <w:szCs w:val="18"/>
                <w:color w:val="auto"/>
              </w:rPr>
              <w:t>31.03.2008</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2"/>
              </w:rPr>
              <w:t>5874/CHENP/2</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Grant</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56536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30.03.2007</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11/731127</w:t>
            </w:r>
          </w:p>
        </w:tc>
      </w:tr>
      <w:tr>
        <w:trPr>
          <w:trHeight w:val="459"/>
        </w:trPr>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Pending</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56542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US</w:t>
            </w:r>
          </w:p>
        </w:tc>
        <w:tc>
          <w:tcPr>
            <w:tcW w:w="1220" w:type="dxa"/>
            <w:vAlign w:val="bottom"/>
          </w:tcPr>
          <w:p>
            <w:pPr>
              <w:ind w:left="260"/>
              <w:spacing w:after="0"/>
              <w:rPr>
                <w:sz w:val="20"/>
                <w:szCs w:val="20"/>
                <w:color w:val="auto"/>
              </w:rPr>
            </w:pPr>
            <w:r>
              <w:rPr>
                <w:rFonts w:ascii="Arial" w:cs="Arial" w:eastAsia="Arial" w:hAnsi="Arial"/>
                <w:sz w:val="18"/>
                <w:szCs w:val="18"/>
                <w:color w:val="auto"/>
              </w:rPr>
              <w:t>13.04.2007</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89"/>
              </w:rPr>
              <w:t>11/734863</w:t>
            </w:r>
          </w:p>
        </w:tc>
      </w:tr>
    </w:tbl>
    <w:p>
      <w:pPr>
        <w:spacing w:after="0" w:line="323" w:lineRule="exact"/>
        <w:rPr>
          <w:sz w:val="20"/>
          <w:szCs w:val="20"/>
          <w:color w:val="auto"/>
        </w:rPr>
      </w:pPr>
    </w:p>
    <w:p>
      <w:pPr>
        <w:sectPr>
          <w:pgSz w:w="11900" w:h="16838" w:orient="portrait"/>
          <w:cols w:equalWidth="0" w:num="3">
            <w:col w:w="1320" w:space="160"/>
            <w:col w:w="3500" w:space="260"/>
            <w:col w:w="6120"/>
          </w:cols>
          <w:pgMar w:left="280" w:top="891" w:right="259" w:bottom="1440" w:gutter="0" w:footer="0" w:header="0"/>
        </w:sectPr>
      </w:pPr>
    </w:p>
    <w:p>
      <w:pPr>
        <w:jc w:val="center"/>
        <w:ind w:left="60" w:right="6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891" w:right="259" w:bottom="144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Patent/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STD</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ESSENTIAL CELLULAR PATENTS</w:t>
      </w:r>
    </w:p>
    <w:p>
      <w:pPr>
        <w:spacing w:after="0" w:line="484" w:lineRule="exact"/>
        <w:rPr>
          <w:sz w:val="20"/>
          <w:szCs w:val="20"/>
          <w:color w:val="auto"/>
        </w:rPr>
      </w:pPr>
    </w:p>
    <w:p>
      <w:pPr>
        <w:sectPr>
          <w:pgSz w:w="11900" w:h="16838" w:orient="portrait"/>
          <w:cols w:equalWidth="0" w:num="3">
            <w:col w:w="760" w:space="700"/>
            <w:col w:w="1980" w:space="720"/>
            <w:col w:w="7160"/>
          </w:cols>
          <w:pgMar w:left="340" w:top="877"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US5722074</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US5805301</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EP740875</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US6295286</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US6081534</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US7420948</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US6859447</w:t>
      </w: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US6456237</w:t>
      </w: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US6393121</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US7792092</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US7072358</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US7242933</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EP1221212</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US7043246</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14605</wp:posOffset>
            </wp:positionV>
            <wp:extent cx="5829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ATM</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ITU</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IETF</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ETSI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ARIB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Standard</w:t>
            </w:r>
          </w:p>
        </w:tc>
        <w:tc>
          <w:tcPr>
            <w:tcW w:w="120" w:type="dxa"/>
            <w:vAlign w:val="bottom"/>
          </w:tcPr>
          <w:p>
            <w:pPr>
              <w:spacing w:after="0"/>
              <w:rPr>
                <w:sz w:val="19"/>
                <w:szCs w:val="19"/>
                <w:color w:val="auto"/>
              </w:rPr>
            </w:pPr>
          </w:p>
        </w:tc>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9"/>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8"/>
              </w:rPr>
              <w:t>WC DMA</w:t>
            </w:r>
          </w:p>
        </w:tc>
        <w:tc>
          <w:tcPr>
            <w:tcW w:w="2740" w:type="dxa"/>
            <w:vAlign w:val="bottom"/>
          </w:tcPr>
          <w:p>
            <w:pPr>
              <w:ind w:left="20"/>
              <w:spacing w:after="0"/>
              <w:rPr>
                <w:sz w:val="20"/>
                <w:szCs w:val="20"/>
                <w:color w:val="auto"/>
              </w:rPr>
            </w:pPr>
            <w:r>
              <w:rPr>
                <w:rFonts w:ascii="Arial" w:cs="Arial" w:eastAsia="Arial" w:hAnsi="Arial"/>
                <w:sz w:val="18"/>
                <w:szCs w:val="18"/>
                <w:color w:val="auto"/>
              </w:rPr>
              <w:t>SOFT HANDOFF IN A</w:t>
            </w:r>
          </w:p>
        </w:tc>
        <w:tc>
          <w:tcPr>
            <w:tcW w:w="0" w:type="dxa"/>
            <w:vAlign w:val="bottom"/>
          </w:tcPr>
          <w:p>
            <w:pPr>
              <w:spacing w:after="0"/>
              <w:rPr>
                <w:sz w:val="1"/>
                <w:szCs w:val="1"/>
                <w:color w:val="auto"/>
              </w:rPr>
            </w:pPr>
          </w:p>
        </w:tc>
      </w:tr>
      <w:tr>
        <w:trPr>
          <w:trHeight w:val="109"/>
        </w:trPr>
        <w:tc>
          <w:tcPr>
            <w:tcW w:w="1260" w:type="dxa"/>
            <w:vAlign w:val="bottom"/>
            <w:gridSpan w:val="2"/>
            <w:vMerge w:val="continue"/>
          </w:tcPr>
          <w:p>
            <w:pPr>
              <w:spacing w:after="0"/>
              <w:rPr>
                <w:sz w:val="9"/>
                <w:szCs w:val="9"/>
                <w:color w:val="auto"/>
              </w:rPr>
            </w:pPr>
          </w:p>
        </w:tc>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CELLULAR</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ind w:left="2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SYSTEM</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FACSIMILE TRANSMISSION IN</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GSM</w:t>
            </w:r>
          </w:p>
        </w:tc>
        <w:tc>
          <w:tcPr>
            <w:tcW w:w="2740" w:type="dxa"/>
            <w:vAlign w:val="bottom"/>
          </w:tcPr>
          <w:p>
            <w:pPr>
              <w:ind w:left="20"/>
              <w:spacing w:after="0"/>
              <w:rPr>
                <w:sz w:val="20"/>
                <w:szCs w:val="20"/>
                <w:color w:val="auto"/>
              </w:rPr>
            </w:pPr>
            <w:r>
              <w:rPr>
                <w:rFonts w:ascii="Arial" w:cs="Arial" w:eastAsia="Arial" w:hAnsi="Arial"/>
                <w:sz w:val="18"/>
                <w:szCs w:val="18"/>
                <w:color w:val="auto"/>
              </w:rPr>
              <w:t>A MOBILE COMMUNICATION</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SYSTEM</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METHOD AND SYSTEM FOR</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ATM</w:t>
            </w:r>
          </w:p>
        </w:tc>
        <w:tc>
          <w:tcPr>
            <w:tcW w:w="2740" w:type="dxa"/>
            <w:vAlign w:val="bottom"/>
          </w:tcPr>
          <w:p>
            <w:pPr>
              <w:ind w:left="20"/>
              <w:spacing w:after="0"/>
              <w:rPr>
                <w:sz w:val="20"/>
                <w:szCs w:val="20"/>
                <w:color w:val="auto"/>
              </w:rPr>
            </w:pPr>
            <w:r>
              <w:rPr>
                <w:rFonts w:ascii="Arial" w:cs="Arial" w:eastAsia="Arial" w:hAnsi="Arial"/>
                <w:sz w:val="18"/>
                <w:szCs w:val="18"/>
                <w:color w:val="auto"/>
                <w:w w:val="99"/>
              </w:rPr>
              <w:t>CONTROLLING STATISTICALLY</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MULTIPLEXEDATM BUS</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A METHOD FOR INDICATING A</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GSM</w:t>
            </w:r>
          </w:p>
        </w:tc>
        <w:tc>
          <w:tcPr>
            <w:tcW w:w="2740" w:type="dxa"/>
            <w:vAlign w:val="bottom"/>
          </w:tcPr>
          <w:p>
            <w:pPr>
              <w:ind w:left="20"/>
              <w:spacing w:after="0"/>
              <w:rPr>
                <w:sz w:val="20"/>
                <w:szCs w:val="20"/>
                <w:color w:val="auto"/>
              </w:rPr>
            </w:pPr>
            <w:r>
              <w:rPr>
                <w:rFonts w:ascii="Arial" w:cs="Arial" w:eastAsia="Arial" w:hAnsi="Arial"/>
                <w:sz w:val="18"/>
                <w:szCs w:val="18"/>
                <w:color w:val="auto"/>
              </w:rPr>
              <w:t>MULTI-SLOT CHANNEL IN A</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TDMA RADIOSYSTEM</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IMPLEMENTATION OF MUTUAL</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GSM, DECT</w:t>
            </w:r>
          </w:p>
        </w:tc>
        <w:tc>
          <w:tcPr>
            <w:tcW w:w="2740" w:type="dxa"/>
            <w:vAlign w:val="bottom"/>
          </w:tcPr>
          <w:p>
            <w:pPr>
              <w:ind w:left="20"/>
              <w:spacing w:after="0"/>
              <w:rPr>
                <w:sz w:val="20"/>
                <w:szCs w:val="20"/>
                <w:color w:val="auto"/>
              </w:rPr>
            </w:pPr>
            <w:r>
              <w:rPr>
                <w:rFonts w:ascii="Arial" w:cs="Arial" w:eastAsia="Arial" w:hAnsi="Arial"/>
                <w:sz w:val="18"/>
                <w:szCs w:val="18"/>
                <w:color w:val="auto"/>
              </w:rPr>
              <w:t>RATE ADAPTATIONS IN DATA</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8"/>
              </w:rPr>
              <w:t>SERVICES BETWEEN GSM AND</w:t>
            </w:r>
          </w:p>
        </w:tc>
        <w:tc>
          <w:tcPr>
            <w:tcW w:w="0" w:type="dxa"/>
            <w:vAlign w:val="bottom"/>
          </w:tcPr>
          <w:p>
            <w:pPr>
              <w:spacing w:after="0"/>
              <w:rPr>
                <w:sz w:val="1"/>
                <w:szCs w:val="1"/>
                <w:color w:val="auto"/>
              </w:rPr>
            </w:pPr>
          </w:p>
        </w:tc>
      </w:tr>
      <w:tr>
        <w:trPr>
          <w:trHeight w:val="229"/>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GSM</w:t>
            </w:r>
          </w:p>
        </w:tc>
        <w:tc>
          <w:tcPr>
            <w:tcW w:w="2740" w:type="dxa"/>
            <w:vAlign w:val="bottom"/>
          </w:tcPr>
          <w:p>
            <w:pPr>
              <w:ind w:left="20"/>
              <w:spacing w:after="0"/>
              <w:rPr>
                <w:sz w:val="20"/>
                <w:szCs w:val="20"/>
                <w:color w:val="auto"/>
              </w:rPr>
            </w:pPr>
            <w:r>
              <w:rPr>
                <w:rFonts w:ascii="Arial" w:cs="Arial" w:eastAsia="Arial" w:hAnsi="Arial"/>
                <w:sz w:val="18"/>
                <w:szCs w:val="18"/>
                <w:color w:val="auto"/>
                <w:w w:val="99"/>
              </w:rPr>
              <w:t>NEW 14.4 KBIT/S SERVICE FOR</w:t>
            </w: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GSM</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WC DMA</w:t>
            </w:r>
          </w:p>
        </w:tc>
        <w:tc>
          <w:tcPr>
            <w:tcW w:w="2740" w:type="dxa"/>
            <w:vAlign w:val="bottom"/>
          </w:tcPr>
          <w:p>
            <w:pPr>
              <w:ind w:left="20"/>
              <w:spacing w:after="0"/>
              <w:rPr>
                <w:sz w:val="20"/>
                <w:szCs w:val="20"/>
                <w:color w:val="auto"/>
              </w:rPr>
            </w:pPr>
            <w:r>
              <w:rPr>
                <w:rFonts w:ascii="Arial" w:cs="Arial" w:eastAsia="Arial" w:hAnsi="Arial"/>
                <w:sz w:val="18"/>
                <w:szCs w:val="18"/>
                <w:color w:val="auto"/>
                <w:w w:val="99"/>
              </w:rPr>
              <w:t>A BASESTATION CONTROLLER</w:t>
            </w:r>
          </w:p>
        </w:tc>
        <w:tc>
          <w:tcPr>
            <w:tcW w:w="0" w:type="dxa"/>
            <w:vAlign w:val="bottom"/>
          </w:tcPr>
          <w:p>
            <w:pPr>
              <w:spacing w:after="0"/>
              <w:rPr>
                <w:sz w:val="1"/>
                <w:szCs w:val="1"/>
                <w:color w:val="auto"/>
              </w:rPr>
            </w:pPr>
          </w:p>
        </w:tc>
      </w:tr>
      <w:tr>
        <w:trPr>
          <w:trHeight w:val="215"/>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ind w:left="20"/>
              <w:spacing w:after="0"/>
              <w:rPr>
                <w:sz w:val="20"/>
                <w:szCs w:val="20"/>
                <w:color w:val="auto"/>
              </w:rPr>
            </w:pPr>
            <w:r>
              <w:rPr>
                <w:rFonts w:ascii="Arial" w:cs="Arial" w:eastAsia="Arial" w:hAnsi="Arial"/>
                <w:sz w:val="18"/>
                <w:szCs w:val="18"/>
                <w:color w:val="auto"/>
              </w:rPr>
              <w:t>(BSC) BASED ON AN ATM</w:t>
            </w:r>
          </w:p>
        </w:tc>
        <w:tc>
          <w:tcPr>
            <w:tcW w:w="0" w:type="dxa"/>
            <w:vAlign w:val="bottom"/>
          </w:tcPr>
          <w:p>
            <w:pPr>
              <w:spacing w:after="0"/>
              <w:rPr>
                <w:sz w:val="1"/>
                <w:szCs w:val="1"/>
                <w:color w:val="auto"/>
              </w:rPr>
            </w:pPr>
          </w:p>
        </w:tc>
      </w:tr>
      <w:tr>
        <w:trPr>
          <w:trHeight w:val="230"/>
        </w:trPr>
        <w:tc>
          <w:tcPr>
            <w:tcW w:w="1260" w:type="dxa"/>
            <w:vAlign w:val="bottom"/>
            <w:gridSpan w:val="2"/>
            <w:vMerge w:val="continue"/>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SWITCH</w:t>
            </w:r>
          </w:p>
        </w:tc>
        <w:tc>
          <w:tcPr>
            <w:tcW w:w="0" w:type="dxa"/>
            <w:vAlign w:val="bottom"/>
          </w:tcPr>
          <w:p>
            <w:pPr>
              <w:spacing w:after="0"/>
              <w:rPr>
                <w:sz w:val="1"/>
                <w:szCs w:val="1"/>
                <w:color w:val="auto"/>
              </w:rPr>
            </w:pPr>
          </w:p>
        </w:tc>
      </w:tr>
      <w:tr>
        <w:trPr>
          <w:trHeight w:val="22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GSM, WC</w:t>
            </w:r>
          </w:p>
        </w:tc>
        <w:tc>
          <w:tcPr>
            <w:tcW w:w="2740" w:type="dxa"/>
            <w:vAlign w:val="bottom"/>
          </w:tcPr>
          <w:p>
            <w:pPr>
              <w:ind w:left="20"/>
              <w:spacing w:after="0"/>
              <w:rPr>
                <w:sz w:val="20"/>
                <w:szCs w:val="20"/>
                <w:color w:val="auto"/>
              </w:rPr>
            </w:pPr>
            <w:r>
              <w:rPr>
                <w:rFonts w:ascii="Arial" w:cs="Arial" w:eastAsia="Arial" w:hAnsi="Arial"/>
                <w:sz w:val="18"/>
                <w:szCs w:val="18"/>
                <w:color w:val="auto"/>
              </w:rPr>
              <w:t>TRACKING OF REAL TIME AND</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DMA</w:t>
            </w:r>
          </w:p>
        </w:tc>
        <w:tc>
          <w:tcPr>
            <w:tcW w:w="2740" w:type="dxa"/>
            <w:vAlign w:val="bottom"/>
          </w:tcPr>
          <w:p>
            <w:pPr>
              <w:ind w:left="20"/>
              <w:spacing w:after="0"/>
              <w:rPr>
                <w:sz w:val="20"/>
                <w:szCs w:val="20"/>
                <w:color w:val="auto"/>
              </w:rPr>
            </w:pPr>
            <w:r>
              <w:rPr>
                <w:rFonts w:ascii="Arial" w:cs="Arial" w:eastAsia="Arial" w:hAnsi="Arial"/>
                <w:sz w:val="18"/>
                <w:szCs w:val="18"/>
                <w:color w:val="auto"/>
              </w:rPr>
              <w:t>OBSERVED TIME DIFFERENCE</w:t>
            </w:r>
          </w:p>
        </w:tc>
        <w:tc>
          <w:tcPr>
            <w:tcW w:w="0" w:type="dxa"/>
            <w:vAlign w:val="bottom"/>
          </w:tcPr>
          <w:p>
            <w:pPr>
              <w:spacing w:after="0"/>
              <w:rPr>
                <w:sz w:val="1"/>
                <w:szCs w:val="1"/>
                <w:color w:val="auto"/>
              </w:rPr>
            </w:pPr>
          </w:p>
        </w:tc>
      </w:tr>
      <w:tr>
        <w:trPr>
          <w:trHeight w:val="257"/>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ind w:left="20"/>
              <w:spacing w:after="0"/>
              <w:rPr>
                <w:sz w:val="20"/>
                <w:szCs w:val="20"/>
                <w:color w:val="auto"/>
              </w:rPr>
            </w:pPr>
            <w:r>
              <w:rPr>
                <w:rFonts w:ascii="Arial" w:cs="Arial" w:eastAsia="Arial" w:hAnsi="Arial"/>
                <w:sz w:val="18"/>
                <w:szCs w:val="18"/>
                <w:color w:val="auto"/>
              </w:rPr>
              <w:t>VALUES INTIME</w:t>
            </w:r>
          </w:p>
        </w:tc>
        <w:tc>
          <w:tcPr>
            <w:tcW w:w="0" w:type="dxa"/>
            <w:vAlign w:val="bottom"/>
          </w:tcPr>
          <w:p>
            <w:pPr>
              <w:spacing w:after="0"/>
              <w:rPr>
                <w:sz w:val="1"/>
                <w:szCs w:val="1"/>
                <w:color w:val="auto"/>
              </w:rPr>
            </w:pPr>
          </w:p>
        </w:tc>
      </w:tr>
      <w:tr>
        <w:trPr>
          <w:trHeight w:val="230"/>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GSM</w:t>
            </w:r>
          </w:p>
        </w:tc>
        <w:tc>
          <w:tcPr>
            <w:tcW w:w="2740" w:type="dxa"/>
            <w:vAlign w:val="bottom"/>
          </w:tcPr>
          <w:p>
            <w:pPr>
              <w:ind w:left="20"/>
              <w:spacing w:after="0"/>
              <w:rPr>
                <w:sz w:val="20"/>
                <w:szCs w:val="20"/>
                <w:color w:val="auto"/>
              </w:rPr>
            </w:pPr>
            <w:r>
              <w:rPr>
                <w:rFonts w:ascii="Arial" w:cs="Arial" w:eastAsia="Arial" w:hAnsi="Arial"/>
                <w:sz w:val="18"/>
                <w:szCs w:val="18"/>
                <w:color w:val="auto"/>
              </w:rPr>
              <w:t>SCP.N OHJAAMAN</w:t>
            </w:r>
          </w:p>
        </w:tc>
        <w:tc>
          <w:tcPr>
            <w:tcW w:w="0" w:type="dxa"/>
            <w:vAlign w:val="bottom"/>
          </w:tcPr>
          <w:p>
            <w:pPr>
              <w:spacing w:after="0"/>
              <w:rPr>
                <w:sz w:val="1"/>
                <w:szCs w:val="1"/>
                <w:color w:val="auto"/>
              </w:rPr>
            </w:pPr>
          </w:p>
        </w:tc>
      </w:tr>
      <w:tr>
        <w:trPr>
          <w:trHeight w:val="215"/>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Q1238.2</w:t>
            </w:r>
          </w:p>
        </w:tc>
        <w:tc>
          <w:tcPr>
            <w:tcW w:w="2740" w:type="dxa"/>
            <w:vAlign w:val="bottom"/>
          </w:tcPr>
          <w:p>
            <w:pPr>
              <w:ind w:left="20"/>
              <w:spacing w:after="0"/>
              <w:rPr>
                <w:sz w:val="20"/>
                <w:szCs w:val="20"/>
                <w:color w:val="auto"/>
              </w:rPr>
            </w:pPr>
            <w:r>
              <w:rPr>
                <w:rFonts w:ascii="Arial" w:cs="Arial" w:eastAsia="Arial" w:hAnsi="Arial"/>
                <w:sz w:val="18"/>
                <w:szCs w:val="18"/>
                <w:color w:val="auto"/>
              </w:rPr>
              <w:t>LISÄVALINNAN KERÄÄMISEN</w:t>
            </w:r>
          </w:p>
        </w:tc>
        <w:tc>
          <w:tcPr>
            <w:tcW w:w="0" w:type="dxa"/>
            <w:vAlign w:val="bottom"/>
          </w:tcPr>
          <w:p>
            <w:pPr>
              <w:spacing w:after="0"/>
              <w:rPr>
                <w:sz w:val="1"/>
                <w:szCs w:val="1"/>
                <w:color w:val="auto"/>
              </w:rPr>
            </w:pPr>
          </w:p>
        </w:tc>
      </w:tr>
      <w:tr>
        <w:trPr>
          <w:trHeight w:val="230"/>
        </w:trPr>
        <w:tc>
          <w:tcPr>
            <w:tcW w:w="1260" w:type="dxa"/>
            <w:vAlign w:val="bottom"/>
            <w:gridSpan w:val="2"/>
            <w:vMerge w:val="continue"/>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MONIPUOLISTAMINEN</w:t>
            </w:r>
          </w:p>
        </w:tc>
        <w:tc>
          <w:tcPr>
            <w:tcW w:w="0" w:type="dxa"/>
            <w:vAlign w:val="bottom"/>
          </w:tcPr>
          <w:p>
            <w:pPr>
              <w:spacing w:after="0"/>
              <w:rPr>
                <w:sz w:val="1"/>
                <w:szCs w:val="1"/>
                <w:color w:val="auto"/>
              </w:rPr>
            </w:pPr>
          </w:p>
        </w:tc>
      </w:tr>
      <w:tr>
        <w:trPr>
          <w:trHeight w:val="229"/>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7"/>
              </w:rPr>
              <w:t>IETF</w:t>
            </w:r>
          </w:p>
        </w:tc>
        <w:tc>
          <w:tcPr>
            <w:tcW w:w="2740" w:type="dxa"/>
            <w:vAlign w:val="bottom"/>
          </w:tcPr>
          <w:p>
            <w:pPr>
              <w:ind w:left="20"/>
              <w:spacing w:after="0"/>
              <w:rPr>
                <w:sz w:val="20"/>
                <w:szCs w:val="20"/>
                <w:color w:val="auto"/>
              </w:rPr>
            </w:pPr>
            <w:r>
              <w:rPr>
                <w:rFonts w:ascii="Arial" w:cs="Arial" w:eastAsia="Arial" w:hAnsi="Arial"/>
                <w:sz w:val="18"/>
                <w:szCs w:val="18"/>
                <w:color w:val="auto"/>
              </w:rPr>
              <w:t>Data transmission method and a</w:t>
            </w:r>
          </w:p>
        </w:tc>
        <w:tc>
          <w:tcPr>
            <w:tcW w:w="0" w:type="dxa"/>
            <w:vAlign w:val="bottom"/>
          </w:tcPr>
          <w:p>
            <w:pPr>
              <w:spacing w:after="0"/>
              <w:rPr>
                <w:sz w:val="1"/>
                <w:szCs w:val="1"/>
                <w:color w:val="auto"/>
              </w:rPr>
            </w:pPr>
          </w:p>
        </w:tc>
      </w:tr>
      <w:tr>
        <w:trPr>
          <w:trHeight w:val="122"/>
        </w:trPr>
        <w:tc>
          <w:tcPr>
            <w:tcW w:w="1260" w:type="dxa"/>
            <w:vAlign w:val="bottom"/>
            <w:gridSpan w:val="2"/>
            <w:vMerge w:val="continue"/>
          </w:tcPr>
          <w:p>
            <w:pPr>
              <w:spacing w:after="0"/>
              <w:rPr>
                <w:sz w:val="10"/>
                <w:szCs w:val="10"/>
                <w:color w:val="auto"/>
              </w:rPr>
            </w:pPr>
          </w:p>
        </w:tc>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network element</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GSM, WC</w:t>
            </w:r>
          </w:p>
        </w:tc>
        <w:tc>
          <w:tcPr>
            <w:tcW w:w="2740" w:type="dxa"/>
            <w:vAlign w:val="bottom"/>
          </w:tcPr>
          <w:p>
            <w:pPr>
              <w:ind w:left="20"/>
              <w:spacing w:after="0"/>
              <w:rPr>
                <w:sz w:val="20"/>
                <w:szCs w:val="20"/>
                <w:color w:val="auto"/>
              </w:rPr>
            </w:pPr>
            <w:r>
              <w:rPr>
                <w:rFonts w:ascii="Arial" w:cs="Arial" w:eastAsia="Arial" w:hAnsi="Arial"/>
                <w:sz w:val="18"/>
                <w:szCs w:val="18"/>
                <w:color w:val="auto"/>
              </w:rPr>
              <w:t>TRANSMISSION AND</w:t>
            </w:r>
          </w:p>
        </w:tc>
        <w:tc>
          <w:tcPr>
            <w:tcW w:w="0" w:type="dxa"/>
            <w:vAlign w:val="bottom"/>
          </w:tcPr>
          <w:p>
            <w:pPr>
              <w:spacing w:after="0"/>
              <w:rPr>
                <w:sz w:val="1"/>
                <w:szCs w:val="1"/>
                <w:color w:val="auto"/>
              </w:rPr>
            </w:pPr>
          </w:p>
        </w:tc>
      </w:tr>
      <w:tr>
        <w:trPr>
          <w:trHeight w:val="230"/>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DMA</w:t>
            </w:r>
          </w:p>
        </w:tc>
        <w:tc>
          <w:tcPr>
            <w:tcW w:w="2740" w:type="dxa"/>
            <w:vAlign w:val="bottom"/>
          </w:tcPr>
          <w:p>
            <w:pPr>
              <w:ind w:left="20"/>
              <w:spacing w:after="0"/>
              <w:rPr>
                <w:sz w:val="20"/>
                <w:szCs w:val="20"/>
                <w:color w:val="auto"/>
              </w:rPr>
            </w:pPr>
            <w:r>
              <w:rPr>
                <w:rFonts w:ascii="Arial" w:cs="Arial" w:eastAsia="Arial" w:hAnsi="Arial"/>
                <w:sz w:val="18"/>
                <w:szCs w:val="18"/>
                <w:color w:val="auto"/>
              </w:rPr>
              <w:t>INTERCONNECTION METHOD</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LTE, WC</w:t>
            </w:r>
          </w:p>
        </w:tc>
        <w:tc>
          <w:tcPr>
            <w:tcW w:w="2740" w:type="dxa"/>
            <w:vAlign w:val="bottom"/>
          </w:tcPr>
          <w:p>
            <w:pPr>
              <w:ind w:left="20"/>
              <w:spacing w:after="0"/>
              <w:rPr>
                <w:sz w:val="20"/>
                <w:szCs w:val="20"/>
                <w:color w:val="auto"/>
              </w:rPr>
            </w:pPr>
            <w:r>
              <w:rPr>
                <w:rFonts w:ascii="Arial" w:cs="Arial" w:eastAsia="Arial" w:hAnsi="Arial"/>
                <w:sz w:val="18"/>
                <w:szCs w:val="18"/>
                <w:color w:val="auto"/>
              </w:rPr>
              <w:t>RELOCATION OF RRC</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DMA</w:t>
            </w:r>
          </w:p>
        </w:tc>
        <w:tc>
          <w:tcPr>
            <w:tcW w:w="2740" w:type="dxa"/>
            <w:vAlign w:val="bottom"/>
          </w:tcPr>
          <w:p>
            <w:pPr>
              <w:ind w:left="20"/>
              <w:spacing w:after="0"/>
              <w:rPr>
                <w:sz w:val="20"/>
                <w:szCs w:val="20"/>
                <w:color w:val="auto"/>
              </w:rPr>
            </w:pPr>
            <w:r>
              <w:rPr>
                <w:rFonts w:ascii="Arial" w:cs="Arial" w:eastAsia="Arial" w:hAnsi="Arial"/>
                <w:sz w:val="18"/>
                <w:szCs w:val="18"/>
                <w:color w:val="auto"/>
              </w:rPr>
              <w:t>PROTOCOL IN SRNS</w:t>
            </w:r>
          </w:p>
        </w:tc>
        <w:tc>
          <w:tcPr>
            <w:tcW w:w="0" w:type="dxa"/>
            <w:vAlign w:val="bottom"/>
          </w:tcPr>
          <w:p>
            <w:pPr>
              <w:spacing w:after="0"/>
              <w:rPr>
                <w:sz w:val="1"/>
                <w:szCs w:val="1"/>
                <w:color w:val="auto"/>
              </w:rPr>
            </w:pPr>
          </w:p>
        </w:tc>
      </w:tr>
      <w:tr>
        <w:trPr>
          <w:trHeight w:val="257"/>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ind w:left="20"/>
              <w:spacing w:after="0"/>
              <w:rPr>
                <w:sz w:val="20"/>
                <w:szCs w:val="20"/>
                <w:color w:val="auto"/>
              </w:rPr>
            </w:pPr>
            <w:r>
              <w:rPr>
                <w:rFonts w:ascii="Arial" w:cs="Arial" w:eastAsia="Arial" w:hAnsi="Arial"/>
                <w:sz w:val="18"/>
                <w:szCs w:val="18"/>
                <w:color w:val="auto"/>
              </w:rPr>
              <w:t>RELOCATION</w:t>
            </w:r>
          </w:p>
        </w:tc>
        <w:tc>
          <w:tcPr>
            <w:tcW w:w="0" w:type="dxa"/>
            <w:vAlign w:val="bottom"/>
          </w:tcPr>
          <w:p>
            <w:pPr>
              <w:spacing w:after="0"/>
              <w:rPr>
                <w:sz w:val="1"/>
                <w:szCs w:val="1"/>
                <w:color w:val="auto"/>
              </w:rPr>
            </w:pPr>
          </w:p>
        </w:tc>
      </w:tr>
      <w:tr>
        <w:trPr>
          <w:trHeight w:val="22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GSM, WC</w:t>
            </w:r>
          </w:p>
        </w:tc>
        <w:tc>
          <w:tcPr>
            <w:tcW w:w="2740" w:type="dxa"/>
            <w:vAlign w:val="bottom"/>
          </w:tcPr>
          <w:p>
            <w:pPr>
              <w:ind w:left="20"/>
              <w:spacing w:after="0"/>
              <w:rPr>
                <w:sz w:val="20"/>
                <w:szCs w:val="20"/>
                <w:color w:val="auto"/>
              </w:rPr>
            </w:pPr>
            <w:r>
              <w:rPr>
                <w:rFonts w:ascii="Arial" w:cs="Arial" w:eastAsia="Arial" w:hAnsi="Arial"/>
                <w:sz w:val="18"/>
                <w:szCs w:val="18"/>
                <w:color w:val="auto"/>
              </w:rPr>
              <w:t>SYNCHRONIZATION OF</w:t>
            </w:r>
          </w:p>
        </w:tc>
        <w:tc>
          <w:tcPr>
            <w:tcW w:w="0" w:type="dxa"/>
            <w:vAlign w:val="bottom"/>
          </w:tcPr>
          <w:p>
            <w:pPr>
              <w:spacing w:after="0"/>
              <w:rPr>
                <w:sz w:val="1"/>
                <w:szCs w:val="1"/>
                <w:color w:val="auto"/>
              </w:rPr>
            </w:pPr>
          </w:p>
        </w:tc>
      </w:tr>
      <w:tr>
        <w:trPr>
          <w:trHeight w:val="230"/>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DMA</w:t>
            </w:r>
          </w:p>
        </w:tc>
        <w:tc>
          <w:tcPr>
            <w:tcW w:w="2740" w:type="dxa"/>
            <w:vAlign w:val="bottom"/>
          </w:tcPr>
          <w:p>
            <w:pPr>
              <w:ind w:left="20"/>
              <w:spacing w:after="0"/>
              <w:rPr>
                <w:sz w:val="20"/>
                <w:szCs w:val="20"/>
                <w:color w:val="auto"/>
              </w:rPr>
            </w:pPr>
            <w:r>
              <w:rPr>
                <w:rFonts w:ascii="Arial" w:cs="Arial" w:eastAsia="Arial" w:hAnsi="Arial"/>
                <w:sz w:val="18"/>
                <w:szCs w:val="18"/>
                <w:color w:val="auto"/>
              </w:rPr>
              <w:t>PROTOCOL REMAPPING</w:t>
            </w:r>
          </w:p>
        </w:tc>
        <w:tc>
          <w:tcPr>
            <w:tcW w:w="0" w:type="dxa"/>
            <w:vAlign w:val="bottom"/>
          </w:tcPr>
          <w:p>
            <w:pPr>
              <w:spacing w:after="0"/>
              <w:rPr>
                <w:sz w:val="1"/>
                <w:szCs w:val="1"/>
                <w:color w:val="auto"/>
              </w:rPr>
            </w:pPr>
          </w:p>
        </w:tc>
      </w:tr>
      <w:tr>
        <w:trPr>
          <w:trHeight w:val="243"/>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GSM, WC</w:t>
            </w:r>
          </w:p>
        </w:tc>
        <w:tc>
          <w:tcPr>
            <w:tcW w:w="2740" w:type="dxa"/>
            <w:vAlign w:val="bottom"/>
          </w:tcPr>
          <w:p>
            <w:pPr>
              <w:ind w:left="20"/>
              <w:spacing w:after="0"/>
              <w:rPr>
                <w:sz w:val="20"/>
                <w:szCs w:val="20"/>
                <w:color w:val="auto"/>
              </w:rPr>
            </w:pPr>
            <w:r>
              <w:rPr>
                <w:rFonts w:ascii="Arial" w:cs="Arial" w:eastAsia="Arial" w:hAnsi="Arial"/>
                <w:sz w:val="18"/>
                <w:szCs w:val="18"/>
                <w:color w:val="auto"/>
                <w:w w:val="99"/>
              </w:rPr>
              <w:t>PROVIDING MT SERVICES FOR</w:t>
            </w:r>
          </w:p>
        </w:tc>
        <w:tc>
          <w:tcPr>
            <w:tcW w:w="0" w:type="dxa"/>
            <w:vAlign w:val="bottom"/>
          </w:tcPr>
          <w:p>
            <w:pPr>
              <w:spacing w:after="0"/>
              <w:rPr>
                <w:sz w:val="1"/>
                <w:szCs w:val="1"/>
                <w:color w:val="auto"/>
              </w:rPr>
            </w:pPr>
          </w:p>
        </w:tc>
      </w:t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DMA, SAE</w:t>
            </w:r>
          </w:p>
        </w:tc>
        <w:tc>
          <w:tcPr>
            <w:tcW w:w="2740" w:type="dxa"/>
            <w:vAlign w:val="bottom"/>
          </w:tcPr>
          <w:p>
            <w:pPr>
              <w:ind w:left="20"/>
              <w:spacing w:after="0"/>
              <w:rPr>
                <w:sz w:val="20"/>
                <w:szCs w:val="20"/>
                <w:color w:val="auto"/>
              </w:rPr>
            </w:pPr>
            <w:r>
              <w:rPr>
                <w:rFonts w:ascii="Arial" w:cs="Arial" w:eastAsia="Arial" w:hAnsi="Arial"/>
                <w:sz w:val="18"/>
                <w:szCs w:val="18"/>
                <w:color w:val="auto"/>
                <w:w w:val="97"/>
              </w:rPr>
              <w:t>UNREGISTERED SUBSCRIBERS</w:t>
            </w:r>
          </w:p>
        </w:tc>
        <w:tc>
          <w:tcPr>
            <w:tcW w:w="0" w:type="dxa"/>
            <w:vAlign w:val="bottom"/>
          </w:tcPr>
          <w:p>
            <w:pPr>
              <w:spacing w:after="0"/>
              <w:rPr>
                <w:sz w:val="1"/>
                <w:szCs w:val="1"/>
                <w:color w:val="auto"/>
              </w:rPr>
            </w:pPr>
          </w:p>
        </w:tc>
      </w:tr>
      <w:tr>
        <w:trPr>
          <w:trHeight w:val="257"/>
        </w:trPr>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T63</w:t>
            </w:r>
          </w:p>
        </w:tc>
        <w:tc>
          <w:tcPr>
            <w:tcW w:w="2740" w:type="dxa"/>
            <w:vAlign w:val="bottom"/>
          </w:tcPr>
          <w:p>
            <w:pPr>
              <w:ind w:left="20"/>
              <w:spacing w:after="0"/>
              <w:rPr>
                <w:sz w:val="20"/>
                <w:szCs w:val="20"/>
                <w:color w:val="auto"/>
              </w:rPr>
            </w:pPr>
            <w:r>
              <w:rPr>
                <w:rFonts w:ascii="Arial" w:cs="Arial" w:eastAsia="Arial" w:hAnsi="Arial"/>
                <w:sz w:val="18"/>
                <w:szCs w:val="18"/>
                <w:color w:val="auto"/>
              </w:rPr>
              <w:t>IN R2000IM NETWORKS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19"/>
                <w:szCs w:val="19"/>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Family</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County</w:t>
            </w:r>
          </w:p>
        </w:tc>
        <w:tc>
          <w:tcPr>
            <w:tcW w:w="100" w:type="dxa"/>
            <w:vAlign w:val="bottom"/>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Filing Date</w:t>
            </w:r>
          </w:p>
        </w:tc>
        <w:tc>
          <w:tcPr>
            <w:tcW w:w="120" w:type="dxa"/>
            <w:vAlign w:val="bottom"/>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Filing No.</w:t>
            </w:r>
          </w:p>
        </w:tc>
      </w:tr>
      <w:tr>
        <w:trPr>
          <w:trHeight w:val="547"/>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2314</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24.09.1993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08/619701</w:t>
            </w:r>
          </w:p>
        </w:tc>
      </w:tr>
      <w:tr>
        <w:trPr>
          <w:trHeight w:val="783"/>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2390</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06.03.1996</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08/732467</w:t>
            </w:r>
          </w:p>
        </w:tc>
      </w:tr>
      <w:tr>
        <w:trPr>
          <w:trHeight w:val="675"/>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2704</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EP</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13.1.1995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95905653.2</w:t>
            </w:r>
          </w:p>
        </w:tc>
      </w:tr>
      <w:tr>
        <w:trPr>
          <w:trHeight w:val="675"/>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7158</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24.11.1995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08/836969</w:t>
            </w:r>
          </w:p>
        </w:tc>
      </w:tr>
      <w:tr>
        <w:trPr>
          <w:trHeight w:val="675"/>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7164</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06.06.1996</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08/659590</w:t>
            </w:r>
          </w:p>
        </w:tc>
      </w:tr>
      <w:tr>
        <w:trPr>
          <w:trHeight w:val="567"/>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7272</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09.09.2005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11/221797</w:t>
            </w:r>
          </w:p>
        </w:tc>
      </w:tr>
      <w:tr>
        <w:trPr>
          <w:trHeight w:val="567"/>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7794</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30.12.1997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09/607065</w:t>
            </w:r>
          </w:p>
        </w:tc>
      </w:tr>
      <w:tr>
        <w:trPr>
          <w:trHeight w:val="689"/>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7882</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30.03.1999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09/677114</w:t>
            </w:r>
          </w:p>
        </w:tc>
      </w:tr>
      <w:tr>
        <w:trPr>
          <w:trHeight w:val="689"/>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14028</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26.10.1998</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09/331874</w:t>
            </w:r>
          </w:p>
        </w:tc>
      </w:tr>
      <w:tr>
        <w:trPr>
          <w:trHeight w:val="567"/>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14268</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23.12.1999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09/868819</w:t>
            </w:r>
          </w:p>
        </w:tc>
      </w:tr>
      <w:tr>
        <w:trPr>
          <w:trHeight w:val="581"/>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14734</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31.05.1999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09/997200</w:t>
            </w: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15038</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13.09.2000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10/088452</w:t>
            </w: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15081</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EP</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11.10.1999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99950691.8</w:t>
            </w:r>
          </w:p>
        </w:tc>
      </w:tr>
      <w:tr>
        <w:trPr>
          <w:trHeight w:val="702"/>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15483</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04.01.2002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10/035339</w:t>
            </w:r>
          </w:p>
        </w:tc>
      </w:tr>
    </w:tbl>
    <w:p>
      <w:pPr>
        <w:spacing w:after="0" w:line="429" w:lineRule="exact"/>
        <w:rPr>
          <w:sz w:val="20"/>
          <w:szCs w:val="20"/>
          <w:color w:val="auto"/>
        </w:rPr>
      </w:pPr>
    </w:p>
    <w:p>
      <w:pPr>
        <w:sectPr>
          <w:pgSz w:w="11900" w:h="16838" w:orient="portrait"/>
          <w:cols w:equalWidth="0" w:num="4">
            <w:col w:w="920" w:space="500"/>
            <w:col w:w="440" w:space="360"/>
            <w:col w:w="4000" w:space="140"/>
            <w:col w:w="4960"/>
          </w:cols>
          <w:pgMar w:left="340" w:top="877" w:right="239" w:bottom="1440" w:gutter="0" w:footer="0" w:header="0"/>
          <w:type w:val="continuous"/>
        </w:sectPr>
      </w:pPr>
    </w:p>
    <w:p>
      <w:pPr>
        <w:spacing w:after="0" w:line="15" w:lineRule="exact"/>
        <w:rPr>
          <w:sz w:val="20"/>
          <w:szCs w:val="20"/>
          <w:color w:val="auto"/>
        </w:rPr>
      </w:pPr>
    </w:p>
    <w:p>
      <w:pPr>
        <w:jc w:val="center"/>
        <w:ind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Confidential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877"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Patent/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STD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Standard</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Publication</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Org.</w:t>
            </w: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US7155173</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IETF</w:t>
            </w: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IETF</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US7218618</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IETF</w:t>
            </w: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IETF</w:t>
            </w:r>
          </w:p>
        </w:tc>
        <w:tc>
          <w:tcPr>
            <w:tcW w:w="0" w:type="dxa"/>
            <w:vAlign w:val="bottom"/>
          </w:tcPr>
          <w:p>
            <w:pPr>
              <w:spacing w:after="0"/>
              <w:rPr>
                <w:sz w:val="1"/>
                <w:szCs w:val="1"/>
                <w:color w:val="auto"/>
              </w:rPr>
            </w:pP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US6331978</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ITU-T</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G.7041/Y.1303</w:t>
            </w:r>
          </w:p>
        </w:tc>
        <w:tc>
          <w:tcPr>
            <w:tcW w:w="0" w:type="dxa"/>
            <w:vAlign w:val="bottom"/>
          </w:tcPr>
          <w:p>
            <w:pPr>
              <w:spacing w:after="0"/>
              <w:rPr>
                <w:sz w:val="1"/>
                <w:szCs w:val="1"/>
                <w:color w:val="auto"/>
              </w:rPr>
            </w:pPr>
          </w:p>
        </w:tc>
      </w:tr>
      <w:tr>
        <w:trPr>
          <w:trHeight w:val="473"/>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US7558283</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T64(cdma2000)</w:t>
            </w:r>
          </w:p>
        </w:tc>
        <w:tc>
          <w:tcPr>
            <w:tcW w:w="0" w:type="dxa"/>
            <w:vAlign w:val="bottom"/>
          </w:tcPr>
          <w:p>
            <w:pPr>
              <w:spacing w:after="0"/>
              <w:rPr>
                <w:sz w:val="1"/>
                <w:szCs w:val="1"/>
                <w:color w:val="auto"/>
              </w:rPr>
            </w:pPr>
          </w:p>
        </w:tc>
      </w:tr>
      <w:tr>
        <w:trPr>
          <w:trHeight w:val="324"/>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US6408063</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GSM, WC DMA</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T63, T64</w:t>
            </w: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US6973060</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GSM</w:t>
            </w:r>
          </w:p>
        </w:tc>
        <w:tc>
          <w:tcPr>
            <w:tcW w:w="0" w:type="dxa"/>
            <w:vAlign w:val="bottom"/>
          </w:tcPr>
          <w:p>
            <w:pPr>
              <w:spacing w:after="0"/>
              <w:rPr>
                <w:sz w:val="1"/>
                <w:szCs w:val="1"/>
                <w:color w:val="auto"/>
              </w:rPr>
            </w:pPr>
          </w:p>
        </w:tc>
      </w:tr>
      <w:tr>
        <w:trPr>
          <w:trHeight w:val="324"/>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US7126940</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GSM</w:t>
            </w:r>
          </w:p>
        </w:tc>
        <w:tc>
          <w:tcPr>
            <w:tcW w:w="0" w:type="dxa"/>
            <w:vAlign w:val="bottom"/>
          </w:tcPr>
          <w:p>
            <w:pPr>
              <w:spacing w:after="0"/>
              <w:rPr>
                <w:sz w:val="1"/>
                <w:szCs w:val="1"/>
                <w:color w:val="auto"/>
              </w:rPr>
            </w:pPr>
          </w:p>
        </w:tc>
      </w:tr>
      <w:tr>
        <w:trPr>
          <w:trHeight w:val="317"/>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US7724720</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rPr>
              <w:t>WC DMA</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T63</w:t>
            </w:r>
          </w:p>
        </w:tc>
        <w:tc>
          <w:tcPr>
            <w:tcW w:w="0" w:type="dxa"/>
            <w:vAlign w:val="bottom"/>
          </w:tcPr>
          <w:p>
            <w:pPr>
              <w:spacing w:after="0"/>
              <w:rPr>
                <w:sz w:val="1"/>
                <w:szCs w:val="1"/>
                <w:color w:val="auto"/>
              </w:rPr>
            </w:pPr>
          </w:p>
        </w:tc>
      </w:tr>
      <w:tr>
        <w:trPr>
          <w:trHeight w:val="182"/>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US6901046</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rPr>
              <w:t>WC DMA</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T63, T64</w:t>
            </w:r>
          </w:p>
        </w:tc>
        <w:tc>
          <w:tcPr>
            <w:tcW w:w="0" w:type="dxa"/>
            <w:vAlign w:val="bottom"/>
          </w:tcPr>
          <w:p>
            <w:pPr>
              <w:spacing w:after="0"/>
              <w:rPr>
                <w:sz w:val="1"/>
                <w:szCs w:val="1"/>
                <w:color w:val="auto"/>
              </w:rPr>
            </w:pPr>
          </w:p>
        </w:tc>
      </w:tr>
      <w:tr>
        <w:trPr>
          <w:trHeight w:val="257"/>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US7050406</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rPr>
              <w:t>WC DMA</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T63, T64</w:t>
            </w:r>
          </w:p>
        </w:tc>
        <w:tc>
          <w:tcPr>
            <w:tcW w:w="0" w:type="dxa"/>
            <w:vAlign w:val="bottom"/>
          </w:tcPr>
          <w:p>
            <w:pPr>
              <w:spacing w:after="0"/>
              <w:rPr>
                <w:sz w:val="1"/>
                <w:szCs w:val="1"/>
                <w:color w:val="auto"/>
              </w:rPr>
            </w:pPr>
          </w:p>
        </w:tc>
      </w:tr>
      <w:tr>
        <w:trPr>
          <w:trHeight w:val="324"/>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US7920499</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OMA</w:t>
            </w:r>
          </w:p>
        </w:tc>
        <w:tc>
          <w:tcPr>
            <w:tcW w:w="1140" w:type="dxa"/>
            <w:vAlign w:val="bottom"/>
          </w:tcPr>
          <w:p>
            <w:pPr>
              <w:jc w:val="center"/>
              <w:spacing w:after="0"/>
              <w:rPr>
                <w:sz w:val="20"/>
                <w:szCs w:val="20"/>
                <w:color w:val="auto"/>
              </w:rPr>
            </w:pPr>
            <w:r>
              <w:rPr>
                <w:rFonts w:ascii="Arial" w:cs="Arial" w:eastAsia="Arial" w:hAnsi="Arial"/>
                <w:sz w:val="14"/>
                <w:szCs w:val="14"/>
                <w:color w:val="auto"/>
              </w:rPr>
              <w:t>OMA</w:t>
            </w:r>
          </w:p>
        </w:tc>
        <w:tc>
          <w:tcPr>
            <w:tcW w:w="0" w:type="dxa"/>
            <w:vAlign w:val="bottom"/>
          </w:tcPr>
          <w:p>
            <w:pPr>
              <w:spacing w:after="0"/>
              <w:rPr>
                <w:sz w:val="1"/>
                <w:szCs w:val="1"/>
                <w:color w:val="auto"/>
              </w:rPr>
            </w:pPr>
          </w:p>
        </w:tc>
      </w:tr>
      <w:tr>
        <w:trPr>
          <w:trHeight w:val="324"/>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US7333793</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GSM</w:t>
            </w:r>
          </w:p>
        </w:tc>
        <w:tc>
          <w:tcPr>
            <w:tcW w:w="0" w:type="dxa"/>
            <w:vAlign w:val="bottom"/>
          </w:tcPr>
          <w:p>
            <w:pPr>
              <w:spacing w:after="0"/>
              <w:rPr>
                <w:sz w:val="1"/>
                <w:szCs w:val="1"/>
                <w:color w:val="auto"/>
              </w:rPr>
            </w:pPr>
          </w:p>
        </w:tc>
      </w:tr>
      <w:tr>
        <w:trPr>
          <w:trHeight w:val="250"/>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AU2005212893</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rPr>
              <w:t>WC DMA</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T63</w:t>
            </w:r>
          </w:p>
        </w:tc>
        <w:tc>
          <w:tcPr>
            <w:tcW w:w="0" w:type="dxa"/>
            <w:vAlign w:val="bottom"/>
          </w:tcPr>
          <w:p>
            <w:pPr>
              <w:spacing w:after="0"/>
              <w:rPr>
                <w:sz w:val="1"/>
                <w:szCs w:val="1"/>
                <w:color w:val="auto"/>
              </w:rPr>
            </w:pPr>
          </w:p>
        </w:tc>
      </w:tr>
      <w:tr>
        <w:trPr>
          <w:trHeight w:val="176"/>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EP1779697</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rPr>
              <w:t>WC DMA</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T63</w:t>
            </w:r>
          </w:p>
        </w:tc>
        <w:tc>
          <w:tcPr>
            <w:tcW w:w="0" w:type="dxa"/>
            <w:vAlign w:val="bottom"/>
          </w:tcPr>
          <w:p>
            <w:pPr>
              <w:spacing w:after="0"/>
              <w:rPr>
                <w:sz w:val="1"/>
                <w:szCs w:val="1"/>
                <w:color w:val="auto"/>
              </w:rPr>
            </w:pPr>
          </w:p>
        </w:tc>
      </w:tr>
      <w:tr>
        <w:trPr>
          <w:trHeight w:val="176"/>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US20090156215</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GSM, WC DMA</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T63</w:t>
            </w:r>
          </w:p>
        </w:tc>
        <w:tc>
          <w:tcPr>
            <w:tcW w:w="0" w:type="dxa"/>
            <w:vAlign w:val="bottom"/>
          </w:tcPr>
          <w:p>
            <w:pPr>
              <w:spacing w:after="0"/>
              <w:rPr>
                <w:sz w:val="1"/>
                <w:szCs w:val="1"/>
                <w:color w:val="auto"/>
              </w:rPr>
            </w:pPr>
          </w:p>
        </w:tc>
      </w:tr>
      <w:tr>
        <w:trPr>
          <w:trHeight w:val="182"/>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EP1842386</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GSM</w:t>
            </w:r>
          </w:p>
        </w:tc>
        <w:tc>
          <w:tcPr>
            <w:tcW w:w="0" w:type="dxa"/>
            <w:vAlign w:val="bottom"/>
          </w:tcPr>
          <w:p>
            <w:pPr>
              <w:spacing w:after="0"/>
              <w:rPr>
                <w:sz w:val="1"/>
                <w:szCs w:val="1"/>
                <w:color w:val="auto"/>
              </w:rPr>
            </w:pPr>
          </w:p>
        </w:tc>
      </w:tr>
      <w:tr>
        <w:trPr>
          <w:trHeight w:val="351"/>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US20070070949</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ETSI</w:t>
            </w:r>
          </w:p>
        </w:tc>
        <w:tc>
          <w:tcPr>
            <w:tcW w:w="1140" w:type="dxa"/>
            <w:vAlign w:val="bottom"/>
          </w:tcPr>
          <w:p>
            <w:pPr>
              <w:jc w:val="center"/>
              <w:spacing w:after="0"/>
              <w:rPr>
                <w:sz w:val="20"/>
                <w:szCs w:val="20"/>
                <w:color w:val="auto"/>
              </w:rPr>
            </w:pPr>
            <w:r>
              <w:rPr>
                <w:rFonts w:ascii="Arial" w:cs="Arial" w:eastAsia="Arial" w:hAnsi="Arial"/>
                <w:sz w:val="14"/>
                <w:szCs w:val="14"/>
                <w:color w:val="auto"/>
              </w:rPr>
              <w:t>WC DMA</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ARIB</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880" w:type="dxa"/>
            <w:vAlign w:val="bottom"/>
            <w:gridSpan w:val="2"/>
          </w:tcPr>
          <w:p>
            <w:pPr>
              <w:ind w:left="124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Family</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Filing Date</w:t>
            </w: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Filing No.</w:t>
            </w:r>
          </w:p>
        </w:tc>
        <w:tc>
          <w:tcPr>
            <w:tcW w:w="0" w:type="dxa"/>
            <w:vAlign w:val="bottom"/>
          </w:tcPr>
          <w:p>
            <w:pPr>
              <w:spacing w:after="0"/>
              <w:rPr>
                <w:sz w:val="1"/>
                <w:szCs w:val="1"/>
                <w:color w:val="auto"/>
              </w:rPr>
            </w:pPr>
          </w:p>
        </w:tc>
      </w:tr>
      <w:tr>
        <w:trPr>
          <w:trHeight w:val="137"/>
        </w:trPr>
        <w:tc>
          <w:tcPr>
            <w:tcW w:w="274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color w:val="auto"/>
              </w:rPr>
              <w:t>CROSS SESSION DICTIONARY FOR</w:t>
            </w: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COMPRESSION OF TEXT-BASED</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17233</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ind w:left="140"/>
              <w:spacing w:after="0" w:line="149" w:lineRule="exact"/>
              <w:rPr>
                <w:sz w:val="20"/>
                <w:szCs w:val="20"/>
                <w:color w:val="auto"/>
              </w:rPr>
            </w:pPr>
            <w:r>
              <w:rPr>
                <w:rFonts w:ascii="Arial" w:cs="Arial" w:eastAsia="Arial" w:hAnsi="Arial"/>
                <w:sz w:val="14"/>
                <w:szCs w:val="14"/>
                <w:color w:val="auto"/>
              </w:rPr>
              <w:t>17.12.2001</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10/024412</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MESSAGES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GPRS/UMTS GGSN/IGSN ACTING AS</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17242</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vMerge w:val="restart"/>
          </w:tcPr>
          <w:p>
            <w:pPr>
              <w:ind w:left="140"/>
              <w:spacing w:after="0"/>
              <w:rPr>
                <w:sz w:val="20"/>
                <w:szCs w:val="20"/>
                <w:color w:val="auto"/>
              </w:rPr>
            </w:pPr>
            <w:r>
              <w:rPr>
                <w:rFonts w:ascii="Arial" w:cs="Arial" w:eastAsia="Arial" w:hAnsi="Arial"/>
                <w:sz w:val="14"/>
                <w:szCs w:val="14"/>
                <w:color w:val="auto"/>
              </w:rPr>
              <w:t>19.07.2002</w:t>
            </w: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10/198599</w:t>
            </w:r>
          </w:p>
        </w:tc>
        <w:tc>
          <w:tcPr>
            <w:tcW w:w="0" w:type="dxa"/>
            <w:vAlign w:val="bottom"/>
          </w:tcPr>
          <w:p>
            <w:pPr>
              <w:spacing w:after="0"/>
              <w:rPr>
                <w:sz w:val="1"/>
                <w:szCs w:val="1"/>
                <w:color w:val="auto"/>
              </w:rPr>
            </w:pPr>
          </w:p>
        </w:tc>
      </w:tr>
      <w:tr>
        <w:trPr>
          <w:trHeight w:val="101"/>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color w:val="auto"/>
              </w:rPr>
              <w:t>MOBILE IP PROXY</w:t>
            </w:r>
          </w:p>
        </w:tc>
        <w:tc>
          <w:tcPr>
            <w:tcW w:w="10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8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GENERIC LABEL ENCAPSULATION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PROTOCOL FOR CARRYING LABEL</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17315</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ind w:left="140"/>
              <w:spacing w:after="0" w:line="149" w:lineRule="exact"/>
              <w:rPr>
                <w:sz w:val="20"/>
                <w:szCs w:val="20"/>
                <w:color w:val="auto"/>
              </w:rPr>
            </w:pPr>
            <w:r>
              <w:rPr>
                <w:rFonts w:ascii="Arial" w:cs="Arial" w:eastAsia="Arial" w:hAnsi="Arial"/>
                <w:sz w:val="14"/>
                <w:szCs w:val="14"/>
                <w:color w:val="auto"/>
              </w:rPr>
              <w:t>09.03.1999</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09/264758</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SWITCHED PACKETS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CORRELATION OF SERVICE INSTANCE,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R-P CONNECTION AND RADIO</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17746</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ind w:left="140"/>
              <w:spacing w:after="0" w:line="149" w:lineRule="exact"/>
              <w:rPr>
                <w:sz w:val="20"/>
                <w:szCs w:val="20"/>
                <w:color w:val="auto"/>
              </w:rPr>
            </w:pPr>
            <w:r>
              <w:rPr>
                <w:rFonts w:ascii="Arial" w:cs="Arial" w:eastAsia="Arial" w:hAnsi="Arial"/>
                <w:sz w:val="14"/>
                <w:szCs w:val="14"/>
                <w:color w:val="auto"/>
              </w:rPr>
              <w:t>02.03.2005</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11/071492</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CONNECTION IN</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A SUBSCRIBER RELATED INFO</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18052</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05.10.1999</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09/412926</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 B-SUBSCRIBER BEFORE CALL IS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ANSWERED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ROTATING SCH TRANSMISSION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03.01.2000</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09/476500</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ASSOCIATION OF TLLI AND SCCP</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CONNECTION TO ENABLE FAST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18965</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US</w:t>
            </w:r>
          </w:p>
        </w:tc>
        <w:tc>
          <w:tcPr>
            <w:tcW w:w="900" w:type="dxa"/>
            <w:vAlign w:val="bottom"/>
          </w:tcPr>
          <w:p>
            <w:pPr>
              <w:ind w:left="140"/>
              <w:spacing w:after="0" w:line="149" w:lineRule="exact"/>
              <w:rPr>
                <w:sz w:val="20"/>
                <w:szCs w:val="20"/>
                <w:color w:val="auto"/>
              </w:rPr>
            </w:pPr>
            <w:r>
              <w:rPr>
                <w:rFonts w:ascii="Arial" w:cs="Arial" w:eastAsia="Arial" w:hAnsi="Arial"/>
                <w:sz w:val="14"/>
                <w:szCs w:val="14"/>
                <w:color w:val="auto"/>
              </w:rPr>
              <w:t>23.10.2001</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10/004084</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DEPLOYMENT OF LCS IN</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METHOD FOR TRANSMITTING A</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17.07.2006</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11/457879</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SEQUENCE OF SYMBOLS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METHOD AND APPARRATUS OF</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25862</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26.12.2001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10/025609</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SCHEDULING AND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MODULATION/CODING SELECTION FOR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METHODS AND APPARATUS OF</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25975</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12.12.2003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10/735266</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CHANNEL ALLOCATION WITH CODE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DIVISION MULTIPLEXING</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INDICATING INITIAL FLOOR STATE IN</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40217</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vMerge w:val="restart"/>
          </w:tcPr>
          <w:p>
            <w:pPr>
              <w:ind w:left="140"/>
              <w:spacing w:after="0"/>
              <w:rPr>
                <w:sz w:val="20"/>
                <w:szCs w:val="20"/>
                <w:color w:val="auto"/>
              </w:rPr>
            </w:pPr>
            <w:r>
              <w:rPr>
                <w:rFonts w:ascii="Arial" w:cs="Arial" w:eastAsia="Arial" w:hAnsi="Arial"/>
                <w:sz w:val="14"/>
                <w:szCs w:val="14"/>
                <w:color w:val="auto"/>
              </w:rPr>
              <w:t>26.03.2004</w:t>
            </w: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10/809710</w:t>
            </w:r>
          </w:p>
        </w:tc>
        <w:tc>
          <w:tcPr>
            <w:tcW w:w="0" w:type="dxa"/>
            <w:vAlign w:val="bottom"/>
          </w:tcPr>
          <w:p>
            <w:pPr>
              <w:spacing w:after="0"/>
              <w:rPr>
                <w:sz w:val="1"/>
                <w:szCs w:val="1"/>
                <w:color w:val="auto"/>
              </w:rPr>
            </w:pPr>
          </w:p>
        </w:tc>
      </w:tr>
      <w:tr>
        <w:trPr>
          <w:trHeight w:val="101"/>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color w:val="auto"/>
              </w:rPr>
              <w:t>SDP</w:t>
            </w:r>
          </w:p>
        </w:tc>
        <w:tc>
          <w:tcPr>
            <w:tcW w:w="10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8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PS HANDOVER MECHANISM - LLC</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2"/>
              </w:rPr>
              <w:t>40284</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vMerge w:val="restart"/>
          </w:tcPr>
          <w:p>
            <w:pPr>
              <w:ind w:left="140"/>
              <w:spacing w:after="0"/>
              <w:rPr>
                <w:sz w:val="20"/>
                <w:szCs w:val="20"/>
                <w:color w:val="auto"/>
              </w:rPr>
            </w:pPr>
            <w:r>
              <w:rPr>
                <w:rFonts w:ascii="Arial" w:cs="Arial" w:eastAsia="Arial" w:hAnsi="Arial"/>
                <w:sz w:val="14"/>
                <w:szCs w:val="14"/>
                <w:color w:val="auto"/>
              </w:rPr>
              <w:t>05.04.2004</w:t>
            </w: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10/816931</w:t>
            </w:r>
          </w:p>
        </w:tc>
        <w:tc>
          <w:tcPr>
            <w:tcW w:w="0" w:type="dxa"/>
            <w:vAlign w:val="bottom"/>
          </w:tcPr>
          <w:p>
            <w:pPr>
              <w:spacing w:after="0"/>
              <w:rPr>
                <w:sz w:val="1"/>
                <w:szCs w:val="1"/>
                <w:color w:val="auto"/>
              </w:rPr>
            </w:pPr>
          </w:p>
        </w:tc>
      </w:tr>
      <w:tr>
        <w:trPr>
          <w:trHeight w:val="101"/>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color w:val="auto"/>
              </w:rPr>
              <w:t>SYCHRONISATION</w:t>
            </w:r>
          </w:p>
        </w:tc>
        <w:tc>
          <w:tcPr>
            <w:tcW w:w="10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8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HSDPA HS-DPCCH DUTY CYCLE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Grant</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40312</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900" w:type="dxa"/>
            <w:vAlign w:val="bottom"/>
          </w:tcPr>
          <w:p>
            <w:pPr>
              <w:ind w:left="140"/>
              <w:spacing w:after="0"/>
              <w:rPr>
                <w:sz w:val="20"/>
                <w:szCs w:val="20"/>
                <w:color w:val="auto"/>
              </w:rPr>
            </w:pPr>
            <w:r>
              <w:rPr>
                <w:rFonts w:ascii="Arial" w:cs="Arial" w:eastAsia="Arial" w:hAnsi="Arial"/>
                <w:sz w:val="14"/>
                <w:szCs w:val="14"/>
                <w:color w:val="auto"/>
              </w:rPr>
              <w:t>14.02.2005</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2005212893</w:t>
            </w:r>
          </w:p>
        </w:tc>
        <w:tc>
          <w:tcPr>
            <w:tcW w:w="0" w:type="dxa"/>
            <w:vAlign w:val="bottom"/>
          </w:tcPr>
          <w:p>
            <w:pPr>
              <w:spacing w:after="0"/>
              <w:rPr>
                <w:sz w:val="1"/>
                <w:szCs w:val="1"/>
                <w:color w:val="auto"/>
              </w:rPr>
            </w:pPr>
          </w:p>
        </w:tc>
      </w:tr>
      <w:tr>
        <w:trPr>
          <w:trHeight w:val="344"/>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SCHEDULING NODE B CHANGE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Publication</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40609</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900" w:type="dxa"/>
            <w:vAlign w:val="bottom"/>
          </w:tcPr>
          <w:p>
            <w:pPr>
              <w:ind w:left="140"/>
              <w:spacing w:after="0"/>
              <w:rPr>
                <w:sz w:val="20"/>
                <w:szCs w:val="20"/>
                <w:color w:val="auto"/>
              </w:rPr>
            </w:pPr>
            <w:r>
              <w:rPr>
                <w:rFonts w:ascii="Arial" w:cs="Arial" w:eastAsia="Arial" w:hAnsi="Arial"/>
                <w:sz w:val="14"/>
                <w:szCs w:val="14"/>
                <w:color w:val="auto"/>
              </w:rPr>
              <w:t>12.08.2005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5772926.1</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DURING SHO</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LACK OF CHANNEL CODINGS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Pending</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27.04.2007</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11/666578</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IMPLIES A HANDOVER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DOWNLINK DATA</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Publication</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40985</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900" w:type="dxa"/>
            <w:vAlign w:val="bottom"/>
          </w:tcPr>
          <w:p>
            <w:pPr>
              <w:ind w:left="140"/>
              <w:spacing w:after="0"/>
              <w:rPr>
                <w:sz w:val="20"/>
                <w:szCs w:val="20"/>
                <w:color w:val="auto"/>
              </w:rPr>
            </w:pPr>
            <w:r>
              <w:rPr>
                <w:rFonts w:ascii="Arial" w:cs="Arial" w:eastAsia="Arial" w:hAnsi="Arial"/>
                <w:sz w:val="14"/>
                <w:szCs w:val="14"/>
                <w:color w:val="auto"/>
              </w:rPr>
              <w:t>08.12.2005</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5824117.5</w:t>
            </w: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OPTIMIZATION FOR PS HANDOVER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PSI/SI INDICATOR AND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Pending</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US</w:t>
            </w:r>
          </w:p>
        </w:tc>
        <w:tc>
          <w:tcPr>
            <w:tcW w:w="900" w:type="dxa"/>
            <w:vAlign w:val="bottom"/>
          </w:tcPr>
          <w:p>
            <w:pPr>
              <w:ind w:left="140"/>
              <w:spacing w:after="0"/>
              <w:rPr>
                <w:sz w:val="20"/>
                <w:szCs w:val="20"/>
                <w:color w:val="auto"/>
              </w:rPr>
            </w:pPr>
            <w:r>
              <w:rPr>
                <w:rFonts w:ascii="Arial" w:cs="Arial" w:eastAsia="Arial" w:hAnsi="Arial"/>
                <w:sz w:val="14"/>
                <w:szCs w:val="14"/>
                <w:color w:val="auto"/>
              </w:rPr>
              <w:t>28.09.2006</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11/540940</w:t>
            </w:r>
          </w:p>
        </w:tc>
        <w:tc>
          <w:tcPr>
            <w:tcW w:w="0" w:type="dxa"/>
            <w:vAlign w:val="bottom"/>
          </w:tcPr>
          <w:p>
            <w:pPr>
              <w:spacing w:after="0"/>
              <w:rPr>
                <w:sz w:val="1"/>
                <w:szCs w:val="1"/>
                <w:color w:val="auto"/>
              </w:rPr>
            </w:pPr>
          </w:p>
        </w:tc>
      </w:tr>
      <w:tr>
        <w:trPr>
          <w:trHeight w:val="149"/>
        </w:trPr>
        <w:tc>
          <w:tcPr>
            <w:tcW w:w="2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TRANSFERING PSI/SI BLOCKS IN THE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80" w:type="dxa"/>
            <w:vAlign w:val="bottom"/>
            <w:gridSpan w:val="2"/>
          </w:tcPr>
          <w:p>
            <w:pPr>
              <w:ind w:left="20"/>
              <w:spacing w:after="0"/>
              <w:rPr>
                <w:sz w:val="20"/>
                <w:szCs w:val="20"/>
                <w:color w:val="auto"/>
              </w:rPr>
            </w:pPr>
            <w:r>
              <w:rPr>
                <w:rFonts w:ascii="Arial" w:cs="Arial" w:eastAsia="Arial" w:hAnsi="Arial"/>
                <w:sz w:val="14"/>
                <w:szCs w:val="14"/>
                <w:color w:val="auto"/>
              </w:rPr>
              <w:t>TRANSPARENT CONTAINER FOR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460" w:space="120"/>
            <w:col w:w="7840"/>
          </w:cols>
          <w:pgMar w:left="240" w:top="874" w:right="239" w:bottom="1440" w:gutter="0" w:footer="0" w:header="0"/>
        </w:sectPr>
      </w:pPr>
    </w:p>
    <w:p>
      <w:pPr>
        <w:jc w:val="center"/>
        <w:ind w:left="10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For good and valuable consideration, the receipt of which is hereby acknowledged, Nokia Corporation, with a registered address at Keilalahdentie 2-4, 02150 Espoo, Finland (“</w:t>
      </w:r>
      <w:r>
        <w:rPr>
          <w:rFonts w:ascii="Arial" w:cs="Arial" w:eastAsia="Arial" w:hAnsi="Arial"/>
          <w:sz w:val="17"/>
          <w:szCs w:val="17"/>
          <w:b w:val="1"/>
          <w:bCs w:val="1"/>
          <w:color w:val="auto"/>
        </w:rPr>
        <w:t>Assignor</w:t>
      </w:r>
      <w:r>
        <w:rPr>
          <w:rFonts w:ascii="Arial" w:cs="Arial" w:eastAsia="Arial" w:hAnsi="Arial"/>
          <w:sz w:val="17"/>
          <w:szCs w:val="17"/>
          <w:color w:val="auto"/>
        </w:rPr>
        <w:t>”), does hereby assign, transfer and convey unto _________________________, with an office at</w:t>
      </w:r>
    </w:p>
    <w:p>
      <w:pPr>
        <w:spacing w:after="0"/>
        <w:rPr>
          <w:sz w:val="20"/>
          <w:szCs w:val="20"/>
          <w:color w:val="auto"/>
        </w:rPr>
      </w:pPr>
      <w:r>
        <w:rPr>
          <w:rFonts w:ascii="Arial" w:cs="Arial" w:eastAsia="Arial" w:hAnsi="Arial"/>
          <w:sz w:val="17"/>
          <w:szCs w:val="17"/>
          <w:color w:val="auto"/>
        </w:rPr>
        <w:t>____________________________________________________ (“</w:t>
      </w:r>
      <w:r>
        <w:rPr>
          <w:rFonts w:ascii="Arial" w:cs="Arial" w:eastAsia="Arial" w:hAnsi="Arial"/>
          <w:sz w:val="17"/>
          <w:szCs w:val="17"/>
          <w:b w:val="1"/>
          <w:bCs w:val="1"/>
          <w:color w:val="auto"/>
        </w:rPr>
        <w:t>Assignee</w:t>
      </w:r>
      <w:r>
        <w:rPr>
          <w:rFonts w:ascii="Arial" w:cs="Arial" w:eastAsia="Arial" w:hAnsi="Arial"/>
          <w:sz w:val="17"/>
          <w:szCs w:val="17"/>
          <w:color w:val="auto"/>
        </w:rPr>
        <w:t>”), all of Assignor’s entire right, title and interest in and to (a) all Assigned</w:t>
      </w:r>
    </w:p>
    <w:p>
      <w:pPr>
        <w:spacing w:after="0" w:line="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Patents and patent applications listed below (including all inventions and discoveries claimed or otherwise disclosed therein); (b) all reissues, reexaminations, continuations, parents, continuations-in-part, divisionals and extensions (collectively “</w:t>
      </w:r>
      <w:r>
        <w:rPr>
          <w:rFonts w:ascii="Arial" w:cs="Arial" w:eastAsia="Arial" w:hAnsi="Arial"/>
          <w:sz w:val="16"/>
          <w:szCs w:val="16"/>
          <w:b w:val="1"/>
          <w:bCs w:val="1"/>
          <w:color w:val="auto"/>
        </w:rPr>
        <w:t>Related Cases</w:t>
      </w:r>
      <w:r>
        <w:rPr>
          <w:rFonts w:ascii="Arial" w:cs="Arial" w:eastAsia="Arial" w:hAnsi="Arial"/>
          <w:sz w:val="16"/>
          <w:szCs w:val="16"/>
          <w:color w:val="auto"/>
        </w:rPr>
        <w:t>”) of such Assigned Patents and patent applications;</w:t>
      </w:r>
    </w:p>
    <w:p>
      <w:pPr>
        <w:spacing w:after="0" w:line="1" w:lineRule="exact"/>
        <w:rPr>
          <w:sz w:val="20"/>
          <w:szCs w:val="20"/>
          <w:color w:val="auto"/>
        </w:rPr>
      </w:pPr>
    </w:p>
    <w:p>
      <w:pPr>
        <w:jc w:val="both"/>
        <w:ind w:right="320" w:firstLine="8"/>
        <w:spacing w:after="0" w:line="265" w:lineRule="auto"/>
        <w:tabs>
          <w:tab w:leader="none" w:pos="2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Assigned Patents or patent applications (i) to which any or all of the foregoing directly or indirectly claims priority, and (ii) for which any or all of the foregoing directly or indirectly forms a basis for priority; and (d) all Related Cases (whether pending, issued, abandoned or filed in the future) and foreign counterparts to any or all of the foregoing , certificates of invention and equivalent rights worldwide (collectively “</w:t>
      </w:r>
      <w:r>
        <w:rPr>
          <w:rFonts w:ascii="Arial" w:cs="Arial" w:eastAsia="Arial" w:hAnsi="Arial"/>
          <w:sz w:val="17"/>
          <w:szCs w:val="17"/>
          <w:b w:val="1"/>
          <w:bCs w:val="1"/>
          <w:color w:val="auto"/>
        </w:rPr>
        <w:t>Patent Rights</w:t>
      </w:r>
      <w:r>
        <w:rPr>
          <w:rFonts w:ascii="Arial" w:cs="Arial" w:eastAsia="Arial" w:hAnsi="Arial"/>
          <w:sz w:val="17"/>
          <w:szCs w:val="17"/>
          <w:color w:val="auto"/>
        </w:rPr>
        <w:t>”):</w:t>
      </w:r>
    </w:p>
    <w:p>
      <w:pPr>
        <w:spacing w:after="0"/>
        <w:rPr>
          <w:rFonts w:ascii="Arial" w:cs="Arial" w:eastAsia="Arial" w:hAnsi="Arial"/>
          <w:sz w:val="17"/>
          <w:szCs w:val="17"/>
          <w:color w:val="auto"/>
        </w:rPr>
      </w:pPr>
      <w:r>
        <w:rPr>
          <w:rFonts w:ascii="Arial" w:cs="Arial" w:eastAsia="Arial" w:hAnsi="Arial"/>
          <w:sz w:val="18"/>
          <w:szCs w:val="18"/>
          <w:color w:val="auto"/>
        </w:rPr>
        <w:t>Assigned Patents specified in Exhibit A attached hereto.</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Assignor agrees to and hereby does sell, assign, transfer and convey unto Assignee all rights (i) in and to causes of action and enforcement rights for the Patent Rights including all rights to pursue damages, injunctive relief and other remedies for past, present and future infringement of the Patent Rights,</w:t>
      </w:r>
    </w:p>
    <w:p>
      <w:pPr>
        <w:jc w:val="both"/>
        <w:ind w:firstLine="8"/>
        <w:spacing w:after="0" w:line="254" w:lineRule="auto"/>
        <w:tabs>
          <w:tab w:leader="none" w:pos="2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 to apply (or continue prosecution) in any and all countries of the world for Assigned Patents, design Assigned Patents, utility models, certificates of invention or other governmental grants for the Patent Rights, including under the Paris Convention for the Protection of Industrial Property, the International Patent Cooperation Treaty, or any other convention, treaty, agreement or understanding, and (iii) the rights, if any, to revive prosecution of any abandoned Patent Rights.</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Assignor also hereby authorizes the respective patent office or governmental agency in each jurisdiction to issue any and all Assigned Patents or certificates of invention or equivalent which may be granted upon any of the Patent Rights in the name of Assignee, as the assignee to the entire interest therein.</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terms and conditions of this Assignment shall inure to the benefit of Assignee, its successors, assigns and other legal representatives, and shall be binding upon Assignor, its successor, assigns and other legal representatives.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Assignment of Patent Rights is executed at ________ on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-10160</wp:posOffset>
            </wp:positionV>
            <wp:extent cx="285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 must be notarized)</w:t>
      </w:r>
    </w:p>
    <w:p>
      <w:pPr>
        <w:spacing w:after="0" w:line="225" w:lineRule="exact"/>
        <w:rPr>
          <w:sz w:val="20"/>
          <w:szCs w:val="20"/>
          <w:color w:val="auto"/>
        </w:rPr>
      </w:pPr>
    </w:p>
    <w:p>
      <w:pPr>
        <w:jc w:val="center"/>
        <w:ind w:left="260" w:right="80"/>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Portions of this Exhibit, indicated by the mark “[***],” were omitted and have been filed separately with the Securities and Exchange Commission pursuant to the Registrant’s application requesting confidential treatment pursuant to Rule 24b-2 of the Exchange Act of 1934,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877"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29"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specified or unless the context otherwise requires, the following terms, as used in this Vringo, Inc. 2012 Employee, Director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Consultant Equity Incentive Plan, have the following meanings:</w:t>
      </w:r>
    </w:p>
    <w:p>
      <w:pPr>
        <w:spacing w:after="0" w:line="21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 corporation which, for purposes of Section 424 of the Code, is a parent or subsidiary of the Company, direct or indirect.</w:t>
      </w:r>
    </w:p>
    <w:p>
      <w:pPr>
        <w:spacing w:after="0" w:line="24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225" w:lineRule="exact"/>
        <w:rPr>
          <w:sz w:val="20"/>
          <w:szCs w:val="20"/>
          <w:color w:val="auto"/>
        </w:rPr>
      </w:pPr>
    </w:p>
    <w:p>
      <w:pPr>
        <w:jc w:val="both"/>
        <w:ind w:left="1960" w:hanging="655"/>
        <w:spacing w:after="0" w:line="276" w:lineRule="auto"/>
        <w:tabs>
          <w:tab w:leader="none" w:pos="1960" w:val="left"/>
        </w:tabs>
        <w:numPr>
          <w:ilvl w:val="0"/>
          <w:numId w:val="54"/>
        </w:numPr>
        <w:rPr>
          <w:rFonts w:ascii="Arial" w:cs="Arial" w:eastAsia="Arial" w:hAnsi="Arial"/>
          <w:sz w:val="17"/>
          <w:szCs w:val="17"/>
          <w:b w:val="1"/>
          <w:bCs w:val="1"/>
          <w:color w:val="auto"/>
        </w:rPr>
      </w:pPr>
      <w:r>
        <w:rPr>
          <w:rFonts w:ascii="Arial" w:cs="Arial" w:eastAsia="Arial" w:hAnsi="Arial"/>
          <w:sz w:val="17"/>
          <w:szCs w:val="17"/>
          <w:i w:val="1"/>
          <w:iCs w:val="1"/>
          <w:color w:val="auto"/>
        </w:rPr>
        <w:t>Ownership</w:t>
      </w:r>
      <w:r>
        <w:rPr>
          <w:rFonts w:ascii="Arial" w:cs="Arial" w:eastAsia="Arial" w:hAnsi="Arial"/>
          <w:sz w:val="17"/>
          <w:szCs w:val="17"/>
          <w:color w:val="auto"/>
        </w:rPr>
        <w:t>. Any “Person” (as such term is used in Sections 13(d) and 14(d) of the Exchange Act) becomes the “Beneficial Owner”</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both"/>
        <w:ind w:left="1960" w:hanging="655"/>
        <w:spacing w:after="0" w:line="285" w:lineRule="auto"/>
        <w:tabs>
          <w:tab w:leader="none" w:pos="1960" w:val="left"/>
        </w:tabs>
        <w:numPr>
          <w:ilvl w:val="0"/>
          <w:numId w:val="55"/>
        </w:numPr>
        <w:rPr>
          <w:rFonts w:ascii="Arial" w:cs="Arial" w:eastAsia="Arial" w:hAnsi="Arial"/>
          <w:sz w:val="16"/>
          <w:szCs w:val="16"/>
          <w:b w:val="1"/>
          <w:bCs w:val="1"/>
          <w:color w:val="auto"/>
        </w:rPr>
      </w:pPr>
      <w:r>
        <w:rPr>
          <w:rFonts w:ascii="Arial" w:cs="Arial" w:eastAsia="Arial" w:hAnsi="Arial"/>
          <w:sz w:val="16"/>
          <w:szCs w:val="16"/>
          <w:i w:val="1"/>
          <w:iCs w:val="1"/>
          <w:color w:val="auto"/>
        </w:rPr>
        <w:t>Merger/Sale of Assets</w:t>
      </w:r>
      <w:r>
        <w:rPr>
          <w:rFonts w:ascii="Arial" w:cs="Arial" w:eastAsia="Arial" w:hAnsi="Arial"/>
          <w:sz w:val="16"/>
          <w:szCs w:val="16"/>
          <w:color w:val="auto"/>
        </w:rPr>
        <w:t>. (A) A merger or consolidation of the Company whether or not approved by the Board of Directors,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w:t>
      </w:r>
    </w:p>
    <w:p>
      <w:pPr>
        <w:spacing w:after="0" w:line="2" w:lineRule="exact"/>
        <w:rPr>
          <w:rFonts w:ascii="Arial" w:cs="Arial" w:eastAsia="Arial" w:hAnsi="Arial"/>
          <w:sz w:val="16"/>
          <w:szCs w:val="16"/>
          <w:b w:val="1"/>
          <w:bCs w:val="1"/>
          <w:color w:val="auto"/>
        </w:rPr>
      </w:pPr>
    </w:p>
    <w:p>
      <w:pPr>
        <w:ind w:left="19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(B) the sale or disposition by the Company of all or substantially all of the Company’s assets in a transaction requiring stockholder approval; or</w:t>
      </w:r>
    </w:p>
    <w:p>
      <w:pPr>
        <w:spacing w:after="0" w:line="183" w:lineRule="exact"/>
        <w:rPr>
          <w:rFonts w:ascii="Arial" w:cs="Arial" w:eastAsia="Arial" w:hAnsi="Arial"/>
          <w:sz w:val="16"/>
          <w:szCs w:val="16"/>
          <w:b w:val="1"/>
          <w:bCs w:val="1"/>
          <w:color w:val="auto"/>
        </w:rPr>
      </w:pPr>
    </w:p>
    <w:p>
      <w:pPr>
        <w:jc w:val="both"/>
        <w:ind w:left="1960" w:hanging="655"/>
        <w:spacing w:after="0" w:line="273" w:lineRule="auto"/>
        <w:tabs>
          <w:tab w:leader="none" w:pos="1960" w:val="left"/>
        </w:tabs>
        <w:numPr>
          <w:ilvl w:val="0"/>
          <w:numId w:val="55"/>
        </w:numPr>
        <w:rPr>
          <w:rFonts w:ascii="Arial" w:cs="Arial" w:eastAsia="Arial" w:hAnsi="Arial"/>
          <w:sz w:val="17"/>
          <w:szCs w:val="17"/>
          <w:b w:val="1"/>
          <w:bCs w:val="1"/>
          <w:color w:val="auto"/>
        </w:rPr>
      </w:pPr>
      <w:r>
        <w:rPr>
          <w:rFonts w:ascii="Arial" w:cs="Arial" w:eastAsia="Arial" w:hAnsi="Arial"/>
          <w:sz w:val="17"/>
          <w:szCs w:val="17"/>
          <w:i w:val="1"/>
          <w:iCs w:val="1"/>
          <w:color w:val="auto"/>
        </w:rPr>
        <w:t>Change in Board Composition</w:t>
      </w:r>
      <w:r>
        <w:rPr>
          <w:rFonts w:ascii="Arial" w:cs="Arial" w:eastAsia="Arial" w:hAnsi="Arial"/>
          <w:sz w:val="17"/>
          <w:szCs w:val="17"/>
          <w:color w:val="auto"/>
        </w:rPr>
        <w:t>. A change in the composition of the Board of Directors, as a result of which fewer than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78" w:lineRule="exact"/>
        <w:rPr>
          <w:rFonts w:ascii="Arial" w:cs="Arial" w:eastAsia="Arial" w:hAnsi="Arial"/>
          <w:sz w:val="17"/>
          <w:szCs w:val="17"/>
          <w:b w:val="1"/>
          <w:bCs w:val="1"/>
          <w:color w:val="auto"/>
        </w:rPr>
      </w:pPr>
    </w:p>
    <w:p>
      <w:pPr>
        <w:ind w:left="1960" w:hanging="655"/>
        <w:spacing w:after="0" w:line="277" w:lineRule="auto"/>
        <w:tabs>
          <w:tab w:leader="none" w:pos="19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United States Internal Revenue Code of 1986, as amended including any successor statute, regulation and guidance thereto.</w:t>
      </w:r>
    </w:p>
    <w:p>
      <w:pPr>
        <w:spacing w:after="0" w:line="248" w:lineRule="exact"/>
        <w:rPr>
          <w:sz w:val="20"/>
          <w:szCs w:val="20"/>
          <w:color w:val="auto"/>
        </w:rPr>
      </w:pPr>
    </w:p>
    <w:p>
      <w:pPr>
        <w:jc w:val="both"/>
        <w:ind w:left="1300"/>
        <w:spacing w:after="0" w:line="280"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30"/>
          <w:szCs w:val="30"/>
          <w:color w:val="auto"/>
          <w:vertAlign w:val="superscript"/>
        </w:rPr>
        <w:t>1</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Vringo, Inc., a Delaware corporation.</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ind w:right="460" w:firstLine="8"/>
        <w:spacing w:after="0" w:line="194" w:lineRule="auto"/>
        <w:tabs>
          <w:tab w:leader="none" w:pos="120" w:val="left"/>
        </w:tabs>
        <w:numPr>
          <w:ilvl w:val="0"/>
          <w:numId w:val="56"/>
        </w:numPr>
        <w:rPr>
          <w:rFonts w:ascii="Arial" w:cs="Arial" w:eastAsia="Arial" w:hAnsi="Arial"/>
          <w:sz w:val="30"/>
          <w:szCs w:val="30"/>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ind w:left="10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225"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225" w:lineRule="exact"/>
        <w:rPr>
          <w:sz w:val="20"/>
          <w:szCs w:val="20"/>
          <w:color w:val="auto"/>
        </w:rPr>
      </w:pPr>
    </w:p>
    <w:p>
      <w:pPr>
        <w:jc w:val="both"/>
        <w:ind w:left="100" w:firstLine="653"/>
        <w:spacing w:after="0" w:line="259" w:lineRule="auto"/>
        <w:tabs>
          <w:tab w:leader="none" w:pos="14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86" w:lineRule="exact"/>
        <w:rPr>
          <w:rFonts w:ascii="Arial" w:cs="Arial" w:eastAsia="Arial" w:hAnsi="Arial"/>
          <w:sz w:val="18"/>
          <w:szCs w:val="18"/>
          <w:color w:val="auto"/>
        </w:rPr>
      </w:pPr>
    </w:p>
    <w:p>
      <w:pPr>
        <w:jc w:val="both"/>
        <w:ind w:left="100" w:firstLine="653"/>
        <w:spacing w:after="0" w:line="257" w:lineRule="auto"/>
        <w:tabs>
          <w:tab w:leader="none" w:pos="14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188" w:lineRule="exact"/>
        <w:rPr>
          <w:rFonts w:ascii="Arial" w:cs="Arial" w:eastAsia="Arial" w:hAnsi="Arial"/>
          <w:sz w:val="18"/>
          <w:szCs w:val="18"/>
          <w:color w:val="auto"/>
        </w:rPr>
      </w:pPr>
    </w:p>
    <w:p>
      <w:pPr>
        <w:jc w:val="both"/>
        <w:ind w:left="100" w:right="20" w:firstLine="653"/>
        <w:spacing w:after="0" w:line="264" w:lineRule="auto"/>
        <w:tabs>
          <w:tab w:leader="none" w:pos="14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225" w:lineRule="exact"/>
        <w:rPr>
          <w:sz w:val="20"/>
          <w:szCs w:val="20"/>
          <w:color w:val="auto"/>
        </w:rPr>
      </w:pPr>
    </w:p>
    <w:p>
      <w:pPr>
        <w:ind w:left="100"/>
        <w:spacing w:after="0" w:line="324"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00" w:name="page101"/>
    <w:bookmarkEnd w:id="100"/>
    <w:p>
      <w:pPr>
        <w:ind w:left="130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Vringo, Inc. 2012 Employee, Director and Consultant Equity Incentive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2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6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8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jc w:val="both"/>
        <w:ind w:firstLine="656"/>
        <w:spacing w:after="0" w:line="273" w:lineRule="auto"/>
        <w:tabs>
          <w:tab w:leader="none" w:pos="143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number of Shares which may be issued from time to time pursuant to this Plan shall be the sum of: (i) 15.6 mm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3.2 mm shares shall be added to the Plan pursuant to subsection (ii).</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jc w:val="both"/>
        <w:ind w:firstLine="656"/>
        <w:spacing w:after="0" w:line="254" w:lineRule="auto"/>
        <w:tabs>
          <w:tab w:leader="none" w:pos="13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19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0" w:lineRule="exact"/>
        <w:rPr>
          <w:sz w:val="20"/>
          <w:szCs w:val="20"/>
          <w:color w:val="auto"/>
        </w:rPr>
      </w:pPr>
    </w:p>
    <w:p>
      <w:pPr>
        <w:ind w:firstLine="656"/>
        <w:spacing w:after="0" w:line="277" w:lineRule="auto"/>
        <w:tabs>
          <w:tab w:leader="none" w:pos="135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firstLine="656"/>
        <w:spacing w:after="0" w:line="277" w:lineRule="auto"/>
        <w:tabs>
          <w:tab w:leader="none" w:pos="138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Stock Rights with respect to more than 4.0 mm Shares be granted to any Participant in any fiscal year;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225" w:lineRule="exact"/>
        <w:rPr>
          <w:rFonts w:ascii="Arial" w:cs="Arial" w:eastAsia="Arial" w:hAnsi="Arial"/>
          <w:sz w:val="18"/>
          <w:szCs w:val="18"/>
          <w:color w:val="auto"/>
        </w:rPr>
      </w:pPr>
    </w:p>
    <w:p>
      <w:pPr>
        <w:jc w:val="both"/>
        <w:ind w:firstLine="656"/>
        <w:spacing w:after="0" w:line="273"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377"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jc w:val="both"/>
        <w:spacing w:after="0" w:line="276" w:lineRule="auto"/>
        <w:rPr>
          <w:sz w:val="20"/>
          <w:szCs w:val="20"/>
          <w:color w:val="auto"/>
        </w:rPr>
      </w:pPr>
      <w:r>
        <w:rPr>
          <w:rFonts w:ascii="Arial" w:cs="Arial" w:eastAsia="Arial" w:hAnsi="Arial"/>
          <w:sz w:val="17"/>
          <w:szCs w:val="17"/>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8"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66"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ind w:firstLine="656"/>
        <w:spacing w:after="0" w:line="264" w:lineRule="auto"/>
        <w:tabs>
          <w:tab w:leader="none" w:pos="152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81"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225"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Option Periods</w:t>
      </w:r>
      <w:r>
        <w:rPr>
          <w:rFonts w:ascii="Arial" w:cs="Arial" w:eastAsia="Arial" w:hAnsi="Arial"/>
          <w:sz w:val="17"/>
          <w:szCs w:val="17"/>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165"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225" w:lineRule="exact"/>
        <w:rPr>
          <w:rFonts w:ascii="Arial" w:cs="Arial" w:eastAsia="Arial" w:hAnsi="Arial"/>
          <w:sz w:val="18"/>
          <w:szCs w:val="18"/>
          <w:color w:val="auto"/>
        </w:rPr>
      </w:pPr>
    </w:p>
    <w:p>
      <w:pPr>
        <w:ind w:left="2600" w:right="20" w:hanging="647"/>
        <w:spacing w:after="0" w:line="277" w:lineRule="auto"/>
        <w:tabs>
          <w:tab w:leader="none" w:pos="26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31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4" w:name="page105"/>
    <w:bookmarkEnd w:id="104"/>
    <w:p>
      <w:pPr>
        <w:ind w:left="1960" w:hanging="655"/>
        <w:spacing w:after="0" w:line="277"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170" w:lineRule="exact"/>
        <w:rPr>
          <w:rFonts w:ascii="Arial" w:cs="Arial" w:eastAsia="Arial" w:hAnsi="Arial"/>
          <w:sz w:val="18"/>
          <w:szCs w:val="18"/>
          <w:color w:val="auto"/>
        </w:rPr>
      </w:pPr>
    </w:p>
    <w:p>
      <w:pPr>
        <w:jc w:val="both"/>
        <w:ind w:left="2600" w:right="20" w:hanging="647"/>
        <w:spacing w:after="0" w:line="264" w:lineRule="auto"/>
        <w:tabs>
          <w:tab w:leader="none" w:pos="26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81"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225"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81" w:lineRule="exact"/>
        <w:rPr>
          <w:rFonts w:ascii="Arial" w:cs="Arial" w:eastAsia="Arial" w:hAnsi="Arial"/>
          <w:sz w:val="18"/>
          <w:szCs w:val="18"/>
          <w:color w:val="auto"/>
        </w:rPr>
      </w:pPr>
    </w:p>
    <w:p>
      <w:pPr>
        <w:jc w:val="both"/>
        <w:ind w:left="2600" w:hanging="647"/>
        <w:spacing w:after="0" w:line="342" w:lineRule="auto"/>
        <w:tabs>
          <w:tab w:leader="none" w:pos="2600" w:val="left"/>
        </w:tabs>
        <w:numPr>
          <w:ilvl w:val="2"/>
          <w:numId w:val="67"/>
        </w:numPr>
        <w:rPr>
          <w:rFonts w:ascii="Arial" w:cs="Arial" w:eastAsia="Arial" w:hAnsi="Arial"/>
          <w:sz w:val="16"/>
          <w:szCs w:val="16"/>
          <w:color w:val="auto"/>
        </w:rPr>
      </w:pPr>
      <w:r>
        <w:rPr>
          <w:rFonts w:ascii="Arial" w:cs="Arial" w:eastAsia="Arial" w:hAnsi="Arial"/>
          <w:sz w:val="16"/>
          <w:szCs w:val="16"/>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23" w:lineRule="exact"/>
        <w:rPr>
          <w:rFonts w:ascii="Arial" w:cs="Arial" w:eastAsia="Arial" w:hAnsi="Arial"/>
          <w:sz w:val="16"/>
          <w:szCs w:val="16"/>
          <w:color w:val="auto"/>
        </w:rPr>
      </w:pPr>
    </w:p>
    <w:p>
      <w:pPr>
        <w:jc w:val="both"/>
        <w:ind w:left="1960" w:hanging="655"/>
        <w:spacing w:after="0" w:line="259"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5" w:name="page106"/>
    <w:bookmarkEnd w:id="105"/>
    <w:p>
      <w:pPr>
        <w:jc w:val="both"/>
        <w:ind w:firstLine="656"/>
        <w:spacing w:after="0" w:line="264" w:lineRule="auto"/>
        <w:tabs>
          <w:tab w:leader="none" w:pos="13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225" w:lineRule="exact"/>
        <w:rPr>
          <w:rFonts w:ascii="Arial" w:cs="Arial" w:eastAsia="Arial" w:hAnsi="Arial"/>
          <w:sz w:val="18"/>
          <w:szCs w:val="18"/>
          <w:color w:val="auto"/>
        </w:rPr>
      </w:pPr>
    </w:p>
    <w:p>
      <w:pPr>
        <w:ind w:firstLine="656"/>
        <w:spacing w:after="0" w:line="277"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70"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171"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6" w:name="page107"/>
    <w:bookmarkEnd w:id="106"/>
    <w:p>
      <w:pPr>
        <w:jc w:val="both"/>
        <w:ind w:firstLine="648"/>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130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w:t>
      </w:r>
    </w:p>
    <w:p>
      <w:pPr>
        <w:jc w:val="both"/>
        <w:spacing w:after="0" w:line="231" w:lineRule="auto"/>
        <w:rPr>
          <w:sz w:val="20"/>
          <w:szCs w:val="20"/>
          <w:color w:val="auto"/>
        </w:rPr>
      </w:pPr>
      <w:r>
        <w:rPr>
          <w:rFonts w:ascii="Arial" w:cs="Arial" w:eastAsia="Arial" w:hAnsi="Arial"/>
          <w:sz w:val="17"/>
          <w:szCs w:val="17"/>
          <w:color w:val="auto"/>
        </w:rPr>
        <w:t>Common Stock held for at least six months (if required to avoid negative accounting treatment) and</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097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right="260" w:firstLine="8"/>
        <w:spacing w:after="0" w:line="207" w:lineRule="auto"/>
        <w:tabs>
          <w:tab w:leader="none" w:pos="113" w:val="left"/>
        </w:tabs>
        <w:numPr>
          <w:ilvl w:val="0"/>
          <w:numId w:val="73"/>
        </w:numPr>
        <w:rPr>
          <w:rFonts w:ascii="Arial" w:cs="Arial" w:eastAsia="Arial" w:hAnsi="Arial"/>
          <w:sz w:val="28"/>
          <w:szCs w:val="28"/>
          <w:color w:val="auto"/>
          <w:vertAlign w:val="superscript"/>
        </w:rPr>
      </w:pPr>
      <w:r>
        <w:rPr>
          <w:rFonts w:ascii="Arial" w:cs="Arial" w:eastAsia="Arial" w:hAnsi="Arial"/>
          <w:sz w:val="17"/>
          <w:szCs w:val="17"/>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7" w:name="page108"/>
    <w:bookmarkEnd w:id="107"/>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66"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2"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jc w:val="both"/>
        <w:ind w:firstLine="656"/>
        <w:spacing w:after="0" w:line="255" w:lineRule="auto"/>
        <w:tabs>
          <w:tab w:leader="none" w:pos="16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193" w:lineRule="exact"/>
        <w:rPr>
          <w:rFonts w:ascii="Arial" w:cs="Arial" w:eastAsia="Arial" w:hAnsi="Arial"/>
          <w:sz w:val="18"/>
          <w:szCs w:val="18"/>
          <w:color w:val="auto"/>
        </w:rPr>
      </w:pPr>
    </w:p>
    <w:p>
      <w:pPr>
        <w:ind w:firstLine="656"/>
        <w:spacing w:after="0" w:line="277"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8" w:name="page109"/>
    <w:bookmarkEnd w:id="108"/>
    <w:p>
      <w:pPr>
        <w:jc w:val="both"/>
        <w:ind w:firstLine="656"/>
        <w:spacing w:after="0" w:line="257" w:lineRule="auto"/>
        <w:tabs>
          <w:tab w:leader="none" w:pos="14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6" w:lineRule="exact"/>
        <w:rPr>
          <w:rFonts w:ascii="Arial" w:cs="Arial" w:eastAsia="Arial" w:hAnsi="Arial"/>
          <w:sz w:val="18"/>
          <w:szCs w:val="18"/>
          <w:color w:val="auto"/>
        </w:rPr>
      </w:pPr>
    </w:p>
    <w:p>
      <w:pPr>
        <w:jc w:val="both"/>
        <w:ind w:firstLine="656"/>
        <w:spacing w:after="0" w:line="278" w:lineRule="auto"/>
        <w:tabs>
          <w:tab w:leader="none" w:pos="141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such leave of absence.</w:t>
      </w:r>
    </w:p>
    <w:p>
      <w:pPr>
        <w:spacing w:after="0" w:line="48" w:lineRule="exact"/>
        <w:rPr>
          <w:rFonts w:ascii="Arial" w:cs="Arial" w:eastAsia="Arial" w:hAnsi="Arial"/>
          <w:sz w:val="17"/>
          <w:szCs w:val="17"/>
          <w:color w:val="auto"/>
        </w:rPr>
      </w:pPr>
    </w:p>
    <w:p>
      <w:pPr>
        <w:jc w:val="both"/>
        <w:ind w:firstLine="656"/>
        <w:spacing w:after="0" w:line="264" w:lineRule="auto"/>
        <w:tabs>
          <w:tab w:leader="none" w:pos="13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1"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24" w:lineRule="exact"/>
        <w:rPr>
          <w:sz w:val="20"/>
          <w:szCs w:val="20"/>
          <w:color w:val="auto"/>
        </w:rPr>
      </w:pPr>
    </w:p>
    <w:p>
      <w:pPr>
        <w:ind w:firstLine="656"/>
        <w:spacing w:after="0" w:line="277" w:lineRule="auto"/>
        <w:tabs>
          <w:tab w:leader="none" w:pos="16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7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ind w:left="660" w:right="4280" w:hanging="4"/>
        <w:spacing w:after="0" w:line="501" w:lineRule="auto"/>
        <w:tabs>
          <w:tab w:leader="none" w:pos="130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TERMINATION OF SERVICE FOR DISABILITY. </w:t>
      </w:r>
      <w:r>
        <w:rPr>
          <w:rFonts w:ascii="Arial" w:cs="Arial" w:eastAsia="Arial" w:hAnsi="Arial"/>
          <w:sz w:val="18"/>
          <w:szCs w:val="18"/>
          <w:color w:val="auto"/>
        </w:rPr>
        <w:t>Except as otherwise provided in a Participant’s Option Agreement:</w:t>
      </w:r>
    </w:p>
    <w:p>
      <w:pPr>
        <w:ind w:right="20" w:firstLine="656"/>
        <w:spacing w:after="0" w:line="277" w:lineRule="auto"/>
        <w:tabs>
          <w:tab w:leader="none" w:pos="13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70"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660" w:right="2980" w:hanging="4"/>
        <w:spacing w:after="0" w:line="501" w:lineRule="auto"/>
        <w:tabs>
          <w:tab w:leader="none" w:pos="130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ind w:firstLine="656"/>
        <w:spacing w:after="0" w:line="277" w:lineRule="auto"/>
        <w:tabs>
          <w:tab w:leader="none" w:pos="1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0" w:name="page111"/>
    <w:bookmarkEnd w:id="110"/>
    <w:p>
      <w:pPr>
        <w:jc w:val="both"/>
        <w:ind w:left="1960" w:hanging="655"/>
        <w:spacing w:after="0" w:line="286" w:lineRule="auto"/>
        <w:tabs>
          <w:tab w:leader="none" w:pos="19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353"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7"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81"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1" w:name="page112"/>
    <w:bookmarkEnd w:id="111"/>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provided in a Participant’s Stock Grant Agreement, the following rules apply if the Participant’s service (whether as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 or Consultant) with the Company or an Affiliate is terminated for Cause:</w:t>
      </w:r>
    </w:p>
    <w:p>
      <w:pPr>
        <w:spacing w:after="0" w:line="211" w:lineRule="exact"/>
        <w:rPr>
          <w:sz w:val="20"/>
          <w:szCs w:val="20"/>
          <w:color w:val="auto"/>
        </w:rPr>
      </w:pPr>
    </w:p>
    <w:p>
      <w:pPr>
        <w:ind w:right="20" w:firstLine="656"/>
        <w:spacing w:after="0" w:line="277" w:lineRule="auto"/>
        <w:tabs>
          <w:tab w:leader="none" w:pos="13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7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88"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2" w:name="page113"/>
    <w:bookmarkEnd w:id="112"/>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70" w:lineRule="exact"/>
        <w:rPr>
          <w:sz w:val="20"/>
          <w:szCs w:val="20"/>
          <w:color w:val="auto"/>
        </w:rPr>
      </w:pPr>
    </w:p>
    <w:p>
      <w:pPr>
        <w:jc w:val="both"/>
        <w:ind w:firstLine="656"/>
        <w:spacing w:after="0" w:line="259" w:lineRule="auto"/>
        <w:tabs>
          <w:tab w:leader="none" w:pos="14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87" w:lineRule="exact"/>
        <w:rPr>
          <w:sz w:val="20"/>
          <w:szCs w:val="20"/>
          <w:color w:val="auto"/>
        </w:rPr>
      </w:pPr>
    </w:p>
    <w:p>
      <w:pPr>
        <w:jc w:val="both"/>
        <w:ind w:left="1960"/>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88" w:lineRule="exact"/>
        <w:rPr>
          <w:sz w:val="20"/>
          <w:szCs w:val="20"/>
          <w:color w:val="auto"/>
        </w:rPr>
      </w:pPr>
    </w:p>
    <w:p>
      <w:pPr>
        <w:ind w:firstLine="656"/>
        <w:spacing w:after="0" w:line="277" w:lineRule="auto"/>
        <w:tabs>
          <w:tab w:leader="none" w:pos="15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170"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3" w:name="page114"/>
    <w:bookmarkEnd w:id="113"/>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70" w:lineRule="exact"/>
        <w:rPr>
          <w:sz w:val="20"/>
          <w:szCs w:val="20"/>
          <w:color w:val="auto"/>
        </w:rPr>
      </w:pPr>
    </w:p>
    <w:p>
      <w:pPr>
        <w:jc w:val="both"/>
        <w:ind w:firstLine="656"/>
        <w:spacing w:after="0" w:line="273" w:lineRule="auto"/>
        <w:tabs>
          <w:tab w:leader="none" w:pos="1383"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366"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4" w:name="page115"/>
    <w:bookmarkEnd w:id="114"/>
    <w:p>
      <w:pPr>
        <w:jc w:val="both"/>
        <w:ind w:firstLine="648"/>
        <w:spacing w:after="0" w:line="271" w:lineRule="auto"/>
        <w:rPr>
          <w:sz w:val="20"/>
          <w:szCs w:val="20"/>
          <w:color w:val="auto"/>
        </w:rPr>
      </w:pPr>
      <w:r>
        <w:rPr>
          <w:rFonts w:ascii="Arial" w:cs="Arial" w:eastAsia="Arial" w:hAnsi="Arial"/>
          <w:sz w:val="17"/>
          <w:szCs w:val="17"/>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jc w:val="both"/>
        <w:ind w:firstLine="656"/>
        <w:spacing w:after="0" w:line="257" w:lineRule="auto"/>
        <w:tabs>
          <w:tab w:leader="none" w:pos="138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54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6" w:lineRule="exact"/>
        <w:rPr>
          <w:rFonts w:ascii="Arial" w:cs="Arial" w:eastAsia="Arial" w:hAnsi="Arial"/>
          <w:sz w:val="18"/>
          <w:szCs w:val="18"/>
          <w:color w:val="auto"/>
        </w:rPr>
      </w:pPr>
    </w:p>
    <w:p>
      <w:pPr>
        <w:jc w:val="both"/>
        <w:ind w:firstLine="656"/>
        <w:spacing w:after="0" w:line="271" w:lineRule="auto"/>
        <w:tabs>
          <w:tab w:leader="none" w:pos="135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7"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170"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192"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6" w:name="page117"/>
    <w:bookmarkEnd w:id="116"/>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73"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7"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81"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 ISRAEL</w:t>
      </w:r>
    </w:p>
    <w:p>
      <w:pPr>
        <w:spacing w:after="0" w:line="22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221" w:lineRule="exact"/>
        <w:rPr>
          <w:sz w:val="20"/>
          <w:szCs w:val="20"/>
          <w:color w:val="auto"/>
        </w:rPr>
      </w:pPr>
    </w:p>
    <w:p>
      <w:pPr>
        <w:ind w:left="660" w:right="60" w:hanging="647"/>
        <w:spacing w:after="0" w:line="26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shall be effective as of September 12, 2012.</w:t>
      </w:r>
    </w:p>
    <w:p>
      <w:pPr>
        <w:spacing w:after="0" w:line="225"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PURPOSE</w:t>
      </w:r>
    </w:p>
    <w:p>
      <w:pPr>
        <w:spacing w:after="0" w:line="225"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 Options</w:t>
      </w:r>
      <w:r>
        <w:rPr>
          <w:rFonts w:ascii="Arial" w:cs="Arial" w:eastAsia="Arial" w:hAnsi="Arial"/>
          <w:sz w:val="18"/>
          <w:szCs w:val="18"/>
          <w:color w:val="auto"/>
        </w:rPr>
        <w:t>”).</w:t>
      </w:r>
    </w:p>
    <w:p>
      <w:pPr>
        <w:spacing w:after="0" w:line="187"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166"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right="32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Capitalized Terms not otherwise defined herein shall have the meanings assigned in the Plan. The following additional terms will apply to grants made pursuant to this Appendix:</w:t>
      </w:r>
    </w:p>
    <w:p>
      <w:pPr>
        <w:spacing w:after="0" w:line="166" w:lineRule="exact"/>
        <w:rPr>
          <w:sz w:val="20"/>
          <w:szCs w:val="20"/>
          <w:color w:val="auto"/>
        </w:rPr>
      </w:pPr>
    </w:p>
    <w:p>
      <w:pPr>
        <w:ind w:left="660"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w:t>
      </w:r>
      <w:r>
        <w:rPr>
          <w:rFonts w:ascii="Arial" w:cs="Arial" w:eastAsia="Arial" w:hAnsi="Arial"/>
          <w:sz w:val="18"/>
          <w:szCs w:val="18"/>
          <w:color w:val="auto"/>
        </w:rPr>
        <w:t xml:space="preserve"> Stock Grants, Stock Rights or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Grants, Stock Rights or an Option granted under the terms of Section 3(i) of the Ordinance to persons which do not qualify as “employees” under the provisions of Section 102.</w:t>
      </w:r>
    </w:p>
    <w:p>
      <w:pPr>
        <w:spacing w:after="0" w:line="162" w:lineRule="exact"/>
        <w:rPr>
          <w:sz w:val="20"/>
          <w:szCs w:val="20"/>
          <w:color w:val="auto"/>
        </w:rPr>
      </w:pPr>
    </w:p>
    <w:p>
      <w:pPr>
        <w:ind w:left="660"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9" w:name="page120"/>
    <w:bookmarkEnd w:id="119"/>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w:t>
      </w:r>
      <w:r>
        <w:rPr>
          <w:rFonts w:ascii="Arial" w:cs="Arial" w:eastAsia="Arial" w:hAnsi="Arial"/>
          <w:sz w:val="18"/>
          <w:szCs w:val="18"/>
          <w:color w:val="auto"/>
        </w:rPr>
        <w:t xml:space="preserve"> Stock Grant, Stock Right or an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 Stock Right or an Option intended to qualify, under the provisions of Section 102(b) of the Ordinance (including the Section 102(b) Choice of Track), as either:</w:t>
      </w:r>
    </w:p>
    <w:p>
      <w:pPr>
        <w:spacing w:after="0" w:line="162" w:lineRule="exact"/>
        <w:rPr>
          <w:sz w:val="20"/>
          <w:szCs w:val="20"/>
          <w:color w:val="auto"/>
        </w:rPr>
      </w:pPr>
    </w:p>
    <w:p>
      <w:pPr>
        <w:ind w:left="524" w:hanging="524"/>
        <w:spacing w:after="0"/>
        <w:tabs>
          <w:tab w:leader="none" w:pos="5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225" w:lineRule="exact"/>
        <w:rPr>
          <w:rFonts w:ascii="Arial" w:cs="Arial" w:eastAsia="Arial" w:hAnsi="Arial"/>
          <w:sz w:val="18"/>
          <w:szCs w:val="18"/>
          <w:color w:val="auto"/>
        </w:rPr>
      </w:pPr>
    </w:p>
    <w:p>
      <w:pPr>
        <w:ind w:left="544" w:hanging="544"/>
        <w:spacing w:after="0"/>
        <w:tabs>
          <w:tab w:leader="none" w:pos="5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225"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Person</w:t>
      </w:r>
      <w:r>
        <w:rPr>
          <w:rFonts w:ascii="Arial" w:cs="Arial" w:eastAsia="Arial" w:hAnsi="Arial"/>
          <w:sz w:val="16"/>
          <w:szCs w:val="16"/>
          <w:color w:val="auto"/>
        </w:rPr>
        <w:t>” shall have the meaning ascribed to such definition under Section 102 of the Ordinance, as may be amended from time to time.</w:t>
      </w:r>
    </w:p>
    <w:p>
      <w:pPr>
        <w:spacing w:after="0" w:line="248"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employee</w:t>
      </w:r>
      <w:r>
        <w:rPr>
          <w:rFonts w:ascii="Arial" w:cs="Arial" w:eastAsia="Arial" w:hAnsi="Arial"/>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176"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 the fair market value of the Shares at the date of grant shall be determined in accordance with the average value of the Company’s Shares on the thirty (30) trading days preceding the date of grant or on the thirty</w:t>
      </w:r>
    </w:p>
    <w:p>
      <w:pPr>
        <w:spacing w:after="0" w:line="3" w:lineRule="exact"/>
        <w:rPr>
          <w:sz w:val="20"/>
          <w:szCs w:val="20"/>
          <w:color w:val="auto"/>
        </w:rPr>
      </w:pPr>
    </w:p>
    <w:p>
      <w:pPr>
        <w:ind w:left="4" w:right="400" w:hanging="4"/>
        <w:spacing w:after="0" w:line="261" w:lineRule="auto"/>
        <w:tabs>
          <w:tab w:leader="none" w:pos="3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trading days following the date of registration for trading, as the case may be. In all other cases Fair Market Value shall be as defined in the Plan.</w:t>
      </w:r>
    </w:p>
    <w:p>
      <w:pPr>
        <w:spacing w:after="0" w:line="180" w:lineRule="exact"/>
        <w:rPr>
          <w:sz w:val="20"/>
          <w:szCs w:val="20"/>
          <w:color w:val="auto"/>
        </w:rPr>
      </w:pPr>
    </w:p>
    <w:p>
      <w:pPr>
        <w:ind w:left="4" w:right="4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Ordinance”</w:t>
      </w:r>
      <w:r>
        <w:rPr>
          <w:rFonts w:ascii="Arial" w:cs="Arial" w:eastAsia="Arial" w:hAnsi="Arial"/>
          <w:sz w:val="17"/>
          <w:szCs w:val="17"/>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138"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Stock Grants, Stock Rights or Options under the Appendix, including bonus shares but excluding cash dividends.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225"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Stock Grants, Stock Rights or Options granted pursuant to Section 102(c) of the Ordinance and not held in trust by a Trustee.</w:t>
      </w:r>
    </w:p>
    <w:p>
      <w:pPr>
        <w:spacing w:after="0" w:line="38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20" w:name="page121"/>
    <w:bookmarkEnd w:id="120"/>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DESIGNATION OF PARTICIPANTS</w:t>
      </w:r>
    </w:p>
    <w:p>
      <w:pPr>
        <w:spacing w:after="0" w:line="225" w:lineRule="exact"/>
        <w:rPr>
          <w:rFonts w:ascii="Arial" w:cs="Arial" w:eastAsia="Arial" w:hAnsi="Arial"/>
          <w:sz w:val="18"/>
          <w:szCs w:val="18"/>
          <w:color w:val="auto"/>
        </w:rPr>
      </w:pPr>
    </w:p>
    <w:p>
      <w:pPr>
        <w:ind w:left="660" w:right="240"/>
        <w:spacing w:after="0" w:line="291" w:lineRule="auto"/>
        <w:rPr>
          <w:rFonts w:ascii="Arial" w:cs="Arial" w:eastAsia="Arial" w:hAnsi="Arial"/>
          <w:sz w:val="18"/>
          <w:szCs w:val="18"/>
          <w:color w:val="auto"/>
        </w:rPr>
      </w:pPr>
      <w:r>
        <w:rPr>
          <w:rFonts w:ascii="Arial" w:cs="Arial" w:eastAsia="Arial" w:hAnsi="Arial"/>
          <w:sz w:val="16"/>
          <w:szCs w:val="16"/>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Company may designate Stock Grants, Stock Rights or Options granted to Employees pursuant to Section 102 of the Ordinance as Unapproved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102 Options or 102(b) Options.</w:t>
      </w:r>
    </w:p>
    <w:p>
      <w:pPr>
        <w:spacing w:after="0" w:line="211"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grant of 102(b) Stock Grants, Stock Rights or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170"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102(b) Stock Grants, Stock Rights or Options may either be classified as 102(b)(2) Stock Grants, Stock Rights or Options under the capital gain tax Track or 102(b)(1) Stock Grants, Stock or Options under the Ordinary Income Track.</w:t>
      </w:r>
    </w:p>
    <w:p>
      <w:pPr>
        <w:spacing w:after="0" w:line="170" w:lineRule="exact"/>
        <w:rPr>
          <w:sz w:val="20"/>
          <w:szCs w:val="20"/>
          <w:color w:val="auto"/>
        </w:rPr>
      </w:pPr>
    </w:p>
    <w:p>
      <w:pPr>
        <w:ind w:left="660" w:hanging="647"/>
        <w:spacing w:after="0" w:line="270"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The Company’s election of the type of 102(b) Stock Grants, Stock Rights or Options as 102(b)(2) Stock Grants, Stock or Options or 102(b)(1) Stock Grants, Stock Rights or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All 102(b) Stock Grants, Stock Rights or Options must be held in trust by a Trustee, as described in Section 6 below.</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21" w:name="page122"/>
    <w:bookmarkEnd w:id="121"/>
    <w:p>
      <w:pPr>
        <w:ind w:left="652" w:right="320" w:hanging="647"/>
        <w:spacing w:after="0" w:line="308" w:lineRule="auto"/>
        <w:tabs>
          <w:tab w:leader="none" w:pos="632"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147" w:lineRule="exact"/>
        <w:rPr>
          <w:sz w:val="20"/>
          <w:szCs w:val="20"/>
          <w:color w:val="auto"/>
        </w:rPr>
      </w:pPr>
    </w:p>
    <w:p>
      <w:pPr>
        <w:ind w:left="652" w:right="220" w:hanging="647"/>
        <w:spacing w:after="0" w:line="276" w:lineRule="auto"/>
        <w:tabs>
          <w:tab w:leader="none" w:pos="632"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173" w:lineRule="exact"/>
        <w:rPr>
          <w:sz w:val="20"/>
          <w:szCs w:val="20"/>
          <w:color w:val="auto"/>
        </w:rPr>
      </w:pPr>
    </w:p>
    <w:p>
      <w:pPr>
        <w:ind w:left="652" w:hanging="652"/>
        <w:spacing w:after="0"/>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left="652" w:hanging="647"/>
        <w:spacing w:after="0" w:line="268"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7"/>
          <w:szCs w:val="17"/>
          <w:b w:val="1"/>
          <w:bCs w:val="1"/>
          <w:color w:val="auto"/>
        </w:rPr>
        <w:t>Trustee</w:t>
      </w:r>
      <w:r>
        <w:rPr>
          <w:rFonts w:ascii="Arial" w:cs="Arial" w:eastAsia="Arial" w:hAnsi="Arial"/>
          <w:sz w:val="17"/>
          <w:szCs w:val="17"/>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181" w:lineRule="exact"/>
        <w:rPr>
          <w:sz w:val="20"/>
          <w:szCs w:val="20"/>
          <w:color w:val="auto"/>
        </w:rPr>
      </w:pPr>
    </w:p>
    <w:p>
      <w:pPr>
        <w:ind w:left="652" w:right="20" w:hanging="647"/>
        <w:spacing w:after="0" w:line="259" w:lineRule="auto"/>
        <w:tabs>
          <w:tab w:leader="none" w:pos="6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2" w:right="259" w:bottom="1440" w:gutter="0" w:footer="0" w:header="0"/>
        </w:sectPr>
      </w:pPr>
    </w:p>
    <w:bookmarkStart w:id="122" w:name="page123"/>
    <w:bookmarkEnd w:id="122"/>
    <w:p>
      <w:pPr>
        <w:ind w:left="640" w:right="100" w:hanging="647"/>
        <w:spacing w:after="0" w:line="259"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187" w:lineRule="exact"/>
        <w:rPr>
          <w:sz w:val="20"/>
          <w:szCs w:val="20"/>
          <w:color w:val="auto"/>
        </w:rPr>
      </w:pPr>
    </w:p>
    <w:p>
      <w:pPr>
        <w:ind w:left="640" w:right="180" w:hanging="647"/>
        <w:spacing w:after="0" w:line="279" w:lineRule="auto"/>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 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171" w:lineRule="exact"/>
        <w:rPr>
          <w:sz w:val="20"/>
          <w:szCs w:val="20"/>
          <w:color w:val="auto"/>
        </w:rPr>
      </w:pPr>
    </w:p>
    <w:p>
      <w:pPr>
        <w:ind w:left="640" w:hanging="647"/>
        <w:spacing w:after="0" w:line="255" w:lineRule="auto"/>
        <w:tabs>
          <w:tab w:leader="none" w:pos="6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Arial" w:cs="Arial" w:eastAsia="Arial" w:hAnsi="Arial"/>
          <w:sz w:val="18"/>
          <w:szCs w:val="18"/>
          <w:b w:val="1"/>
          <w:bCs w:val="1"/>
          <w:color w:val="auto"/>
        </w:rPr>
        <w:t>.</w:t>
      </w:r>
    </w:p>
    <w:p>
      <w:pPr>
        <w:spacing w:after="0" w:line="189" w:lineRule="exact"/>
        <w:rPr>
          <w:sz w:val="20"/>
          <w:szCs w:val="20"/>
          <w:color w:val="auto"/>
        </w:rPr>
      </w:pPr>
    </w:p>
    <w:p>
      <w:pPr>
        <w:ind w:left="640" w:hanging="647"/>
        <w:spacing w:after="0" w:line="312" w:lineRule="auto"/>
        <w:tabs>
          <w:tab w:leader="none" w:pos="6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147" w:lineRule="exact"/>
        <w:rPr>
          <w:sz w:val="20"/>
          <w:szCs w:val="20"/>
          <w:color w:val="auto"/>
        </w:rPr>
      </w:pPr>
    </w:p>
    <w:p>
      <w:pPr>
        <w:ind w:left="640" w:right="660" w:hanging="647"/>
        <w:spacing w:after="0" w:line="277" w:lineRule="auto"/>
        <w:tabs>
          <w:tab w:leader="none" w:pos="6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As long as Shares are held by the Trustee in favor of the Participant, then all rights the last possesses over the Shares are personal, cannot be transferred, assigned, pledged or mortgaged, other than by will or laws of descent and distribution.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23" w:name="page124"/>
    <w:bookmarkEnd w:id="123"/>
    <w:p>
      <w:pPr>
        <w:ind w:left="652" w:hanging="652"/>
        <w:spacing w:after="0"/>
        <w:tabs>
          <w:tab w:leader="none" w:pos="6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225" w:lineRule="exact"/>
        <w:rPr>
          <w:sz w:val="20"/>
          <w:szCs w:val="20"/>
          <w:color w:val="auto"/>
        </w:rPr>
      </w:pPr>
    </w:p>
    <w:p>
      <w:pPr>
        <w:ind w:left="652" w:right="20" w:hanging="647"/>
        <w:spacing w:after="0" w:line="271" w:lineRule="auto"/>
        <w:tabs>
          <w:tab w:leader="none" w:pos="6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179" w:lineRule="exact"/>
        <w:rPr>
          <w:sz w:val="20"/>
          <w:szCs w:val="20"/>
          <w:color w:val="auto"/>
        </w:rPr>
      </w:pPr>
    </w:p>
    <w:p>
      <w:pPr>
        <w:ind w:left="652" w:hanging="647"/>
        <w:spacing w:after="0" w:line="273" w:lineRule="auto"/>
        <w:tabs>
          <w:tab w:leader="none" w:pos="6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Each Stock Grants, Stock Rights or Option Agreement evidencing 102(b) Stock Grants, Stock Rights or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178" w:lineRule="exact"/>
        <w:rPr>
          <w:sz w:val="20"/>
          <w:szCs w:val="20"/>
          <w:color w:val="auto"/>
        </w:rPr>
      </w:pPr>
    </w:p>
    <w:p>
      <w:pPr>
        <w:ind w:left="652" w:hanging="652"/>
        <w:spacing w:after="0"/>
        <w:tabs>
          <w:tab w:leader="none" w:pos="6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225" w:lineRule="exact"/>
        <w:rPr>
          <w:sz w:val="20"/>
          <w:szCs w:val="20"/>
          <w:color w:val="auto"/>
        </w:rPr>
      </w:pPr>
    </w:p>
    <w:p>
      <w:pPr>
        <w:ind w:left="652" w:right="100" w:hanging="647"/>
        <w:spacing w:after="0" w:line="259" w:lineRule="auto"/>
        <w:tabs>
          <w:tab w:leader="none" w:pos="6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187" w:lineRule="exact"/>
        <w:rPr>
          <w:sz w:val="20"/>
          <w:szCs w:val="20"/>
          <w:color w:val="auto"/>
        </w:rPr>
      </w:pPr>
    </w:p>
    <w:p>
      <w:pPr>
        <w:ind w:left="652" w:hanging="652"/>
        <w:spacing w:after="0"/>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225" w:lineRule="exact"/>
        <w:rPr>
          <w:rFonts w:ascii="Arial" w:cs="Arial" w:eastAsia="Arial" w:hAnsi="Arial"/>
          <w:sz w:val="18"/>
          <w:szCs w:val="18"/>
          <w:color w:val="auto"/>
        </w:rPr>
      </w:pPr>
    </w:p>
    <w:p>
      <w:pPr>
        <w:jc w:val="both"/>
        <w:ind w:left="652" w:right="380"/>
        <w:spacing w:after="0" w:line="264" w:lineRule="auto"/>
        <w:rPr>
          <w:rFonts w:ascii="Arial" w:cs="Arial" w:eastAsia="Arial" w:hAnsi="Arial"/>
          <w:sz w:val="18"/>
          <w:szCs w:val="18"/>
          <w:color w:val="auto"/>
        </w:rPr>
      </w:pPr>
      <w:r>
        <w:rPr>
          <w:rFonts w:ascii="Arial" w:cs="Arial" w:eastAsia="Arial" w:hAnsi="Arial"/>
          <w:sz w:val="18"/>
          <w:szCs w:val="18"/>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CONTINUANCE OF EMPLOYMENT OR HIRED SERVICES</w:t>
      </w:r>
    </w:p>
    <w:p>
      <w:pPr>
        <w:spacing w:after="0" w:line="225" w:lineRule="exact"/>
        <w:rPr>
          <w:rFonts w:ascii="Arial" w:cs="Arial" w:eastAsia="Arial" w:hAnsi="Arial"/>
          <w:sz w:val="18"/>
          <w:szCs w:val="18"/>
          <w:color w:val="auto"/>
        </w:rPr>
      </w:pPr>
    </w:p>
    <w:p>
      <w:pPr>
        <w:ind w:left="652" w:right="20"/>
        <w:spacing w:after="0" w:line="257" w:lineRule="auto"/>
        <w:rPr>
          <w:rFonts w:ascii="Arial" w:cs="Arial" w:eastAsia="Arial" w:hAnsi="Arial"/>
          <w:sz w:val="18"/>
          <w:szCs w:val="18"/>
          <w:color w:val="auto"/>
        </w:rPr>
      </w:pPr>
      <w:r>
        <w:rPr>
          <w:rFonts w:ascii="Arial" w:cs="Arial" w:eastAsia="Arial" w:hAnsi="Arial"/>
          <w:sz w:val="18"/>
          <w:szCs w:val="18"/>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652" w:hanging="96"/>
        <w:spacing w:after="0"/>
        <w:tabs>
          <w:tab w:leader="none" w:pos="565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1" w:right="259" w:bottom="1440" w:gutter="0" w:footer="0" w:header="0"/>
        </w:sectPr>
      </w:pPr>
    </w:p>
    <w:bookmarkStart w:id="124" w:name="page125"/>
    <w:bookmarkEnd w:id="124"/>
    <w:p>
      <w:pPr>
        <w:ind w:left="652" w:hanging="652"/>
        <w:spacing w:after="0"/>
        <w:tabs>
          <w:tab w:leader="none" w:pos="6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sz w:val="20"/>
          <w:szCs w:val="20"/>
          <w:color w:val="auto"/>
        </w:rPr>
      </w:pPr>
    </w:p>
    <w:p>
      <w:pPr>
        <w:ind w:left="652" w:hanging="647"/>
        <w:spacing w:after="0" w:line="255" w:lineRule="auto"/>
        <w:tabs>
          <w:tab w:leader="none" w:pos="63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89" w:lineRule="exact"/>
        <w:rPr>
          <w:sz w:val="20"/>
          <w:szCs w:val="20"/>
          <w:color w:val="auto"/>
        </w:rPr>
      </w:pPr>
    </w:p>
    <w:p>
      <w:pPr>
        <w:ind w:left="652" w:right="380" w:hanging="647"/>
        <w:spacing w:after="0" w:line="277" w:lineRule="auto"/>
        <w:tabs>
          <w:tab w:leader="none" w:pos="6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Board of Directors, the Administrator and/or the Trustee shall not be required to release any Share certificate, issued upon exercise of Stock Grants, Stock Rights or Option, to a Participant, until all required payments have been fully made.</w:t>
      </w:r>
    </w:p>
    <w:p>
      <w:pPr>
        <w:spacing w:after="0" w:line="170" w:lineRule="exact"/>
        <w:rPr>
          <w:sz w:val="20"/>
          <w:szCs w:val="20"/>
          <w:color w:val="auto"/>
        </w:rPr>
      </w:pPr>
    </w:p>
    <w:p>
      <w:pPr>
        <w:ind w:left="652" w:right="700" w:hanging="647"/>
        <w:spacing w:after="0" w:line="277" w:lineRule="auto"/>
        <w:tabs>
          <w:tab w:leader="none" w:pos="63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Notwithstanding anything herein to the contrary, this Appendix shall be governed by the provisions of the Ordinance, the rules promulgated thereunder, and any other applicable Israeli laws.</w:t>
      </w:r>
    </w:p>
    <w:p>
      <w:pPr>
        <w:spacing w:after="0" w:line="170" w:lineRule="exact"/>
        <w:rPr>
          <w:sz w:val="20"/>
          <w:szCs w:val="20"/>
          <w:color w:val="auto"/>
        </w:rPr>
      </w:pPr>
    </w:p>
    <w:p>
      <w:pPr>
        <w:ind w:left="652" w:right="160" w:hanging="647"/>
        <w:spacing w:after="0" w:line="302" w:lineRule="auto"/>
        <w:tabs>
          <w:tab w:leader="none" w:pos="63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154" w:lineRule="exact"/>
        <w:rPr>
          <w:sz w:val="20"/>
          <w:szCs w:val="20"/>
          <w:color w:val="auto"/>
        </w:rPr>
      </w:pPr>
    </w:p>
    <w:p>
      <w:pPr>
        <w:jc w:val="center"/>
        <w:ind w:right="8"/>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255"/>
                    </a:xfrm>
                    <a:prstGeom prst="rect">
                      <a:avLst/>
                    </a:prstGeom>
                    <a:noFill/>
                  </pic:spPr>
                </pic:pic>
              </a:graphicData>
            </a:graphic>
          </wp:anchor>
        </w:drawing>
        <w:t>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left="1520" w:right="1519"/>
        <w:spacing w:after="0" w:line="275" w:lineRule="auto"/>
        <w:rPr>
          <w:sz w:val="20"/>
          <w:szCs w:val="20"/>
          <w:color w:val="auto"/>
        </w:rPr>
      </w:pPr>
      <w:r>
        <w:rPr>
          <w:rFonts w:ascii="Arial" w:cs="Arial" w:eastAsia="Arial" w:hAnsi="Arial"/>
          <w:sz w:val="18"/>
          <w:szCs w:val="18"/>
          <w:b w:val="1"/>
          <w:bCs w:val="1"/>
          <w:u w:val="single" w:color="auto"/>
          <w:color w:val="auto"/>
        </w:rPr>
        <w:t>TEACHERS INSURANCE AND ANNUITY ASSOCIATION OF AMERICA</w:t>
      </w:r>
      <w:r>
        <w:rPr>
          <w:rFonts w:ascii="Arial" w:cs="Arial" w:eastAsia="Arial" w:hAnsi="Arial"/>
          <w:sz w:val="18"/>
          <w:szCs w:val="18"/>
          <w:b w:val="1"/>
          <w:bCs w:val="1"/>
          <w:color w:val="auto"/>
        </w:rPr>
        <w:t>, for the benefit of its separate Real Estate Account Landlord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VRINGO INC.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 portion of the 15th</w:t>
      </w:r>
      <w:r>
        <w:rPr>
          <w:rFonts w:ascii="Arial" w:cs="Arial" w:eastAsia="Arial" w:hAnsi="Arial"/>
          <w:sz w:val="18"/>
          <w:szCs w:val="18"/>
          <w:b w:val="1"/>
          <w:bCs w:val="1"/>
          <w:color w:val="auto"/>
        </w:rPr>
        <w:t xml:space="preserve"> floor 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780 Third Avenue, New York,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July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26" w:name="page127"/>
    <w:bookmarkEnd w:id="126"/>
    <w:p>
      <w:pPr>
        <w:jc w:val="right"/>
        <w:ind w:right="288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w:t>
      </w:r>
      <w:r>
        <w:rPr>
          <w:sz w:val="20"/>
          <w:szCs w:val="20"/>
          <w:color w:val="auto"/>
        </w:rPr>
        <w:tab/>
      </w:r>
      <w:r>
        <w:rPr>
          <w:rFonts w:ascii="Arial" w:cs="Arial" w:eastAsia="Arial" w:hAnsi="Arial"/>
          <w:sz w:val="18"/>
          <w:szCs w:val="18"/>
          <w:b w:val="1"/>
          <w:bCs w:val="1"/>
          <w:color w:val="auto"/>
        </w:rPr>
        <w:t>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4573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236" w:lineRule="exact"/>
        <w:rPr>
          <w:sz w:val="20"/>
          <w:szCs w:val="20"/>
          <w:color w:val="auto"/>
        </w:rPr>
      </w:pPr>
    </w:p>
    <w:p>
      <w:pPr>
        <w:ind w:left="1280" w:hanging="1272"/>
        <w:spacing w:after="0"/>
        <w:tabs>
          <w:tab w:leader="none" w:pos="12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Demise;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280" w:hanging="1272"/>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Term</w:t>
      </w:r>
    </w:p>
    <w:p>
      <w:pPr>
        <w:spacing w:after="0" w:line="9" w:lineRule="exact"/>
        <w:rPr>
          <w:sz w:val="20"/>
          <w:szCs w:val="20"/>
          <w:color w:val="auto"/>
        </w:rPr>
      </w:pPr>
    </w:p>
    <w:p>
      <w:pPr>
        <w:ind w:left="1280" w:hanging="1272"/>
        <w:spacing w:after="0"/>
        <w:tabs>
          <w:tab w:leader="none" w:pos="1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Rent; Rent Abatement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80" w:hanging="1272"/>
        <w:spacing w:after="0"/>
        <w:tabs>
          <w:tab w:leader="none" w:pos="1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Delivery of Possession of the Premises</w:t>
      </w:r>
    </w:p>
    <w:p>
      <w:pPr>
        <w:spacing w:after="0" w:line="9" w:lineRule="exact"/>
        <w:rPr>
          <w:sz w:val="20"/>
          <w:szCs w:val="20"/>
          <w:color w:val="auto"/>
        </w:rPr>
      </w:pPr>
    </w:p>
    <w:p>
      <w:pPr>
        <w:ind w:left="1280" w:hanging="1272"/>
        <w:spacing w:after="0"/>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80" w:hanging="1272"/>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Floor Load; Telephone System</w:t>
      </w:r>
    </w:p>
    <w:p>
      <w:pPr>
        <w:spacing w:after="0" w:line="9" w:lineRule="exact"/>
        <w:rPr>
          <w:sz w:val="20"/>
          <w:szCs w:val="20"/>
          <w:color w:val="auto"/>
        </w:rPr>
      </w:pPr>
    </w:p>
    <w:p>
      <w:pPr>
        <w:ind w:left="1280" w:hanging="1272"/>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Rent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80" w:hanging="1272"/>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 w:lineRule="exact"/>
        <w:rPr>
          <w:sz w:val="20"/>
          <w:szCs w:val="20"/>
          <w:color w:val="auto"/>
        </w:rPr>
      </w:pPr>
    </w:p>
    <w:p>
      <w:pPr>
        <w:ind w:left="1280" w:hanging="1272"/>
        <w:spacing w:after="0"/>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Improvements; Tenant's Property</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Repairs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Heating, Ventilation and Air Conditioning</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Electricity</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Cleaning and Other Services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Damage to or Destruction of the Premises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Eminent Domain</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Conditions of Limitation</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Re-Entry by Landlord; Remedies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Curing Tenant's Defaults; Fees and Expenses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Non-Liability and Indemnification</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Surrender</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Assignment, Mortgaging and Subletting</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Subordination and Attornment</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Access, Changes In Building Facilities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Inability to Perform</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Legal Proceedings; Waiver of Counterclaims and Jury Trial</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Other Waiver</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Arbitration</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Quiet Enjoyment</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Rules and Regulations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Building Name</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Shoring; No Dedication</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Notice of Accidents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Vaults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Brokerage</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Security Deposit</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Window Cleaning</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Consents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Notices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Definitions; Construction of Terms</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Estoppel Certificate; Recording</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Parties Bound</w:t>
      </w:r>
    </w:p>
    <w:p>
      <w:pPr>
        <w:spacing w:after="0" w:line="9" w:lineRule="exact"/>
        <w:rPr>
          <w:rFonts w:ascii="Arial" w:cs="Arial" w:eastAsia="Arial" w:hAnsi="Arial"/>
          <w:sz w:val="18"/>
          <w:szCs w:val="18"/>
          <w:color w:val="auto"/>
        </w:rPr>
      </w:pPr>
    </w:p>
    <w:p>
      <w:pPr>
        <w:ind w:left="1280" w:hanging="1272"/>
        <w:spacing w:after="0"/>
        <w:tabs>
          <w:tab w:leader="none" w:pos="1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9" w:lineRule="exact"/>
        <w:rPr>
          <w:rFonts w:ascii="Arial" w:cs="Arial" w:eastAsia="Arial" w:hAnsi="Arial"/>
          <w:sz w:val="18"/>
          <w:szCs w:val="18"/>
          <w:color w:val="auto"/>
        </w:rPr>
      </w:pPr>
    </w:p>
    <w:p>
      <w:pPr>
        <w:ind w:left="1280" w:right="5600" w:hanging="1272"/>
        <w:spacing w:after="0" w:line="265" w:lineRule="auto"/>
        <w:tabs>
          <w:tab w:leader="none" w:pos="12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Anti –Terrorism Requirements Testimonium, Signature and Seals Exhibit A — Description of Land Exhibit B — Floor Plan Exhibit C – Intentionally Deleted Exhibit D — Cleaning Specifications Exhibit E — Rules and Regulations</w:t>
      </w:r>
    </w:p>
    <w:p>
      <w:pPr>
        <w:spacing w:after="0" w:line="1" w:lineRule="exact"/>
        <w:rPr>
          <w:rFonts w:ascii="Arial" w:cs="Arial" w:eastAsia="Arial" w:hAnsi="Arial"/>
          <w:sz w:val="17"/>
          <w:szCs w:val="17"/>
          <w:color w:val="auto"/>
        </w:rPr>
      </w:pPr>
    </w:p>
    <w:p>
      <w:pPr>
        <w:ind w:left="1280" w:right="4220"/>
        <w:spacing w:after="0" w:line="250" w:lineRule="auto"/>
        <w:rPr>
          <w:rFonts w:ascii="Arial" w:cs="Arial" w:eastAsia="Arial" w:hAnsi="Arial"/>
          <w:sz w:val="17"/>
          <w:szCs w:val="17"/>
          <w:color w:val="auto"/>
        </w:rPr>
      </w:pPr>
      <w:r>
        <w:rPr>
          <w:rFonts w:ascii="Arial" w:cs="Arial" w:eastAsia="Arial" w:hAnsi="Arial"/>
          <w:sz w:val="18"/>
          <w:szCs w:val="18"/>
          <w:color w:val="auto"/>
        </w:rPr>
        <w:t>Exhibit F — Tenant Estoppel Certificate and Agreement Exhibit G — Tenant Acceptance Letter</w:t>
      </w:r>
    </w:p>
    <w:p>
      <w:pPr>
        <w:ind w:left="1280"/>
        <w:spacing w:after="0"/>
        <w:rPr>
          <w:rFonts w:ascii="Arial" w:cs="Arial" w:eastAsia="Arial" w:hAnsi="Arial"/>
          <w:sz w:val="17"/>
          <w:szCs w:val="17"/>
          <w:color w:val="auto"/>
        </w:rPr>
      </w:pPr>
      <w:r>
        <w:rPr>
          <w:rFonts w:ascii="Arial" w:cs="Arial" w:eastAsia="Arial" w:hAnsi="Arial"/>
          <w:sz w:val="18"/>
          <w:szCs w:val="18"/>
          <w:color w:val="auto"/>
        </w:rPr>
        <w:t>Exhibit H— Form of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-6031230</wp:posOffset>
            </wp:positionV>
            <wp:extent cx="72466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-5756275</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-5481955</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-5207635</wp:posOffset>
            </wp:positionV>
            <wp:extent cx="72466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-4933315</wp:posOffset>
            </wp:positionV>
            <wp:extent cx="72466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-4658995</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-4384675</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-4109720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-3835400</wp:posOffset>
            </wp:positionV>
            <wp:extent cx="72466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-3561080</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-3286760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-3012440</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-2738120</wp:posOffset>
            </wp:positionV>
            <wp:extent cx="72466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-2463165</wp:posOffset>
            </wp:positionV>
            <wp:extent cx="72466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-2188845</wp:posOffset>
            </wp:positionV>
            <wp:extent cx="72466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-1914525</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-1365885</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-1091565</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00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B-1</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C-1</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D-1</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H-1</w:t>
      </w:r>
    </w:p>
    <w:p>
      <w:pPr>
        <w:sectPr>
          <w:pgSz w:w="11900" w:h="16838" w:orient="portrait"/>
          <w:cols w:equalWidth="0" w:num="2">
            <w:col w:w="9560" w:space="720"/>
            <w:col w:w="1140"/>
          </w:cols>
          <w:pgMar w:left="240" w:top="877" w:right="239" w:bottom="1440" w:gutter="0" w:footer="0" w:header="0"/>
        </w:sectPr>
      </w:pPr>
    </w:p>
    <w:bookmarkStart w:id="127" w:name="page128"/>
    <w:bookmarkEnd w:id="127"/>
    <w:p>
      <w:pPr>
        <w:ind w:firstLine="1297"/>
        <w:spacing w:after="0" w:line="277" w:lineRule="auto"/>
        <w:rPr>
          <w:sz w:val="20"/>
          <w:szCs w:val="20"/>
          <w:color w:val="auto"/>
        </w:rPr>
      </w:pPr>
      <w:r>
        <w:rPr>
          <w:rFonts w:ascii="Arial" w:cs="Arial" w:eastAsia="Arial" w:hAnsi="Arial"/>
          <w:sz w:val="18"/>
          <w:szCs w:val="18"/>
          <w:color w:val="auto"/>
        </w:rPr>
        <w:t>This Table of Contents is included only as a matter of convenience and reference and shall not be deemed or construed in any way to define or limit the scope of the following lease or the intent of any provision thereof.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8" w:name="page129"/>
    <w:bookmarkEnd w:id="128"/>
    <w:p>
      <w:pPr>
        <w:jc w:val="both"/>
        <w:spacing w:after="0" w:line="252" w:lineRule="auto"/>
        <w:rPr>
          <w:sz w:val="20"/>
          <w:szCs w:val="20"/>
          <w:color w:val="auto"/>
        </w:rPr>
      </w:pPr>
      <w:r>
        <w:rPr>
          <w:rFonts w:ascii="Arial" w:cs="Arial" w:eastAsia="Arial" w:hAnsi="Arial"/>
          <w:sz w:val="17"/>
          <w:szCs w:val="17"/>
          <w:color w:val="auto"/>
        </w:rPr>
        <w:t>LEASE, dated July 10, 2012, between TEACHERS INSURANCE AND ANNUITY ASSOCIATION OF AMERICA, for the benefit of its separate Real Estate Account, a New York corporation, having an office at c/o TIAA-CREF, Global Real Estate, 730 Third Avenue,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("Landlord"), and VRINGO, INC., a Delaware corporation, having an office at 44 West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1414, New York, New York ("Tenant")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Landlord and Tenant hereby covenant and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Demise; Premises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color w:val="auto"/>
        </w:rPr>
        <w:t>Landlord hereby leases to Tenant, and Tenant hereby hires from Landlord the premises hereinafter described ("Premises")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("Building") located on the land ("Land") known by the street address 780 Third Avenue, New York, New York, in the Borough of Manhattan, City and State of New York, as more particularly described in Exhibit A annexed hereto and made a part hereof, for the Term hereinafter stated, for the rents hereinafter reserved, and upon and subject to the terms of this Lease.</w:t>
      </w:r>
    </w:p>
    <w:p>
      <w:pPr>
        <w:spacing w:after="0" w:line="18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color w:val="auto"/>
        </w:rPr>
        <w:t>The Premises consist of a portion of the fifteenth (15</w:t>
      </w:r>
      <w:r>
        <w:rPr>
          <w:rFonts w:ascii="Arial" w:cs="Arial" w:eastAsia="Arial" w:hAnsi="Arial"/>
          <w:sz w:val="30"/>
          <w:szCs w:val="30"/>
          <w:color w:val="auto"/>
          <w:vertAlign w:val="superscript"/>
        </w:rPr>
        <w:t>th</w:t>
      </w:r>
      <w:r>
        <w:rPr>
          <w:rFonts w:ascii="Arial" w:cs="Arial" w:eastAsia="Arial" w:hAnsi="Arial"/>
          <w:sz w:val="18"/>
          <w:szCs w:val="18"/>
          <w:color w:val="auto"/>
        </w:rPr>
        <w:t>) floor in the Building, substantially as shown on the floor plan annexed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B and made a part hereof, together with all fixtures and improvements which, at the commencement of the Term or at any time during the Term, are attached thereto or installed therein and together with all appurtenances to the Premises, including the right to use, in common with others, the Building Equipment, subject to the terms of this Lease.</w:t>
      </w:r>
    </w:p>
    <w:p>
      <w:pPr>
        <w:spacing w:after="0" w:line="20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color w:val="auto"/>
        </w:rPr>
        <w:t>The definitions of certain terms used in this Lease are set forth in Section 40.01 and in various other Sections of this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2.01 </w:t>
      </w:r>
      <w:r>
        <w:rPr>
          <w:rFonts w:ascii="Arial" w:cs="Arial" w:eastAsia="Arial" w:hAnsi="Arial"/>
          <w:sz w:val="17"/>
          <w:szCs w:val="17"/>
          <w:color w:val="auto"/>
        </w:rPr>
        <w:t>The Premises are leased for a term ("Term") which shall commence on the later of (i) the date of execution and delivery of the Lease by</w:t>
      </w:r>
      <w:r>
        <w:rPr>
          <w:rFonts w:ascii="Arial" w:cs="Arial" w:eastAsia="Arial" w:hAnsi="Arial"/>
          <w:sz w:val="17"/>
          <w:szCs w:val="17"/>
          <w:b w:val="1"/>
          <w:bCs w:val="1"/>
          <w:color w:val="auto"/>
        </w:rPr>
        <w:t xml:space="preserve"> </w:t>
      </w:r>
      <w:r>
        <w:rPr>
          <w:rFonts w:ascii="Arial" w:cs="Arial" w:eastAsia="Arial" w:hAnsi="Arial"/>
          <w:sz w:val="17"/>
          <w:szCs w:val="17"/>
          <w:color w:val="auto"/>
        </w:rPr>
        <w:t>both Landlord and Tenant and (ii) two (2) days following the date of notice of Landlord to Tenant of the completion of Landlord’s Work set forth in Section 4.01("Commencement Date"), and shall end on the day immediately preceding the three (3) year and one (1) month anniversary of the Commencement Date ("Expiration Date") unless the Term shall sooner terminate pursuant to any of the terms of this Lease or pursuant to law.</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color w:val="auto"/>
        </w:rPr>
        <w:t>When the Commencement Date has been determined by Landlord as set forth in Section 2.01, Landlord and Tenant shall,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of either of them, execute a statement prepared by Landlord setting forth such date. Neither Landlord's failure to request nor Tenant's failure to execute such agreement shall affect Landlord's proper determination of the Commencement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color w:val="auto"/>
        </w:rPr>
        <w:t>A. Tenant shall pay to Landlord, without notice or demand, in lawful money of the United States of America, by check drawn on a bank</w:t>
      </w:r>
      <w:r>
        <w:rPr>
          <w:rFonts w:ascii="Arial" w:cs="Arial" w:eastAsia="Arial" w:hAnsi="Arial"/>
          <w:sz w:val="18"/>
          <w:szCs w:val="18"/>
          <w:b w:val="1"/>
          <w:bCs w:val="1"/>
          <w:color w:val="auto"/>
        </w:rPr>
        <w:t xml:space="preserve"> </w:t>
      </w:r>
      <w:r>
        <w:rPr>
          <w:rFonts w:ascii="Arial" w:cs="Arial" w:eastAsia="Arial" w:hAnsi="Arial"/>
          <w:sz w:val="18"/>
          <w:szCs w:val="18"/>
          <w:color w:val="auto"/>
        </w:rPr>
        <w:t>or trust company which is a member of the New York Clearinghouse Association, at the office of the Landlord or at such other place as Landlord may designate, the following:</w:t>
      </w:r>
    </w:p>
    <w:p>
      <w:pPr>
        <w:spacing w:after="0" w:line="180" w:lineRule="exact"/>
        <w:rPr>
          <w:sz w:val="20"/>
          <w:szCs w:val="20"/>
          <w:color w:val="auto"/>
        </w:rPr>
      </w:pPr>
    </w:p>
    <w:p>
      <w:pPr>
        <w:ind w:firstLine="656"/>
        <w:spacing w:after="0" w:line="277" w:lineRule="auto"/>
        <w:tabs>
          <w:tab w:leader="none" w:pos="91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annual fixed rent (such annual fixed rent being referred to herein as "Fixed Rent") of $136,976.00 ($11,414.67 per month) payable in equal monthly installments, in advance, on the first (lst) day of each and every calendar month during the Term;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9" w:name="page130"/>
    <w:bookmarkEnd w:id="129"/>
    <w:p>
      <w:pPr>
        <w:ind w:firstLine="656"/>
        <w:spacing w:after="0" w:line="277" w:lineRule="auto"/>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additional rent ("Additional Rent") consisting of all other sums of money as shall become due from and be payable by Tenant hereunder (for default in the payment of which Landlord shall have the same remedies as for a default in the payment of Fixed Rent).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Tenant shall fail to pay when due any installment of Fixed Rent or any payment of Additional Rent for a period of 10 days after such installment or payment shall have become due, Tenant shall pay interest thereon at the Interest Rate, from the date when such installment or payment shall have become due to the date of the payment thereof, and such interest shall be deemed Additional Rent.</w:t>
      </w:r>
    </w:p>
    <w:p>
      <w:pPr>
        <w:spacing w:after="0" w:line="181" w:lineRule="exact"/>
        <w:rPr>
          <w:sz w:val="20"/>
          <w:szCs w:val="20"/>
          <w:color w:val="auto"/>
        </w:rPr>
      </w:pPr>
    </w:p>
    <w:p>
      <w:pPr>
        <w:jc w:val="both"/>
        <w:ind w:firstLine="1076"/>
        <w:spacing w:after="0" w:line="277" w:lineRule="auto"/>
        <w:rPr>
          <w:sz w:val="20"/>
          <w:szCs w:val="20"/>
          <w:color w:val="auto"/>
        </w:rPr>
      </w:pPr>
      <w:r>
        <w:rPr>
          <w:rFonts w:ascii="Arial" w:cs="Arial" w:eastAsia="Arial" w:hAnsi="Arial"/>
          <w:sz w:val="18"/>
          <w:szCs w:val="18"/>
          <w:color w:val="auto"/>
        </w:rPr>
        <w:t>B. There shall be no abatement of, deduction from, counter-claim or setoff against, Fixed Rent and Additional Rent except as otherwise specifically provided in this Lease.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color w:val="auto"/>
        </w:rPr>
        <w:t>Notwithstanding the provisions of Section 3.01, Tenant shall pay $11,414.67 on account of Fixed Rent upon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which shall be credited on a per diem basis toward the payment of the installment(s) of Fixed Rent first due and payable hereunder. If by reason of any of the provisions of this Lease, the Commencement Date for all or any part of the Premises shall be other than the first day of a calendar month, Fixed Rent for such month shall be pro-rated on a per diem basis.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color w:val="auto"/>
        </w:rPr>
        <w:t>Tenant covenants to (a) pay the Fixed Rent and Additional Rent when due and (b) observe and perform, and not to suffer or permit any</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Tenant's obligations under this Lease.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color w:val="auto"/>
        </w:rPr>
        <w:t>Notwithstanding anything contained in Article 3 of this Lease to the contrary, but provided Tenant is not then in breach or default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terms, covenants or conditions in this Lease on Tenant’s part to observe or perform beyond notice and the expiration of any applicable cure period, Tenant shall not be obligated to pay the first $11,414.67 of Fixed Rent becoming payable by Tenant to Landlord under this Lease and the installment of Fixed Rent paid by Tenant to Landlord pursuant to Section 3.02 of this Lease shall be applied to the second monthly installment(s) of Fixed Rent that Tenant is obligated to pay to Landlord under this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Possession of the Premises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color w:val="auto"/>
        </w:rPr>
        <w:t>Tenant acknowledges that it has made a full and complete inspection of the Premises and is thoroughly familiar with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Tenant agrees to accept possession of the Premises on the Commencement Date in its then "as-is" broom clean condition. Tenant, at Tenant’s sole cost and expense, shall perform all work in connection with preparing the Premises for its occupancy in accordance with the provisions of Article 10 of the Lease. Notwithstanding the foregoing, Landlord agrees that it shall, prior to the Commencement Date, remove the wall of the executive corner office (“ Landlord’s Work”).</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color w:val="auto"/>
        </w:rPr>
        <w:t>The taking of occupancy of the whole or any part of the Premises by Tenant shall be conclusive evidence, as against Tenant, that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accepts possession of the same and that the Premises and the Building were in good and satisfactory condition at the time such occupancy was so taken and that the Premises were substantially as shown on Exhibit B.</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5.01 </w:t>
      </w:r>
      <w:r>
        <w:rPr>
          <w:rFonts w:ascii="Arial" w:cs="Arial" w:eastAsia="Arial" w:hAnsi="Arial"/>
          <w:sz w:val="16"/>
          <w:szCs w:val="16"/>
          <w:color w:val="auto"/>
        </w:rPr>
        <w:t>Tenant shall use and occupy the Premises for general, executive and administrative offices, and for no other purpose. Tenant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use or occupy or suffer or permit the use or occupancy of any part of the Premises in any manner which in Landlord's reasonable judgment would adversely affect (i) the proper and economical rendition of any service required to be furnished to any tenant, (ii) the use or enjoyment of any part of the Building by any other tenant, or (iii) the appearance, character or reputation of the Building as a first-class office building with retail stores. Tenant shall not at any time use or occupy or suffer or permit anyone to use or occupy the Premises, or do or permit anything to be done in the Premises in violation of the Certificate of Occupancy for the Building. Notwithstanding anything contained herein to the contrary, a breach of such covenant shall be deemed a material and substantial default by Tenant under this lease, for which Landlord shall have all remedies available to it under this lease and under the law, including, without limitation, the right to enforce such covenant by injunctive or other appropriate equitable relief. Without limiting the generality of the foregoing, it is expressly understood that no portion of the demised premises shall be used as, by or for (a) retail operations of any bank, trust company, savings bank, industrial bank, savings and loan association, credit union or personal loan association or other form of entity, (b) a public stenographer or typist, (c) a barber shop, beauty shop or beauty parlor, (d) a telephone or telegraph agency, (e) a telephone, court reporting, stenographic or secretarial service, (f) a messenger service, (g) a travel or tourist agency, (h) an employment agency, (i) a restaurant or bar, (j) a commercial document reproduction or offset printing service, (k) a public vending machine operation, (l) a retail, wholesale or discount shop for the sale of books, magazines, audio or video tapes, CD ROM, DVD ROM or other devices for the recording or transmitting of audio or visual signals, images, music or speech, electronic equipment and accessories or any other merchandise,</w:t>
      </w:r>
    </w:p>
    <w:p>
      <w:pPr>
        <w:spacing w:after="0" w:line="6" w:lineRule="exact"/>
        <w:rPr>
          <w:sz w:val="20"/>
          <w:szCs w:val="20"/>
          <w:color w:val="auto"/>
        </w:rPr>
      </w:pPr>
    </w:p>
    <w:p>
      <w:pPr>
        <w:jc w:val="both"/>
        <w:ind w:firstLine="8"/>
        <w:spacing w:after="0" w:line="288" w:lineRule="auto"/>
        <w:tabs>
          <w:tab w:leader="none" w:pos="31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retail service shop, (n) a labor union, (o) a school or classroom, (p) a governmental or quasi-governmental bureau, department or agency, including an autonomous governmental corporation, embassy or consular office of any country or other quasi-autonomous or sovereign organization, whether or not subject to the Foreign Sovereign Immunities Act of 1976, as from time to time amended, or any successor statute, (q) an advertising agency, (r) a firm whose principal business is real estate brokerage, (s) a company engaged in the business of renting office or desk space, (t) any person, organization, association, corporation, company, partnership entity or other agency immune from service or suit in the courts of the State of New York or the assets of which may be exempt from execution by Landlord in any action for damages, (u) a factory of any kind, (v) retail sales, (w) any use to which material increased security costs or insurance premiums payable by Landlord are attributed, (x) a payroll office or check cashing operation, (y) a clinic or (z) any illegal purpose.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color w:val="auto"/>
        </w:rPr>
        <w:t>If any governmental license or permit, other than a certificate of occupancy, shall be required for the proper and lawful conduct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business in the Premises or any part thereof, then Tenant, at its expense, shall duly procure and thereafter maintain such license or permit and submit the same to Landlord for inspection. Tenant shall at all times comply with the terms and conditions of each such license and permit, but in no event shall failure to procure or maintain such license or permit by Tenant affect Tenant's obligations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Floor Load; Telephone System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6.01 </w:t>
      </w:r>
      <w:r>
        <w:rPr>
          <w:rFonts w:ascii="Arial" w:cs="Arial" w:eastAsia="Arial" w:hAnsi="Arial"/>
          <w:sz w:val="17"/>
          <w:szCs w:val="17"/>
          <w:color w:val="auto"/>
        </w:rPr>
        <w:t>Tenant shall not place a load upon any floor that exceeds either the floor load per square foot that such floor was designed to carry or</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allowed by any Legal Requirement. Subject to the preceding sentence, if Tenant wishes to place any safes or vaults in the Premises it may do so at its own expense after giving notice to Landlord, but Landlord reserves the right to prescribe their weight and position. Business machines and mechanical equipment in the Premises shall be placed and maintained by Tenant at Tenant's sole expense, in such manner as shall be sufficient, in Landlord's reasonable judgment, to prevent vibration, noise, annoyance and inconvenience to Landlord and other tenants.</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6.02 </w:t>
      </w:r>
      <w:r>
        <w:rPr>
          <w:rFonts w:ascii="Arial" w:cs="Arial" w:eastAsia="Arial" w:hAnsi="Arial"/>
          <w:sz w:val="17"/>
          <w:szCs w:val="17"/>
          <w:color w:val="auto"/>
        </w:rPr>
        <w:t>Tenant may install, maintain, or operate in the Premises business machines customarily used in offices such as computers, printers,</w:t>
      </w:r>
      <w:r>
        <w:rPr>
          <w:rFonts w:ascii="Arial" w:cs="Arial" w:eastAsia="Arial" w:hAnsi="Arial"/>
          <w:sz w:val="17"/>
          <w:szCs w:val="17"/>
          <w:b w:val="1"/>
          <w:bCs w:val="1"/>
          <w:color w:val="auto"/>
        </w:rPr>
        <w:t xml:space="preserve"> </w:t>
      </w:r>
      <w:r>
        <w:rPr>
          <w:rFonts w:ascii="Arial" w:cs="Arial" w:eastAsia="Arial" w:hAnsi="Arial"/>
          <w:sz w:val="17"/>
          <w:szCs w:val="17"/>
          <w:color w:val="auto"/>
        </w:rPr>
        <w:t>copy machines, fax machines, scanners, telephone systems, local area networks, data processing, teletype and other business machines customarily used in offices; provided, however, Tenant shall comply with all of the terms of this Lease that may be applicable to such installation, maintenance or operation. Tenant may, with the consent of Landlord, which shall not be unreasonably withheld, install, maintain, or operate in the Premises business machines not customarily used in offices; provided, however, Tenant shall comply with all of the terms of this Lease that may be applicable to such installation, maintenance or operation and shall give Landlord prior notice of the installation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Adjustments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color w:val="auto"/>
        </w:rPr>
        <w:t>For the purpose of this 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term "Premises Area" shall be deemed to mean 2,446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The term "Building Area" shall be deemed to mean 470,000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The term "Tenant's Proportionate Share" shall be deemed to mean 0.52%.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 "Landlord's Statement" shall mean an instrument containing a computation of Additional Rent due pursuant to the provisions of this Article 7 furnished by Landlord to Tenant.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E. The term "Base Tax Factor" shall mean the Taxes for the 2012/2013 Tax Year.</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 The term "Taxes" shall mean (i) all real estate taxes, assessments (special or otherwise), sewer and water rents, rates and charges and any other governmental levies, impositions or charges of a similar or dissimilar nature, whether general, special, ordinary, extraordinary, foreseen or unforeseen, which may be assessed, levied or imposed upon all or any part of the Real Property, whether or not the same constitute one or more tax lots, and (ii) any expenses (including reasonable attorney’s fees and disbursements and experts' and other witness' fees) incurred by Landlord in contesting any of the foregoing or the assessed valuation of all or any part of the Real Property; but "Taxes" shall not include any interest or penalties incurred by Landlord as a result of Landlord's late payment of Taxes, except for interest payable in connection with the installment payments of assessments pursuant to the next sentence. If by law, any assessment may be divided and paid in annual installments, then, provided the same is not prohibited under the terms of the Superior Lease or the Superior Mortgage, for the purposes of this Article (x) such assessment shall be deemed to have been so divided and to be payable in the maximum number of annual installments permitted by law and (y) there shall be deemed included in Taxes for each Tax Year the annual installment of such assessment becoming payable during such Tax Year, together with interest payable during such Tax Year on such annual installment and on all installments thereafter becoming due as provided by law, all as if such assessment had been so divided. If at any time after the date hereof the methods of taxation prevailing at the date hereof shall be altered so that in lieu of or as an addition to or as a substitute for the whole or any part of the taxes, assessments, rents, rates, charges, levies or impositions now assessed, levied or imposed upon all or any part of the Real Property, there shall be assessed, levied or imposed (a) a tax, assessment, levy, imposition or charge based on the income or rents received therefrom whether or not wholly or partially as a capital levy or otherwise, or (b) a tax, assessment, levy, imposition or charge measured by or based in whole or in part upon all or any part of the Real Property and imposed upon Landlord, or (c) a license fee measured by the rents, or (d) any other tax, assessment, levy, imposition, charge or license fee however described or imposed, then all such taxes, assessments, levies, impositions, charges or license fees or the part thereof so measured or based shall be deemed to be Taxes; provided that any tax, assessment, levy, imposition or charge imposed on income from the Real Property shall be calculated as if the Real Property is the only asset of the Landlord.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 The term "Tax Year" shall mean the 12 month period commencing on the first (1st) day of July of each year, or such other period of 12 months as may be duly adopted as the fiscal year for real estate tax purposes in The City of New York.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 The term "Escalation Year" shall mean each calendar year which shall include any part of the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The term "Base Operating Factor" shall mean Landlord's actual Operating Expenses for the 2012 calendar year.</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J. The term "Operating Expenses" shall mean all costs and expenses (and taxes thereon, if any) paid or incurred by Landlord or on behalf of Landlord with respect to the operation, cleaning, repair, safety, replacement, management, security and maintenance of the Real Property, Building Equipment, sidewalks, curbs, plazas, and other areas adjacent to the Building, and with respect to the services provided tenants, including, without limitation: (i) salaries, wages and bonuses paid to, and the cost of any hospitalization, medical, surgical, union and general welfare benefits (including group life insurance), any pension, retirement or life insurance plans and other benefit or similar expense relating to, employees of Landlord engaged in the operation, cleaning, repair, safety, management, security or maintenance of the Real Property and the Building Equipment or in providing services to tenants; (ii) social security, unemployment and other payroll taxes, the cost of providing disability and worker's compensation coverage imposed by any Legal Requirements, union contract or otherwise with respect to said employees; (iii) the cost of electricity, gas, steam, water, heat, ventilation, air conditioning and other fuel and utilities; (iv) the cost of casualty, rent, liability, fidelity, plate glass and any other insurance; (v) the cost of repairs, maintenance and painting; (vi) expenditures for capital improvements and capital equipment which under generally applied real estate practice are expensed or regarded as deferred expenses and capital expenditures which are made by reason of Legal Requirements or Insurance Requirements, in each case such expenditures to be included in Operating Expenses for the Escalation Year in which such costs are incurred and every subsequent Escalation Year, on a straight-line basis, to the extent that such items are amortized over an appropriate period, but not more than 10 years, with interest calculated at an annual rate equal to 1% above the prime rate at the time of Landlord's having made said expenditure; (vii) the cost or rental of all building and cleaning supplies, tools, materials and equipment; (viii) the cost of uniforms, work clothes and dry cleaning; (ix) window cleaning, concierge, guard, watchman or other security personnel, service or system, if any; (x) management fees or if no managing agent is employed by Landlord, a sum in lieu thereof which is not in excess of then prevailing rates for management fees payable in the Borough of Manhattan for first-class Third Avenue office buildings; (xi) charges of independent contractors performing work included within this definition of Operating Expenses; (xii) telephone and stationery; (xiii) legal, accounting and other professional fees and disbursements incurred in connection with the operation and management of the Real Property; (xiv) association fees and dues; (xv) decorations; (xvi) depreciation of hand tools and other movable equipment used in the operation, cleaning, repair, safety, management, security or maintenance of the Building; and (xvii) exterior and interior landscaping.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2" w:name="page133"/>
    <w:bookmarkEnd w:id="132"/>
    <w:p>
      <w:pPr>
        <w:jc w:val="both"/>
        <w:spacing w:after="0" w:line="254" w:lineRule="auto"/>
        <w:rPr>
          <w:sz w:val="20"/>
          <w:szCs w:val="20"/>
          <w:color w:val="auto"/>
        </w:rPr>
      </w:pPr>
      <w:r>
        <w:rPr>
          <w:rFonts w:ascii="Arial" w:cs="Arial" w:eastAsia="Arial" w:hAnsi="Arial"/>
          <w:sz w:val="18"/>
          <w:szCs w:val="18"/>
          <w:color w:val="auto"/>
        </w:rPr>
        <w:t>Provided, however, that the foregoing costs and expenses shall exclude or have deducted from them, as the case be: (a) executives' salaries above the grade of building manager;(b) expenditures for capital improvements or capital equipment, other than those referred to above and in the next succeeding paragraph; (c) amounts received by Landlord through proceeds of insurance to the extent they are compensation for sums previously included in Operating Expenses (d) cost of repairs or replacements incurred by reason of fire or other casualty or condemnation to the extent Landlord is compensated therefor, (e) advertising and promotional expenditures; (f) costs incurred in performing work or furnishing services for any tenant (including Tenant), whether at such tenant's or Landlord's expense, to the extent that such work or service is in excess of any work or service that Landlord is obligated to furnish to Tenant at Landlord's expense; (g) depreciation except as provided above; (h) brokerage commissions; (i) taxes; and (j) refinancing costs and mortgage interest and amortization payments.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Landlord shall purchase any item of capital equipment or make any capital expenditure which has the effect of reducing the expenses which would otherwise be included in Operating Expenses, then the costs of such capital equipment or capital expenditure are to be included in Operating Expenses for the Escalation Year in which the costs are incurred and every subsequent Escalation Year, on a straight-line basis, to the extent that such items are amortized over such period of time as Landlord reasonably estimates such savings or reductions in Operating Expenses will equal Landlord's costs for such capital equipment or capital expenditure, with interest calculated at an annual rate of 1% above the prime rate at the time of Landlord's having made said expenditure. If Landlord shall lease any items of capital equipment designed to result in savings or reductions in expenses which would otherwise be included in Operating Expenses, then the rentals and other costs paid with respect to such leasing shall be included in Operating Expenses for the Escalation Years in which incurred.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during all or part of any Escalation Year, Landlord shall not furnish any particular item(s) of work or service (which would otherwise constitute an Operating Expense hereunder) to portions of the Building due to the fact (i) such portions are not occupied or leased, (ii) such item(s) of work or service is not required or desired by the tenant of such portion, (iii) such tenant is itself obtaining and providing such item of work or service or (iv) any other reason, then, for the purposes of computing Operating Expenses, the amount of such item(s) for such period shall be deemed to be increased by an amount equal to the additional costs and expenses which would reasonably have been incurred during such period by Landlord if it had at its own expense furnished such item(s) of work or service to such portion of the Building or to such tenant.</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7.02 </w:t>
      </w:r>
      <w:r>
        <w:rPr>
          <w:rFonts w:ascii="Arial" w:cs="Arial" w:eastAsia="Arial" w:hAnsi="Arial"/>
          <w:sz w:val="17"/>
          <w:szCs w:val="17"/>
          <w:color w:val="auto"/>
        </w:rPr>
        <w:t>A. Tenant shall pay as Additional Rent for each and every Tax Year all or a portion of which shall be within the Term (including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Year in effect on the Commencement Date) an amount ("Tenant's Tax Payment") equal to Tenant's Proportionate Share of the amount by which the Taxes for such Tax Year are greater than the Base Tax Factor. Tenant's Tax Payment shall be payable by Tenant to Landlord within ten (10) days after receipt of a Landlord's Statement regardless of whether such Landlord's Statement is received prior to, on or after the first ( 1st) day of such Tax Year. If there shall be any increase in Taxes for any Tax Year, whether during or after such Tax Year, or if there shall be any decrease in the Taxes for any Tax Year during such Tax Year, Landlord may furnish a revised Landlord's Statement for such Tax Year, and Tenant's Tax Payment for such Tax Year shall be adjusted and, (a) within ten ( 10) days after Tenant's receipt of such revised Landlord's Statement, Tenant shall (with respect to any increase in Taxes for such Tax Year) pay such increase in Tenant's Tax Payment to Landlord, or (b) (with respect to any decrease in Taxes for such Tax Year), Landlord shall credit such decrease in Tenant's Tax Payment against the next installment of Additional Rent payable by Tenant pursuant to Section 7.02B below. If during the Term, Taxes are required to be paid (either to the appropriate taxing authorities or as tax escrow payments, to the Superior Lessor or the Superior Mortgagee), in full or in monthly, quarterly or other installments on any other date or dates than as presently required, then Tenant's Tax Payments shall be correspondingly accelerated or revised so that said Tenant's Tax Payments are due at least 30 days prior to the date payments are due to the taxing authorities or the Superior Lessor or the Superior Mortgagee. The benefit of any discount for any early payment or prepayment of Taxes and of any tax exemption or abatement relating to all or any part of the Real Property shall accrue solely to the benefit of Landlord and Taxes shall be computed without subtracting such discount or taking into account any such exemption or abatement.</w:t>
      </w:r>
    </w:p>
    <w:p>
      <w:pPr>
        <w:spacing w:after="0" w:line="187" w:lineRule="exact"/>
        <w:rPr>
          <w:sz w:val="20"/>
          <w:szCs w:val="20"/>
          <w:color w:val="auto"/>
        </w:rPr>
      </w:pPr>
    </w:p>
    <w:p>
      <w:pPr>
        <w:jc w:val="both"/>
        <w:ind w:firstLine="1670"/>
        <w:spacing w:after="0" w:line="273" w:lineRule="auto"/>
        <w:rPr>
          <w:sz w:val="20"/>
          <w:szCs w:val="20"/>
          <w:color w:val="auto"/>
        </w:rPr>
      </w:pPr>
      <w:r>
        <w:rPr>
          <w:rFonts w:ascii="Arial" w:cs="Arial" w:eastAsia="Arial" w:hAnsi="Arial"/>
          <w:sz w:val="17"/>
          <w:szCs w:val="17"/>
          <w:color w:val="auto"/>
        </w:rPr>
        <w:t>B. (1) At any time, and from time to time, during the Term, Landlord may give to Tenant a Landlord's Statement setting forth Tenant's Projected Share of Taxes (as hereinafter defined). Commencing on the first day of the first full calendar month next succeeding the date on which Landlord gives Tenant such Landlord's Statement with respect to Tenant's Projected Share of Taxes and continuing thereafter on the first day of each and every calendar month of the Term, Tenant shall pay to Landlord, as Additional Rent for the Tax Year in which such Additional Rent payment is due, Tenant's Projected Share of Taxes. "Tenant's Projected Share of Taxes" shall mean Landlord's estimate of Tenant's Tax Payment for the Tax Year next succeeding the Tax Year in which Tenant's Projected Share of Taxes is payable by Tenant, divided by twelve (12).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3" w:name="page134"/>
    <w:bookmarkEnd w:id="133"/>
    <w:p>
      <w:pPr>
        <w:jc w:val="both"/>
        <w:ind w:firstLine="1797"/>
        <w:spacing w:after="0" w:line="254" w:lineRule="auto"/>
        <w:tabs>
          <w:tab w:leader="none" w:pos="204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Upon each date that a Tenant's Tax Payment (or an installment thereof) shall be due from Tenant pursuant to the terms of Section 7.02A hereof, Landlord shall apply the aggregate of the installments of Tenant's Projected Share of Taxes theretofore paid to Landlord (but not previously applied pursuant to this Section 7.02B) against the Tax Payment (or installment thereof) then due from Tenant. If such aggregate amount is insufficient to discharge such Tax Payment (or installment thereof), Landlord shall so notify Tenant in the Landlord's Statement served upon Tenant pursuant to Section 7.02A, and the amount of Tenant's payment obligation with respect to such Tax Payment (or installment thereof) pursuant to Section 7.02A, shall equal the amount of such insufficiency. If, however, such aggregate amount shall be greater than the Tax Payment (or installment thereof), Landlord, at Landlord's option shall either (x) pay the amount of such excess directly to Tenant, or (y) credit the amount of such excess against the next installment(s) of Tenant's Projected Share of Taxes due hereunder.</w:t>
      </w:r>
    </w:p>
    <w:p>
      <w:pPr>
        <w:spacing w:after="0" w:line="192" w:lineRule="exact"/>
        <w:rPr>
          <w:rFonts w:ascii="Arial" w:cs="Arial" w:eastAsia="Arial" w:hAnsi="Arial"/>
          <w:sz w:val="18"/>
          <w:szCs w:val="18"/>
          <w:color w:val="auto"/>
        </w:rPr>
      </w:pPr>
    </w:p>
    <w:p>
      <w:pPr>
        <w:jc w:val="both"/>
        <w:ind w:firstLine="1797"/>
        <w:spacing w:after="0" w:line="288" w:lineRule="auto"/>
        <w:tabs>
          <w:tab w:leader="none" w:pos="204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Notwithstanding anything contained in Section 7.02(B)(2) above to the contrary, (a) if the first Landlord's Statement with respect to Tenant's Projected Share of Taxes is given to Tenant after the Commencement Date, then in addition to the first payment of Tenant's Projected Share of Taxes payable by Tenant hereunder, Tenant shall pay on the date that such first payment of Tenant's Projected Share of Taxes is due, as Additional Rent for the Tax Year in which such first payment is due, an amount equal to such first payment of Tenant's Projected Share of Taxes, multiplied by the number of full calendar months of the Term immediately prior to the date such first payment is due, and (b) if any Landlord's Statement with respect to Tenant's Projected Share of Taxes (after said first Landlord's Statement) is given to Tenant after the first day of any Tax Year, then in addition to the payment of Tenant's Projected Share of Taxes payable by Tenant after the rendition of such Landlord's Statement, Tenant shall pay on the date that such payment of Tenant's Projected Share of Taxes is due, as Additional Rent for the Tax Year in which such payment is due, an amount equal to (a) such payment of Tenant's Projected Share of Taxes, multiplied by the number of full calendar months of such Tax Year preceding the date that such payment of Tenant's Projected Share of Taxes is due, less (b) the aggregate amount of Tenant's Projected Share of Taxes (if any) previously paid by Tenant during such period.</w:t>
      </w:r>
    </w:p>
    <w:p>
      <w:pPr>
        <w:spacing w:after="0" w:line="169" w:lineRule="exact"/>
        <w:rPr>
          <w:rFonts w:ascii="Arial" w:cs="Arial" w:eastAsia="Arial" w:hAnsi="Arial"/>
          <w:sz w:val="16"/>
          <w:szCs w:val="16"/>
          <w:color w:val="auto"/>
        </w:rPr>
      </w:pPr>
    </w:p>
    <w:p>
      <w:pPr>
        <w:jc w:val="both"/>
        <w:ind w:firstLine="1629"/>
        <w:spacing w:after="0" w:line="286" w:lineRule="auto"/>
        <w:tabs>
          <w:tab w:leader="none" w:pos="183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the real estate tax fiscal year of the City of New York shall be changed at any time after the date hereof, any Taxes for such fiscal year, a part of which is included within a particular Tax Year and a part of which is not so included, shall be apportioned on the basis of the number of days in such fiscal year included in the particular Tax Year for the purpose of making the computations under this Section 7.02.</w:t>
      </w:r>
    </w:p>
    <w:p>
      <w:pPr>
        <w:spacing w:after="0" w:line="165" w:lineRule="exact"/>
        <w:rPr>
          <w:rFonts w:ascii="Arial" w:cs="Arial" w:eastAsia="Arial" w:hAnsi="Arial"/>
          <w:sz w:val="17"/>
          <w:szCs w:val="17"/>
          <w:color w:val="auto"/>
        </w:rPr>
      </w:pPr>
    </w:p>
    <w:p>
      <w:pPr>
        <w:jc w:val="both"/>
        <w:ind w:firstLine="1629"/>
        <w:spacing w:after="0" w:line="257" w:lineRule="auto"/>
        <w:tabs>
          <w:tab w:leader="none" w:pos="18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Only Landlord shall be eligible to institute tax reduction or other proceedings to reduce the assessed valuation of the Real Property. If Landlord shall receive a refund of Taxes for any Tax Year, Landlord shall either pay to Tenant, or, at Landlord's election, credit against subsequent payments under this Section 7.02 or Section 7.03, an amount equal to Tenant's Proportionate Share of the refund, but which amount shall not exceed Tenant's Tax Payment paid for such Tax Year. Nothing herein shall obligate Landlord to file any application or institute any proceeding seeking a reduction in Taxes or assessed valuation.</w:t>
      </w:r>
    </w:p>
    <w:p>
      <w:pPr>
        <w:spacing w:after="0" w:line="188" w:lineRule="exact"/>
        <w:rPr>
          <w:rFonts w:ascii="Arial" w:cs="Arial" w:eastAsia="Arial" w:hAnsi="Arial"/>
          <w:sz w:val="18"/>
          <w:szCs w:val="18"/>
          <w:color w:val="auto"/>
        </w:rPr>
      </w:pPr>
    </w:p>
    <w:p>
      <w:pPr>
        <w:jc w:val="both"/>
        <w:ind w:firstLine="1629"/>
        <w:spacing w:after="0" w:line="264" w:lineRule="auto"/>
        <w:tabs>
          <w:tab w:leader="none" w:pos="18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Tenant's Tax Payment and any credits with respect thereto as provided in this Section 7.02 shall be made as provided in this Section 7.02 regardless of the fact that Tenant may be exempt, in whole or in part, from the payment of any taxes by reason of Tenant's diplomatic or other tax exempt status or for any other reason whatsoever.</w:t>
      </w:r>
    </w:p>
    <w:p>
      <w:pPr>
        <w:spacing w:after="0" w:line="181" w:lineRule="exact"/>
        <w:rPr>
          <w:rFonts w:ascii="Arial" w:cs="Arial" w:eastAsia="Arial" w:hAnsi="Arial"/>
          <w:sz w:val="18"/>
          <w:szCs w:val="18"/>
          <w:color w:val="auto"/>
        </w:rPr>
      </w:pPr>
    </w:p>
    <w:p>
      <w:pPr>
        <w:ind w:firstLine="1629"/>
        <w:spacing w:after="0" w:line="277" w:lineRule="auto"/>
        <w:tabs>
          <w:tab w:leader="none" w:pos="18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Tenant shall pay to Landlord upon demand as Additional Rent any occupancy tax or rent tax now in effect or hereafter enacted, if payable by Landlord in the first instance or hereafter required to be paid by Landlord.</w:t>
      </w:r>
    </w:p>
    <w:p>
      <w:pPr>
        <w:spacing w:after="0" w:line="170" w:lineRule="exact"/>
        <w:rPr>
          <w:rFonts w:ascii="Arial" w:cs="Arial" w:eastAsia="Arial" w:hAnsi="Arial"/>
          <w:sz w:val="18"/>
          <w:szCs w:val="18"/>
          <w:color w:val="auto"/>
        </w:rPr>
      </w:pPr>
    </w:p>
    <w:p>
      <w:pPr>
        <w:jc w:val="both"/>
        <w:ind w:firstLine="1629"/>
        <w:spacing w:after="0" w:line="255" w:lineRule="auto"/>
        <w:tabs>
          <w:tab w:leader="none" w:pos="18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Commencement Date or the Expiration Date shall occur on a date other than July 1 or June 30, respectively, any Additional Rent under this Section 7.02 for the Tax Year in which such Commencement Date or Expiration Date shall occur shall be apportioned in that percentage which the number of days in the period from the Commencement Date to June 30 or from July 1 to the Expiration Date, as the case may be, both inclusive, shall bear to the total number of days in such Tax Year. In the event of a termination of this Lease, any Additional Rent under this Section 7.02 shall be paid or adjusted within 30 days after submission of Landlord's Statement. In no event shall Fixed Rent ever be reduced by operation of this Section 7.02 and the rights and obligations of Landlord and Tenant under the provisions of this Section 7.02 with respect to any Additional Rent shall survive the termination of this Lease.</w:t>
      </w:r>
    </w:p>
    <w:p>
      <w:pPr>
        <w:spacing w:after="0" w:line="189" w:lineRule="exact"/>
        <w:rPr>
          <w:rFonts w:ascii="Arial" w:cs="Arial" w:eastAsia="Arial" w:hAnsi="Arial"/>
          <w:sz w:val="18"/>
          <w:szCs w:val="18"/>
          <w:color w:val="auto"/>
        </w:rPr>
      </w:pPr>
    </w:p>
    <w:p>
      <w:pPr>
        <w:jc w:val="both"/>
        <w:ind w:firstLine="1629"/>
        <w:spacing w:after="0" w:line="264" w:lineRule="auto"/>
        <w:tabs>
          <w:tab w:leader="none" w:pos="18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Landlord's Statement furnished by Landlord with respect to Tenant's Tax Payment shall be accompanied by a copy of the real estate tax bill for the Tax Year referred to therein, but Landlord shall have no obligation to deliver more than one such copy of the real estate tax bill in respect of any Tax Year.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7.03 </w:t>
      </w:r>
      <w:r>
        <w:rPr>
          <w:rFonts w:ascii="Arial" w:cs="Arial" w:eastAsia="Arial" w:hAnsi="Arial"/>
          <w:sz w:val="16"/>
          <w:szCs w:val="16"/>
          <w:color w:val="auto"/>
        </w:rPr>
        <w:t>A. Tenant shall pay as Additional Rent for each Escalation Year an amount ("Tenant's Operating Payment"), calculated as follows:</w:t>
      </w:r>
    </w:p>
    <w:p>
      <w:pPr>
        <w:spacing w:after="0" w:line="252" w:lineRule="exact"/>
        <w:rPr>
          <w:sz w:val="20"/>
          <w:szCs w:val="20"/>
          <w:color w:val="auto"/>
        </w:rPr>
      </w:pPr>
    </w:p>
    <w:p>
      <w:pPr>
        <w:ind w:firstLine="1789"/>
        <w:spacing w:after="0" w:line="277" w:lineRule="auto"/>
        <w:rPr>
          <w:sz w:val="20"/>
          <w:szCs w:val="20"/>
          <w:color w:val="auto"/>
        </w:rPr>
      </w:pPr>
      <w:r>
        <w:rPr>
          <w:rFonts w:ascii="Arial" w:cs="Arial" w:eastAsia="Arial" w:hAnsi="Arial"/>
          <w:sz w:val="18"/>
          <w:szCs w:val="18"/>
          <w:color w:val="auto"/>
        </w:rPr>
        <w:t>In the case of each Escalation Year a sum equal to Tenant's Proportionate Share of the amount by which Operating Expenses for such Escalation Year exceed the Base Operating Factor.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4" w:name="page135"/>
    <w:bookmarkEnd w:id="134"/>
    <w:p>
      <w:pPr>
        <w:jc w:val="both"/>
        <w:ind w:firstLine="1621"/>
        <w:spacing w:after="0" w:line="286" w:lineRule="auto"/>
        <w:rPr>
          <w:sz w:val="20"/>
          <w:szCs w:val="20"/>
          <w:color w:val="auto"/>
        </w:rPr>
      </w:pPr>
      <w:r>
        <w:rPr>
          <w:rFonts w:ascii="Arial" w:cs="Arial" w:eastAsia="Arial" w:hAnsi="Arial"/>
          <w:sz w:val="16"/>
          <w:szCs w:val="16"/>
          <w:color w:val="auto"/>
        </w:rPr>
        <w:t>B. Landlord may furnish to Tenant, with respect to each Escalation Year, a written statement setting forth Landlord's estimate of Tenant's Operating Payment for such Escalation Year. Tenant shall pay to Landlord on the first day of each month during such Escalation Year an amount equal to one-twelfth of Landlord's estimate of Tenant's Operating Payment for such Escalation Year. If, however, Landlord shall furnish any such estimate for an Escalation Year subsequent to the commencement thereof, then (a) until the first day of the month following the month in which such estimate is furnished to Tenant, Tenant shall pay to Landlord on the first day of each month an amount equal to the monthly sum payable by Tenant to Landlord under this Section 7.03 in respect of the last month of the preceding Escalation Year; (b) promptly after such estimate is furnished to Tenant or together therewith, Landlord shall give notice to Tenant stating whether the installments of Tenant's Operating Payment previously made for such Escalation Year were greater or less than the installments of Tenant' s Operating Payment to be made for such Escalation Year in accordance with such estimate, and (i) if there shall be a deficiency, Tenant shall pay the amount thereof within 10 days after demand therefor, or (ii) if there shall have been an overpayment, Landlord shall either refund to Tenant the amount thereof or, at Landlord's election, credit the amount thereof against subsequent payments under this Section 7.03 or Section 7.02; and (c) on the first day of the month following the month in which such estimate is furnished to Tenant, and monthly thereafter throughout the remainder of such Escalation Year, Tenant shall pay to Landlord an amount equal to one-twelfth of Tenant's Operating Payment shown on such estimate. Landlord may at any time or from time to time (but not more than twice with respect to any Escalation Year) furnish to Tenant a revised statement of Landlord's estimate of Tenant's Operating Payment for such Escalation Year, and in such case, Tenant's Operating Payment for such Escalation Year shall be adjusted and paid or refunded, as the case may be, substantially in the same manner as provided in the preceding sentence.</w:t>
      </w:r>
    </w:p>
    <w:p>
      <w:pPr>
        <w:spacing w:after="0" w:line="169" w:lineRule="exact"/>
        <w:rPr>
          <w:sz w:val="20"/>
          <w:szCs w:val="20"/>
          <w:color w:val="auto"/>
        </w:rPr>
      </w:pPr>
    </w:p>
    <w:p>
      <w:pPr>
        <w:jc w:val="both"/>
        <w:ind w:firstLine="1621"/>
        <w:spacing w:after="0" w:line="289" w:lineRule="auto"/>
        <w:rPr>
          <w:sz w:val="20"/>
          <w:szCs w:val="20"/>
          <w:color w:val="auto"/>
        </w:rPr>
      </w:pPr>
      <w:r>
        <w:rPr>
          <w:rFonts w:ascii="Arial" w:cs="Arial" w:eastAsia="Arial" w:hAnsi="Arial"/>
          <w:sz w:val="16"/>
          <w:szCs w:val="16"/>
          <w:color w:val="auto"/>
        </w:rPr>
        <w:t>C. After the end of each Escalation Year Landlord shall furnish to Tenant a Landlord's Statement for such Escalation Year. Each such year-end Landlord's Statement for any Escalation Year shall be accompanied by a computation of operating expenses for the Building prepared by an independent certified public accountant or independent managing agent designated by Landlord from which Landlord shall make the computation of Operating Expenses hereunder. In making computations of operating expenses, the certified public accountant or managing agent may rely on Landlord's estimates and allocations whenever said estimates and allocations are needed for this Article. If the Landlord's Statement shall show that the sums paid by Tenant under Section 7.03C exceeded Tenant's Operating Payment required to be paid by Tenant for such Escalation Year, Landlord shall either refund to Tenant the amount of such excess or, at Landlord's election, credit the amount of such excess against subsequent payments under this Section 7.03 or Section 7.02; and if the Landlord's Statement for such Escalation Year shall show that the sums so paid by Tenant were less than Tenant's Operating Payment paid by Tenant for such Escalation Year, Tenant shall pay the amount of such deficiency within 10 days after demand therefor.</w:t>
      </w:r>
    </w:p>
    <w:p>
      <w:pPr>
        <w:spacing w:after="0" w:line="167" w:lineRule="exact"/>
        <w:rPr>
          <w:sz w:val="20"/>
          <w:szCs w:val="20"/>
          <w:color w:val="auto"/>
        </w:rPr>
      </w:pPr>
    </w:p>
    <w:p>
      <w:pPr>
        <w:jc w:val="both"/>
        <w:ind w:firstLine="1621"/>
        <w:spacing w:after="0" w:line="272" w:lineRule="auto"/>
        <w:rPr>
          <w:sz w:val="20"/>
          <w:szCs w:val="20"/>
          <w:color w:val="auto"/>
        </w:rPr>
      </w:pPr>
      <w:r>
        <w:rPr>
          <w:rFonts w:ascii="Arial" w:cs="Arial" w:eastAsia="Arial" w:hAnsi="Arial"/>
          <w:sz w:val="17"/>
          <w:szCs w:val="17"/>
          <w:color w:val="auto"/>
        </w:rPr>
        <w:t>D. If the Commencement Date or the Expiration Date shall occur on a date other than January 1 or December 31, respectively, any Additional Rent under this Section 7.03 for the Escalation Year in which such Commencement Date or Expiration Date shall occur shall be apportioned in that percentage which the number of days in the period from the Commencement Date to December 31 or from January 1 to the Expiration Date, as the case may be, both inclusive, shall bear to the total number of days in such Escalation Year. In the event of a termination of this Lease, any Additional Rent under this Article shall be paid or adjusted within 30 days after submission of a Landlord's Statement. In no event shall Fixed Rent ever be reduced by operation of this Section 7.03B and the rights and obligations of Landlord and Tenant under the provisions of this Article with respect to any Additional Rent shall survive the Expiration Date or sooner termination of this Lease.</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7.04 </w:t>
      </w:r>
      <w:r>
        <w:rPr>
          <w:rFonts w:ascii="Arial" w:cs="Arial" w:eastAsia="Arial" w:hAnsi="Arial"/>
          <w:sz w:val="17"/>
          <w:szCs w:val="17"/>
          <w:color w:val="auto"/>
        </w:rPr>
        <w:t>A. Landlord's failure to render Landlord's Statements with respect to any Tax Year or Escalation Year shall not prejudice Landlord's</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thereafter render a Landlord's Statement with respect thereto or with respect to any subsequent Tax Year or Escalation Year, nor shall the rendering of a Landlord's Statement prejudice Landlord's right to thereafter render a corrected Landlord's Statement for that Tax Year or Escalation Year, as the case may be, provided that the corrected Landlord's Statement for that Tax Year or Escalation Year is rendered within twelve (12) months of the original Landlord's Statement. Nothing herein contained shall restrict Landlord from issuing a Landlord's Statement at any time there is an increase in Taxes, or Operating Expenses during any Tax Year or Escalation Year or any time thereafter.</w:t>
      </w:r>
    </w:p>
    <w:p>
      <w:pPr>
        <w:spacing w:after="0" w:line="178" w:lineRule="exact"/>
        <w:rPr>
          <w:sz w:val="20"/>
          <w:szCs w:val="20"/>
          <w:color w:val="auto"/>
        </w:rPr>
      </w:pPr>
    </w:p>
    <w:p>
      <w:pPr>
        <w:jc w:val="both"/>
        <w:ind w:firstLine="1621"/>
        <w:spacing w:after="0" w:line="293" w:lineRule="auto"/>
        <w:rPr>
          <w:sz w:val="20"/>
          <w:szCs w:val="20"/>
          <w:color w:val="auto"/>
        </w:rPr>
      </w:pPr>
      <w:r>
        <w:rPr>
          <w:rFonts w:ascii="Arial" w:cs="Arial" w:eastAsia="Arial" w:hAnsi="Arial"/>
          <w:sz w:val="16"/>
          <w:szCs w:val="16"/>
          <w:color w:val="auto"/>
        </w:rPr>
        <w:t>B. Each Landlord's Statement shall be conclusive and binding upon Tenant unless (a) within 90 days after receipt of such Landlord's Statement Tenant shall notify Landlord that it disputes the correctness of Landlord's Statement, specifying the particular respects in which Landlord's Statement is claimed to be incorrect and (b) if such dispute shall not be resolved within 90 days after the giving of such Landlord's Statement, Tenant shall, within 30 days after the expiration of such 90-day period, submit the dispute to arbitration pursuant to Article 28. Pending the determination of such dispute, Tenant shall pay Additional Rent in accordance with the applicable Landlord's Statement, without prejudice to Tenant's position. If such dispute is ultimately determined in Tenant's favor, Landlord shall promptly after such determination, upon demand, pay to Tenant any amount so overpaid by Tenant.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8.01 </w:t>
      </w:r>
      <w:r>
        <w:rPr>
          <w:rFonts w:ascii="Arial" w:cs="Arial" w:eastAsia="Arial" w:hAnsi="Arial"/>
          <w:sz w:val="17"/>
          <w:szCs w:val="17"/>
          <w:color w:val="auto"/>
        </w:rPr>
        <w:t>A. Tenant at all times during the Lease Term shall, at its own expense, keep in full force and effect (A) commercial general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providing coverage against bodily injury and disease, including death resulting therefrom and property damage to a combined single limit of $1,000,000 to one or more than one person as the result of any one accident or occurrence, which shall include provision for contractual liability coverage insuring Tenant for the performance of its indemnity obligations set forth in this Article 8 and in Article 20 of this Lease, with an Excess Limits (Umbrella) Policy in the amount of $3,000,000, (B) worker’s compensation insurance to the statutory limit, if any, and employer’s liability insurance to the limit of $500,000 per occurrence, and (C) All Risk or Causes of Loss - Special Form property insurance, including fire and extended coverage, sprinkler leakage (including earthquake, sprinkler leakage), vandalism, malicious mischief, wind and/or hurricane coverage, covering full replacement value of all of Tenant’s personal property, trade fixtures and improvements in the Premises. Landlord and its designated property management firm shall be named an additional insured on each of said policies (excluding the worker’s compensation policy) and said policies shall be issued by an insurance company or companies authorized to do business in the State and which have policyholder ratings not lower than “A-” and financial ratings not lower than “VII” in Best’s Insurance Guide (latest edition in effect as of the Effective Date and subsequently in effect as of the date of renewal of the required policies). EACH OF SAID POLICIES SHALL ALSO INCLUDE A WAIVER OF SUBROGATION PROVISION OR ENDORSEMENT IN FAVOR OF LANDLORD, AND AN ENDORSEMENT PROVIDING THAT LANDLORD SHALL RECEIVE THIRTY (30) DAYS PRIOR WRITTEN NOTICE OF ANY CANCELLATION OF, NONRENEWAL OF, REDUCTION OF COVERAGE OR MATERIAL CHANGE IN COVERAGE ON SAID POLICIES. Tenant hereby waives its right of recovery against any Landlord Party (as defined in Article 20) of any amounts paid by Tenant or on Tenant’s behalf to satisfy applicable worker’s compensation laws. The policies or duly executed certificates showing the material terms for the same, together with satisfactory evidence of the payment of the premiums therefor, shall be deposited with Landlord on the date Tenant first occupies the Premises and upon renewals of such policies not less than fifteen (15) days prior to the expiration of the term of such coverage. If certificates are supplied rather than the policies themselves, Tenant shall allow Landlord, at all reasonable times, to inspect the policies of insurance required herein.</w:t>
      </w:r>
    </w:p>
    <w:p>
      <w:pPr>
        <w:spacing w:after="0" w:line="194" w:lineRule="exact"/>
        <w:rPr>
          <w:sz w:val="20"/>
          <w:szCs w:val="20"/>
          <w:color w:val="auto"/>
        </w:rPr>
      </w:pPr>
    </w:p>
    <w:p>
      <w:pPr>
        <w:jc w:val="both"/>
        <w:ind w:firstLine="656"/>
        <w:spacing w:after="0" w:line="291" w:lineRule="auto"/>
        <w:tabs>
          <w:tab w:leader="none" w:pos="132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It is expressly understood and agreed that the coverages required represent Landlord’s minimum requirements and such are not to be construed to void or limit Tenant’s obligations contained in this Lease, including without limitation Tenant’s indemnity obligations hereunder. Neither shall</w:t>
      </w:r>
    </w:p>
    <w:p>
      <w:pPr>
        <w:ind w:left="320" w:hanging="312"/>
        <w:spacing w:after="0"/>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insolvency, bankruptcy or failure of any insurance company carrying Tenant, (B) the failure of any insurance company to pay claims occurring nor</w:t>
      </w:r>
    </w:p>
    <w:p>
      <w:pPr>
        <w:spacing w:after="0" w:line="32" w:lineRule="exact"/>
        <w:rPr>
          <w:rFonts w:ascii="Arial" w:cs="Arial" w:eastAsia="Arial" w:hAnsi="Arial"/>
          <w:sz w:val="16"/>
          <w:szCs w:val="16"/>
          <w:color w:val="auto"/>
        </w:rPr>
      </w:pPr>
    </w:p>
    <w:p>
      <w:pPr>
        <w:jc w:val="both"/>
        <w:ind w:firstLine="8"/>
        <w:spacing w:after="0" w:line="268" w:lineRule="auto"/>
        <w:tabs>
          <w:tab w:leader="none" w:pos="28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exclusion from or insufficiency of coverage be held to affect, negate or waive any of Tenant’s indemnity obligations under this Article 8 or any other provision of this Lease. With respect to insurance coverages, except worker’s compensation, maintained hereunder by Tenant and insurance coverages separately obtained by Landlord, all insurance coverages afforded by policies of insurance maintained by Tenant shall be primary insurance as such coverages apply to Landlord, and such insurance coverages separately maintained by Landlord shall be excess, and Tenant shall have its insurance policies so endorsed. The amount of liability insurance under insurance policies maintained by Tenant shall not be reduced by the existence of insurance coverage under policies separately maintained by Landlord. Tenant shall be solely responsible for any premiums, assessments, penalties, deductible assumptions, retentions, audits, retrospective adjustments or any other kind of payment due under its policies. Tenant shall increase the amounts of insurance or the insurance coverages as Landlord may reasonably request from time to time, but not in excess of the requirements of prudent landlords or lenders for similar tenants occupying similar premises in the New York metropolitan area.</w:t>
      </w:r>
    </w:p>
    <w:p>
      <w:pPr>
        <w:spacing w:after="0" w:line="182" w:lineRule="exact"/>
        <w:rPr>
          <w:rFonts w:ascii="Arial" w:cs="Arial" w:eastAsia="Arial" w:hAnsi="Arial"/>
          <w:sz w:val="17"/>
          <w:szCs w:val="17"/>
          <w:color w:val="auto"/>
        </w:rPr>
      </w:pPr>
    </w:p>
    <w:p>
      <w:pPr>
        <w:jc w:val="both"/>
        <w:ind w:firstLine="656"/>
        <w:spacing w:after="0" w:line="264" w:lineRule="auto"/>
        <w:tabs>
          <w:tab w:leader="none" w:pos="122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Tenant’s occupancy of the Premises without delivering the certificates of insurance shall not constitute a waiver of Tenant’s obligations to provide the required coverages. If Tenant provides to Landlord a certificate that does not evidence the coverages required herein, or that is faulty in any respect, such shall not constitute a waiver of Tenant’s obligations to provide the proper insurance</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2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Throughout the Lease Term, Landlord agrees to maintain (i) fire and extended coverage insurance, and, at Landlord’s option, earthquake damage coverage, terrorism coverage, wind and hurricane coverage, and such additional property insurance coverage as Landlord deems appropriate, on the insurable portions of Building in an amount not less than the fair replacement value thereof, subject to reasonable deductibles (ii) boiler and machinery insurance amounts and with deductibles that would be considered standard for similar class office building in the metropolitan area in which the Premises is located, and (iii) commercial general liability insurance with a combined single limit coverage of at least $1,000,000.00 per occurrence. All such insurance shall be obtained from insurers Landlord reasonably believes to be financially responsible in light of the risks being insured. The premiums for any such insurance shall be a part of Operating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6" w:name="page137"/>
    <w:bookmarkEnd w:id="136"/>
    <w:p>
      <w:pPr>
        <w:jc w:val="both"/>
        <w:ind w:firstLine="656"/>
        <w:spacing w:after="0" w:line="289" w:lineRule="auto"/>
        <w:tabs>
          <w:tab w:leader="none" w:pos="121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by reason of any failure of Tenant to comply with the provisions of this Lease, the rate of fire, boiler, sprinkler, water damage or other insurance (with extended coverage) on the Building or on the property and equipment of Landlord or any other tenant or subtenant in the Building shall be higher than it otherwise would be, Tenant shall reimburse Landlord and the other tenants in the Building for that part of the fire, boiler, sprinkler, water damage or other insurance premiums thereafter paid by Landlord which shall have been charged because of such failure by Tenant and Tenant shall make the reimbursement on the first day of the month following such payment by Landlord. If Tenant shall fail to make such reimbursement when billed for the same, Landlord may treat the same as a default in the payment of rental and shall also be entitled to interest on the unpaid sum at the then Default Rate until such sum shall be fully paid to Landlord. In any action or proceeding wherein Landlord and Tenant are parties, a schedule or “make up” of rates for the Building or Premises issued by the New York Fire Insurance Exchange or other body making fire insurance rates for the Premises, shall be conclusive evidence of the facts therein stated and of the several items and charges in the fire insurance rate then applicable to said Building or Premises.</w:t>
      </w:r>
    </w:p>
    <w:p>
      <w:pPr>
        <w:spacing w:after="0" w:line="1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8.02 </w:t>
      </w:r>
      <w:r>
        <w:rPr>
          <w:rFonts w:ascii="Arial" w:cs="Arial" w:eastAsia="Arial" w:hAnsi="Arial"/>
          <w:sz w:val="16"/>
          <w:szCs w:val="16"/>
          <w:u w:val="single" w:color="auto"/>
          <w:color w:val="auto"/>
        </w:rPr>
        <w:t>Mutual Waivers of Recovery</w:t>
      </w:r>
      <w:r>
        <w:rPr>
          <w:rFonts w:ascii="Arial" w:cs="Arial" w:eastAsia="Arial" w:hAnsi="Arial"/>
          <w:sz w:val="16"/>
          <w:szCs w:val="16"/>
          <w:color w:val="auto"/>
        </w:rPr>
        <w:t>. Landlord, Tenant, and all parties claiming under them, each mutually release and discharge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from responsibility for that portion of any loss or damage paid or reimbursed by an insurer of Landlord or Tenant under any fire, extended coverage or other property insurance policy maintained by Tenant with respect to its Premises or by Landlord with respect to the Building (or which would have been paid had the insurance required to be maintained hereunder been in full force and effect), no matter how caused, including negligence, and each waives any right of recovery from the other including, but not limited to, claims for contribution or indemnity, which might otherwise exist on account thereof. Any fire, extended coverage or property insurance policy maintained by Tenant with respect to the Premises, or Landlord with respect to the Building, shall contain, in the case of Tenant’s policies, a waiver of subrogation provision or endorsement in favor of Landlord, and in the case of Landlord’s policies, a waiver of subrogation provision or endorsement in favor of Tenant, or, in the event that such insurers cannot or shall not include or attach such waiver of subrogation provision or endorsement, Tenant and Landlord shall obtain the approval and consent of their respective insurers, in writing, to the terms of this Lease. Tenant agrees to indemnify, protect, defend and hold harmless each and all of the Landlord Parties from and against any claim, suit or cause of action asserted or brought by Tenant’s insurers for, on behalf of, or in the name of Tenant, including, but not limited to, claims for contribution, indemnity or subrogation, brought in contravention of this paragraph. The mutual releases, discharges and waivers contained in this provision shall apply EVEN IF THE LOSS OR DAMAGE TO WHICH THIS PROVISION APPLIES IS CAUSED SOLELY OR IN PART BY THE NEGLIGENCE OF LANDLORD OR TENANT.</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8.03 </w:t>
      </w:r>
      <w:r>
        <w:rPr>
          <w:rFonts w:ascii="Arial" w:cs="Arial" w:eastAsia="Arial" w:hAnsi="Arial"/>
          <w:sz w:val="16"/>
          <w:szCs w:val="16"/>
          <w:u w:val="single" w:color="auto"/>
          <w:color w:val="auto"/>
        </w:rPr>
        <w:t>Business Interruption</w:t>
      </w:r>
      <w:r>
        <w:rPr>
          <w:rFonts w:ascii="Arial" w:cs="Arial" w:eastAsia="Arial" w:hAnsi="Arial"/>
          <w:sz w:val="16"/>
          <w:szCs w:val="16"/>
          <w:color w:val="auto"/>
        </w:rPr>
        <w:t>. Landlord shall not be responsible for, and Tenant releases and discharges Landlord from, and Tenant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waives any right of recovery from Landlord for, any loss for or from business interruption or loss of use of the Premises suffered by Tenant in connection with Tenant’s use or occupancy of the Premises, EVEN IF SUCH LOSS IS CAUSED SOLELY OR IN PART BY THE NEGLIGENCE OF LANDLORD.</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8.04 </w:t>
      </w:r>
      <w:r>
        <w:rPr>
          <w:rFonts w:ascii="Arial" w:cs="Arial" w:eastAsia="Arial" w:hAnsi="Arial"/>
          <w:sz w:val="18"/>
          <w:szCs w:val="18"/>
          <w:u w:val="single" w:color="auto"/>
          <w:color w:val="auto"/>
        </w:rPr>
        <w:t>Adjustment of Claims</w:t>
      </w:r>
      <w:r>
        <w:rPr>
          <w:rFonts w:ascii="Arial" w:cs="Arial" w:eastAsia="Arial" w:hAnsi="Arial"/>
          <w:sz w:val="18"/>
          <w:szCs w:val="18"/>
          <w:color w:val="auto"/>
        </w:rPr>
        <w:t>. Tenant shall cooperate with Landlord and Landlord’s insurers in the adjustment of any insurance claim</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to the Building or Landlord’s use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8.05 </w:t>
      </w:r>
      <w:r>
        <w:rPr>
          <w:rFonts w:ascii="Arial" w:cs="Arial" w:eastAsia="Arial" w:hAnsi="Arial"/>
          <w:sz w:val="18"/>
          <w:szCs w:val="18"/>
          <w:u w:val="single" w:color="auto"/>
          <w:color w:val="auto"/>
        </w:rPr>
        <w:t>Increase in Landlord’s Insurance Costs</w:t>
      </w:r>
      <w:r>
        <w:rPr>
          <w:rFonts w:ascii="Arial" w:cs="Arial" w:eastAsia="Arial" w:hAnsi="Arial"/>
          <w:sz w:val="18"/>
          <w:szCs w:val="18"/>
          <w:color w:val="auto"/>
        </w:rPr>
        <w:t>. Tenant agrees to pay to Landlord any increase in premiums for Landlord’s insurance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and directly resulting from Tenant’s use or occupancy of the Premises.</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8.06 </w:t>
      </w:r>
      <w:r>
        <w:rPr>
          <w:rFonts w:ascii="Arial" w:cs="Arial" w:eastAsia="Arial" w:hAnsi="Arial"/>
          <w:sz w:val="18"/>
          <w:szCs w:val="18"/>
          <w:u w:val="single" w:color="auto"/>
          <w:color w:val="auto"/>
        </w:rPr>
        <w:t>Failure to Maintain Insurance</w:t>
      </w:r>
      <w:r>
        <w:rPr>
          <w:rFonts w:ascii="Arial" w:cs="Arial" w:eastAsia="Arial" w:hAnsi="Arial"/>
          <w:sz w:val="18"/>
          <w:szCs w:val="18"/>
          <w:color w:val="auto"/>
        </w:rPr>
        <w:t>. Any failure of Tenant to obtain and maintain the insurance policies and coverages required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by Tenant to meet any of the insurance requirements of this Lease shall constitute an event of default hereunder, and such failure shall entitle Landlord to pursue, exercise or obtain any of the remedies provided for in Article 17, and Tenant shall be solely responsible for any loss suffered by Landlord as a result of such failure. In the event of failure by Tenant to maintain the insurance policies and coverages required by this Lease or to meet any of the insurance requirements of this Lease, Landlord, at its option, and without relieving Tenant of its obligations hereunder, may obtain said insurance policies and coverages or perform any other insurance obligation of Tenant, but all costs and expenses incurred by Landlord in obtaining such insurance or performing Tenant’s insurance obligations shall be reimbursed by Tenant to Landlord, together with interest on same from the date any such cost or expense was paid by Landlord until reimbursed by Tenant, at the rate of interest provided to be paid on judgments, by the law of the jurisdiction to which the interpretation of this Lease is subject.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Laws/Environmental Compliance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9.01 </w:t>
      </w:r>
      <w:r>
        <w:rPr>
          <w:rFonts w:ascii="Arial" w:cs="Arial" w:eastAsia="Arial" w:hAnsi="Arial"/>
          <w:sz w:val="16"/>
          <w:szCs w:val="16"/>
          <w:color w:val="auto"/>
        </w:rPr>
        <w:t>A. Tenant shall give prompt notice to Landlord of any notice it receives of the violation of any law or requirement of public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and Tenant, at its expense, shall comply with all laws and requirements of public authorities which shall, with respect to the Premises or the use and occupation thereof, or the abatement of any nuisance, impose any violation, order or duty on Landlord or Tenant, arising from (i) Tenant's use of the Premises,</w:t>
      </w:r>
    </w:p>
    <w:p>
      <w:pPr>
        <w:spacing w:after="0" w:line="2" w:lineRule="exact"/>
        <w:rPr>
          <w:sz w:val="20"/>
          <w:szCs w:val="20"/>
          <w:color w:val="auto"/>
        </w:rPr>
      </w:pPr>
    </w:p>
    <w:p>
      <w:pPr>
        <w:jc w:val="both"/>
        <w:ind w:firstLine="8"/>
        <w:spacing w:after="0" w:line="269" w:lineRule="auto"/>
        <w:tabs>
          <w:tab w:leader="none" w:pos="27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manner of conduct of Tenant's business or operation of its installations, equipment or other property therein, (iii) any cause or condition created by or at the instance of Tenant, other than by Landlord's performance of any work for or on behalf of Tenant, or (iv) breach of any of Tenant's obligations hereunder. However, Tenant shall not be so required to make any structural or other substantial change in the Premises unless the requirement arises from a cause or condition referred to in clause (ii), (iii) or (iv) above. Furthermore, Tenant need not comply with any such law or requirement of public authority so long as Tenant shall be contesting the validity thereof, or the applicability thereof to the Premises, in accordance with Section 9.02. Landlord, at its expense, shall comply with all other such laws and requirements of public authorities as shall affect the Premises, but may similarly contest the same subject to conditions reciprocal to Subsections (a), (b) and (d) of Section 9.02.</w:t>
      </w:r>
    </w:p>
    <w:p>
      <w:pPr>
        <w:spacing w:after="0" w:line="180" w:lineRule="exact"/>
        <w:rPr>
          <w:rFonts w:ascii="Arial" w:cs="Arial" w:eastAsia="Arial" w:hAnsi="Arial"/>
          <w:sz w:val="17"/>
          <w:szCs w:val="17"/>
          <w:color w:val="auto"/>
        </w:rPr>
      </w:pPr>
    </w:p>
    <w:p>
      <w:pPr>
        <w:jc w:val="both"/>
        <w:ind w:firstLine="1629"/>
        <w:spacing w:after="0" w:line="290" w:lineRule="auto"/>
        <w:tabs>
          <w:tab w:leader="none" w:pos="183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If in any Escalation Year, all or any portion of which shall be within the Term, Landlord shall incur any expenditure in respect of the Real Property for capital improvements or capital equipment by reason of Legal Requirements or Insurance Requirements or which under generally accepted real estate practice would be expensed or regarded as deferred expenses, Tenant shall reimburse Landlord, on demand, for Tenant's Proportionate Share of the annual amortization (reasonably determined by Landlord on a straight-line basis over an appropriate period not to exceed 10 years, with interest calculated at an annual rate of 1% above the prime rate at the time of Landlord's having made such expenditures) of such expenditures; provided, however, that in the event Landlord receives an exemption or abatement of Taxes by reason of any such capital improvement or capital equipment (other than an exemption, abatement or credit which is the result of the application of Section 38 of the Internal Revenue Code, as amended, or any similar provision of Federal or New York law), the cost of such capital improvement or capital equipment shall be reduced by the amount of such exemption or abatement.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9.02 </w:t>
      </w:r>
      <w:r>
        <w:rPr>
          <w:rFonts w:ascii="Arial" w:cs="Arial" w:eastAsia="Arial" w:hAnsi="Arial"/>
          <w:sz w:val="18"/>
          <w:szCs w:val="18"/>
          <w:color w:val="auto"/>
        </w:rPr>
        <w:t>Tenant may, at its expense (and if necessary, in the name of but without expense to Landlord) contest, by appropriate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prosecuted diligently and in good faith, the validity, or applicability to the Premises, of any law or requirement of public authority, and Landlord shall cooperate with Tenant in such proceedings, provided that:</w:t>
      </w:r>
    </w:p>
    <w:p>
      <w:pPr>
        <w:spacing w:after="0" w:line="180" w:lineRule="exact"/>
        <w:rPr>
          <w:sz w:val="20"/>
          <w:szCs w:val="20"/>
          <w:color w:val="auto"/>
        </w:rPr>
      </w:pPr>
    </w:p>
    <w:p>
      <w:pPr>
        <w:ind w:firstLine="656"/>
        <w:spacing w:after="0" w:line="277" w:lineRule="auto"/>
        <w:tabs>
          <w:tab w:leader="none" w:pos="117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Landlord shall not be subject to criminal penalty or to prosecution for a crime nor shall the Premises or any part thereof be subject to being condemned or vacated, by reason of non-compliance or otherwise by reason of such contest;</w:t>
      </w:r>
    </w:p>
    <w:p>
      <w:pPr>
        <w:spacing w:after="0" w:line="170" w:lineRule="exact"/>
        <w:rPr>
          <w:rFonts w:ascii="Arial" w:cs="Arial" w:eastAsia="Arial" w:hAnsi="Arial"/>
          <w:sz w:val="18"/>
          <w:szCs w:val="18"/>
          <w:color w:val="auto"/>
        </w:rPr>
      </w:pPr>
    </w:p>
    <w:p>
      <w:pPr>
        <w:ind w:firstLine="656"/>
        <w:spacing w:after="0" w:line="277" w:lineRule="auto"/>
        <w:tabs>
          <w:tab w:leader="none" w:pos="11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 shall defend, indemnify and hold harmless Landlord against all liability, loss or damage which Landlord shall suffer by reason of such non-compliance or contest, including reasonable attorney's fees and other expenses reasonably incurred by Landlord;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7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Such non-compliance or contest shall not constitute or result in any violation of any superior lease or superior mortgage, or if such superior lease and/or superior mortgage shall permit such non-compliance or contest on condition of such taking of action or furnishing of security by Landlord, such action shall be taken and such security shall be furnished at the expense of Tenant; and</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21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Tenant shall keep Landlord advised as to the status of such proceedings. Without limiting the application of Subsection (a) above thereto, Landlord shall be deemed subject to prosecution for a crime within the meaning of said Subsection, if Landlord, or any officer of Landlord individually, is charged with a crime of any kind or degree whatever, whether by service of a summons or otherwise, unless such charge is withdrawn before Landlord or such officer (as the case may be) is required to plead or answer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7"/>
          <w:szCs w:val="17"/>
          <w:b w:val="1"/>
          <w:bCs w:val="1"/>
          <w:color w:val="auto"/>
        </w:rPr>
        <w:t xml:space="preserve">Section 9.03  </w:t>
      </w:r>
      <w:r>
        <w:rPr>
          <w:rFonts w:ascii="Arial" w:cs="Arial" w:eastAsia="Arial" w:hAnsi="Arial"/>
          <w:sz w:val="17"/>
          <w:szCs w:val="17"/>
          <w:color w:val="auto"/>
        </w:rPr>
        <w:t>A. Tenant shall comply with all federal, state and local environmental protection and regulatory laws applicable to the Premises.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Tenant shall not use, generate, manufacture, store or dispose of any hazardous substance on, under or about the Premises or the Building nor transport any hazardous substance thereto. Tenant shall immediately advise the Landlord, in writing of any and all enforcement, clean-up, remediation, removal or other governmental or regulatory actions instituted, completed or threatened pursuant to any applicable laws relating to any hazardous substances; and all claims made or threatened by any person (including a governmental authority) against the Premises, Tenant or Landlord relating to any damage, injury, costs, remedial action or cost recovery compensation arising out of or due to the existence of any hazardous substance in or about the Premises or the Building.</w:t>
      </w:r>
    </w:p>
    <w:p>
      <w:pPr>
        <w:spacing w:after="0" w:line="158" w:lineRule="exact"/>
        <w:rPr>
          <w:sz w:val="20"/>
          <w:szCs w:val="20"/>
          <w:color w:val="auto"/>
        </w:rPr>
      </w:pPr>
    </w:p>
    <w:p>
      <w:pPr>
        <w:jc w:val="both"/>
        <w:ind w:firstLine="1837"/>
        <w:spacing w:after="0" w:line="270" w:lineRule="auto"/>
        <w:rPr>
          <w:sz w:val="20"/>
          <w:szCs w:val="20"/>
          <w:color w:val="auto"/>
        </w:rPr>
      </w:pPr>
      <w:r>
        <w:rPr>
          <w:rFonts w:ascii="Arial" w:cs="Arial" w:eastAsia="Arial" w:hAnsi="Arial"/>
          <w:sz w:val="17"/>
          <w:szCs w:val="17"/>
          <w:color w:val="auto"/>
        </w:rPr>
        <w:t>B. Tenant shall defend, indemnify and hold Landlord harmless from and against all actions, causes of action, claims, lawsuits, administrative proceedings, hearings, judgments, awards, fines, penalties, costs (including legal, engineers', experts', investigatory and consulting fees), damages, remediation activities and clean-up costs, liens, and all other liabilities incurred by Landlord whenever incurred, arising out of any Tenant's act or failure to act directly resulting in (i) the existence or presence (or alleged existence or presence) on or about the Building of any hazardous substance or the release of any hazardous substance into the environment; (ii) any personal injury or property damage resulting from any hazardous substance in or about the Building; (iii) the violation of any federal, state or municipal environmental protection or regulatory law; or (iv) the commencement or prosecution by any governmental authority or private person or entity of any judicial or administrative procedure arising out of any claims under any federal, state or municipal environmental protection or regulatory law or common law cause of action in which Landlord is named a party or in which it may intervene. The obligations of Tenant under this paragraph B shall survive the expiration or earlier termination of the term hereof.</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“Hazardous substance” means any hazardous substance as defined in the Comprehensive Environmental Response, Compensation and Liability Act of 1980, 42 U.S.C. §§ 9601 et seq., as amended by the Superfund Amendments and Reauthorization Act of 1986; hazardous waste as defined in the Resource Conservation and Recovery Act of 1976, 42 U.S.C. §§ 6901 et seq., as any of the foregoing may be amended or superseded; oil; petroleum product, derivative, compound or mixture; mineral, including asbestos; chemical; gas; medical waste; polychlorinated biphenyls (pcb's); methane; radon; radioactive material; volatile hydrocarbons; or other material, whether naturally occurring, man-made or the by-product of any process, which is toxic, harmful or hazardous or acutely hazardous to the environment or public health or safety; or any other substance the existence of which on or at any property would be the basis for a claim for damages, clean-up costs or remediation costs, fine, penalty or lien under any federal, state or municipal environmental protection or regulatory law or applicable common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Improvements; Tenant's Property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10.01 </w:t>
      </w:r>
      <w:r>
        <w:rPr>
          <w:rFonts w:ascii="Arial" w:cs="Arial" w:eastAsia="Arial" w:hAnsi="Arial"/>
          <w:sz w:val="18"/>
          <w:szCs w:val="18"/>
          <w:color w:val="auto"/>
        </w:rPr>
        <w:t>Upon and subject to the terms of this Article, Tenant, at any time and from time to time during the Term,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may make Improvements in and to the Premises, excluding structural changes, provided:</w:t>
      </w:r>
    </w:p>
    <w:p>
      <w:pPr>
        <w:spacing w:after="0" w:line="166" w:lineRule="exact"/>
        <w:rPr>
          <w:sz w:val="20"/>
          <w:szCs w:val="20"/>
          <w:color w:val="auto"/>
        </w:rPr>
      </w:pPr>
    </w:p>
    <w:p>
      <w:pPr>
        <w:ind w:left="920" w:hanging="264"/>
        <w:spacing w:after="0"/>
        <w:tabs>
          <w:tab w:leader="none" w:pos="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Improvements will not result in a violation of or require a change in any certificate of occupancy applicable to the Premises 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Building;</w:t>
      </w:r>
    </w:p>
    <w:p>
      <w:pPr>
        <w:spacing w:after="0" w:line="210" w:lineRule="exact"/>
        <w:rPr>
          <w:rFonts w:ascii="Arial" w:cs="Arial" w:eastAsia="Arial" w:hAnsi="Arial"/>
          <w:sz w:val="17"/>
          <w:szCs w:val="17"/>
          <w:color w:val="auto"/>
        </w:rPr>
      </w:pPr>
    </w:p>
    <w:p>
      <w:pPr>
        <w:ind w:left="920" w:hanging="264"/>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outside appearance, usefulness or rentability of the Building or any part thereof shall not be affected in any way;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part of the Building outside of the Premises shall be physically affected;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proper or economical functioning of the Building Equipment shall not be adversely affected;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performing the work involved in making such Improvements, Tenant shall be bound by and observe all of the terms of this Article;</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Tenant shall not use the elevators during business hours on business days for haulage or removal of materials or debris;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jc w:val="both"/>
        <w:ind w:firstLine="656"/>
        <w:spacing w:after="0" w:line="257" w:lineRule="auto"/>
        <w:tabs>
          <w:tab w:leader="none" w:pos="90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Before proceeding with any Improvements, Tenant shall submit to Landlord plans and specifications and all changes and revisions thereto, for the work to be done for Landlord's approval and Tenant shall, upon demand of Landlord, pay to Landlord the reasonable professional fees incurred by Landlord for the review of such plans and specifications and all changes and revisions thereto by its architect, engineer and other consultants. Landlord may as a condition of its approval require Tenant to make revisions in and to the plans and specifications and to post a bond or other security reasonably satisfactory to Landlord to insure the completion of such change;</w:t>
      </w:r>
    </w:p>
    <w:p>
      <w:pPr>
        <w:spacing w:after="0" w:line="188" w:lineRule="exact"/>
        <w:rPr>
          <w:rFonts w:ascii="Arial" w:cs="Arial" w:eastAsia="Arial" w:hAnsi="Arial"/>
          <w:sz w:val="18"/>
          <w:szCs w:val="18"/>
          <w:color w:val="auto"/>
        </w:rPr>
      </w:pPr>
    </w:p>
    <w:p>
      <w:pPr>
        <w:jc w:val="both"/>
        <w:ind w:firstLine="656"/>
        <w:spacing w:after="0" w:line="264" w:lineRule="auto"/>
        <w:tabs>
          <w:tab w:leader="none" w:pos="91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Tenant shall not be permitted to install and make part of the Premises any materials, fixtures or articles which are subject to liens, conditional sales contracts, chattel mortgages or security interests (as such term is defined in the Uniform Commercial Code as in effect in New York at the time of the making of the Improvement);</w:t>
      </w:r>
    </w:p>
    <w:p>
      <w:pPr>
        <w:spacing w:after="0" w:line="181" w:lineRule="exact"/>
        <w:rPr>
          <w:rFonts w:ascii="Arial" w:cs="Arial" w:eastAsia="Arial" w:hAnsi="Arial"/>
          <w:sz w:val="18"/>
          <w:szCs w:val="18"/>
          <w:color w:val="auto"/>
        </w:rPr>
      </w:pPr>
    </w:p>
    <w:p>
      <w:pPr>
        <w:jc w:val="both"/>
        <w:ind w:firstLine="656"/>
        <w:spacing w:after="0" w:line="291" w:lineRule="auto"/>
        <w:tabs>
          <w:tab w:leader="none" w:pos="9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No Improvements estimated to cost more than $50,000 (as estimated by Landlord's architect or licensed professional engineer or general contractor) shall be undertaken (i) except under the supervision of a licensed architect or licensed professional engineer reasonably satisfactory to Landlord,</w:t>
      </w:r>
    </w:p>
    <w:p>
      <w:pPr>
        <w:jc w:val="both"/>
        <w:ind w:firstLine="8"/>
        <w:spacing w:after="0" w:line="255" w:lineRule="auto"/>
        <w:tabs>
          <w:tab w:leader="none" w:pos="28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after at least 30 days' prior notice to Landlord and (iii) prior to Tenant delivering to Landlord either (y) a performance bond and a labor and materials payment bond (issued by a surety company satisfactory to Landlord and licensed to do business in New York State) or (z) such other security as shall be satisfactory to Landlord;</w:t>
      </w:r>
    </w:p>
    <w:p>
      <w:pPr>
        <w:spacing w:after="0" w:line="190" w:lineRule="exact"/>
        <w:rPr>
          <w:rFonts w:ascii="Arial" w:cs="Arial" w:eastAsia="Arial" w:hAnsi="Arial"/>
          <w:sz w:val="18"/>
          <w:szCs w:val="18"/>
          <w:color w:val="auto"/>
        </w:rPr>
      </w:pPr>
    </w:p>
    <w:p>
      <w:pPr>
        <w:ind w:left="880" w:hanging="224"/>
        <w:spacing w:after="0"/>
        <w:tabs>
          <w:tab w:leader="none" w:pos="8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sprinkler system design is not thereby modified, altered or changed;</w:t>
      </w:r>
    </w:p>
    <w:p>
      <w:pPr>
        <w:spacing w:after="0" w:line="225" w:lineRule="exact"/>
        <w:rPr>
          <w:rFonts w:ascii="Arial" w:cs="Arial" w:eastAsia="Arial" w:hAnsi="Arial"/>
          <w:sz w:val="18"/>
          <w:szCs w:val="18"/>
          <w:color w:val="auto"/>
        </w:rPr>
      </w:pPr>
    </w:p>
    <w:p>
      <w:pPr>
        <w:ind w:firstLine="656"/>
        <w:spacing w:after="0" w:line="277" w:lineRule="auto"/>
        <w:tabs>
          <w:tab w:leader="none" w:pos="90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Tenant shall not (i) attach or affix any screws or fasteners to the exterior curtainwall of the Building or (ii) install, without the written consent of Landlord, any materials that will come in contact with the exterior curtainwall of the Building; and</w:t>
      </w:r>
    </w:p>
    <w:p>
      <w:pPr>
        <w:spacing w:after="0" w:line="170" w:lineRule="exact"/>
        <w:rPr>
          <w:rFonts w:ascii="Arial" w:cs="Arial" w:eastAsia="Arial" w:hAnsi="Arial"/>
          <w:sz w:val="18"/>
          <w:szCs w:val="18"/>
          <w:color w:val="auto"/>
        </w:rPr>
      </w:pPr>
    </w:p>
    <w:p>
      <w:pPr>
        <w:ind w:firstLine="656"/>
        <w:spacing w:after="0" w:line="277" w:lineRule="auto"/>
        <w:tabs>
          <w:tab w:leader="none" w:pos="90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Upon termination of this Lease, Tenant shall, on Landlord's request, restore the Premises to their condition prior to the making of any Improvements by Tenant, reasonable wear and tear and damage insured by casualty excepted.</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10.02 </w:t>
      </w:r>
      <w:r>
        <w:rPr>
          <w:rFonts w:ascii="Arial" w:cs="Arial" w:eastAsia="Arial" w:hAnsi="Arial"/>
          <w:sz w:val="16"/>
          <w:szCs w:val="16"/>
          <w:color w:val="auto"/>
        </w:rPr>
        <w:t>All Improvements shall at all times comply with all Legal Requirements and Insurance Requirements and all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Landlord may adopt with respect to the making of Improvements) and shall be made at such times and in such manner as Landlord may from time to time reasonably designate. Tenant, at its expense, shall (a) obtain all necessary municipal and other governmental permits, authorizations, approvals and certificates for the commencement and prosecution of such improvements and for final approval thereof upon completion, (b) deliver copies thereof to Landlord and (c) cause all Improvements to be performed in a good and first-class workmanlike manner, using materials and equipment at least equal in quality to the original installations of the Building or the then standards for the Building established by Landlord. Improvements shall be promptly commenced and completed and shall be performed in such manner so as not to interfere with the occupancy of any other tenant nor delay or impose any additional expense upon Landlord in the construction, maintenance, cleaning, repair, safety, management, security or operation of the Building or the Building Equipment; and if any such additional expense shall be incurred by Landlord as a result of Tenant's performance of any Improvements, Tenant shall pay such additional expense as Additional Rent upon demand. Tenant shall furnish Landlord with satisfactory evidence that the insurance required during the performance of the Improvements pursuant to Article 8 is in effect at or before the commencement of the Improvements and, on request, at reasonable intervals thereafter. No Improvements shall involve the removal of any fixtures, equipment or other property in the Premises which are not Tenant's Property without Landlord's prior consent and unless they shall be promptly replaced, at Tenant's expense and free of superior title, liens, security interests and claims, with fixtures, equipment or other property, as the case may be, of like utility and at least equal value, unless Landlord shall otherwise consent. In addition to the foregoing, all Improvements shall be performed in compliance with all applicable provisions of this Lease, all building regulations and with all applicable laws, ordinances, directions, rules and regulations of governmental authorities having jurisdiction, including, without limitation, the Americans with Disabilities Act of 1990, as amended, New York City Local Law No. 5/73 and New York City Local Law No. 58/87 and similar present or future laws, and regulations issued pursuant thereto, and also New York City Local Law No. 76 and similar present or future laws, and regulations issued pursuant thereto, on abatement, storage, transportation and disposal of asbestos, which work, if required, shall be effected at Tenant's sole cost and expense, by contractors and consultants approved by Landlord and in strict compliance with the aforesaid rules and regulations and with Landlord's rules and regulations thereon. Within thirty (30) days after final completion of any Improvement, Tenant shall deliver to the Landlord final record drawings of the Improvement including, as may be pertinent to the work performed, a reflected ceiling plan, mechanical and electrical drawings, partition plan and any other drawings which may be required to indicate accurately the layout and systems of the Premises. Tenant shall require its architect to load and maintain such record plans on a CADD system.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10.03 </w:t>
      </w:r>
      <w:r>
        <w:rPr>
          <w:rFonts w:ascii="Arial" w:cs="Arial" w:eastAsia="Arial" w:hAnsi="Arial"/>
          <w:sz w:val="18"/>
          <w:szCs w:val="18"/>
          <w:color w:val="auto"/>
        </w:rPr>
        <w:t>Tenant, at its expense, shall promptly procure the cancellation or discharge of all notices of violation arising from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connected with Improvements which shall be issued by any public authority having or asserting jurisdiction.</w:t>
      </w:r>
    </w:p>
    <w:p>
      <w:pPr>
        <w:spacing w:after="0" w:line="1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10.04 </w:t>
      </w:r>
      <w:r>
        <w:rPr>
          <w:rFonts w:ascii="Arial" w:cs="Arial" w:eastAsia="Arial" w:hAnsi="Arial"/>
          <w:sz w:val="16"/>
          <w:szCs w:val="16"/>
          <w:color w:val="auto"/>
        </w:rPr>
        <w:t>Tenant shall promptly pay the cost of all Improvements. Tenant hereby indemnifies Landlord against liability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mechanic's and other liens filed in connection with any Improvements or repairs. Tenant, at its expense, shall procure the discharge of all such liens within 10 days after the filing of any such lien against the Premises or the Real Property. If Tenant shall fail to cause any such lien to be discharged within the period aforesaid, then, in addition to any other right or remedy, Landlord may, but shall not be obligated to, discharge the same either by paying the amount claimed to be due or by deposit or bonding proceedings, and in any such event Landlord shall be entitled, if it elects, to compel the prosecution of an action for the foreclosure of such lien and to pay the amount of the judgment in favor of the lienor with interest, costs and allowances. Any amount so paid by Landlord, and all costs and expenses incurred by Landlord in connection therewith, shall constitute Additional Rent and shall be paid by Tenant to Landlord on demand.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10.05 </w:t>
      </w:r>
      <w:r>
        <w:rPr>
          <w:rFonts w:ascii="Arial" w:cs="Arial" w:eastAsia="Arial" w:hAnsi="Arial"/>
          <w:sz w:val="18"/>
          <w:szCs w:val="18"/>
          <w:color w:val="auto"/>
        </w:rPr>
        <w:t>Only contractors reasonably approved by Landlord shall be permitted to act as a contractor for any work to be performed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Article.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10.06 </w:t>
      </w:r>
      <w:r>
        <w:rPr>
          <w:rFonts w:ascii="Arial" w:cs="Arial" w:eastAsia="Arial" w:hAnsi="Arial"/>
          <w:sz w:val="17"/>
          <w:szCs w:val="17"/>
          <w:color w:val="auto"/>
        </w:rPr>
        <w:t>Tenant agrees that it will not at any time prior to or during the Term, either directly or indirectly, employ or permit the employment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contractor, mechanic or laborer, or permit any materials in the Premises, if the use of such contractor, mechanic or laborer or such materials would, in Landlord's reasonable opinion, create any difficulty, strike or jurisdictional dispute with other contractors, mechanics or laborers engaged by Tenant or Landlord or others, or would in any way disturb the construction, maintenance, cleaning, repair, management, security or operation of the Building or any part thereof. In the event of any interference or conflict, Tenant, upon demand of Landlord, shall cause all contractors, mechanics or laborers, or all materials causing such interference, difficulty or conflict, to leave or be removed from the Building immediately.</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10.07 </w:t>
      </w:r>
      <w:r>
        <w:rPr>
          <w:rFonts w:ascii="Arial" w:cs="Arial" w:eastAsia="Arial" w:hAnsi="Arial"/>
          <w:sz w:val="18"/>
          <w:szCs w:val="18"/>
          <w:color w:val="auto"/>
        </w:rPr>
        <w:t>All fixtures, equipment, improvements and appurtenances attached to, or built into, the Premises at the commencement of or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(collectively "Fixtures"), whether or not at the expense of Tenant, shall be surrendered to Landlord upon the termination of this Lease except as otherwise expressly provided in this Lease; provided, however, that any Fixtures attached to, or built into, the Premises at the expense of Tenant shall be and remain the property of Tenant during the Term and any Fixtures attached to, or built into, the Premises at the expense of Landlord shall be and remain the property of Landlord during the Term. The Fixtures shall include all electrical, plumbing, heating and sprinkling equipment, fixtures, outlets, venetian blinds, partitions, railways, gates, doors, vaults, paneling, molding, shelving, radiator enclosures, cork, rubber, linoleum and composition floors, ventilating, silencing, air conditioning and cooling equipment, and all fixtures, equipment, improvements and appurtenances of a similar nature or purpose whether or not attached to or built into the Premises.</w:t>
      </w:r>
    </w:p>
    <w:p>
      <w:pPr>
        <w:spacing w:after="0" w:line="18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10.08 </w:t>
      </w:r>
      <w:r>
        <w:rPr>
          <w:rFonts w:ascii="Arial" w:cs="Arial" w:eastAsia="Arial" w:hAnsi="Arial"/>
          <w:sz w:val="16"/>
          <w:szCs w:val="16"/>
          <w:color w:val="auto"/>
        </w:rPr>
        <w:t>No approval of plans or specifications by Landlord or consent by Landlord allowing Tenant to make Improvements in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 any way be deemed to be an agreement by Landlord that the contemplated Improvements comply with any Legal Requirements or Insurance Requirements or the certificate of occupancy for the Building nor shall it be deemed to be a waiver by Landlord of the compliance by Tenant with any of the terms of this Lease. Notice is hereby given that neither Landlord, Landlord's agents, the Superior Lessor, the Superior Mortgagee nor the Fee Mortgagee shall be liable for any labor or materials furnished or to be furnished to Tenant upon credit, and that no mechanic's or other lien for such labor or materials shall attach to or affect any estate or interest of Landlord or the Superior Lessor, Superior Mortgagee or Fee Mortgagee in and to the Premises or the Real Property.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Repairs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11.01 </w:t>
      </w:r>
      <w:r>
        <w:rPr>
          <w:rFonts w:ascii="Arial" w:cs="Arial" w:eastAsia="Arial" w:hAnsi="Arial"/>
          <w:sz w:val="16"/>
          <w:szCs w:val="16"/>
          <w:color w:val="auto"/>
        </w:rPr>
        <w:t>Tenant, at its sole cost and expense, shall take good care of the Premises and Building Equipment therein and Tenant's Property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Fixtures. Tenant, at its sole cost and expense, shall make and be responsible for all repairs, interior or exterior, structural and otherwise, ordinary or extraordinary as and when needed to preserve the Premises and the Building Equipment therein and Tenant's Property and the Fixtures in good working order and condition, the need for which arises primarily and directly out of (a) the installation, use, existence or operation of Improvements, Tenant's Property or Fixtures, (b) the moving of Tenant's Property or Fixtures in or out of the Building or the Premises, (c) the acts, omissions, negligence or misuse of Tenant or any of its subtenants or any of its or their employees, agents, contractors, Licensees or invitees or their use or occupancy or manner of use or occupancy of the Premises otherwise than in accordance with the terms of this Lease (except fire or other casualty caused by Tenant's negligence, if the fire or other casualty insurance policies insuring Landlord are not invalidated and the rights of Landlord are not adversely affected by this provision) or (d) pursuant to the provisions of Section 9.01A, provided, however, that Landlord, at its option, may make any of the foregoing repairs (other than repairs to Tenant's Property) and in such event, Tenant shall pay to Landlord the cost thereof, as Additional Rent, on demand. In no event shall Tenant be required to make, be responsible for or pay for any repairs which are required as a result of the acts, omissions, negligence or willful misconduct of Landlord, its agents, other tenants, contractors or employees. Tenant, at its sole cost and expense, shall promptly replace scratched, damaged or broken doors and glass in and about the Premises and shall be responsible for all repairs and maintenance of wall and floor coverings in the Premises. Tenant shall promptly make, at its sole cost and expense, all repairs in or to the Premises for which it is primarily and directly responsible. If the Premises shall include any space on any ground, street, mezzanine or basement floor in the Building, Tenant, at its sole cost and expense, shall make all necessary repairs to all windows and other glass in, on or about such space and put, keep and maintain all portions of the Premises and any sidewalks, curbs, entranceways, passageways and vaults adjoining and/or appurtenant to the Premises in clean and orderly condition, free of dirt, rubbish, snow, ice and other accumulations and unlawful obstructions. All repairs made by or on behalf of Tenant or any person claiming through or under Tenant shall be made and performed in conformity with the provisions of Article 10, and shall be at least equal in quality and class to the original work or installation or the then standards for the Building established by Landlord.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1" w:name="page142"/>
    <w:bookmarkEnd w:id="141"/>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11.02 </w:t>
      </w:r>
      <w:r>
        <w:rPr>
          <w:rFonts w:ascii="Arial" w:cs="Arial" w:eastAsia="Arial" w:hAnsi="Arial"/>
          <w:sz w:val="16"/>
          <w:szCs w:val="16"/>
          <w:color w:val="auto"/>
        </w:rPr>
        <w:t>Landlord shall operate the Building as a first-class office building with retail stores. Landlord shall, at its expense, make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all necessary repairs to keep the Building in good order and repair excluding, however, (a) repairs of Tenant's Property or Improvements not occasioned by Landlord's acts, omissions, negligence or willful misconduct and (b) repairs which Tenant is obligated to make pursuant to Section 11.01 and the other terms of this Lease. Landlord shall, at Tenant's sole cost and expense, perform all maintenance and make all necessary repairs to the air conditioning equipment and any security systems or devices which may be installed in the Premises by Landlord, Tenant or others, except the building standard air conditioning system which (except as otherwise provided in Section 11.01) shall be maintained and repaired at Landlord's sole cost and expense. Nothing contained in this Section shall require Landlord to paint the Premises. No liability of Landlord to Tenant shall, however, accrue under this Section unless and until Tenant has given notice to Landlord of the specific repair required to be made, or of the failure properly to furnish any service.</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11.03 </w:t>
      </w:r>
      <w:r>
        <w:rPr>
          <w:rFonts w:ascii="Arial" w:cs="Arial" w:eastAsia="Arial" w:hAnsi="Arial"/>
          <w:sz w:val="18"/>
          <w:szCs w:val="18"/>
          <w:color w:val="auto"/>
        </w:rPr>
        <w:t>Tenant recognizes and acknowledges that the operation of the Building Equipment may cause vibration, noise, heat or cold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transmitted throughout the Premises. Landlord shall have no obligation to endeavor to reduce such vibration, noise, heat or cold beyond what is prevalent in the Building.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Heating, Ventilation and Air Conditioning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12.01 </w:t>
      </w:r>
      <w:r>
        <w:rPr>
          <w:rFonts w:ascii="Arial" w:cs="Arial" w:eastAsia="Arial" w:hAnsi="Arial"/>
          <w:sz w:val="16"/>
          <w:szCs w:val="16"/>
          <w:color w:val="auto"/>
        </w:rPr>
        <w:t>Landlord, at Landlord's expense (except as may be set forth in Article 13), shall furnish and distribute to the Premises,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heating, ventilating and air conditioning systems, heat, ventilating and air conditioning, as may be required for reasonably comfortable occupancy of the Premises from 8:00 A.M. to 6:00 P.M. ("business hours") on business days. Business days as used in this Lease shall mean all days except Saturdays, Sundays and the days observed by the Federal or the New York State or City governments as legal holidays and such other days as shall be designated as holidays by the applicable operating engineers union or building service employees union contract. Landlord and Tenant further agree to operate the heating, ventilating and air conditioning equipment in accordance with their design criteria unless a recognized energy or water conservation program, guidelines, regulations or recommendations promulgated by any Federal, State, City or other governmental or quasi-governmental bureau, board, department, agency, office, commission or other subdivision thereof or the American Society of Heating, Refrigeration and Air-Conditioning Engineers, Inc. or any successor thereto or other organization serving a similar function shall provide for any reduction in operations below said criteria in which case such equipment shall be operated so as to provide reduced service in accordance with such program, guidelines, regulations or recommendations.</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12.02 </w:t>
      </w:r>
      <w:r>
        <w:rPr>
          <w:rFonts w:ascii="Arial" w:cs="Arial" w:eastAsia="Arial" w:hAnsi="Arial"/>
          <w:sz w:val="18"/>
          <w:szCs w:val="18"/>
          <w:color w:val="auto"/>
        </w:rPr>
        <w:t>If Tenant shall require heating, ventilating or air conditioning service at any time other than during business hours on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("after hours"), Landlord shall furnish the same upon advance notice from Tenant given prior to 2:00 P.M. on the last business day to occur prior to such non-business day, and Tenant shall pay Landlord's then established charges therefor as Additional Rent on demand.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12.03 </w:t>
      </w:r>
      <w:r>
        <w:rPr>
          <w:rFonts w:ascii="Arial" w:cs="Arial" w:eastAsia="Arial" w:hAnsi="Arial"/>
          <w:sz w:val="16"/>
          <w:szCs w:val="16"/>
          <w:color w:val="auto"/>
        </w:rPr>
        <w:t>Tenant acknowledges that the Building has windows capable of being opened. However, Tenant covenants that no one shall open said</w:t>
      </w:r>
      <w:r>
        <w:rPr>
          <w:rFonts w:ascii="Arial" w:cs="Arial" w:eastAsia="Arial" w:hAnsi="Arial"/>
          <w:sz w:val="16"/>
          <w:szCs w:val="16"/>
          <w:b w:val="1"/>
          <w:bCs w:val="1"/>
          <w:color w:val="auto"/>
        </w:rPr>
        <w:t xml:space="preserve"> </w:t>
      </w:r>
      <w:r>
        <w:rPr>
          <w:rFonts w:ascii="Arial" w:cs="Arial" w:eastAsia="Arial" w:hAnsi="Arial"/>
          <w:sz w:val="16"/>
          <w:szCs w:val="16"/>
          <w:color w:val="auto"/>
        </w:rPr>
        <w:t>windows, nor shall Tenant permit the opening of said windows at any time by anyone for any reason, except in full compliance with the provisions of Section 37.01 of this Lease. As a result of the foregoing, Tenant acknowledges that the Premises may become uninhabitable during hours or days when Landlord is not required to furnish heat, ventilation or air conditioning pursuant to this Article 12. Any use or occupancy of the Premises during such hours or days when Landlord is not so required to furnish heating, ventilating or air conditioning shall be at the sole risk, responsibility and hazard of Tenant. Landlord shall have no liability to Tenant with respect to such condition of the Premises. In addition, Landlord shall not be responsible if the normal operation of the Building heating or ventilating system or the air conditioning system serving the Premises shall fail to provide such service in accordance with the requirements of this Lease in any portions of the Premises (a) which shall have an electrical load in excess of 3-1/2 watts per square foot of usable area for all purposes (including lighting and power), or which shall have a human occupancy factor in excess of one person per 100 square feet of usable area, or (b) because of any rearrangement of partitioning or other improvements. Tenant shall cooperate fully with Landlord at all times and abide by all regulations and requirements which Landlord may reasonably prescribe for the proper functioning and protection of the heating, ventilating and air conditioning systems.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Electricity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13.01 </w:t>
      </w:r>
      <w:r>
        <w:rPr>
          <w:rFonts w:ascii="Arial" w:cs="Arial" w:eastAsia="Arial" w:hAnsi="Arial"/>
          <w:sz w:val="16"/>
          <w:szCs w:val="16"/>
          <w:color w:val="auto"/>
        </w:rPr>
        <w:t>Landlord has installed in the Building and the Premises such electrical risers, feeders and wiring as shall be necessary to permit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electrical energy for (a) Tenant's reasonable use of normal office equipment and such lighting, electrical appliances and other machines and equipment as Landlord may reasonably permit to be installed in the Premises and (b) the operation of the heating, ventilating and air conditioning system</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serving the Premises. Landlord has installed, at Landlord's expense, a meter for the purpose of measuring electrical consumption 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floor of the Building ("Tenant's Floor"). Landlord shall maintain, service, repair and, if necessary, replace such meter. Tenant, upon demand by Landlord, shall pay to Landlord, as Additional Rent, an amount equal to 25.92% of the costs incurred by Landlord in connection with such maintenance, service, repair and replacement. Following the Commencement Date, Landlord shall have the right to cause an electrical engineer or a utility consultant selected by Landlord to make a survey of Tenant's connected power load and the connected power load of that portion of the rentable area of the Tenant's Floor not included within the Premises. Landlord, at Landlord's option, shall have the right, at any time and from time to time during the Term, to cause similar surveys to be made. The term "Tenant's Share" shall mean 25.92% or that percentage equal to Tenant's percentage of the aggregate of the connected power load for the entire rentable area of the Tenant's Floor as determined from time to time pursuant hereto, plus 5% of Tenant’s Share for Landlord administrative and overhead charges. The findings of Landlord's engineer or consultant shall be binding on Landlord and Tenant, subject to adjustment as hereinafter provided. Promptly after receipt by Landlord of a bill from the public utility company furnishing electrical energy to the Tenant's Floor, Landlord shall furnish to Tenant a copy thereof together with a request for payment to Landlord by Tenant of Tenant's Share of such bill. Tenant shall promptly pay to Landlord, as Additional Rent, Tenant's Share of such bill. In the event Tenant shall dispute any findings of the engineer or consultant designated by Landlord, Tenant may, within thirty (30) days of receiving notice of such findings, designate by notice to Landlord an independent electrical engineer or utility consultant to make, at Tenant's sole cost and expense, another determination of Tenant's connected power load. If the engineer or consultant selected by Tenant shall determine that Tenant's connected power load is less than as determined by Landlord's engineer or consultant and the two are unable to adjust such difference within twenty (20) days after the determination made by Tenant's engineer or consultant is delivered to Landlord, the dispute shall be resolved by arbitration in accordance with Article 28. Pending a final determination pursuant to such arbitration, however, Tenant shall pay Landlord for such electrical energy based on the determination of Landlord's engineer or consultant' and, if it is determined that Tenant has overpaid, Landlord shall reimburse Tenant for any overpayment at the conclusion of such arbitration. In any such arbitration, the arbitrator to be appointed shall be an electrical engineer having at least five (5) years' experience in similar matters in New York City. Landlord will permit electrical risers, feeders and wiring in the Building serving the Premises to be used by Tenant to the extent that they are available, suitable, safe and within the plan and design capacities for the Building.</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13.02 </w:t>
      </w:r>
      <w:r>
        <w:rPr>
          <w:rFonts w:ascii="Arial" w:cs="Arial" w:eastAsia="Arial" w:hAnsi="Arial"/>
          <w:sz w:val="18"/>
          <w:szCs w:val="18"/>
          <w:color w:val="auto"/>
        </w:rPr>
        <w:t>Tenant shall not, without the prior consent of Landlord, make or perform or permit any alteration to wiring installations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electrical facilities in or serving the Premises or any additions to the electrical fixtures, business machines or office equipment or appliances (other than typewriters and similar low energy consuming office machines) in the Premises which utilize electrical energy. Should Landlord grant such consent, all additional risers or other equipment required therefor shall be provided by Landlord and the cost thereof shall be paid by Tenant within 10 days after being billed therefor, provided that Landlord shall not be obligated to consent to any such alteration or installation if, in Landlord's judgment, the same or will cause permanent damage or injury to the Building or the Premises or will cause or create a hazardous condition or entail excessive or unreasonable alterations, repairs or expense or interfere with or disturb other tenants. Rigid conduit only will be allowed or such other wiring or conduit which will not violate any applicable Legal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3" w:name="page144"/>
    <w:bookmarkEnd w:id="143"/>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13.03 </w:t>
      </w:r>
      <w:r>
        <w:rPr>
          <w:rFonts w:ascii="Arial" w:cs="Arial" w:eastAsia="Arial" w:hAnsi="Arial"/>
          <w:sz w:val="17"/>
          <w:szCs w:val="17"/>
          <w:color w:val="auto"/>
        </w:rPr>
        <w:t>Landlord shall have no liability to Tenant for any loss, damage or expense which Tenant may sustain or incur by reason of any change,</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inadequacy or defect in the supply or character of the electrical energy furnished to the Premises or if the quantity or character of the electrical energy is no longer available or suitable for Tenant's requirements except for any actual damage suffered by Tenant by reason of any such failure, inadequacy or defect caused by Landlord's negligence, and then only after actual notice as provided in Section 11.02.</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13.04 </w:t>
      </w:r>
      <w:r>
        <w:rPr>
          <w:rFonts w:ascii="Arial" w:cs="Arial" w:eastAsia="Arial" w:hAnsi="Arial"/>
          <w:sz w:val="18"/>
          <w:szCs w:val="18"/>
          <w:color w:val="auto"/>
        </w:rPr>
        <w:t>Landlord shall furnish and install all lighting, tubes, lamps, starters, bulbs and ballasts required in the Premises and Tenant shall pay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its designated contractor the then established charges therefor as Additional Rent on demand, except that any such items installed at the commencement of the Term for building standard fixtures shall be at Landlord's sole cost and expense.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13.05 </w:t>
      </w:r>
      <w:r>
        <w:rPr>
          <w:rFonts w:ascii="Arial" w:cs="Arial" w:eastAsia="Arial" w:hAnsi="Arial"/>
          <w:sz w:val="18"/>
          <w:szCs w:val="18"/>
          <w:color w:val="auto"/>
        </w:rPr>
        <w:t>If pursuant to a Legal Requirement or the policies of the public utility company servicing the Building, Tenant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obtain electrical energy in the manner provided in Section 13.01, Landlord will furnish electrical energy to the Premises either, at Landlord's option, on a submetering basis or a rent inclusion basis. Landlord shall give Tenant notice at least 30 days prior to the date on which Landlord shall commence furnishing electrical energy to the Premises (unless such notice is not feasible under the circumstances, in which event Landlord will give Tenant such reasonable notice as is possible), which notice will set forth the method chosen by Landlord for furnishing electrical energy to the Premises and the terms on which Landlord will so furnish electrical energy.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Cleaning and Other Services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14.01 </w:t>
      </w:r>
      <w:r>
        <w:rPr>
          <w:rFonts w:ascii="Arial" w:cs="Arial" w:eastAsia="Arial" w:hAnsi="Arial"/>
          <w:sz w:val="16"/>
          <w:szCs w:val="16"/>
          <w:color w:val="auto"/>
        </w:rPr>
        <w:t>A. Provided this Lease is then in full force and effect, without any defaults by Tenant hereunder Landlord, at its expense, shall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including the windows thereof (subject to Tenant maintaining unrestricted access to such windows), but excluding any portions of the Premises used for the storage, preparation, service or consumption of food or beverages, to be cleaned, substantially in accordance with the standard set forth in Exhibit D. Tenant shall pay to Landlord as Additional Rent on demand Landlord's charges for (a) cleaning work in the Premises or the Building required because of</w:t>
      </w:r>
    </w:p>
    <w:p>
      <w:pPr>
        <w:spacing w:after="0" w:line="3" w:lineRule="exact"/>
        <w:rPr>
          <w:sz w:val="20"/>
          <w:szCs w:val="20"/>
          <w:color w:val="auto"/>
        </w:rPr>
      </w:pPr>
    </w:p>
    <w:p>
      <w:pPr>
        <w:jc w:val="both"/>
        <w:ind w:firstLine="8"/>
        <w:spacing w:after="0" w:line="285" w:lineRule="auto"/>
        <w:tabs>
          <w:tab w:leader="none" w:pos="23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misuse or neglect on the part of Tenant or its agents, employees, contractors, licensees or invitees, (ii) use of portions of the Premises for the storage, preparation, or consumption of food or beverages, reproduction, data processing or computer operations, private lavatories or toilets or other special purposes requiring greater or more difficult cleaning work than office areas, (iii) interior glass surfaces, (iv) non-Building Standard materials or finishes installed by Tenant or at its request, (v) increases in frequency or scope in any of the items set forth in Exhibit Das shall have been requested by Tenant, and (b) removal from the Premises and the Building of (i) so much refuse and rubbish of Tenant as shall exceed that normally accumulated in the daily routine of ordinary business office occupancy, and (ii) all of the refuse and rubbish of Tenant's machines and of any eating facilities requiring special handling and (c) material additional cleaning work in the Premises or the Building required because of the use of the Premises by Tenant after hours. Landlord and its cleaning contractor and their employees shall have access to the Premises at all times except between 8:00 A.M. and 5:30 P.M. on business days and, to the extent that it will not unreasonably interfere with the operation of Tenant's business, during business hours. Landlord and its cleaning contractor and their employees shall have the use of the Tenant's light, power and water in the Premises, without charge therefor, as may be reasonably required for the purpose of cleaning the Premises. If Tenant is permitted hereunder to and does have a separate area for the storage, preparation, service or consumption of food or beverages in the Premises, Tenant, at its sole cost and expense, shall cause all portions of the Premises so used to be cleaned periodically in a manner reasonably satisfactory to Landlord and to be exterminated regularly and, in addition, whenever there shall be evidence of any infestation.</w:t>
      </w:r>
    </w:p>
    <w:p>
      <w:pPr>
        <w:spacing w:after="0" w:line="170" w:lineRule="exact"/>
        <w:rPr>
          <w:rFonts w:ascii="Arial" w:cs="Arial" w:eastAsia="Arial" w:hAnsi="Arial"/>
          <w:sz w:val="16"/>
          <w:szCs w:val="16"/>
          <w:color w:val="auto"/>
        </w:rPr>
      </w:pPr>
    </w:p>
    <w:p>
      <w:pPr>
        <w:jc w:val="both"/>
        <w:ind w:firstLine="1780"/>
        <w:spacing w:after="0" w:line="286" w:lineRule="auto"/>
        <w:tabs>
          <w:tab w:leader="none" w:pos="201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cleaning services to be furnished by Landlord pursuant to this Section may be furnished by a contractor or contractors employed by Landlord and Tenant agrees that Landlord shall not be deemed in default of any of its obligations under this Section unless such default shall continue for an unreasonable period of time after notice from Tenant to Landlord setting forth the specific nature of such default.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4" w:name="page145"/>
    <w:bookmarkEnd w:id="144"/>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14.02 </w:t>
      </w:r>
      <w:r>
        <w:rPr>
          <w:rFonts w:ascii="Arial" w:cs="Arial" w:eastAsia="Arial" w:hAnsi="Arial"/>
          <w:sz w:val="16"/>
          <w:szCs w:val="16"/>
          <w:color w:val="auto"/>
        </w:rPr>
        <w:t>Landlord, at Landlord's expense, shall furnish necessary elevator service on business days during business hours and shall have an</w:t>
      </w:r>
      <w:r>
        <w:rPr>
          <w:rFonts w:ascii="Arial" w:cs="Arial" w:eastAsia="Arial" w:hAnsi="Arial"/>
          <w:sz w:val="16"/>
          <w:szCs w:val="16"/>
          <w:b w:val="1"/>
          <w:bCs w:val="1"/>
          <w:color w:val="auto"/>
        </w:rPr>
        <w:t xml:space="preserve"> </w:t>
      </w:r>
      <w:r>
        <w:rPr>
          <w:rFonts w:ascii="Arial" w:cs="Arial" w:eastAsia="Arial" w:hAnsi="Arial"/>
          <w:sz w:val="16"/>
          <w:szCs w:val="16"/>
          <w:color w:val="auto"/>
        </w:rPr>
        <w:t>elevator subject to call at all other times. Landlord shall not be required to furnish any operator service for automatic elevators. If Landlord shall, at any time, elect to furnish operator service for any automatic elevators, Landlord shall have the right to discontinue furnishing such service. In the event Tenant shall require the use of the Building's elevators for purposes not otherwise supplied by Landlord or after hours, Landlord shall provide a service elevator or passenger elevator, as the case may be, for the use of Tenant, provided that Tenant gives Landlord reasonable notice of the time and use of such elevators to be made by Tenant and Tenant pays Landlord's usual and reasonable charges for the use thereof as Additional Rent on demand, including, without limitation, any expense for operator service for such elevator which Landlord may deem necessary in connection with Tenant's use of such elevator. Landlord shall have the right to change the operation or manner of operating any of the elevators in the Building and shall have the right to discontinue, temporarily or permanently, the use of any one or more cars in any of the banks provided reasonable elevator service is provided to the Premises.</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14.03 </w:t>
      </w:r>
      <w:r>
        <w:rPr>
          <w:rFonts w:ascii="Arial" w:cs="Arial" w:eastAsia="Arial" w:hAnsi="Arial"/>
          <w:sz w:val="18"/>
          <w:szCs w:val="18"/>
          <w:color w:val="auto"/>
        </w:rPr>
        <w:t>Landlord shall supply reasonably adequate quantities of hot and cold water to a point or points in the Premises for ordinary lavatory,</w:t>
      </w:r>
      <w:r>
        <w:rPr>
          <w:rFonts w:ascii="Arial" w:cs="Arial" w:eastAsia="Arial" w:hAnsi="Arial"/>
          <w:sz w:val="18"/>
          <w:szCs w:val="18"/>
          <w:b w:val="1"/>
          <w:bCs w:val="1"/>
          <w:color w:val="auto"/>
        </w:rPr>
        <w:t xml:space="preserve"> </w:t>
      </w:r>
      <w:r>
        <w:rPr>
          <w:rFonts w:ascii="Arial" w:cs="Arial" w:eastAsia="Arial" w:hAnsi="Arial"/>
          <w:sz w:val="18"/>
          <w:szCs w:val="18"/>
          <w:color w:val="auto"/>
        </w:rPr>
        <w:t>cleaning and drinking purposes. If Tenant requires, uses or consumes water for any other purpose, Landlord may install a water meter and measure Tenant's consumption of water for all purposes. Tenant shall pay Landlord the cost of any such meter and its installation and the cost of keeping such meter and any such installation equipment in good working order and repair as Additional Rent on demand. Tenant agrees to pay for water consumed as shown on said meter and all sewer and any other rent, tax, levy or charge based thereon which now or hereafter is assessed, imposed or a lien upon the Premises or the Building, as and when bills are rendered.</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14.04 </w:t>
      </w:r>
      <w:r>
        <w:rPr>
          <w:rFonts w:ascii="Arial" w:cs="Arial" w:eastAsia="Arial" w:hAnsi="Arial"/>
          <w:sz w:val="16"/>
          <w:szCs w:val="16"/>
          <w:color w:val="auto"/>
        </w:rPr>
        <w:t>Landlord reserves the right to stop, interrupt or reduce service of the heating, ventilating or air conditioning systems, elevator,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electrical energy, or plumbing or any other service or systems, because of Force Majeure, Legal Requirements or Insurance Requirements or for repairs or improvements, which, in the judgment of Landlord, are desirable or necessary. Landlord shall have no liability to Tenant for failure to supply any such service or system during such period. Landlord agrees, however, to use its reasonable efforts so that any such repairs, alterations and improvements shall be made with a minimum amount of inconvenience to Tenant and that Landlord will diligently proceed therewith to completion, subject to Force Majeure.</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14.05 </w:t>
      </w:r>
      <w:r>
        <w:rPr>
          <w:rFonts w:ascii="Arial" w:cs="Arial" w:eastAsia="Arial" w:hAnsi="Arial"/>
          <w:sz w:val="18"/>
          <w:szCs w:val="18"/>
          <w:color w:val="auto"/>
        </w:rPr>
        <w:t>Tenant, its employees, or invitees may bring food or beverages into the Building for consumption within the Premises solely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its employees or invitees. In all events, all food and beverages shall be carried into the Building in closed containers.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14.06 </w:t>
      </w:r>
      <w:r>
        <w:rPr>
          <w:rFonts w:ascii="Arial" w:cs="Arial" w:eastAsia="Arial" w:hAnsi="Arial"/>
          <w:sz w:val="18"/>
          <w:szCs w:val="18"/>
          <w:color w:val="auto"/>
        </w:rPr>
        <w:t>In the event Landlord supplies Tenant with condenser water for use in any Tenant air conditioning system, Tenant shall pay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condenser water at Landlord’s standard charges for supplying the same.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Damage to or Destruction of the Premises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15.01 </w:t>
      </w:r>
      <w:r>
        <w:rPr>
          <w:rFonts w:ascii="Arial" w:cs="Arial" w:eastAsia="Arial" w:hAnsi="Arial"/>
          <w:sz w:val="17"/>
          <w:szCs w:val="17"/>
          <w:color w:val="auto"/>
        </w:rPr>
        <w:t>If the Premises or any part thereof shall be damaged or rendered Untenantable by fire or other insured casualty and Tenant gives</w:t>
      </w:r>
      <w:r>
        <w:rPr>
          <w:rFonts w:ascii="Arial" w:cs="Arial" w:eastAsia="Arial" w:hAnsi="Arial"/>
          <w:sz w:val="17"/>
          <w:szCs w:val="17"/>
          <w:b w:val="1"/>
          <w:bCs w:val="1"/>
          <w:color w:val="auto"/>
        </w:rPr>
        <w:t xml:space="preserve"> </w:t>
      </w:r>
      <w:r>
        <w:rPr>
          <w:rFonts w:ascii="Arial" w:cs="Arial" w:eastAsia="Arial" w:hAnsi="Arial"/>
          <w:sz w:val="17"/>
          <w:szCs w:val="17"/>
          <w:color w:val="auto"/>
        </w:rPr>
        <w:t>prompt notice thereof to Landlord and this Lease is not terminated pursuant to any provision of this Article, Landlord shall proceed, with reasonable diligence after the collection of the insurance proceeds attributable to such damage, to repair or cause to be repaired such damage to the Basic Construction of the Building. All other repairs required by reason of such casualty shall be performed by Tenant, at its sole cost and expense, promptly and with due diligence. Except as provided in Section 15.07, the rent shall be equitably abated to the extent that the Premises shall have been rendered Untenantable, such abatement to be from the date of such damage to the date the Premises shall no longer be Untenantable; provided, however, should Tenant reoccupy a portion of the Premises during the period the repair work is taking place and prior to the date the Premises are no longer Untenantable, the rent allocable to such reoccupied portion, based upon the proportion which the reoccupied portion of the Premises bears to the total area of the Premises, shall be payable by Tenant from the date of such occupancy.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5" w:name="page146"/>
    <w:bookmarkEnd w:id="145"/>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15.02 </w:t>
      </w:r>
      <w:r>
        <w:rPr>
          <w:rFonts w:ascii="Arial" w:cs="Arial" w:eastAsia="Arial" w:hAnsi="Arial"/>
          <w:sz w:val="18"/>
          <w:szCs w:val="18"/>
          <w:color w:val="auto"/>
        </w:rPr>
        <w:t>If the Premises shall be totally damaged or rendered wholly Untenantable by fire or other casualty, and Landlord has not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pursuant to Section 15.03 and Landlord has not completed the making of the required repairs to the Premises and access thereto within 9 months from the date of such damage or destruction and such additional time after such date (but in no event to exceed 3 months), as shall equal the aggregate period Landlord may have been delayed in doing so by Force Majeure or adjustment of insurance, Tenant, within 30 days after the date on which Landlord is required to complete the repairs pursuant to this Section, may serve notice on Landlord of its intention to terminate this Lease, and if within said 30 day period, Landlord shall not have substantially completed the making of the required repairs, this Lease shall terminate on the expiration of such 30 day period as if such termination date were the Expiration Date without prejudice, however, to Landlord's or Tenant’s other rights and remedies under the terms of this Lease.</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15.03 </w:t>
      </w:r>
      <w:r>
        <w:rPr>
          <w:rFonts w:ascii="Arial" w:cs="Arial" w:eastAsia="Arial" w:hAnsi="Arial"/>
          <w:sz w:val="16"/>
          <w:szCs w:val="16"/>
          <w:color w:val="auto"/>
        </w:rPr>
        <w:t>If the Premises shall be totally destroyed or rendered wholly Untenantable by fire or other casualty or if the Building shall be so</w:t>
      </w:r>
      <w:r>
        <w:rPr>
          <w:rFonts w:ascii="Arial" w:cs="Arial" w:eastAsia="Arial" w:hAnsi="Arial"/>
          <w:sz w:val="16"/>
          <w:szCs w:val="16"/>
          <w:b w:val="1"/>
          <w:bCs w:val="1"/>
          <w:color w:val="auto"/>
        </w:rPr>
        <w:t xml:space="preserve"> </w:t>
      </w:r>
      <w:r>
        <w:rPr>
          <w:rFonts w:ascii="Arial" w:cs="Arial" w:eastAsia="Arial" w:hAnsi="Arial"/>
          <w:sz w:val="16"/>
          <w:szCs w:val="16"/>
          <w:color w:val="auto"/>
        </w:rPr>
        <w:t>damaged by fire or other casualty that substantial alteration or reconstruction of the Building shall, in Landlord's sole opinion, be required (whether or not the Premises shall have been damaged by such fire or other casualty), then in any such event Landlord may, at its option, terminate this Lease, by giving Tenant 30 days' notice of such termination, within 120 days after the date of such fire or other casualty. In the event that such notice of termination shall be given, this Lease shall terminate as of the date provided in such notice of termination (whether or not the Term shall have commenced) with the same affect as if that date were the Expiration Date without prejudice, however, to Landlord's or Tenant’s rights and remedies under the terms of this Lease. If, at any time prior to Landlord giving Tenant the aforesaid notice of termination or commencing the repair pursuant to Section 15.01, there shall be a Successor Landlord, such Successor Landlord shall have a further period of 60 days from the date of so taking possession to terminate this Lease by 30 days' notice to Tenant and in the event that such a notice of termination shall be given, this Lease shall terminate as of the date provided in such 30 day notice of termination (whether or not the Term shall have commenced) with the same effect as if that date were the Expiration Date without prejudice, however, to Landlord's (or Successor Landlord's) or Tenant’s rights and remedies under the terms of this Lease.</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15.04 </w:t>
      </w:r>
      <w:r>
        <w:rPr>
          <w:rFonts w:ascii="Arial" w:cs="Arial" w:eastAsia="Arial" w:hAnsi="Arial"/>
          <w:sz w:val="18"/>
          <w:szCs w:val="18"/>
          <w:color w:val="auto"/>
        </w:rPr>
        <w:t>Landlord shall not be liable for any inconvenience or annoyance to Tenant or injury to the business of Tenant resulting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such damage by fire or other casualty or the repair thereof, except to the extent such fire or other casualty was caused by Landlord’s negligence or willful misconduct. Landlord shall not be obligated to carry insurance of any kind on Tenant's Property or any improvements made at Tenant's sole cost and expense, and Landlord shall not be obligated to repair any damage thereto or replace the same, except to the extent such fire or other casualty was caused by Landlord’s negligence or willful misconduct.</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15.05 </w:t>
      </w:r>
      <w:r>
        <w:rPr>
          <w:rFonts w:ascii="Arial" w:cs="Arial" w:eastAsia="Arial" w:hAnsi="Arial"/>
          <w:sz w:val="17"/>
          <w:szCs w:val="17"/>
          <w:color w:val="auto"/>
        </w:rPr>
        <w:t>Except as expressly provided in Article 8, nothing herein contained shall relieve Tenant from any liability to Landlord or to its insurers</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any damage to the Premises or the Building by fire or other casualty if Tenant shall be legally liable in such respect.</w:t>
      </w:r>
    </w:p>
    <w:p>
      <w:pPr>
        <w:spacing w:after="0" w:line="1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15.06 </w:t>
      </w:r>
      <w:r>
        <w:rPr>
          <w:rFonts w:ascii="Arial" w:cs="Arial" w:eastAsia="Arial" w:hAnsi="Arial"/>
          <w:sz w:val="17"/>
          <w:szCs w:val="17"/>
          <w:color w:val="auto"/>
        </w:rPr>
        <w:t>This Article shall be considered an express agreement governing any case of damage to or destruction of the Building or any part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by fire or other casualty, and Section 227 of the Real Property Law of the State of New York providing for such a contingency in the absence of such express agreement, and any other law of like import now or hereafter enacted, shall have no application in such case.</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15.07 </w:t>
      </w:r>
      <w:r>
        <w:rPr>
          <w:rFonts w:ascii="Arial" w:cs="Arial" w:eastAsia="Arial" w:hAnsi="Arial"/>
          <w:sz w:val="18"/>
          <w:szCs w:val="18"/>
          <w:color w:val="auto"/>
        </w:rPr>
        <w:t>Notwithstanding any of the foregoing provisions of this Article, if, by reason of some action or inaction on the part of Tenant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employees, agents, licensees or contractors, either (a) Landlord or the Superior Lessor, the Superior Mortgagee or the Fee Mortgagee shall be unable to collect all of the insurance proceeds (including rent insurance proceeds) applicable to damage or destruction of the Premises or the Building by fire or other casualty or (b) the Premises or the Building shall be damaged or destroyed or rendered completely or partially Untenantable on account of fire or other casualty then, without prejudice to any other remedy which may be available against Tenant, the abatement of rent provided for in this Article shall not be effective to the extent of the uncollected insurance proceeds.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Eminent Domain</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16.01 </w:t>
      </w:r>
      <w:r>
        <w:rPr>
          <w:rFonts w:ascii="Arial" w:cs="Arial" w:eastAsia="Arial" w:hAnsi="Arial"/>
          <w:sz w:val="16"/>
          <w:szCs w:val="16"/>
          <w:color w:val="auto"/>
        </w:rPr>
        <w:t>If the whole or any substantial part of the Premises shall be acquired or condemned by Eminent Domain for any public or quasi public</w:t>
      </w:r>
      <w:r>
        <w:rPr>
          <w:rFonts w:ascii="Arial" w:cs="Arial" w:eastAsia="Arial" w:hAnsi="Arial"/>
          <w:sz w:val="16"/>
          <w:szCs w:val="16"/>
          <w:b w:val="1"/>
          <w:bCs w:val="1"/>
          <w:color w:val="auto"/>
        </w:rPr>
        <w:t xml:space="preserve"> </w:t>
      </w:r>
      <w:r>
        <w:rPr>
          <w:rFonts w:ascii="Arial" w:cs="Arial" w:eastAsia="Arial" w:hAnsi="Arial"/>
          <w:sz w:val="16"/>
          <w:szCs w:val="16"/>
          <w:color w:val="auto"/>
        </w:rPr>
        <w:t>use or purpose, then and in that event, the term of this Lease shall cease and terminate from the date of title vesting in such proceeding and Tenant shall have no claim for the value of any unexpired term of the Lease and assigns to Landlord, Tenant's entire interest in any such award. If less than a substantial part of the Premises is condemned, this Lease shall not terminate, but Rent shall abate in proportion to the portion of the Premises condemned.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ARTICLE 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of Limitation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17.01 </w:t>
      </w:r>
      <w:r>
        <w:rPr>
          <w:rFonts w:ascii="Arial" w:cs="Arial" w:eastAsia="Arial" w:hAnsi="Arial"/>
          <w:sz w:val="16"/>
          <w:szCs w:val="16"/>
          <w:color w:val="auto"/>
        </w:rPr>
        <w:t>To the extent permitted by applicable law this Lease and the term and estate hereby granted are subject to the limitation that 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make an assignment of the property of Tenant for the benefit of creditors, or shall file a voluntary petition under any bankruptcy or insolvency law, or an involuntary petition alleging an act of bankruptcy or insolvency shall be filed against Tenant under any bankruptcy or insolvency law, or whenever a petition shall be filed or against Tenant under the reorganization provisions of the United States Bankruptcy Act or under the provisions of any law of like import, or whenever a petition shall be filed by Tenant under the arrangement provisions of the United States Bankruptcy Act or under the provisions of any law of like import, or whenever a permanent receiver of Tenant or of or for the property of Tenant shall be appointed, provided that any such case is not dismissed, discharged or denied within one hundred twenty (120) days of the filing thereof, then, Landlord, (a) at any time after receipt of notice of the occurrence of any such event, or (b) if such event occurs without the acquiescence of Tenant, at any time after the event continues for ninety (90) days Landlord may give Tenant a notice of intention to end the term of this Lease at the expiration of five (5) days from the date of service of such notice of intention, and upon the expiration of said five (5) day period this Lease and the term and estate hereby granted, whether or not the term shall theretofore have commenced, shall terminate with the same effect as if that day were the Expiration Date, but Tenant shall remain liable for damages as provided in Article 18.</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17.02 </w:t>
      </w:r>
      <w:r>
        <w:rPr>
          <w:rFonts w:ascii="Arial" w:cs="Arial" w:eastAsia="Arial" w:hAnsi="Arial"/>
          <w:sz w:val="18"/>
          <w:szCs w:val="18"/>
          <w:color w:val="auto"/>
        </w:rPr>
        <w:t>This Lease and the Term and estate hereby granted are subject to the limitations that:</w:t>
      </w:r>
    </w:p>
    <w:p>
      <w:pPr>
        <w:spacing w:after="0" w:line="229" w:lineRule="exact"/>
        <w:rPr>
          <w:sz w:val="20"/>
          <w:szCs w:val="20"/>
          <w:color w:val="auto"/>
        </w:rPr>
      </w:pPr>
    </w:p>
    <w:p>
      <w:pPr>
        <w:ind w:firstLine="708"/>
        <w:spacing w:after="0" w:line="277" w:lineRule="auto"/>
        <w:tabs>
          <w:tab w:leader="none" w:pos="9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Tenant shall default in the payment when due of any installment of Fixed Rent or in the payment when due of any Additional Rent, and such default shall continue for a period of 5 business days after notice by Landlord to Tenant of such default; or</w:t>
      </w:r>
    </w:p>
    <w:p>
      <w:pPr>
        <w:spacing w:after="0" w:line="170" w:lineRule="exact"/>
        <w:rPr>
          <w:rFonts w:ascii="Arial" w:cs="Arial" w:eastAsia="Arial" w:hAnsi="Arial"/>
          <w:sz w:val="18"/>
          <w:szCs w:val="18"/>
          <w:color w:val="auto"/>
        </w:rPr>
      </w:pPr>
    </w:p>
    <w:p>
      <w:pPr>
        <w:jc w:val="both"/>
        <w:ind w:firstLine="707"/>
        <w:spacing w:after="0" w:line="272" w:lineRule="auto"/>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Tenant shall default in the performance of any term of this Lease on Tenant's part to be performed (other than the payment of Fixed Rent and Additional Rent) and Tenant shall fail to remedy such default within 30 days after notice by Landlord to Tenant of such default, or if such default is of such a nature that it cannot be completely remedied within said period of 30 days if Tenant shall not (x) promptly upon the giving by Landlord of such notice, advise Landlord of Tenant's intention to institute all steps necessary to remedy such situation, (y) promptly institute and thereafter diligently prosecute to completion all steps necessary to remedy the same, and (z) complete such remedy within a reasonable time after the date of the giving of said notice by Landlord; and in any event prior to such time as would either (i) subject Landlord, Landlord's agents, the Superior Lessor, the Superior Mortgagee or the Fee Mortgagee to prosecution for a crime or (ii) cause a default under the Superior Lease or the Superior Mortgage; or</w:t>
      </w:r>
    </w:p>
    <w:p>
      <w:pPr>
        <w:spacing w:after="0" w:line="177" w:lineRule="exact"/>
        <w:rPr>
          <w:rFonts w:ascii="Arial" w:cs="Arial" w:eastAsia="Arial" w:hAnsi="Arial"/>
          <w:sz w:val="17"/>
          <w:szCs w:val="17"/>
          <w:color w:val="auto"/>
        </w:rPr>
      </w:pPr>
    </w:p>
    <w:p>
      <w:pPr>
        <w:jc w:val="both"/>
        <w:ind w:firstLine="722"/>
        <w:spacing w:after="0" w:line="290" w:lineRule="auto"/>
        <w:tabs>
          <w:tab w:leader="none" w:pos="98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any financial statement or other financial information furnished by Tenant or Guarantor pursuant to the provisions of this Lease or at the request of Landlord (including credit bureau reports or statements) shall evidence or disclose either net worth or net assets of Tenant or Guarantor at least 50% less than the net worth or net assets, as the case may be, shown in either the immediately prior financial statement or in the financial statement furnished at the time of execution of this Lease of Tenant or Guarantor, as the case may be, and Tenant fails to furnish to Landlord promptly after notice from Landlord to Tenant requesting it, an additional security deposit in cash (or other security acceptable to Landlord in its sole discretion) equivalent to the aggregate of the Fixed Rent and Additional Rent payable hereunder for the 3 full calendar months immediately preceding such notice, which security shall be held by Landlord pursuant to the terms of Article 36 until Tenant or Guarantor, as the case may be, shall furnish 2 succeeding annual financial statements to Landlord evidencing increases of not less than 25% over each prior statement of Tenant and Guarantor, as the case may be, in both net worth and net assets; or</w:t>
      </w:r>
    </w:p>
    <w:p>
      <w:pPr>
        <w:spacing w:after="0" w:line="166" w:lineRule="exact"/>
        <w:rPr>
          <w:rFonts w:ascii="Arial" w:cs="Arial" w:eastAsia="Arial" w:hAnsi="Arial"/>
          <w:sz w:val="16"/>
          <w:szCs w:val="16"/>
          <w:color w:val="auto"/>
        </w:rPr>
      </w:pPr>
    </w:p>
    <w:p>
      <w:pPr>
        <w:ind w:firstLine="717"/>
        <w:spacing w:after="0" w:line="342" w:lineRule="auto"/>
        <w:tabs>
          <w:tab w:leader="none" w:pos="98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any event shall occur or any contingency shall arise whereby this Lease or the estate hereby granted or the unexpired balance of the Term would, by operation of law or otherwise, devolve upon or pass to any person other than Tenant except as is expressly permitted under Article 22; or</w:t>
      </w:r>
    </w:p>
    <w:p>
      <w:pPr>
        <w:spacing w:after="0" w:line="123" w:lineRule="exact"/>
        <w:rPr>
          <w:rFonts w:ascii="Arial" w:cs="Arial" w:eastAsia="Arial" w:hAnsi="Arial"/>
          <w:sz w:val="16"/>
          <w:szCs w:val="16"/>
          <w:color w:val="auto"/>
        </w:rPr>
      </w:pPr>
    </w:p>
    <w:p>
      <w:pPr>
        <w:ind w:left="940" w:hanging="239"/>
        <w:spacing w:after="0"/>
        <w:tabs>
          <w:tab w:leader="none" w:pos="9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the Premises shall become abandoned (unless as a result of a casualty); or</w:t>
      </w:r>
    </w:p>
    <w:p>
      <w:pPr>
        <w:spacing w:after="0" w:line="225" w:lineRule="exact"/>
        <w:rPr>
          <w:rFonts w:ascii="Arial" w:cs="Arial" w:eastAsia="Arial" w:hAnsi="Arial"/>
          <w:sz w:val="18"/>
          <w:szCs w:val="18"/>
          <w:color w:val="auto"/>
        </w:rPr>
      </w:pPr>
    </w:p>
    <w:p>
      <w:pPr>
        <w:jc w:val="both"/>
        <w:ind w:firstLine="706"/>
        <w:spacing w:after="0" w:line="264" w:lineRule="auto"/>
        <w:tabs>
          <w:tab w:leader="none" w:pos="92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Tenant shall default in the performance of any term, covenant, agreement or condition on Tenant's part to be observed or performed under any other lease with Landlord of space in the Building and such default shall continue beyond the grace period, if any, set forth in such other lease for the remedying of such default,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in any of said events Landlord may give to Tenant notice of intention to terminate this Lease to end the Term and the estate hereby granted at the expiration of 5 days from the date of the giving of such notice, and, in the event such notice is given, this Lease and the Term and estate hereby granted (whether or not the Term shall have commenced) shall terminate upon the expiration of said 5 days with the same effect as if that day were the Expiration Date, but Tenant shall remain liable for damages as provided in Article 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7" w:name="page148"/>
    <w:bookmarkEnd w:id="147"/>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17.03 </w:t>
      </w:r>
      <w:r>
        <w:rPr>
          <w:rFonts w:ascii="Arial" w:cs="Arial" w:eastAsia="Arial" w:hAnsi="Arial"/>
          <w:sz w:val="18"/>
          <w:szCs w:val="18"/>
          <w:color w:val="auto"/>
        </w:rPr>
        <w:t>If the notice provided for in Section 17.01 shall have been given and this Lease shall be terminated or if the Premises shall be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abandoned, then, in any such event, Landlord may without notice terminate all services.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Re-Entry by Landlord;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18.01 </w:t>
      </w:r>
      <w:r>
        <w:rPr>
          <w:rFonts w:ascii="Arial" w:cs="Arial" w:eastAsia="Arial" w:hAnsi="Arial"/>
          <w:sz w:val="18"/>
          <w:szCs w:val="18"/>
          <w:color w:val="auto"/>
        </w:rPr>
        <w:t>A. If Tenant shall default in the payment when due of any installment of Fixed Rent or in the payment when due of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Rent and such default shall continue for a period of 5 business days after notice from Landlord to Tenant of such default or if this Lease and the Term shall terminate as provided in Article 17:</w:t>
      </w:r>
    </w:p>
    <w:p>
      <w:pPr>
        <w:spacing w:after="0" w:line="180" w:lineRule="exact"/>
        <w:rPr>
          <w:sz w:val="20"/>
          <w:szCs w:val="20"/>
          <w:color w:val="auto"/>
        </w:rPr>
      </w:pPr>
    </w:p>
    <w:p>
      <w:pPr>
        <w:jc w:val="both"/>
        <w:ind w:firstLine="713"/>
        <w:spacing w:after="0" w:line="297" w:lineRule="auto"/>
        <w:tabs>
          <w:tab w:leader="none" w:pos="9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Landlord and Landlord's agents may immediately, or at any time after such default or after the date upon which this Lease and the Term shall terminate, re-enter the Premises or any part thereof, without notice, either by summary proceedings or by any other applicable action or proceeding, or by force or otherwise (without being liable to indictment, prosecution or damages thereof), and may repossess the Premises and dispossess Tenant and any other persons from the Premises and remove any and all of its or their property and effects from the Premises, without liability for damage thereto, to the end that Landlord may have, hold and enjoy the Premises and in no event shall reentry be deemed an acceptance of surrender of this Lease; and</w:t>
      </w:r>
    </w:p>
    <w:p>
      <w:pPr>
        <w:spacing w:after="0" w:line="158" w:lineRule="exact"/>
        <w:rPr>
          <w:rFonts w:ascii="Arial" w:cs="Arial" w:eastAsia="Arial" w:hAnsi="Arial"/>
          <w:sz w:val="16"/>
          <w:szCs w:val="16"/>
          <w:color w:val="auto"/>
        </w:rPr>
      </w:pPr>
    </w:p>
    <w:p>
      <w:pPr>
        <w:jc w:val="both"/>
        <w:ind w:firstLine="702"/>
        <w:spacing w:after="0" w:line="253" w:lineRule="auto"/>
        <w:tabs>
          <w:tab w:leader="none" w:pos="9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Landlord, at its option, may relet the whole or any part or parts of the Premises from time to time, either in the name of Landlord or otherwise, to such tenant or tenants, for such term or terms ending before, on or after the Expiration Date, at such rental or rentals and upon such other terms and conditions, which may include concessions and free rent periods, as Landlord, in its sole discretion, may determine. Landlord shall use reasonable efforts, but shall have no absolute obligation to relet the Premises or any part thereof and shall in no event be liable for refusal or failure to relet the Premises or any part thereof, or, in the event of such reletting, for reasonable refusal or failure to collect any rent upon any such reletting, and no such reasonable refusal or failure shall operate to relieve Tenant of any liability under this Lease or otherwise to affect any such liability. Landlord, at Landlord's option, may make such repairs, improvement, alterations, additions, decorations and other physical changes in and to the Premises as Landlord, in its sole discretion, considers advisable or necessary in connection with any such reletting or proposed reletting, without relieving Tenant of any liability under this Lease or otherwise affecting any such liability.</w:t>
      </w:r>
    </w:p>
    <w:p>
      <w:pPr>
        <w:spacing w:after="0" w:line="197" w:lineRule="exact"/>
        <w:rPr>
          <w:rFonts w:ascii="Arial" w:cs="Arial" w:eastAsia="Arial" w:hAnsi="Arial"/>
          <w:sz w:val="18"/>
          <w:szCs w:val="18"/>
          <w:color w:val="auto"/>
        </w:rPr>
      </w:pPr>
    </w:p>
    <w:p>
      <w:pPr>
        <w:jc w:val="both"/>
        <w:ind w:right="20" w:firstLine="1629"/>
        <w:spacing w:after="0" w:line="286" w:lineRule="auto"/>
        <w:tabs>
          <w:tab w:leader="none" w:pos="184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No such re-entry or taking possession of the Premises by Landlord shall be construed as an election by Landlord to terminate this Lease, unless Landlord gives written notice to Tenant of such election. In the event Landlord relets the whole or any part or parts of the Premises pursuant to this Article 18 without terminating this Lease, Landlord may at any time thereafter elect to terminate this Lease for such previous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18.02 </w:t>
      </w:r>
      <w:r>
        <w:rPr>
          <w:rFonts w:ascii="Arial" w:cs="Arial" w:eastAsia="Arial" w:hAnsi="Arial"/>
          <w:sz w:val="18"/>
          <w:szCs w:val="18"/>
          <w:color w:val="auto"/>
        </w:rPr>
        <w:t>Intentionally Deleted.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18.03 </w:t>
      </w:r>
      <w:r>
        <w:rPr>
          <w:rFonts w:ascii="Arial" w:cs="Arial" w:eastAsia="Arial" w:hAnsi="Arial"/>
          <w:sz w:val="18"/>
          <w:szCs w:val="18"/>
          <w:color w:val="auto"/>
        </w:rPr>
        <w:t>In the event of any breach by Tenant or any person claiming through or under Tenant of any of the terms of this Lease,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seek to enjoin such breach or threatened breach and shall have the right to invoke any right allowed at law or in equity, by statute or otherwise, as if re-entry, summary proceedings or other specific remedies were not provided for in this Lease.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18.04 </w:t>
      </w:r>
      <w:r>
        <w:rPr>
          <w:rFonts w:ascii="Arial" w:cs="Arial" w:eastAsia="Arial" w:hAnsi="Arial"/>
          <w:sz w:val="18"/>
          <w:szCs w:val="18"/>
          <w:color w:val="auto"/>
        </w:rPr>
        <w:t>If this Lease is terminated under the provisions of Article 17, or if Landlord shall re-enter the Premises, or in the event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lease, or of re-entry, by or under any summary dispossess or other proceeding or action or any provision of law by reason of default hereunder on the part of Tenant, Tenant shall pay to Landlord as damages, at the election of Landlord, either:</w:t>
      </w:r>
    </w:p>
    <w:p>
      <w:pPr>
        <w:spacing w:after="0" w:line="180" w:lineRule="exact"/>
        <w:rPr>
          <w:sz w:val="20"/>
          <w:szCs w:val="20"/>
          <w:color w:val="auto"/>
        </w:rPr>
      </w:pPr>
    </w:p>
    <w:p>
      <w:pPr>
        <w:ind w:firstLine="757"/>
        <w:spacing w:after="0" w:line="277" w:lineRule="auto"/>
        <w:tabs>
          <w:tab w:leader="none" w:pos="120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sum which at the time of such termination of this Lease or at the time of any such re-entry by Landlord, as the case may be, represents the then value of the excess, if any, of:</w:t>
      </w:r>
    </w:p>
    <w:p>
      <w:pPr>
        <w:spacing w:after="0" w:line="170" w:lineRule="exact"/>
        <w:rPr>
          <w:rFonts w:ascii="Arial" w:cs="Arial" w:eastAsia="Arial" w:hAnsi="Arial"/>
          <w:sz w:val="18"/>
          <w:szCs w:val="18"/>
          <w:color w:val="auto"/>
        </w:rPr>
      </w:pPr>
    </w:p>
    <w:p>
      <w:pPr>
        <w:jc w:val="both"/>
        <w:ind w:firstLine="707"/>
        <w:spacing w:after="0" w:line="259" w:lineRule="auto"/>
        <w:tabs>
          <w:tab w:leader="none" w:pos="9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aggregate of the Fixed Rent and the Additional Rent payable hereunder which would have been payable by Tenant (conclusively presuming the Additional Rent to be the same as was payable for the year immediately preceding such termination) for the period commencing with such earlier termination of this Lease or the date of any such re-entry, as the case may be, and ending with the Expiration Date, had this lease not so terminated or had Landlord not so re-entered the Premises for the same period; over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8" w:name="page149"/>
    <w:bookmarkEnd w:id="148"/>
    <w:p>
      <w:pPr>
        <w:ind w:left="1180" w:hanging="479"/>
        <w:spacing w:after="0"/>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aggregate rental value of the Premises for the same period; or</w:t>
      </w:r>
    </w:p>
    <w:p>
      <w:pPr>
        <w:spacing w:after="0" w:line="225" w:lineRule="exact"/>
        <w:rPr>
          <w:rFonts w:ascii="Arial" w:cs="Arial" w:eastAsia="Arial" w:hAnsi="Arial"/>
          <w:sz w:val="18"/>
          <w:szCs w:val="18"/>
          <w:color w:val="auto"/>
        </w:rPr>
      </w:pPr>
    </w:p>
    <w:p>
      <w:pPr>
        <w:jc w:val="both"/>
        <w:ind w:firstLine="703"/>
        <w:spacing w:after="0" w:line="269" w:lineRule="auto"/>
        <w:tabs>
          <w:tab w:leader="none" w:pos="1186"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sums equal to the Fixed Rent and the Additional Rent (as above presumed) payable hereunder which would have been payable by Tenant had this Lease not so terminated, or had Landlord not so re-entered the Premises, payable upon the due dates therefor specified herein following such termination or such re-entry and until the Expiration Date, provided, however, that if Landlord shall relet the Premises during said period,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or in re-entering the Premises and in securing possession thereof, as well as the expenses of reletting, including altering and preparing the Premises for new tenants, brokers' commissions, and all other expenses properly chargeable against the Premises and the rental therefrom; it being understood that any such reletting may be for a period shorter or longer than the remaining term of this Lease; but in no event shall Tenant be entitled to receive any excess of such net rents over the sums payable by Tenant to Landlord hereunder, nor shall Tenant be entitled in any suit for the collection of damages pursuant to this Subsection to a credit in respect of any net rents from a reletting, except to the extent that such net rents are actually received by Landlord. If the Premises or any part thereof should be relet in combination with other space, then proper apportionment on a square foot basis (for equivalent space) shall be made of the rent received from such reletting and of the expenses of reletting.</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the Premises or any part thereof be relet by Landlord for the unexpired portion of the term of this Lease, or any part thereof, before presentation of proof of such damages to any court, commission or tribunal, the amount of rent reserved upon any reletting to a third party that is not, directly or indirectly, affiliated with or related to Landlord shall, prima facie, be the fair and reasonable rental value for the Premises, or part thereof, so relet during the term of the reletting.</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18.05 </w:t>
      </w:r>
      <w:r>
        <w:rPr>
          <w:rFonts w:ascii="Arial" w:cs="Arial" w:eastAsia="Arial" w:hAnsi="Arial"/>
          <w:sz w:val="18"/>
          <w:szCs w:val="18"/>
          <w:color w:val="auto"/>
        </w:rPr>
        <w:t>Suit or suits for the recovery of such damages, or any installments thereof, may be brought by Landlord from time to time at its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nothing contained herein shall be deemed to require Landlord to postpone suit until the date when the term of this Lease would have expired if it had not been so terminated under the provisions of Article 17, or under any provision of law, or had Landlord not re-entered the Premises. Nothing herein contained shall be construed to limit or preclude recovery by Landlord against Tenant of any sums or damages to which, in addition to the damages particularly provided above, Landlord may lawfully be entitled by reason of any default hereunder on the part of Tenant. Nothing herein contained shall be construed to limit or prejudice the right of Landlord to prove for and obtain as liquidated damages by reason of the termination of this Lease or re-entry on the Premises for the default of Tenant under this Lease, an amount equal to the maximum allowed by any statute or rule of law in effect at the time when, and governing the proceedings in which, such damages are to be proved whether or not such amount be greater, equal to, or less than any of the sums referred to in Section 18.04.</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18.06 </w:t>
      </w:r>
      <w:r>
        <w:rPr>
          <w:rFonts w:ascii="Arial" w:cs="Arial" w:eastAsia="Arial" w:hAnsi="Arial"/>
          <w:sz w:val="18"/>
          <w:szCs w:val="18"/>
          <w:color w:val="auto"/>
        </w:rPr>
        <w:t>Nothing herein contained shall be construed as limiting or precluding the recovery by Landlord against Tenant of any sums or</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to which, in addition to the damages particularly provided above, Landlord may lawfully be entitled by reason of any default hereunder on the part of Tenant.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18.07 </w:t>
      </w:r>
      <w:r>
        <w:rPr>
          <w:rFonts w:ascii="Arial" w:cs="Arial" w:eastAsia="Arial" w:hAnsi="Arial"/>
          <w:sz w:val="18"/>
          <w:szCs w:val="18"/>
          <w:color w:val="auto"/>
        </w:rPr>
        <w:t>Each right of Landlord provided for in this Lease shall be cumulative and shall be in addition to every other right provided for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now or hereafter existing at law or in equity, by statute or otherwise, and the exercise or beginning of the exercise by Landlord of any one or more of such rights shall not preclude the simultaneous or later exercise by Landlord of any or all other rights provided for in this Lease or now or hereafter existing at law or in equity, by statute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ARTICLE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Curing Tenant's Defaults; Fees and Expenses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19.01 </w:t>
      </w:r>
      <w:r>
        <w:rPr>
          <w:rFonts w:ascii="Arial" w:cs="Arial" w:eastAsia="Arial" w:hAnsi="Arial"/>
          <w:sz w:val="16"/>
          <w:szCs w:val="16"/>
          <w:color w:val="auto"/>
        </w:rPr>
        <w:t>If Tenant shall default in the performance of any term of this Lease on Tenant's part to be performed, Landlord, without thereby</w:t>
      </w:r>
      <w:r>
        <w:rPr>
          <w:rFonts w:ascii="Arial" w:cs="Arial" w:eastAsia="Arial" w:hAnsi="Arial"/>
          <w:sz w:val="16"/>
          <w:szCs w:val="16"/>
          <w:b w:val="1"/>
          <w:bCs w:val="1"/>
          <w:color w:val="auto"/>
        </w:rPr>
        <w:t xml:space="preserve"> </w:t>
      </w:r>
      <w:r>
        <w:rPr>
          <w:rFonts w:ascii="Arial" w:cs="Arial" w:eastAsia="Arial" w:hAnsi="Arial"/>
          <w:sz w:val="16"/>
          <w:szCs w:val="16"/>
          <w:color w:val="auto"/>
        </w:rPr>
        <w:t>waiving such default and without liability to Tenant in connection therewith, may, but shall not be obligated to, perform the same for the account and at the expense of Tenant, without notice in case of emergency and upon 5 days' prior notice in all other cases, Landlord may enter the Premises at any time to cure any default without any liability to Tenant. Bills for any expenses incurred by Landlord in connection with any such performances or involved in collecting or endeavoring to collect rent or enforcing or endeavoring to enforce any rights against Tenant under or in connection with this Lease or pursuant to law, including any cost, expense and disbursement involved in instituting and prosecuting summary proceedings, as well as bills for any property, material, labor or services provided, furnished or rendered, including reasonable attorneys' fees and disbursements, shall be paid by Tenant as Additional Rent on demand. In the event that Tenant is in arrears in payment of rent, Tenant waives Tenant's right, if any, to designate the items against which any payments made by Tenant are to be credited and Landlord may apply any payments made by Tenant to any items Landlord sees fit, irrespective of and notwithstanding any designation or requests by Tenant as to the items against which any such payments shall be credited. Landlord reserves the right, without liability to Tenant to suspend furnishing to Tenant electrical energy and all or any other services (including heat, ventilation and air conditioning), whenever Landlord is obligated to furnish the same after hours or otherwise at Tenant's expense, in the event that (but only for so long as) Tenant is in arrears in paying Landlord therefor.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Non-Liability and Indemnification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20.01 </w:t>
      </w:r>
      <w:r>
        <w:rPr>
          <w:rFonts w:ascii="Arial" w:cs="Arial" w:eastAsia="Arial" w:hAnsi="Arial"/>
          <w:sz w:val="16"/>
          <w:szCs w:val="16"/>
          <w:color w:val="auto"/>
        </w:rPr>
        <w:t>Tenant shall not do or permit any act or thing to be done upon the Premises which may subject Landlord to any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for injury, damages to persons or property or to any liability by reason of any violation of law or of any legal requirement of public authority, but shall exercise such control over the Premises to fully protect Landlord against any such liability. Tenant shall defend, indemnify and hold harmless Landlord, managing agent, other agents, officers, directors, shareholders, partners, principals, employees and tenants in common (whether disclosed or undisclosed) (hereinafter collectively referred to as the “Landlord Parties”) from and against any and all claims, demands, liability, losses, damages, costs and expenses (including reasonable attorneys’ fees and disbursements) arising primarily and directly from (a) any breach or default by Tenant in the full and prompt payment and performance of Tenant’s obligations hereunder beyond the cure period contained in a written notice; (b) the use or occupancy or manner of use or occupancy of the Premises by Tenant or any person claiming under or through Tenant; (c) any act, omission or negligence of Tenant or any of its subtenants, assignees or licensees or its or their partners, principals, directors, officers, agents, invitees, employees, guests, customers or contractors during the term hereof; (d) any accident, injury or damage occurring in or about the Premises during the term hereof; (e) the performance by Tenant of any alteration or improvement to the Premises including, without limitation, Tenant’s failure to obtain any permit, authorization or license or failure to pay in full any contractor, subcontractor or materialmen performing work on such alteration; (f)any mechanics lien filed, claimed or asserted in connection with any alteration or any other work, labor, services or materials done for or supplied to, or claimed to have been done for or supplied to, Tenant or any person claiming through or under Tenant and (g) any certification made by any architect or engineer retained by or on behalf of Tenant to any governmental authority (as well as any certification also executed or submitted by Landlord if prepared by Tenant) in connection with any alteration or improvement to the Premises, except to the extent that any such claims, demands, liability, losses, damages, costs or expenses in subsections (a) through (g) have resulted primarily and directly from any Landlord Parties’ acts, omissions, negligence, or willful misconduct. If any claim, action or proceeding is brought against any of the Landlord Parties for a matter covered by this indemnity, Tenant, upon notice from the indemnified person or entity, shall defend such claim, action or proceeding with counsel reasonably satisfactory to Landlord and the indemnified person or entity (Landlord hereby agreeing that counsel for Tenant’s insurance company is acceptable to Landlord). The provisions of this Article shall survive the expiration or sooner termination of this Lease.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ARTICLE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Surrender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21.01 </w:t>
      </w:r>
      <w:r>
        <w:rPr>
          <w:rFonts w:ascii="Arial" w:cs="Arial" w:eastAsia="Arial" w:hAnsi="Arial"/>
          <w:sz w:val="16"/>
          <w:szCs w:val="16"/>
          <w:color w:val="auto"/>
        </w:rPr>
        <w:t>On the Expiration Date or upon the sooner termination of this Lease or upon any reentry by Landlord upon the Premises,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at its sole cost and expense, quit, surrender, vacate and deliver the Premises to Landlord “broom clean” and in good order, condition and repair except for ordinary wear, tear and damage by fire or other insured casualty, together with all Improvements and Fixtures (except as otherwise provided for in this Lease). Tenant shall remove from the Real Property all of Tenant’s Property and all other personal property and personal effects of all persons claiming through or under Tenant, and shall pay the cost of repairing all damage to the Premises and the Real Property occasioned by such removal. Any Tenant’s property or other personal property which shall remain in the Premises after the termination of this Lease shall be deemed to have been abandoned and either may be retained by Landlord as its property or may be disposed of in such a manner as Landlord may see fit. If such Tenant’s Property or other personal property or any part thereof shall be sold, Landlord may receive and retain the proceeds of such sale as the property of Landlord. Any expense incurred by Landlord in removing or disposing of such Tenant’s Property or other personal property shall be reimbursed to Landlord by Tenant as Additional Rent on demand.</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21.02 </w:t>
      </w:r>
      <w:r>
        <w:rPr>
          <w:rFonts w:ascii="Arial" w:cs="Arial" w:eastAsia="Arial" w:hAnsi="Arial"/>
          <w:sz w:val="18"/>
          <w:szCs w:val="18"/>
          <w:color w:val="auto"/>
        </w:rPr>
        <w:t>If the Expiration Date or the date of sooner termination of this Lease shall fall on a day which is not a business day, then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Section 21.01 shall be performed on or prior to the immediately preceding business day.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21.03 </w:t>
      </w:r>
      <w:r>
        <w:rPr>
          <w:rFonts w:ascii="Arial" w:cs="Arial" w:eastAsia="Arial" w:hAnsi="Arial"/>
          <w:sz w:val="18"/>
          <w:szCs w:val="18"/>
          <w:color w:val="auto"/>
        </w:rPr>
        <w:t>If the Premises are not surrendered upon the termination of this Lease, Tenant hereby indemnifies Landlord against liability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and directly resulting from delay by Tenant in so surrendering the Premises, including any claims made by any succeeding tenant or prospective tenant founded upon such delay.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21.04 </w:t>
      </w:r>
      <w:r>
        <w:rPr>
          <w:rFonts w:ascii="Arial" w:cs="Arial" w:eastAsia="Arial" w:hAnsi="Arial"/>
          <w:sz w:val="18"/>
          <w:szCs w:val="18"/>
          <w:color w:val="auto"/>
        </w:rPr>
        <w:t>In the event Tenant remains in possession of the Premises after the termination of this Lease without the execution of a new lease,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at the option of the Landlord, shall be deemed to be occupying the Premises as a tenant from month to month, at a monthly rental equal to two times the Fixed Rent and Additional Rent payable during the last month of the Term, subject to all of the other terms of this Lease insofar as the same are applicable to a month-to-month tenancy.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21.05 </w:t>
      </w:r>
      <w:r>
        <w:rPr>
          <w:rFonts w:ascii="Arial" w:cs="Arial" w:eastAsia="Arial" w:hAnsi="Arial"/>
          <w:sz w:val="18"/>
          <w:szCs w:val="18"/>
          <w:color w:val="auto"/>
        </w:rPr>
        <w:t>Tenant's obligation under this Article shall survive the termination of this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Mortgaging and Subletting</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22.01 </w:t>
      </w:r>
      <w:r>
        <w:rPr>
          <w:rFonts w:ascii="Arial" w:cs="Arial" w:eastAsia="Arial" w:hAnsi="Arial"/>
          <w:sz w:val="17"/>
          <w:szCs w:val="17"/>
          <w:color w:val="auto"/>
        </w:rPr>
        <w:t>Tenant, for itself, its heirs, distributee, executors, administrators, legal representatives, successors and assigns, expressly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that it shall not assign, mortgage, pledge, or otherwise encumber, all or any part of its interest in this Lease, sublet the Premises, in whole or in part, or suffer or permit the Premises or any part thereof to be used or occupied by others, without the prior written consent of Landlord in each instance. Any assignment, sublease, mortgage, pledge, encumbrance or transfer in contravention of the provisions of this Article 22 shall be void.</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22.02 </w:t>
      </w:r>
      <w:r>
        <w:rPr>
          <w:rFonts w:ascii="Arial" w:cs="Arial" w:eastAsia="Arial" w:hAnsi="Arial"/>
          <w:sz w:val="17"/>
          <w:szCs w:val="17"/>
          <w:color w:val="auto"/>
        </w:rPr>
        <w:t>If Tenant shall, at any time or from time to time, desire to assign its interest in this Lease or to sublet the Premises, the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submit to Landlord a written request for Landlord's consent to such assignment or subletting, which request shall be accompanied by the following information: (i) a true copy of the proposed instrument of assignment or sublease, the effective or commencement date of which shall be not less than 60 nor more than 180 days after the giving of such notice, and copies of all other agreements between the parties signed concurrently or in connection with such assignment or sublease; (ii) a statement setting forth in reasonable detail the name and address of the proposed assignee or subtenant, the nature of its business and the proposed uses of the Premises; and (iii) current financial information about the proposed assignee or subtenant and any guarantor of its obligations, including, without limitation, its most recent financial statement, and any other information Landlord may reasonably request with respect to the proposed assignee or subtenant. Landlord, by notice given to Tenant within sixty (60) days after receipt of Tenant's request for consent, may terminate this Lease on a date to be specified in said notice (the "Termination Date"), which date shall be not earlier than one (1) day before the effective date of the proposed assignment or subletting nor later than sixty-one (61) days after said effective date, and, in such event, all rent and additional rent due hereunder shall be paid and apportioned to such date, and Tenant shall vacate and surrender the Premises on or before the Termination Date as if it were the Expiration Date. If Landlord shall so exercise its option to terminate this Lease, Landlord shall have the right to let all or portions of the Premises to any person (including, without limitation, Tenant's proposed assignee or subtenant), without any liability to Tenant.</w:t>
      </w:r>
    </w:p>
    <w:p>
      <w:pPr>
        <w:spacing w:after="0" w:line="17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22.03 </w:t>
      </w:r>
      <w:r>
        <w:rPr>
          <w:rFonts w:ascii="Arial" w:cs="Arial" w:eastAsia="Arial" w:hAnsi="Arial"/>
          <w:sz w:val="18"/>
          <w:szCs w:val="18"/>
          <w:color w:val="auto"/>
        </w:rPr>
        <w:t>If Landlord shall not exercise its option to terminate this Lease pursuant to Section 22.02 above, Landlord shall not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its consent to the proposed assignment or subletting for the use expressly permitted in this Lease, provided that: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1" w:name="page152"/>
    <w:bookmarkEnd w:id="151"/>
    <w:p>
      <w:pPr>
        <w:jc w:val="both"/>
        <w:ind w:firstLine="757"/>
        <w:spacing w:after="0" w:line="286" w:lineRule="auto"/>
        <w:tabs>
          <w:tab w:leader="none" w:pos="1313"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Premises shall not, without Landlord's prior consent, have been listed or otherwise publicly advertised for assignment or subletting at a rental rate lower than the higher of (a) the Fixed Rent and all Additional Rent then payable, or (b) the then prevailing rental rate for other space in the Building, and Tenant shall not enter into any sublease at a lower rental rate than the Fixed Rent and all Additional Rent then payable;</w:t>
      </w:r>
    </w:p>
    <w:p>
      <w:pPr>
        <w:spacing w:after="0" w:line="165" w:lineRule="exact"/>
        <w:rPr>
          <w:rFonts w:ascii="Arial" w:cs="Arial" w:eastAsia="Arial" w:hAnsi="Arial"/>
          <w:sz w:val="17"/>
          <w:szCs w:val="17"/>
          <w:color w:val="auto"/>
        </w:rPr>
      </w:pPr>
    </w:p>
    <w:p>
      <w:pPr>
        <w:ind w:right="20" w:firstLine="772"/>
        <w:spacing w:after="0" w:line="277" w:lineRule="auto"/>
        <w:tabs>
          <w:tab w:leader="none" w:pos="1373"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Tenant shall employ, as exclusive renting agent for subletting and assignment of this Lease, having the sole and exclusive right to lease, Landlord's managing agent for the Building or such broker as shall be approved by Landlord;</w:t>
      </w:r>
    </w:p>
    <w:p>
      <w:pPr>
        <w:spacing w:after="0" w:line="170" w:lineRule="exact"/>
        <w:rPr>
          <w:rFonts w:ascii="Arial" w:cs="Arial" w:eastAsia="Arial" w:hAnsi="Arial"/>
          <w:sz w:val="18"/>
          <w:szCs w:val="18"/>
          <w:color w:val="auto"/>
        </w:rPr>
      </w:pPr>
    </w:p>
    <w:p>
      <w:pPr>
        <w:ind w:left="1260" w:hanging="514"/>
        <w:spacing w:after="0"/>
        <w:tabs>
          <w:tab w:leader="none" w:pos="1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Tenant shall not then be in default hereunder;</w:t>
      </w:r>
    </w:p>
    <w:p>
      <w:pPr>
        <w:spacing w:after="0" w:line="225" w:lineRule="exact"/>
        <w:rPr>
          <w:rFonts w:ascii="Arial" w:cs="Arial" w:eastAsia="Arial" w:hAnsi="Arial"/>
          <w:sz w:val="18"/>
          <w:szCs w:val="18"/>
          <w:color w:val="auto"/>
        </w:rPr>
      </w:pPr>
    </w:p>
    <w:p>
      <w:pPr>
        <w:ind w:right="20" w:firstLine="783"/>
        <w:spacing w:after="0" w:line="277" w:lineRule="auto"/>
        <w:tabs>
          <w:tab w:leader="none" w:pos="143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the proposed assignee or subtenant shall have a financial standing, be of a character be engaged in a business, and propose to use the Premises, in a manner in keeping with the standards of the Building;</w:t>
      </w:r>
    </w:p>
    <w:p>
      <w:pPr>
        <w:spacing w:after="0" w:line="170" w:lineRule="exact"/>
        <w:rPr>
          <w:rFonts w:ascii="Arial" w:cs="Arial" w:eastAsia="Arial" w:hAnsi="Arial"/>
          <w:sz w:val="18"/>
          <w:szCs w:val="18"/>
          <w:color w:val="auto"/>
        </w:rPr>
      </w:pPr>
    </w:p>
    <w:p>
      <w:pPr>
        <w:jc w:val="both"/>
        <w:ind w:firstLine="768"/>
        <w:spacing w:after="0" w:line="264" w:lineRule="auto"/>
        <w:tabs>
          <w:tab w:leader="none" w:pos="1359"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proposed assignee or subtenant shall not then be a tenant, subtenant or assignee of any space in the Building, nor shall the proposed assignee or subtenant be a person or entity with whom Landlord is then or has been, within the prior six-month period, negotiating to lease space in the Building;</w:t>
      </w:r>
    </w:p>
    <w:p>
      <w:pPr>
        <w:spacing w:after="0" w:line="181" w:lineRule="exact"/>
        <w:rPr>
          <w:rFonts w:ascii="Arial" w:cs="Arial" w:eastAsia="Arial" w:hAnsi="Arial"/>
          <w:sz w:val="18"/>
          <w:szCs w:val="18"/>
          <w:color w:val="auto"/>
        </w:rPr>
      </w:pPr>
    </w:p>
    <w:p>
      <w:pPr>
        <w:ind w:firstLine="759"/>
        <w:spacing w:after="0" w:line="277" w:lineRule="auto"/>
        <w:tabs>
          <w:tab w:leader="none" w:pos="13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character of the business to be conducted in the Premises by the proposed assignee or subtenant shall not be likely to increase building operating expenses, use of elevators, cleaning services or other services in the Building;</w:t>
      </w:r>
    </w:p>
    <w:p>
      <w:pPr>
        <w:spacing w:after="0" w:line="170" w:lineRule="exact"/>
        <w:rPr>
          <w:sz w:val="20"/>
          <w:szCs w:val="20"/>
          <w:color w:val="auto"/>
        </w:rPr>
      </w:pPr>
    </w:p>
    <w:p>
      <w:pPr>
        <w:ind w:left="1280" w:hanging="534"/>
        <w:spacing w:after="0"/>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there shall be no more than one subtenant in the Premises at any time;</w:t>
      </w:r>
    </w:p>
    <w:p>
      <w:pPr>
        <w:spacing w:after="0" w:line="225" w:lineRule="exact"/>
        <w:rPr>
          <w:rFonts w:ascii="Arial" w:cs="Arial" w:eastAsia="Arial" w:hAnsi="Arial"/>
          <w:sz w:val="18"/>
          <w:szCs w:val="18"/>
          <w:color w:val="auto"/>
        </w:rPr>
      </w:pPr>
    </w:p>
    <w:p>
      <w:pPr>
        <w:ind w:firstLine="758"/>
        <w:spacing w:after="0" w:line="277" w:lineRule="auto"/>
        <w:tabs>
          <w:tab w:leader="none" w:pos="131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Tenant shall reimburse Landlord on demand for any costs, including reasonable attorneys' fees and disbursements, that may be incurred by Landlord in connection with said assignment or sublease; and</w:t>
      </w:r>
    </w:p>
    <w:p>
      <w:pPr>
        <w:spacing w:after="0" w:line="170" w:lineRule="exact"/>
        <w:rPr>
          <w:rFonts w:ascii="Arial" w:cs="Arial" w:eastAsia="Arial" w:hAnsi="Arial"/>
          <w:sz w:val="18"/>
          <w:szCs w:val="18"/>
          <w:color w:val="auto"/>
        </w:rPr>
      </w:pPr>
    </w:p>
    <w:p>
      <w:pPr>
        <w:ind w:firstLine="760"/>
        <w:spacing w:after="0" w:line="342" w:lineRule="auto"/>
        <w:tabs>
          <w:tab w:leader="none" w:pos="132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proposed assignee or subtenant shall not be any entity which is entitled to diplomatic or sovereign immunity or which is not subject to service of process in the State of New York or to the jurisdiction of the courts of the State of New York and the United States located in New York County.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there is a dispute between Landlord and Tenant as to the reasonableness of Landlord's refusal to consent to any subletting or assignment, such dispute shall be determined by arbitration in The City of New York in accordance with the prevailing rules of the American Arbitration Association. The arbitrators shall be bound by the provisions of this Lease and shall not add to, subtract from, or otherwise modify such provisions. Notwithstanding any contrary provisions hereof, Tenant hereby waives any claim against Landlord for money damages which it may have based upon any assertion that Landlord has unreasonably withheld or delayed any consent to any assignment or a subletting pursuant to this Article. Tenant agrees that, in the event of any such dispute, its sole remedy shall be an action or proceeding to enforce such provision or for specific performance.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22.04 </w:t>
      </w:r>
      <w:r>
        <w:rPr>
          <w:rFonts w:ascii="Arial" w:cs="Arial" w:eastAsia="Arial" w:hAnsi="Arial"/>
          <w:sz w:val="18"/>
          <w:szCs w:val="18"/>
          <w:color w:val="auto"/>
        </w:rPr>
        <w:t>Every subletting hereunder is subject to the express condition, and by accepting a sublease hereunder each subtenant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conclusively deemed to have agreed, that if this Lease should be terminated prior to the Expiration Date or if Landlord should succeed to any portion of Tenant's estate in the Premises, then at Landlord's election such subtenant shall either surrender that portion of the Premises to Landlord within sixty (60) days of Landlord's request therefor, or shall attorn to and recognize Landlord as such subtenant's landlord under such sublease (except that Landlord shall not be liable for any previous act or omission of Tenant, nor bound by any modification of the Sublease not approved in writing by Landlord, nor liable for any security not received by landlord or any prepaid rent in excess of one month's rent), and such subtenant shall promptly execute and deliver any instrument Landlord may reasonably request to evidence such attornment.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22.05 </w:t>
      </w:r>
      <w:r>
        <w:rPr>
          <w:rFonts w:ascii="Arial" w:cs="Arial" w:eastAsia="Arial" w:hAnsi="Arial"/>
          <w:sz w:val="18"/>
          <w:szCs w:val="18"/>
          <w:color w:val="auto"/>
        </w:rPr>
        <w:t>Tenant shall deliver to Landlord a copy of each sublease or assignment made hereunder within ten (10) days after the date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Tenant shall remain fully liable for the due and timely performance of all of Tenant's obligations hereunder notwithstanding any subletting or assignment provided for herein and, without limiting the generality of the foregoing, shall remain fully responsible and liable to Landlord for all acts and omissions of any subtenant, assignee or anyone claiming by, through or under any subtenant or assignee which shall be in violation of any of the obligations of this Lease, and any such violation shall be deemed to be a violation by Tenant. Notwithstanding any assignment and assumption by the assignee of the obligations of Tenant hereunder, Tenant herein named, and each immediate or remote successor in interest of Tenant herein named, shall remain liable jointly and severally (as a primary obligor) with its assignee and all subsequent assignees for the performance of Tenant's obligations hereunder, and shall remain fully and directly responsible and liable to Landlord for all acts and omission on the part of any assignee subsequent to it in violation of any of the obligations of this Lease.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2" w:name="page153"/>
    <w:bookmarkEnd w:id="152"/>
    <w:p>
      <w:pPr>
        <w:ind w:firstLine="648"/>
        <w:spacing w:after="0" w:line="293" w:lineRule="auto"/>
        <w:rPr>
          <w:sz w:val="20"/>
          <w:szCs w:val="20"/>
          <w:color w:val="auto"/>
        </w:rPr>
      </w:pPr>
      <w:r>
        <w:rPr>
          <w:rFonts w:ascii="Arial" w:cs="Arial" w:eastAsia="Arial" w:hAnsi="Arial"/>
          <w:sz w:val="16"/>
          <w:szCs w:val="16"/>
          <w:b w:val="1"/>
          <w:bCs w:val="1"/>
          <w:color w:val="auto"/>
        </w:rPr>
        <w:t xml:space="preserve">Section 22.06 </w:t>
      </w:r>
      <w:r>
        <w:rPr>
          <w:rFonts w:ascii="Arial" w:cs="Arial" w:eastAsia="Arial" w:hAnsi="Arial"/>
          <w:sz w:val="16"/>
          <w:szCs w:val="16"/>
          <w:color w:val="auto"/>
        </w:rPr>
        <w:t>Each sublease shall be in form and content satisfactory to Landlord, and shall contain provisions setting forth the matters contained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22.04 above, and further provisions that: (i) the sublease is subject and subordinate to this Lease and all amendments and modifications hereof, and</w:t>
      </w:r>
    </w:p>
    <w:p>
      <w:pPr>
        <w:spacing w:after="0" w:line="1" w:lineRule="exact"/>
        <w:rPr>
          <w:sz w:val="20"/>
          <w:szCs w:val="20"/>
          <w:color w:val="auto"/>
        </w:rPr>
      </w:pPr>
    </w:p>
    <w:p>
      <w:pPr>
        <w:jc w:val="both"/>
        <w:ind w:firstLine="8"/>
        <w:spacing w:after="0" w:line="255" w:lineRule="auto"/>
        <w:tabs>
          <w:tab w:leader="none" w:pos="2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sublease shall not be assigned, transferred, pledged, mortgaged or encumbered by the subtenant, in whole or in part, nor shall the sublet premises be further sublet or used or occupied by persons other than the subtenant, without the prior written consent of Landlord in each instance. No subletting shall end later than one day before the Expiration Date of this Lease.</w:t>
      </w:r>
    </w:p>
    <w:p>
      <w:pPr>
        <w:spacing w:after="0" w:line="18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22.07 </w:t>
      </w:r>
      <w:r>
        <w:rPr>
          <w:rFonts w:ascii="Arial" w:cs="Arial" w:eastAsia="Arial" w:hAnsi="Arial"/>
          <w:sz w:val="17"/>
          <w:szCs w:val="17"/>
          <w:color w:val="auto"/>
        </w:rPr>
        <w:t>No assignment of Tenant's interest in this Lease shall be binding upon Landlord unless the assignee shall execute, acknowledge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to Landlord an agreement, in form and substance satisfactory to Landlord, whereby such assignee agrees unconditionally to be personally bound by and to perform all of the obligations of Tenant hereunder and further expressly agrees that notwithstanding such assignment the provisions of this Article shall continue to be binding upon such assignee with respect to all future assignments and transfers.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22.08 </w:t>
      </w:r>
      <w:r>
        <w:rPr>
          <w:rFonts w:ascii="Arial" w:cs="Arial" w:eastAsia="Arial" w:hAnsi="Arial"/>
          <w:sz w:val="18"/>
          <w:szCs w:val="18"/>
          <w:color w:val="auto"/>
        </w:rPr>
        <w:t>If Landlord shall have consented to any assignment or subletting, or if there is any transfer of this Lease by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and if Tenant shall receive any consideration from its assignee or subtenant for or in connection with the assignment of Tenant's interest in this Lease or the subletting of the Premises or any part thereof, as the case may be, or if Tenant shall sublet the Premises or a part thereof at a rental rate (including additional rent) which shall exceed the rental rate payable hereunder (explicitly excluding sums paid for the sale or rental of Tenant's fixtures, leasehold improvements, equipment, furniture or other personal leasehold property), then Tenant shall pay to Landlord, as Additional Rent hereunder, 50% of the amount of such excess after deducting the actual reasonable expenses of Tenant in connection with such assignment or sublease for broker’s fees, attorney’s fees, tenant allowances and abatement of rent. In the case of a subletting of less than the entire Premises, the above calculation of rental rates shall be made on a per square foot basis.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22.09 </w:t>
      </w:r>
      <w:r>
        <w:rPr>
          <w:rFonts w:ascii="Arial" w:cs="Arial" w:eastAsia="Arial" w:hAnsi="Arial"/>
          <w:sz w:val="18"/>
          <w:szCs w:val="18"/>
          <w:color w:val="auto"/>
        </w:rPr>
        <w:t>If Tenant or any general partner of Tenant is ever a partnership or corporation or other entity, the provisions of this lease limiting or</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prohibiting the assignment hereof or subletting of the Premises shall be deemed to have been violated by (i) the transfer or transfers of a partnership interest, stock ownership or other equity interest, or (ii) the issuance of new such partnership or stock interests, or (iii) the merger, dissolution or liquidation, in or of Tenant, or any entity which is a general partner of Tenant, whether voluntarily or by operation of law, if such happening or happenings, individually or in the aggregate result in (a) the admission of a new general partner of Tenant, or (b) a change in control (hereinafter defined ) of Tenant or any general partner of Tenant. As used in the preceding sentence the term "control" shall mean actual operating control of Tenant's ordinary business operations or a beneficial ownership interest (direct or indirect) of 50% or more in Tenant or any general partner of Tenant. Throughout the term of this Lease, within ten (10) days after request by Landlord, Tenant will advise Landlord by sworn statement in writing as to the identity and ownership interests of its shareholders, partners and other principals.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22.10 </w:t>
      </w:r>
      <w:r>
        <w:rPr>
          <w:rFonts w:ascii="Arial" w:cs="Arial" w:eastAsia="Arial" w:hAnsi="Arial"/>
          <w:sz w:val="18"/>
          <w:szCs w:val="18"/>
          <w:color w:val="auto"/>
        </w:rPr>
        <w:t>In the event that Tenant fails to execute and deliver any assignment or sublease to which Landlord consented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within forty-five (45) days after the giving of such consent, then Tenant shall again comply with all of the provisions of this Article before assigning its interest in this Lease or subletting the Premises.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22.11 </w:t>
      </w:r>
      <w:r>
        <w:rPr>
          <w:rFonts w:ascii="Arial" w:cs="Arial" w:eastAsia="Arial" w:hAnsi="Arial"/>
          <w:sz w:val="18"/>
          <w:szCs w:val="18"/>
          <w:color w:val="auto"/>
        </w:rPr>
        <w:t>The consent of Landlord to an assignment or a subletting shall not relieve Tenant from obtaining the express consent in writing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to any further assignment or subletting.</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22.12 </w:t>
      </w:r>
      <w:r>
        <w:rPr>
          <w:rFonts w:ascii="Arial" w:cs="Arial" w:eastAsia="Arial" w:hAnsi="Arial"/>
          <w:sz w:val="17"/>
          <w:szCs w:val="17"/>
          <w:color w:val="auto"/>
        </w:rPr>
        <w:t>If Tenant's interest in this Lease be assigned, or if the Premises or any part thereof be sublet or occupied by anyone other than Tenant,</w:t>
      </w:r>
      <w:r>
        <w:rPr>
          <w:rFonts w:ascii="Arial" w:cs="Arial" w:eastAsia="Arial" w:hAnsi="Arial"/>
          <w:sz w:val="17"/>
          <w:szCs w:val="17"/>
          <w:b w:val="1"/>
          <w:bCs w:val="1"/>
          <w:color w:val="auto"/>
        </w:rPr>
        <w:t xml:space="preserve"> </w:t>
      </w:r>
      <w:r>
        <w:rPr>
          <w:rFonts w:ascii="Arial" w:cs="Arial" w:eastAsia="Arial" w:hAnsi="Arial"/>
          <w:sz w:val="17"/>
          <w:szCs w:val="17"/>
          <w:color w:val="auto"/>
        </w:rPr>
        <w:t>upon default by Tenant, Landlord may collect rent from the assignee, subtenant or occupant and apply the net amount collected to the rental herein reserved, but no such assignment, subletting, occupancy or collection shall be deemed a waiver of the provisions of this Article or of any default hereunder or the acceptance of the assignee, subtenant or occupant as Tenant, or a release of Tenant from the further observance or performance by Tenant of all of the covenants, conditions, terms and provisions on the part of Tenant to be performed or observed.</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22.13 </w:t>
      </w:r>
      <w:r>
        <w:rPr>
          <w:rFonts w:ascii="Arial" w:cs="Arial" w:eastAsia="Arial" w:hAnsi="Arial"/>
          <w:sz w:val="18"/>
          <w:szCs w:val="18"/>
          <w:color w:val="auto"/>
        </w:rPr>
        <w:t>Tenant agrees to forever indemnify and hold harmless Landlord from and against the claims of any proposed subtenant or assignee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Landlord's response to Tenant's request for consent to an assignment or subletting, and claims of any broker who alleges to have played any part in bringing about a proposed sublease or assignment in each case whether or not such sublessor assignment shall be consented to by Landlord and/or consummated, and against all losses, damages, costs and expenses incurred by Landlord (including, without limitation, attorneys fees) relating to or resulting from such claims.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22.14 </w:t>
      </w:r>
      <w:r>
        <w:rPr>
          <w:rFonts w:ascii="Arial" w:cs="Arial" w:eastAsia="Arial" w:hAnsi="Arial"/>
          <w:sz w:val="18"/>
          <w:szCs w:val="18"/>
          <w:color w:val="auto"/>
        </w:rPr>
        <w:t>The listing or posting of any name, other than that of Tenant, whether on the door or exterior wall of the Premises, the Building’s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directory in the lobby or elevator, or elsewhere, shall not:</w:t>
      </w:r>
    </w:p>
    <w:p>
      <w:pPr>
        <w:spacing w:after="0" w:line="166" w:lineRule="exact"/>
        <w:rPr>
          <w:sz w:val="20"/>
          <w:szCs w:val="20"/>
          <w:color w:val="auto"/>
        </w:rPr>
      </w:pPr>
    </w:p>
    <w:p>
      <w:pPr>
        <w:ind w:left="5620" w:right="1180" w:hanging="3856"/>
        <w:spacing w:after="0" w:line="778" w:lineRule="auto"/>
        <w:tabs>
          <w:tab w:leader="none" w:pos="19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Constitute a waiver of Landlord’s right to withhold consent to any sublet or assignment pursuant to this Article 22.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3" w:name="page154"/>
    <w:bookmarkEnd w:id="153"/>
    <w:p>
      <w:pPr>
        <w:ind w:firstLine="1779"/>
        <w:spacing w:after="0" w:line="277" w:lineRule="auto"/>
        <w:tabs>
          <w:tab w:leader="none" w:pos="20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Be deemed an implied consent by Landlord to any sublet of the Premises or any portion thereof, to any assignment or transfer of the Lease, or to any unauthorized occupancy of the Premises, except in accordance with the express terms of the Lease; or</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22.15 </w:t>
      </w:r>
      <w:r>
        <w:rPr>
          <w:rFonts w:ascii="Arial" w:cs="Arial" w:eastAsia="Arial" w:hAnsi="Arial"/>
          <w:sz w:val="16"/>
          <w:szCs w:val="16"/>
          <w:color w:val="auto"/>
        </w:rPr>
        <w:t>Notwithstanding anything to the contrary contained in Article 22, Tenant shall have the privilege, subject to the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hereinafter set forth without the consent of Landlord (and without Landlord having the right set forth in Section 22.02) to assign its interest in this Lease (i) to a purchaser of all or substantially all of Tenant's assets or stock or pursuant to a merger or consolidation (provided such purchaser shall have also assumed substantially all of Tenant's liabilities), or (ii) to a corporation or partnership entity or limited liability company which shall control, be under the control of, or be under common control with, Tenant or its principals (the term "control" as used herein shall be deemed to mean ownership of more than 50% of the outstanding voting stock of a corporation, or other majority equity and controlling interest if the assignee is not a corporation) (any such entity being a "Related Entity"). Tenant may, without consent of Landlord, also sublease all or any portion of the Premises to any corporation or other entity which is a Related Entity only for so long as such corporation or other entity shall remain a Related Entity. Any assignment or subletting described above may be made upon the condition that (A) the principal purpose of such assignment or sublease is not the acquisition of Tenant's interest in this Lease (except if such assignment or sublease is made to a Related Entity and is made for a valid business purpose) and (B) no such assignment shall be valid unless Tenant shall, within ten (10) business days after execution thereof, deliver to Landlord (x) a duplicate original instrument of assignment in form and substance reasonably satisfactory to Landlord, duly executed by the Tenant and (y) a duplicate original instrument in form and substance reasonably satisfactory to Landlord, duly executed by the assignee, in which such assignee shall assume observance and performance of, and agree to be bound by, all of the terms, covenants and conditions of this Lease on Tenant's part to be observed and performed and (C) no such sublease shall be valid unless Tenant shall, within ten (10) business days after the execution thereof, deliver to Landlord a duplicate original sublease in form and substance reasonably satisfactory to Landlord, duly executed by Tenant and subtenant. If at any time following such subletting to a Related Entity, such subtenant shall cease to be a Related Entity, then Tenant shall not more than ten (10) business days after the date such subtenant shall cease to be a Related Entity, deliver to Landlord a duplicate original instrument or assignment and assumption in form and substance reasonably satisfactory to Landlord duly executed by such subtenant and Tenant terminating such sublease. If at any time following such assignment to a Related Entity, such assignee shall cease to be a Related Entity, then Tenant shall not more than ten (10) business days after the date such assignee shall cease to be a Related Entity, deliver to Landlord a duplicate original instrument of assignment and assumption in form and substance reasonably satisfactory to Landlord duly executed by such assignee and Tenant whereby the assignee shall assign this Lease and right such assignee may have hereunder to Tenant.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and Attornment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23.01 </w:t>
      </w:r>
      <w:r>
        <w:rPr>
          <w:rFonts w:ascii="Arial" w:cs="Arial" w:eastAsia="Arial" w:hAnsi="Arial"/>
          <w:sz w:val="17"/>
          <w:szCs w:val="17"/>
          <w:color w:val="auto"/>
        </w:rPr>
        <w:t>This Lease and all rights of Tenant hereunder are and shall be subject and subordinate in all respects to (a) all present and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ground leases, operating leases, superior leases, overriding leases and underlying leases and grants of term of the Land and the Building or any portion thereof (collectively, including the applicable items set forth in subdivision (d) of this Section 23.01, the "Superior Lease"), (b) all mortgages and building loan agreements, including leasehold mortgages and spreader and consolidation agreements, which may now or hereafter affect the Land, the Building or the Superior Lease (collectively, including the applicable items set forth in subdivisions (c) and (d) of this Section 23.01, the "Superior Mortgage") whether or not the Superior Mortgage shall also cover other lands or buildings or leases except that a mortgage on the Land only shall not be a Superior Mortgage so long as there is in effect a Superior Lease which is not subordinate to such mortgage, (c) each advance made or to be made under the Superior Mortgage, (d) all renewals, modifications, replacements, supplements, substitutions and extensions of the Superior Lease and the Superior Mortgage and all spreader and consolidations of the Superior Mortgage and (e) the Declaration. The provisions of this Section shall be self-operative and no further instrument of subordination shall be required. In confirmation of such subordination, Tenant shall promptly execute and deliver, at its own cost and expense, any instrument, in recordable form if requested, that Landlord, the Superior Lessor or the Superior Mortgagee may reasonably request to evidence such subordination; and if Tenant fails to execute, acknowledge or deliver any such instrument within 10 days after the request therefor, Tenant hereby irrevocably constitutes and appoints Landlord as Tenant's attorney-in-fact, coupled with an interest, to execute, acknowledge and deliver any such instruments for and on behalf of Tenant.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23.02 </w:t>
      </w:r>
      <w:r>
        <w:rPr>
          <w:rFonts w:ascii="Arial" w:cs="Arial" w:eastAsia="Arial" w:hAnsi="Arial"/>
          <w:sz w:val="17"/>
          <w:szCs w:val="17"/>
          <w:color w:val="auto"/>
        </w:rPr>
        <w:t>Landlord hereby notifies Tenant that this Lease may not be cancelled or surrendered, or modified or amended so as to reduce the rent,</w:t>
      </w:r>
      <w:r>
        <w:rPr>
          <w:rFonts w:ascii="Arial" w:cs="Arial" w:eastAsia="Arial" w:hAnsi="Arial"/>
          <w:sz w:val="17"/>
          <w:szCs w:val="17"/>
          <w:b w:val="1"/>
          <w:bCs w:val="1"/>
          <w:color w:val="auto"/>
        </w:rPr>
        <w:t xml:space="preserve"> </w:t>
      </w:r>
      <w:r>
        <w:rPr>
          <w:rFonts w:ascii="Arial" w:cs="Arial" w:eastAsia="Arial" w:hAnsi="Arial"/>
          <w:sz w:val="17"/>
          <w:szCs w:val="17"/>
          <w:color w:val="auto"/>
        </w:rPr>
        <w:t>shorten the Term or adversely affect in any other respect to any material extent the rights of Landlord hereunder and that Landlord may not accept prepayments of any installments of rent except for prepayments in the nature of security for the performance of Tenant's obligations hereunder, without the consent of the Superior Lessor and the Superior Mortgagee in each instance, except that said consent shall not be required for the institution or prosecution of any action or proceedings against Tenant by reason of a default on the part of Tenant under the terms of this Lease.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4" w:name="page155"/>
    <w:bookmarkEnd w:id="154"/>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23.03 </w:t>
      </w:r>
      <w:r>
        <w:rPr>
          <w:rFonts w:ascii="Arial" w:cs="Arial" w:eastAsia="Arial" w:hAnsi="Arial"/>
          <w:sz w:val="16"/>
          <w:szCs w:val="16"/>
          <w:color w:val="auto"/>
        </w:rPr>
        <w:t>If, at any time prior to the termination of this Lease, the Superior Lessor or the Superior Mortgagee or any person, or the Superior</w:t>
      </w:r>
      <w:r>
        <w:rPr>
          <w:rFonts w:ascii="Arial" w:cs="Arial" w:eastAsia="Arial" w:hAnsi="Arial"/>
          <w:sz w:val="16"/>
          <w:szCs w:val="16"/>
          <w:b w:val="1"/>
          <w:bCs w:val="1"/>
          <w:color w:val="auto"/>
        </w:rPr>
        <w:t xml:space="preserve"> </w:t>
      </w:r>
      <w:r>
        <w:rPr>
          <w:rFonts w:ascii="Arial" w:cs="Arial" w:eastAsia="Arial" w:hAnsi="Arial"/>
          <w:sz w:val="16"/>
          <w:szCs w:val="16"/>
          <w:color w:val="auto"/>
        </w:rPr>
        <w:t>Lessor's or Superior Mortgagee's or such person's successors or assigns (the Superior Lessor, Superior Mortgagee and any such person or successor or assign being herein collectively referred to as "Successor Landlord") shall succeed to the rights of Landlord under this Lease through possession or foreclosure or delivery of a new lease or deed or otherwise, Tenant agrees, at the election and upon request of any such Successor Landlord, to fully and completely attorn, from time to time, to and recognize any such Successor Landlord, as Tenant's landlord under this Lease upon the then executory terms of this Lease; provided such Successor Landlord shall agree in writing to accept Tenant's attornment. The foregoing provision of this Section shall inure to the benefit of any such Successor Landlord, shall apply notwithstanding that, as a matter of law, this Lease may terminate upon the termination of the Superior Lease, shall be self-operative upon any such demand, and no further instrument shall be required to give effect to said provisions. Tenant, however, upon demand of any such Successor Landlord agrees to execute, from time to time, instruments to evidence and confirm the foregoing provisions of this Section satisfactory to any such Successor Landlord, acknowledging such attornment and setting forth the terms and conditions of its tenancy and Tenant hereby constitutes and appoints Landlord attorney-in-fact for Tenant to execute any such instrument for and on behalf of Tenant, such appointment being coupled with an interest. Upon such attornment this Lease shall continue in full force and effect as a direct lease between such Successor Landlord and Tenant upon all of the then executory terms of this Lease except that such Successor Landlord shall not be (a) liable for any previous act or omission or negligence of Landlord under this Lease; (b) subject to any counterclaim, defense or offset, not expressly provided for in this Lease and asserted with reasonable promptness, which theretofore shall have accrued to Tenant against Landlord; (c) obligated to perform any Work; (d) bound by any previous modification or amendment of this Lease or by any previous prepayment of more than one month's rent, unless such modification or prepayment shall have been approved in writing by the Superior Lessor or the Superior Mortgagee through or by reason of which the Successor Landlord shall have succeeded to the rights of Landlord under this Lease; (e) obligated to repair the Premises or the Building or any part thereof, in the event of total or substantial total damage beyond such repair as can reasonably be accomplished from the net proceeds of insurance actually made available to Successor Landlord; or (f) obligated to repair the Premises or the Building or any part thereof, in the event of partial condemnation beyond such repair as can reasonably be accomplished from the net proceeds of any award actually made available to Successor Landlord, as consequential damages allocable to the part of the Premises or the Building not taken. Nothing contained in this Section shall be construed to impair any right otherwise exercisable by any such owner, holder or lessee.</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23.04 </w:t>
      </w:r>
      <w:r>
        <w:rPr>
          <w:rFonts w:ascii="Arial" w:cs="Arial" w:eastAsia="Arial" w:hAnsi="Arial"/>
          <w:sz w:val="17"/>
          <w:szCs w:val="17"/>
          <w:color w:val="auto"/>
        </w:rPr>
        <w:t>If any act or omission by Landlord would give Tenant the right, immediately or after lapse of time, to cancel or terminate this 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to claim a partial or total eviction, Tenant will not exercise any such right until (a) it has given written notice of such act or omission to each Superior Mortgagee and each Superior Lessor, whose name and address shall have previously been furnished to Tenant, by delivering notice of such act or omission addressed to such party at its last address so furnished and (b) a reasonable period for remedying such act or omission shall have elapsed following such giving of notice and following the time when such Superior Mortgagee or Superior Lessor shall have become entitled under such Superior Mortgage or Superior Lease, as the case may be, to remedy the same (which shall in no event be less than the period to which Landlord would be entitled under this Lease to effect such remedy) provided such Superior Mortgagee or Superior Lessor shall, with reasonable diligence, give Tenant notice of intention to, and commence and continue to, remedy such act or omission or to cause the same to be remedied.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 Changes In Building Facilities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24.01 </w:t>
      </w:r>
      <w:r>
        <w:rPr>
          <w:rFonts w:ascii="Arial" w:cs="Arial" w:eastAsia="Arial" w:hAnsi="Arial"/>
          <w:sz w:val="18"/>
          <w:szCs w:val="18"/>
          <w:color w:val="auto"/>
        </w:rPr>
        <w:t>Nothing herein contained shall be construed as a letting by Landlord to Tenant of (a) the faces of exterior walls, (b) the space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the hung ceiling of the Premises, and below the underside of the floor slab of any higher floor, (c) the space below the underside of the Premises, (d) the land below the sub-base of or air rights above, the Premises or the Building, (e) the roof, or (f) the common areas and facilities of the Building. All parts (except surfaces facing the interior of the Premises ) of all walls, windows and doors bounding the Premises, (including exterior Building walls, core corridor walls and doors and any core corridor entrance) any space in or adjacent to the Premises used for shafts, stacks, pipes, conduits, fan rooms, ducts, electric or other utilities, sinks or other Building facilities, and the use thereof, as well as access thereto through the Premises for the purpose of operation, maintenance, decoration and repair, are reserved to Landlord.</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24.02 </w:t>
      </w:r>
      <w:r>
        <w:rPr>
          <w:rFonts w:ascii="Arial" w:cs="Arial" w:eastAsia="Arial" w:hAnsi="Arial"/>
          <w:sz w:val="18"/>
          <w:szCs w:val="18"/>
          <w:color w:val="auto"/>
        </w:rPr>
        <w:t>Tenant shall permit Landlord to install, use, replace and maintain pipes, ducts and conduits within the demising walls, bearing</w:t>
      </w:r>
      <w:r>
        <w:rPr>
          <w:rFonts w:ascii="Arial" w:cs="Arial" w:eastAsia="Arial" w:hAnsi="Arial"/>
          <w:sz w:val="18"/>
          <w:szCs w:val="18"/>
          <w:b w:val="1"/>
          <w:bCs w:val="1"/>
          <w:color w:val="auto"/>
        </w:rPr>
        <w:t xml:space="preserve"> </w:t>
      </w:r>
      <w:r>
        <w:rPr>
          <w:rFonts w:ascii="Arial" w:cs="Arial" w:eastAsia="Arial" w:hAnsi="Arial"/>
          <w:sz w:val="18"/>
          <w:szCs w:val="18"/>
          <w:color w:val="auto"/>
        </w:rPr>
        <w:t>columns and ceilings of the Premises, provided that Landlord shall not unreasonably interfere with Tenant's use of the Premises or the conduct of Tenant's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5" w:name="page156"/>
    <w:bookmarkEnd w:id="155"/>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24.03 </w:t>
      </w:r>
      <w:r>
        <w:rPr>
          <w:rFonts w:ascii="Arial" w:cs="Arial" w:eastAsia="Arial" w:hAnsi="Arial"/>
          <w:sz w:val="16"/>
          <w:szCs w:val="16"/>
          <w:color w:val="auto"/>
        </w:rPr>
        <w:t>Landlord or Landlord's agent shall have the right, upon request upon reasonable advance notice (except in emergency under clause (ii)</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to enter and/or pass through the Premises or any part thereof, at reasonable times during reasonable hours, in the presence of a representative of Tenant (i) to examine the Premises and to show them to the fee owners, lessors of superior leases, holders of superior mortgages, or prospective purchasers, mortgagees or lessees of the Building as an entirety, and (ii) for the purpose of making such repairs or changes in or to the Premises or in or to its facilities, as may be provided for by this Lease or as may be mutually agreed upon by the parties or as Landlord may be required to make by law or in order to repair and maintain said structure or its fixtures or facilities. Such work shall be done in a first-class manner and so as not to unreasonably interfere with or impair Tenant's decorations, layout or use of the demised premises or to diminish the area of the demised premises (other than a de minimus amount) or reduce the ceiling height of the demised premises (other than a de minimus amount). Any such work shall be performed during such hours and in such a manner as to minimize interference with the conduct of Tenant's business and to safeguard Tenant's property; provided, however, that Landlord shall have no obligation to employ contractors or labor at so-called overtime or other premium pay rates. Following the completion of any of the foregoing work, Landlord shall promptly repair and restore the demised premises to substantially the same condition existing prior to the performance of such work. Landlord shall be allowed to take all materials into and upon the Premises that may be required for such repairs, changes, repainting or maintenance, without liability to Tenant, but Landlord shall not unreasonably interfere with Tenant's use of the Premises or the conduct of Tenant’s business, in which case Landlord shall be liable for the reasonable cost of repairing any damage occasioned thereby. Landlord shall also have the right to enter on and/or pass through the Premises, or any part thereof, at such times as such entry shall be required by circumstances of emergency affecting the Premises or said structure, in which case Landlord shall be liable for the reasonable cost of repairing any damage occasioned thereby.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24.04 </w:t>
      </w:r>
      <w:r>
        <w:rPr>
          <w:rFonts w:ascii="Arial" w:cs="Arial" w:eastAsia="Arial" w:hAnsi="Arial"/>
          <w:sz w:val="18"/>
          <w:szCs w:val="18"/>
          <w:color w:val="auto"/>
        </w:rPr>
        <w:t>During the period of eighteen (18) months prior to the Expiration Date Landlord may exhibit the Premises to prospective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Landlord shall not unreasonably interfere with Tenant’s use of the Premises.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24.05 </w:t>
      </w:r>
      <w:r>
        <w:rPr>
          <w:rFonts w:ascii="Arial" w:cs="Arial" w:eastAsia="Arial" w:hAnsi="Arial"/>
          <w:sz w:val="17"/>
          <w:szCs w:val="17"/>
          <w:color w:val="auto"/>
        </w:rPr>
        <w:t>Landlord reserves the right, at any time, without incurring any liability to Tenant therefor, to make such changes in or to the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fixtures and equipment thereof, as well as in or to the street entrances, halls, passages, elevators, escalators, and stairways thereof, as it may deem necessary or desirable, provided that Landlord shall not unreasonably interfere with Tenant’s use of the Premises.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Inability to Perform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25.01 </w:t>
      </w:r>
      <w:r>
        <w:rPr>
          <w:rFonts w:ascii="Arial" w:cs="Arial" w:eastAsia="Arial" w:hAnsi="Arial"/>
          <w:sz w:val="17"/>
          <w:szCs w:val="17"/>
          <w:color w:val="auto"/>
        </w:rPr>
        <w:t>This Lease and the obligations of Tenant to pay rent and perform all of the terms of this Lease on the part of Tenant to be performed</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 no way be affected because Landlord is unable or delayed in fulfilling any of its obligations under this Lease or by reason of Force Majeure, provided that Landlord provides notice to Tenant of the delay and reason therefore that is beyond Landlord’s reasonable control, and continues to provide Tenant with periodic updates. Landlord shall in each instance exercise reasonable diligence to effect performance when and as soon as possible, without unreasonable further delay. However, Landlord shall be under no obligation to employ overtime labor.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 Waiver of Counterclaims and Jury Trial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26.01 </w:t>
      </w:r>
      <w:r>
        <w:rPr>
          <w:rFonts w:ascii="Arial" w:cs="Arial" w:eastAsia="Arial" w:hAnsi="Arial"/>
          <w:sz w:val="17"/>
          <w:szCs w:val="17"/>
          <w:color w:val="auto"/>
        </w:rPr>
        <w:t>In the event Landlord commences any summary proceeding or action for non-payment of rent, Tenant covenants and agrees that it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interpose, by consolidation of actions or otherwise, any counterclaim or other claim seeking affirmative relief of whatsoever nature or description in any such proceeding, except for claims inter-related to the claims in the main litigation or mandatory counterclaims.. To the extent permitted by applicable law, Landlord and Tenant hereby waive trial by jury in any action or proceeding, and with respect to any claim asserted in any such action or proceeding, brought by either of the parties against the other on any matter whatsoever arising out of or in any way connected with this Lease, the relationship of Landlord and Tenant, Tenant's use or occupancy of the Premises, any claim of injury or damage, or any emergency or other statutory remedy with respect thereto. Tenant hereby represents to Landlord that it is not entitled, directly or indirectly, to diplomatic or sovereign immunity and Tenant agrees that in all disputes arising, directly or indirectly out of this Lease, Tenant shall be subject to service of process in, and the jurisdiction of the courts of, the State of New York. The provisions of this Article shall survive the Expiration Date or sooner termination of this Lease.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ARTICLE 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Other Waiver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27.01 </w:t>
      </w:r>
      <w:r>
        <w:rPr>
          <w:rFonts w:ascii="Arial" w:cs="Arial" w:eastAsia="Arial" w:hAnsi="Arial"/>
          <w:sz w:val="17"/>
          <w:szCs w:val="17"/>
          <w:color w:val="auto"/>
        </w:rPr>
        <w:t>The failure of either party to insist in any instance upon the strict performance of any term of this Lease, or to exercise any right herein</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shall not be construed as a waiver or relinquishment for the future of the performance of such obligation of this Lease or of the right to exercise any such right, but the same shall continue and remain in full force and effect with respect to any subsequent breach, act or omission.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27.02 </w:t>
      </w:r>
      <w:r>
        <w:rPr>
          <w:rFonts w:ascii="Arial" w:cs="Arial" w:eastAsia="Arial" w:hAnsi="Arial"/>
          <w:sz w:val="18"/>
          <w:szCs w:val="18"/>
          <w:color w:val="auto"/>
        </w:rPr>
        <w:t>The following specific provisions of this Section shall not limit the generality of the provisions of this Article:</w:t>
      </w:r>
    </w:p>
    <w:p>
      <w:pPr>
        <w:spacing w:after="0" w:line="229" w:lineRule="exact"/>
        <w:rPr>
          <w:sz w:val="20"/>
          <w:szCs w:val="20"/>
          <w:color w:val="auto"/>
        </w:rPr>
      </w:pPr>
    </w:p>
    <w:p>
      <w:pPr>
        <w:jc w:val="both"/>
        <w:ind w:firstLine="759"/>
        <w:spacing w:after="0" w:line="276" w:lineRule="auto"/>
        <w:tabs>
          <w:tab w:leader="none" w:pos="1002" w:val="left"/>
        </w:tabs>
        <w:numPr>
          <w:ilvl w:val="1"/>
          <w:numId w:val="156"/>
        </w:numPr>
        <w:rPr>
          <w:rFonts w:ascii="Arial" w:cs="Arial" w:eastAsia="Arial" w:hAnsi="Arial"/>
          <w:sz w:val="17"/>
          <w:szCs w:val="17"/>
          <w:color w:val="auto"/>
        </w:rPr>
      </w:pPr>
      <w:r>
        <w:rPr>
          <w:rFonts w:ascii="Arial" w:cs="Arial" w:eastAsia="Arial" w:hAnsi="Arial"/>
          <w:sz w:val="17"/>
          <w:szCs w:val="17"/>
          <w:color w:val="auto"/>
        </w:rPr>
        <w:t>No agreement to accept a surrender of all or any part of the Premises or this Lease shall be valid unless in writing and signed by Landlord. No delivery of keys shall operate as a termination of this Lease or a surrender of the Premises or this Lease. Without limiting the generality of the preceding sentence, if, subject to the provisions of Article 22, Tenant shall at any time request Landlord to sublet the Premises for Tenant's account, Landlord or Landlord's agent is authorized to receive said keys for such purpose without releasing Tenant from any of its obligations under this Lease, and Tenant hereby releases Landlord from any liability for loss or damage to any of Tenant's Property in connection with such subletting.</w:t>
      </w:r>
    </w:p>
    <w:p>
      <w:pPr>
        <w:spacing w:after="0" w:line="172" w:lineRule="exact"/>
        <w:rPr>
          <w:rFonts w:ascii="Arial" w:cs="Arial" w:eastAsia="Arial" w:hAnsi="Arial"/>
          <w:sz w:val="17"/>
          <w:szCs w:val="17"/>
          <w:color w:val="auto"/>
        </w:rPr>
      </w:pPr>
    </w:p>
    <w:p>
      <w:pPr>
        <w:ind w:left="1020" w:hanging="255"/>
        <w:spacing w:after="0"/>
        <w:tabs>
          <w:tab w:leader="none" w:pos="102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receipt or acceptance by Landlord of rent with knowledge of breach by Tenant of any term of this Lease shall not be deemed a waiver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breach.</w:t>
      </w:r>
    </w:p>
    <w:p>
      <w:pPr>
        <w:spacing w:after="0" w:line="210" w:lineRule="exact"/>
        <w:rPr>
          <w:rFonts w:ascii="Arial" w:cs="Arial" w:eastAsia="Arial" w:hAnsi="Arial"/>
          <w:sz w:val="16"/>
          <w:szCs w:val="16"/>
          <w:color w:val="auto"/>
        </w:rPr>
      </w:pPr>
    </w:p>
    <w:p>
      <w:pPr>
        <w:jc w:val="both"/>
        <w:ind w:firstLine="762"/>
        <w:spacing w:after="0" w:line="286" w:lineRule="auto"/>
        <w:tabs>
          <w:tab w:leader="none" w:pos="1007" w:val="left"/>
        </w:tabs>
        <w:numPr>
          <w:ilvl w:val="1"/>
          <w:numId w:val="156"/>
        </w:numPr>
        <w:rPr>
          <w:rFonts w:ascii="Arial" w:cs="Arial" w:eastAsia="Arial" w:hAnsi="Arial"/>
          <w:sz w:val="17"/>
          <w:szCs w:val="17"/>
          <w:color w:val="auto"/>
        </w:rPr>
      </w:pPr>
      <w:r>
        <w:rPr>
          <w:rFonts w:ascii="Arial" w:cs="Arial" w:eastAsia="Arial" w:hAnsi="Arial"/>
          <w:sz w:val="17"/>
          <w:szCs w:val="17"/>
          <w:color w:val="auto"/>
        </w:rPr>
        <w:t>No payment by Tenant or receipt by Landlord of a lesser amount than the correct rent shall be deemed to be other than a payment on account, nor shall any endorsement or statement on any check or any accompanying letter be deemed to effect or evidence an accord and satisfaction, and Landlord may accept such check or payment without prejudice to Landlord's right to recover the balance or pursue any other right of Landlord.</w:t>
      </w:r>
    </w:p>
    <w:p>
      <w:pPr>
        <w:spacing w:after="0" w:line="165" w:lineRule="exact"/>
        <w:rPr>
          <w:rFonts w:ascii="Arial" w:cs="Arial" w:eastAsia="Arial" w:hAnsi="Arial"/>
          <w:sz w:val="17"/>
          <w:szCs w:val="17"/>
          <w:color w:val="auto"/>
        </w:rPr>
      </w:pPr>
    </w:p>
    <w:p>
      <w:pPr>
        <w:jc w:val="both"/>
        <w:ind w:firstLine="775"/>
        <w:spacing w:after="0" w:line="255" w:lineRule="auto"/>
        <w:tabs>
          <w:tab w:leader="none" w:pos="1037" w:val="left"/>
        </w:tabs>
        <w:numPr>
          <w:ilvl w:val="2"/>
          <w:numId w:val="156"/>
        </w:numPr>
        <w:rPr>
          <w:rFonts w:ascii="Arial" w:cs="Arial" w:eastAsia="Arial" w:hAnsi="Arial"/>
          <w:sz w:val="18"/>
          <w:szCs w:val="18"/>
          <w:color w:val="auto"/>
        </w:rPr>
      </w:pPr>
      <w:r>
        <w:rPr>
          <w:rFonts w:ascii="Arial" w:cs="Arial" w:eastAsia="Arial" w:hAnsi="Arial"/>
          <w:sz w:val="18"/>
          <w:szCs w:val="18"/>
          <w:color w:val="auto"/>
        </w:rPr>
        <w:t>Neither any option granted to Tenant in this Lease or in any collateral instrument to renew or extend the Term, nor the exercise of any such option by Tenant, shall prevent Landlord from exercising any option or right granted or reserved to Landlord in this Lease or in any collateral instrument or that Landlord may otherwise have, to terminate this Lease or any renewal or extended term. Any termination of this Lease shall serve to terminate any such renewal or extension, whether or not Tenant shall have exercised any option to renew or extend the Term. Any such option or right on the part of Landlord to terminate this Lease shall continue during any extension or renewal of the Term. No option granted to Tenant to renew or extend the Term shall be deemed to give Tenant any further option to renew or extend the Term.</w:t>
      </w:r>
    </w:p>
    <w:p>
      <w:pPr>
        <w:spacing w:after="0" w:line="193" w:lineRule="exact"/>
        <w:rPr>
          <w:rFonts w:ascii="Arial" w:cs="Arial" w:eastAsia="Arial" w:hAnsi="Arial"/>
          <w:sz w:val="18"/>
          <w:szCs w:val="18"/>
          <w:color w:val="auto"/>
        </w:rPr>
      </w:pPr>
    </w:p>
    <w:p>
      <w:pPr>
        <w:ind w:left="1000" w:hanging="254"/>
        <w:spacing w:after="0"/>
        <w:tabs>
          <w:tab w:leader="none" w:pos="10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waiver by Landlord in favor of any other tenant or occupant of the Building shall constitute a waiver in favor of the Tenant named herein.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Arbitration</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28.01 </w:t>
      </w:r>
      <w:r>
        <w:rPr>
          <w:rFonts w:ascii="Arial" w:cs="Arial" w:eastAsia="Arial" w:hAnsi="Arial"/>
          <w:sz w:val="18"/>
          <w:szCs w:val="18"/>
          <w:color w:val="auto"/>
        </w:rPr>
        <w:t>Either party may request arbitration of any matter in dispute wherein arbitration is expressly provided in this lease as the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remedy. The party requesting arbitration shall do so by giving notice to that effect to the other party, and both parties shall promptly thereafter jointly apply to the American Arbitration Association (or any organization successor thereto) in the City and County of New York, Borough of Manhattan, for the appointment of a single arbitrator.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28.02 </w:t>
      </w:r>
      <w:r>
        <w:rPr>
          <w:rFonts w:ascii="Arial" w:cs="Arial" w:eastAsia="Arial" w:hAnsi="Arial"/>
          <w:sz w:val="18"/>
          <w:szCs w:val="18"/>
          <w:color w:val="auto"/>
        </w:rPr>
        <w:t>The arbitration shall be conducted in accordance with the then prevailing rules of the American Arbitration Association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successor thereto) in the City and County of New York, Borough of Manhattan. In rendering such decision and award, the arbitrator shall not add to, subtract from or otherwise modify the provisions of this Lease.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28.03 </w:t>
      </w:r>
      <w:r>
        <w:rPr>
          <w:rFonts w:ascii="Arial" w:cs="Arial" w:eastAsia="Arial" w:hAnsi="Arial"/>
          <w:sz w:val="18"/>
          <w:szCs w:val="18"/>
          <w:color w:val="auto"/>
        </w:rPr>
        <w:t>If for any reason whatsoever a written decision and award of the arbitrator shall not be rendered within ninety (90)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such arbitrator, then at any time thereafter before such decision and award shall have been rendered either party may apply to the Supreme Court of the State of New York or to any other court having jurisdiction and exercising the functions similar to those now exercised by such court, by action, proceeding or otherwise (but not by a new arbitration proceeding) as may be proper to determine the question in dispute consistently with the provisions of this Lease.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7" w:name="page158"/>
    <w:bookmarkEnd w:id="157"/>
    <w:p>
      <w:pPr>
        <w:ind w:left="660"/>
        <w:spacing w:after="0"/>
        <w:rPr>
          <w:sz w:val="20"/>
          <w:szCs w:val="20"/>
          <w:color w:val="auto"/>
        </w:rPr>
      </w:pPr>
      <w:r>
        <w:rPr>
          <w:rFonts w:ascii="Arial" w:cs="Arial" w:eastAsia="Arial" w:hAnsi="Arial"/>
          <w:sz w:val="18"/>
          <w:szCs w:val="18"/>
          <w:b w:val="1"/>
          <w:bCs w:val="1"/>
          <w:color w:val="auto"/>
        </w:rPr>
        <w:t xml:space="preserve">Section 28.04 </w:t>
      </w:r>
      <w:r>
        <w:rPr>
          <w:rFonts w:ascii="Arial" w:cs="Arial" w:eastAsia="Arial" w:hAnsi="Arial"/>
          <w:sz w:val="18"/>
          <w:szCs w:val="18"/>
          <w:color w:val="auto"/>
        </w:rPr>
        <w:t>All the expenses of the arbitration shall be borne by the parties equally.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Quiet Enjoyment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29.01 </w:t>
      </w:r>
      <w:r>
        <w:rPr>
          <w:rFonts w:ascii="Arial" w:cs="Arial" w:eastAsia="Arial" w:hAnsi="Arial"/>
          <w:sz w:val="16"/>
          <w:szCs w:val="16"/>
          <w:color w:val="auto"/>
        </w:rPr>
        <w:t>If, and so long as, Tenant pays the rent and keeps, observes and performs each and every term of this Lease on the part of Tenant, to be</w:t>
      </w:r>
      <w:r>
        <w:rPr>
          <w:rFonts w:ascii="Arial" w:cs="Arial" w:eastAsia="Arial" w:hAnsi="Arial"/>
          <w:sz w:val="16"/>
          <w:szCs w:val="16"/>
          <w:b w:val="1"/>
          <w:bCs w:val="1"/>
          <w:color w:val="auto"/>
        </w:rPr>
        <w:t xml:space="preserve"> </w:t>
      </w:r>
      <w:r>
        <w:rPr>
          <w:rFonts w:ascii="Arial" w:cs="Arial" w:eastAsia="Arial" w:hAnsi="Arial"/>
          <w:sz w:val="16"/>
          <w:szCs w:val="16"/>
          <w:color w:val="auto"/>
        </w:rPr>
        <w:t>kept, observed and performed, Tenant shall peaceably and quietly enjoy the Premises throughout the Term without hindrance by Landlord or any person lawfully claiming through or under Landlord, subject to the terms of this Lease and of the Superior Lease and the Superior Mortgage.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covenant shall be construed as a covenant running with the Land and shall not be construed as a personal covenant or obligation of Landlord, except to the extent of Landlord's interest in this lease and then subject to the terms of Section 43.02.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30.01 </w:t>
      </w:r>
      <w:r>
        <w:rPr>
          <w:rFonts w:ascii="Arial" w:cs="Arial" w:eastAsia="Arial" w:hAnsi="Arial"/>
          <w:sz w:val="16"/>
          <w:szCs w:val="16"/>
          <w:color w:val="auto"/>
        </w:rPr>
        <w:t>Tenant and its employees, agents, invitees and licensees shall faithfully observe and strictly comply with, and shall not permit</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of, the Rules and Regulations annexed hereto as Exhibit E, and such changes therein and additions thereto as Landlord hereafter may make and communicate to Tenant ("Rules and Regulations"). Tenant's right to dispute the reasonableness of any changes in the Rules and Regulations and additional Rules and Regulations shall be deemed waived unless asserted to Landlord within 30 days after Landlord shall have given Tenant notice of the adoption of any such additional Rules and Regulations. In case of any conflict or inconsistency between the provisions of this Lease and any Rules and Regulations, the provisions of this Lease shall control. Landlord shall have no duty or obligation to enforce any Rule or Regulation, or any term, covenant or condition of any lease, against any other tenant, and Landlord's failure or refusal to enforce any Rule or Regulation, or any term, covenant or condition of any other lease against any other tenant shall be without liability of Landlord to Tenant. Landlord shall not discriminate against Tenant in the enforcement of the Rules and Regulations, nor shall Tenant be required to comply with any Rules and Regulations which would prevent Tenant's permitted use hereunder of the Premises.</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30.02 </w:t>
      </w:r>
      <w:r>
        <w:rPr>
          <w:rFonts w:ascii="Arial" w:cs="Arial" w:eastAsia="Arial" w:hAnsi="Arial"/>
          <w:sz w:val="18"/>
          <w:szCs w:val="18"/>
          <w:color w:val="auto"/>
        </w:rPr>
        <w:t>Notwithstanding anything to the contrary in any of the Rules and Regulations, whenever Landlord shall claim by notice to Tenant that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is violating any of the provisions of the Rules and Regulations and Tenant shall in good faith dispute such claim to Landlord within 10 days after service of Landlord's notice of the violation, the dispute shall be determined by arbitration pursuant to Article 28.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Name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31.01 </w:t>
      </w:r>
      <w:r>
        <w:rPr>
          <w:rFonts w:ascii="Arial" w:cs="Arial" w:eastAsia="Arial" w:hAnsi="Arial"/>
          <w:sz w:val="18"/>
          <w:szCs w:val="18"/>
          <w:color w:val="auto"/>
        </w:rPr>
        <w:t>The Building may be designated and known by any name or address Landlord may choose and such designated name or address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changed from time to time in Landlord's sole discretion. Tenant agrees not to refer to the Building by any name or address other than as designated by Landlord. The Building may be named after any person, firm or otherwise, whether or not such name is, or resembles, the name of a tenant of the Building. In no event shall Tenant use, in connection with its business or otherwise, any photographic or other type of representation of the Building. In the event the Building is named after any person, firm or otherwise. Tenant, in connection with its business or otherwise, shall not refer to the Building by such name but shall only use the street address of the Building.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ARTICLE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Shoring; No Dedication</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32.01 </w:t>
      </w:r>
      <w:r>
        <w:rPr>
          <w:rFonts w:ascii="Arial" w:cs="Arial" w:eastAsia="Arial" w:hAnsi="Arial"/>
          <w:sz w:val="16"/>
          <w:szCs w:val="16"/>
          <w:color w:val="auto"/>
        </w:rPr>
        <w:t>If an excavation or other substructure work shall be undertaken or authorized upon the land adjacent to the Building or in the vaults</w:t>
      </w:r>
      <w:r>
        <w:rPr>
          <w:rFonts w:ascii="Arial" w:cs="Arial" w:eastAsia="Arial" w:hAnsi="Arial"/>
          <w:sz w:val="16"/>
          <w:szCs w:val="16"/>
          <w:b w:val="1"/>
          <w:bCs w:val="1"/>
          <w:color w:val="auto"/>
        </w:rPr>
        <w:t xml:space="preserve"> </w:t>
      </w:r>
      <w:r>
        <w:rPr>
          <w:rFonts w:ascii="Arial" w:cs="Arial" w:eastAsia="Arial" w:hAnsi="Arial"/>
          <w:sz w:val="16"/>
          <w:szCs w:val="16"/>
          <w:color w:val="auto"/>
        </w:rPr>
        <w:t>beneath the Building or in subsurface space adjacent to said vaults, Tenant, without liability on the part of Landlord therefor, shall upon reasonable prior notice by Landlord to Tenant (except in the event of an emergency) afford Landlord or the person causing such excavation or other substructure work, license to enter upon the Premises for the purpose of doing such work as Landlord or such person shall deem necessary to protect any of the walls or structures of the Building or surrounding land from injury or damage and to support the same by proper foundations, pinning and/or underpinning, and, except in case of emergency, Landlord shall endeavor to have such entry accomplished during reasonable hours in the presence of a representative of Tenant, who shall be designated by Tenant promptly upon Landlord's request. Such license to enter shall be without liability of Landlord to Tenant.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32.02 </w:t>
      </w:r>
      <w:r>
        <w:rPr>
          <w:rFonts w:ascii="Arial" w:cs="Arial" w:eastAsia="Arial" w:hAnsi="Arial"/>
          <w:sz w:val="18"/>
          <w:szCs w:val="18"/>
          <w:color w:val="auto"/>
        </w:rPr>
        <w:t>Landlord shall have the right to erect any gate, chain or other obstruction or to close off any portion of the Real Property to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to the extent necessary to prevent a dedication thereof for public use.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Accidents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33.01 </w:t>
      </w:r>
      <w:r>
        <w:rPr>
          <w:rFonts w:ascii="Arial" w:cs="Arial" w:eastAsia="Arial" w:hAnsi="Arial"/>
          <w:sz w:val="17"/>
          <w:szCs w:val="17"/>
          <w:color w:val="auto"/>
        </w:rPr>
        <w:t>Tenant shall give notice to Landlord, promptly after Tenant learns thereof, of any accident, emergency, occurrence for which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might be liable, fire or other casualty and all damages to or defects in the Premises, the Building or the Building Equipment for the repair of which Landlord might be responsible or which constitutes Landlord's property. Such notice shall be given in accordance with Article 39.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Vaults</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34.01 </w:t>
      </w:r>
      <w:r>
        <w:rPr>
          <w:rFonts w:ascii="Arial" w:cs="Arial" w:eastAsia="Arial" w:hAnsi="Arial"/>
          <w:sz w:val="16"/>
          <w:szCs w:val="16"/>
          <w:color w:val="auto"/>
        </w:rPr>
        <w:t>No vaults, vault space or other space not within the property line of the Building is leased hereunder notwithstanding anything</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or indicated on any sketch, blueprint or plan, or elsewhere in this Lease to the contrary. Landlord makes no representation as to the location of the property line of the Building. All vaults and vault space and all other space not within the property line of the Building, which Tenant may be permitted to use and/or occupy, are to be used and/or occupied under a license revocable by Landlord on 10 days' notice to Tenant, and if any such license shall be revoked by Landlord, or if the amount of any such vaults, vault space or other space shall be diminished or required by any federal, state or municipal authority or public utility, Landlord shall be without liability to Tenant. Any fee, tax or charge imposed by any governmental authority for any such vault, vault space or other space, to the extent actually used by Tenant, shall be paid by Tenant, as Additional Rent, within five (5) days after Landlord's demand therefor.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Brokerage</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35.01 </w:t>
      </w:r>
      <w:r>
        <w:rPr>
          <w:rFonts w:ascii="Arial" w:cs="Arial" w:eastAsia="Arial" w:hAnsi="Arial"/>
          <w:sz w:val="16"/>
          <w:szCs w:val="16"/>
          <w:color w:val="auto"/>
        </w:rPr>
        <w:t>Tenant represents that in the negotiation of this Lease it dealt with no brokers other than JRT Realty Group, Inc. and Winslow &amp;</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LLC and that as far as Tenant is aware said brokers are the sole brokers who negotiated this Lease. Landlord agrees to pay said brokers a commission in accordance with a separate agreement. Tenant hereby indemnifies Landlord against liability arising out of any inaccuracy or alleged inaccuracy of the above representation. Landlord shall have no liability for brokerage commissions arising out of an assignment or a sublease by Tenant and Tenant shall and does hereby indemnify Landlord and hold it harmless from any and all liability for brokerage commissions arising out of any such assignment or sublease. The covenants, representations and agreements of Tenant set forth in this Section 35.01 shall survive the termination of this Lease.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ARTICLE 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Deposit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36.01 </w:t>
      </w:r>
      <w:r>
        <w:rPr>
          <w:rFonts w:ascii="Arial" w:cs="Arial" w:eastAsia="Arial" w:hAnsi="Arial"/>
          <w:sz w:val="16"/>
          <w:szCs w:val="16"/>
          <w:color w:val="auto"/>
        </w:rPr>
        <w:t>Tenant has deposited with Landlord the sum of $45,658.66 (if by check subject to collection) or by Letter of Credit as security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full and punctual performance by Tenant of all of the terms of this Lease. Landlord shall deposit such security deposit in an interest bearing account in a financial institution to be selected by Landlord in its sole discretion. Landlord shall be entitled to receive as an administrative expense, a sum equal to one (1%) percent per annum (but only in the event annual interest on such account is in excess of one (1%) percent per annum) upon such security deposit, the interest to be credited to Tenant annually. In the event Tenant defaults in the performance of any of the terms of this Lease, including the payment of rent, Landlord may after written notice to Tenant, use, apply or retain the whole or any part of the security so deposited or may notify the Issuing Bank (as defined in Section 36.02) and thereupon receive all or a portion of the monies represented by said Letter of Credit, and may use, apply or retain the whole or any part of such proceeds, as the case may be, to the extent required for the payment of any rent or for any sum which Landlord may expend or may be required to expend by reason of Tenant's default in respect of any of the terms of this Lease, including any damages or deficiency in the re-letting of the Premises, whether accruing before or after summary proceedings or other re-entry by Landlord. In the case of every such use, application or retention, Tenant shall, on demand, pay to Landlord the sum so used, applied or retained which shall be added to the security deposit so that the same shall be replenished to its former amount. as security for the full and punctual performance by Tenant of all of the terms of this Lease. If Tenant shall fully and punctually comply with all of the terms of this Lease, the cash security, or the Letter of Credit, as the case may be, together with any accrued interest thereon, less any administrative expenses to which Landlord is entitled pursuant to this Article 36, shall be promptly returned to Tenant after the termination of this Lease and delivery of exclusive possession of the Premises to Landlord. In the event of a sale or lease of the building, Landlord shall have the right to transfer the cash security, or the Letter of Credit, as the case may be, to the vendee or lessee and Landlord shall ipso facto be released by Tenant from all liability accruing from and after the date of such transfer for the return of such security; and Tenant agrees to look solely to the new landlord for the return of said security; and it is agreed that the provisions hereof shall apply to every transfer or assignment made of the security to a new landlord. Tenant shall not assign or encumber or attempt to assign or encumber the monies deposited herein as security and neither Landlord nor its successors or assigns shall be bound by any such assignment, encumbrance or attempted assignment or encumbrance. Tenant shall contemporaneously with its execution of this Lease, deliver to Landlord a duly executed IRS form W-9 setting forth Tenant’s social security number or employer identification number, as the case may be (or such other forms as may from time to time be promulgated by the Internal Revenue Service for such purpose).</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36.02 </w:t>
      </w:r>
      <w:r>
        <w:rPr>
          <w:rFonts w:ascii="Arial" w:cs="Arial" w:eastAsia="Arial" w:hAnsi="Arial"/>
          <w:sz w:val="17"/>
          <w:szCs w:val="17"/>
          <w:color w:val="auto"/>
        </w:rPr>
        <w:t>In lieu of a cash deposit, Tenant may deliver to Landlord a clean and irrevocable Letter of Credit issued by and drawn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bank which is a member of the New York Clearing House Association with offices for banking purposes in the City of New York (the </w:t>
      </w:r>
      <w:r>
        <w:rPr>
          <w:rFonts w:ascii="Arial" w:cs="Arial" w:eastAsia="Arial" w:hAnsi="Arial"/>
          <w:sz w:val="17"/>
          <w:szCs w:val="17"/>
          <w:b w:val="1"/>
          <w:bCs w:val="1"/>
          <w:color w:val="auto"/>
        </w:rPr>
        <w:t>“Issuing</w:t>
      </w:r>
      <w:r>
        <w:rPr>
          <w:rFonts w:ascii="Arial" w:cs="Arial" w:eastAsia="Arial" w:hAnsi="Arial"/>
          <w:sz w:val="17"/>
          <w:szCs w:val="17"/>
          <w:color w:val="auto"/>
        </w:rPr>
        <w:t xml:space="preserve"> </w:t>
      </w:r>
      <w:r>
        <w:rPr>
          <w:rFonts w:ascii="Arial" w:cs="Arial" w:eastAsia="Arial" w:hAnsi="Arial"/>
          <w:sz w:val="17"/>
          <w:szCs w:val="17"/>
          <w:b w:val="1"/>
          <w:bCs w:val="1"/>
          <w:color w:val="auto"/>
        </w:rPr>
        <w:t>Bank”</w:t>
      </w:r>
      <w:r>
        <w:rPr>
          <w:rFonts w:ascii="Arial" w:cs="Arial" w:eastAsia="Arial" w:hAnsi="Arial"/>
          <w:sz w:val="17"/>
          <w:szCs w:val="17"/>
          <w:color w:val="auto"/>
        </w:rPr>
        <w:t>), which is satisfactory to Landlord and which satisfies both the Minimum Rating Agency Threshold (as hereinafter defined) and the Minimum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Threshold (as hereinafter defined). The “</w:t>
      </w:r>
      <w:r>
        <w:rPr>
          <w:rFonts w:ascii="Arial" w:cs="Arial" w:eastAsia="Arial" w:hAnsi="Arial"/>
          <w:sz w:val="17"/>
          <w:szCs w:val="17"/>
          <w:b w:val="1"/>
          <w:bCs w:val="1"/>
          <w:color w:val="auto"/>
        </w:rPr>
        <w:t>Minimum Rating Agency Threshold</w:t>
      </w:r>
      <w:r>
        <w:rPr>
          <w:rFonts w:ascii="Arial" w:cs="Arial" w:eastAsia="Arial" w:hAnsi="Arial"/>
          <w:sz w:val="17"/>
          <w:szCs w:val="17"/>
          <w:color w:val="auto"/>
        </w:rPr>
        <w:t>”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discretion. The “</w:t>
      </w:r>
      <w:r>
        <w:rPr>
          <w:rFonts w:ascii="Arial" w:cs="Arial" w:eastAsia="Arial" w:hAnsi="Arial"/>
          <w:sz w:val="17"/>
          <w:szCs w:val="17"/>
          <w:b w:val="1"/>
          <w:bCs w:val="1"/>
          <w:color w:val="auto"/>
        </w:rPr>
        <w:t>Minimum Capital Threshold</w:t>
      </w:r>
      <w:r>
        <w:rPr>
          <w:rFonts w:ascii="Arial" w:cs="Arial" w:eastAsia="Arial" w:hAnsi="Arial"/>
          <w:sz w:val="17"/>
          <w:szCs w:val="17"/>
          <w:color w:val="auto"/>
        </w:rPr>
        <w:t>” shall mean that the Issuing Bank has combined capital, surplus and undivided profits of not less than $2,000,000,000.</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at any time or from time to time, Landlord determines that an Issuing Bank (i) no longer satisfies the Minimum Rating Agency Threshold, (ii) no longer satisfies the Minimum Capital Threshold, (iii) has been seized or closed by the Federal Reserve Board, the Federal Deposit Insurance Corporation, the Office of the Comptroller of the Currency, or another governmental or regulatory agency or authority, (iv) has become insolvent, or (v) is unwilling or unable to honor the Letter of Credit or to perform its obligations to honor a draw upon the Letter of Credit, then within five (5) days after demand, Tenant shall deliver to Landlord a replacement Letter of Credit, issued by a replacement Issuing Bank which satisfies the Minimum Rating Agency Threshold and the Minimum Capital Threshold and is otherwise satisfactory to Landlord in its discretion.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0" w:name="page161"/>
    <w:bookmarkEnd w:id="160"/>
    <w:p>
      <w:pPr>
        <w:jc w:val="both"/>
        <w:spacing w:after="0" w:line="270" w:lineRule="auto"/>
        <w:rPr>
          <w:sz w:val="20"/>
          <w:szCs w:val="20"/>
          <w:color w:val="auto"/>
        </w:rPr>
      </w:pPr>
      <w:r>
        <w:rPr>
          <w:rFonts w:ascii="Arial" w:cs="Arial" w:eastAsia="Arial" w:hAnsi="Arial"/>
          <w:sz w:val="17"/>
          <w:szCs w:val="17"/>
          <w:color w:val="auto"/>
        </w:rPr>
        <w:t>Said Letter of Credit shall have a term of not less than one year, be in form and content reasonably satisfactory to Landlord and substantially in the form set forth in Exhibit H, be for the account of Landlord and be in the amount set forth in Sections 36.01. Tenant shall be required to maintain the Letter of Credit in full force and effect throughout the term of the Lease and the final expiry date for said Letter of Credit shall be no earlier than six months following the Expiration Date of the Lease. The Letter of Credit shall provide that it shall be deemed automatically renewed, without amendment, for consecutive periods of one year each thereafter during the term of this Lease, unless the Issuing Bank sends notice (the “Non-Renewal Notice”) to Landlord by certified mail, return receipt requested, not less than thirty (30) days next preceding the expiration date of the Letter of Credit that it elects not to have such Letter of Credit renewed. Landlord shall have the right, upon its receipt of the Non-Renewal Notice, by sight draft to the Issuing Bank, to receive the monies represented by the existing Letter of Credit and to hold such proceeds pursuant to Article 36 as cash security in accordance with the provisions of Section 36.01 or until a new Letter of Credit meeting the requirements of this Section 36.02 shall be tendered.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Window Cleaning</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37.01 </w:t>
      </w:r>
      <w:r>
        <w:rPr>
          <w:rFonts w:ascii="Arial" w:cs="Arial" w:eastAsia="Arial" w:hAnsi="Arial"/>
          <w:sz w:val="18"/>
          <w:szCs w:val="18"/>
          <w:color w:val="auto"/>
        </w:rPr>
        <w:t>Tenant will not clean nor require, permit, suffer or allow any window in the Premises to be cleaned from the outside in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202 of the Labor Law or any other applicable law or of the Rules of the Board of Standards and Appeals, or of any other Board or body having or asserting jurisdiction.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38.01 </w:t>
      </w:r>
      <w:r>
        <w:rPr>
          <w:rFonts w:ascii="Arial" w:cs="Arial" w:eastAsia="Arial" w:hAnsi="Arial"/>
          <w:sz w:val="18"/>
          <w:szCs w:val="18"/>
          <w:color w:val="auto"/>
        </w:rPr>
        <w:t>Wherever it is specifically provided in this Lease that a party's consent is not to be unreasonably withheld, a response to a request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consent shall also not be unreasonably delayed. If either Landlord or Tenant considers that the other has unreasonably withheld or delayed a consent, it shall so notify the other party within 10 days after receipt of notice of denial of the requested consent or, in case notice of denial is not received, within 20 days after making its request for the consent.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38.02 </w:t>
      </w:r>
      <w:r>
        <w:rPr>
          <w:rFonts w:ascii="Arial" w:cs="Arial" w:eastAsia="Arial" w:hAnsi="Arial"/>
          <w:sz w:val="18"/>
          <w:szCs w:val="18"/>
          <w:color w:val="auto"/>
        </w:rPr>
        <w:t>Tenant hereby waives any claim against Landlord which it may have based upon any assertion that Landlord has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or unreasonably delayed any such consent, and Tenant agrees that its sole remedy shall be an action or proceeding to enforce any such provision or for specific performance, injunction or declaratory judgment. In the event of such determination, the requested consent shall be deemed to have been granted; however, Landlord shall have no liability to Tenant for its refusal or failure to give such consent. The sole remedy for Landlord's unreasonably withholding or delaying of consent shall be as provided in this Section.</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38.03 </w:t>
      </w:r>
      <w:r>
        <w:rPr>
          <w:rFonts w:ascii="Arial" w:cs="Arial" w:eastAsia="Arial" w:hAnsi="Arial"/>
          <w:sz w:val="18"/>
          <w:szCs w:val="18"/>
          <w:color w:val="auto"/>
        </w:rPr>
        <w:t>Notwithstanding anything to the contrary provided in this Lease, in any instance where the consent of the Superior Lessor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Superior Mortgagee is required Landlord shall not be required to give its consent until and unless the Superior Lessor and/or the Superior Mortgagee has given its consent.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39.01 </w:t>
      </w:r>
      <w:r>
        <w:rPr>
          <w:rFonts w:ascii="Arial" w:cs="Arial" w:eastAsia="Arial" w:hAnsi="Arial"/>
          <w:sz w:val="18"/>
          <w:szCs w:val="18"/>
          <w:color w:val="auto"/>
        </w:rPr>
        <w:t>A. Except as otherwise expressly provided in this Lease or pursuant to any Legal Requirement, any bills, statements,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demands, requests, consents or other communications (collectively, "notices") given or required to be given under or in connection with this Lease or pursuant to any Legal Requirement shall be effective only if in writing and,</w:t>
      </w:r>
    </w:p>
    <w:p>
      <w:pPr>
        <w:spacing w:after="0" w:line="180" w:lineRule="exact"/>
        <w:rPr>
          <w:sz w:val="20"/>
          <w:szCs w:val="20"/>
          <w:color w:val="auto"/>
        </w:rPr>
      </w:pPr>
    </w:p>
    <w:p>
      <w:pPr>
        <w:jc w:val="both"/>
        <w:ind w:firstLine="656"/>
        <w:spacing w:after="0" w:line="255" w:lineRule="auto"/>
        <w:tabs>
          <w:tab w:leader="none" w:pos="9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to Tenant, then, at the option of Landlord, (i) sent by registered or certified mail, return receipt requested, postage prepaid, addressed to Tenant's address as set forth in this Lease if mailed prior to the Commencement Date or at the Building if subsequent to the Commencement Date, or to such other address as Tenant may designate for such purpose by like notice, or (ii) delivered personally to Tenant, (b) if to Landlord, sent by registered or certified mail, return receipt requested, postage prepaid, to Landlord's address as set forth in this Lease, or to such other or further address or addresses as Landlord may designate for such purpose by like notice; or (c) if to any other person, sent by registered or certified mail, return receipt requested and postage prepaid addressed to such person's last known principal address or to such other address as such person may designate to Landlord and Tenant as its address for such purpose by like notice.</w:t>
      </w:r>
    </w:p>
    <w:p>
      <w:pPr>
        <w:spacing w:after="0" w:line="189" w:lineRule="exact"/>
        <w:rPr>
          <w:rFonts w:ascii="Arial" w:cs="Arial" w:eastAsia="Arial" w:hAnsi="Arial"/>
          <w:sz w:val="18"/>
          <w:szCs w:val="18"/>
          <w:color w:val="auto"/>
        </w:rPr>
      </w:pPr>
    </w:p>
    <w:p>
      <w:pPr>
        <w:jc w:val="both"/>
        <w:ind w:firstLine="1629"/>
        <w:spacing w:after="0" w:line="259" w:lineRule="auto"/>
        <w:tabs>
          <w:tab w:leader="none" w:pos="183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Notices shall be deemed to have been rendered or given (a) on the date delivered, if delivered to Tenant personally, or (b) on the date mailed, if mailed as provided in this Section, unless mailed outside of The City of New York, in which case it shall be deemed to have been rendered or given 3 business days after mailing. Notices given by counsel for either party or by Landlord’s managing agent, JRT Realty Group, Inc. shall be deemed valid notices if addressed and sent in accordance with the provisions of this Article.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ARTICLE 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Construction of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40.01 </w:t>
      </w:r>
      <w:r>
        <w:rPr>
          <w:rFonts w:ascii="Arial" w:cs="Arial" w:eastAsia="Arial" w:hAnsi="Arial"/>
          <w:sz w:val="18"/>
          <w:szCs w:val="18"/>
          <w:color w:val="auto"/>
        </w:rPr>
        <w:t>For the purposes of this Lease and all agreements supplemental to this Lease:</w:t>
      </w:r>
    </w:p>
    <w:p>
      <w:pPr>
        <w:spacing w:after="0" w:line="229" w:lineRule="exact"/>
        <w:rPr>
          <w:sz w:val="20"/>
          <w:szCs w:val="20"/>
          <w:color w:val="auto"/>
        </w:rPr>
      </w:pPr>
    </w:p>
    <w:p>
      <w:pPr>
        <w:ind w:left="1000" w:hanging="254"/>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"Additional Rent" shall have the meaning given in Section 3.01A.</w:t>
      </w:r>
    </w:p>
    <w:p>
      <w:pPr>
        <w:spacing w:after="0" w:line="225" w:lineRule="exact"/>
        <w:rPr>
          <w:rFonts w:ascii="Arial" w:cs="Arial" w:eastAsia="Arial" w:hAnsi="Arial"/>
          <w:sz w:val="18"/>
          <w:szCs w:val="18"/>
          <w:color w:val="auto"/>
        </w:rPr>
      </w:pPr>
    </w:p>
    <w:p>
      <w:pPr>
        <w:ind w:left="1000" w:hanging="254"/>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"after hours" shall have the meaning given in Section 12.02.</w:t>
      </w:r>
    </w:p>
    <w:p>
      <w:pPr>
        <w:spacing w:after="0" w:line="225" w:lineRule="exact"/>
        <w:rPr>
          <w:rFonts w:ascii="Arial" w:cs="Arial" w:eastAsia="Arial" w:hAnsi="Arial"/>
          <w:sz w:val="18"/>
          <w:szCs w:val="18"/>
          <w:color w:val="auto"/>
        </w:rPr>
      </w:pPr>
    </w:p>
    <w:p>
      <w:pPr>
        <w:jc w:val="both"/>
        <w:ind w:firstLine="746"/>
        <w:spacing w:after="0" w:line="264" w:lineRule="auto"/>
        <w:tabs>
          <w:tab w:leader="none" w:pos="98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"Basic Construction of the Building" mean in addition to the structure itself, the mechanical and electrical systems and the distribution thereof to locations from which each floor can be served, and the elevators, lobby and other common areas, and any other necessary construction, excepting only any materials or work to finish any portion for occupancy by particular tenants.</w:t>
      </w:r>
    </w:p>
    <w:p>
      <w:pPr>
        <w:spacing w:after="0" w:line="181" w:lineRule="exact"/>
        <w:rPr>
          <w:rFonts w:ascii="Arial" w:cs="Arial" w:eastAsia="Arial" w:hAnsi="Arial"/>
          <w:sz w:val="18"/>
          <w:szCs w:val="18"/>
          <w:color w:val="auto"/>
        </w:rPr>
      </w:pPr>
    </w:p>
    <w:p>
      <w:pPr>
        <w:ind w:left="1000" w:hanging="254"/>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"Building" shall have the meaning given in Section 1.01.</w:t>
      </w:r>
    </w:p>
    <w:p>
      <w:pPr>
        <w:spacing w:after="0" w:line="225" w:lineRule="exact"/>
        <w:rPr>
          <w:rFonts w:ascii="Arial" w:cs="Arial" w:eastAsia="Arial" w:hAnsi="Arial"/>
          <w:sz w:val="18"/>
          <w:szCs w:val="18"/>
          <w:color w:val="auto"/>
        </w:rPr>
      </w:pPr>
    </w:p>
    <w:p>
      <w:pPr>
        <w:jc w:val="both"/>
        <w:ind w:firstLine="806"/>
        <w:spacing w:after="0" w:line="255" w:lineRule="auto"/>
        <w:tabs>
          <w:tab w:leader="none" w:pos="107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"Building Equipment" shall mean all machinery, apparatus, equipment, personal property, fixtures and systems, of every kind and nature whatsoever now or hereafter attached to or used in connection with the operation or maintenance of the Building, including all electrical, heating, mechanical, sanitary, sprinkler, utility, power, plumbing, cleaning, fire prevention, refrigeration, ventilating, air cooling, air conditioning, elevator and escalator systems, apparatus and equipment, and any and all renewals and replacements of any thereof; but excluding, however, (i) Tenant's Property, (ii) property of any other tenant, (iii) property of contractors servicing the Building and (iv) improvements for water, gas, steam and electricity and other similar equipment owned by any public utility company or any governmental agency or body.</w:t>
      </w:r>
    </w:p>
    <w:p>
      <w:pPr>
        <w:spacing w:after="0" w:line="193" w:lineRule="exact"/>
        <w:rPr>
          <w:sz w:val="20"/>
          <w:szCs w:val="20"/>
          <w:color w:val="auto"/>
        </w:rPr>
      </w:pPr>
    </w:p>
    <w:p>
      <w:pPr>
        <w:ind w:left="980" w:hanging="234"/>
        <w:spacing w:after="0"/>
        <w:tabs>
          <w:tab w:leader="none" w:pos="9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"business days" and "business hours" shall have the respective meanings given in Section 12.01.</w:t>
      </w:r>
    </w:p>
    <w:p>
      <w:pPr>
        <w:spacing w:after="0" w:line="225" w:lineRule="exact"/>
        <w:rPr>
          <w:rFonts w:ascii="Arial" w:cs="Arial" w:eastAsia="Arial" w:hAnsi="Arial"/>
          <w:sz w:val="18"/>
          <w:szCs w:val="18"/>
          <w:color w:val="auto"/>
        </w:rPr>
      </w:pPr>
    </w:p>
    <w:p>
      <w:pPr>
        <w:ind w:left="1000" w:hanging="254"/>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"Commencement Date" shall have the meaning given in Section 2.01A.</w:t>
      </w:r>
    </w:p>
    <w:p>
      <w:pPr>
        <w:spacing w:after="0" w:line="225" w:lineRule="exact"/>
        <w:rPr>
          <w:rFonts w:ascii="Arial" w:cs="Arial" w:eastAsia="Arial" w:hAnsi="Arial"/>
          <w:sz w:val="18"/>
          <w:szCs w:val="18"/>
          <w:color w:val="auto"/>
        </w:rPr>
      </w:pPr>
    </w:p>
    <w:p>
      <w:pPr>
        <w:ind w:left="1000" w:hanging="254"/>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"Expiration Date" shall have the meaning given in Section 2.01A.</w:t>
      </w:r>
    </w:p>
    <w:p>
      <w:pPr>
        <w:spacing w:after="0" w:line="225" w:lineRule="exact"/>
        <w:rPr>
          <w:rFonts w:ascii="Arial" w:cs="Arial" w:eastAsia="Arial" w:hAnsi="Arial"/>
          <w:sz w:val="18"/>
          <w:szCs w:val="18"/>
          <w:color w:val="auto"/>
        </w:rPr>
      </w:pPr>
    </w:p>
    <w:p>
      <w:pPr>
        <w:jc w:val="both"/>
        <w:ind w:firstLine="747"/>
        <w:spacing w:after="0" w:line="276" w:lineRule="auto"/>
        <w:tabs>
          <w:tab w:leader="none" w:pos="9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"Declaration" shall mean the Declaration, dated July 27, 1981, made by Landlord, recorded in the Office of the Register of the City of New York on August 20, 1981, as No. 10726 in Reel 579 of conveyances at page 1641. The Declaration requires, among other things, that in the event the building known as 155 East 48th Street, New York, New York or the building now known as 150 East 49th Street, New York, New York shall be altered or reconstructed so as to come within a certain distance of the exterior wall openings on the west lot line of the Land, such exterior wall openings will be closed, at Landlord's expense, with construction meeting the fire resistance rating requirement for exterior wall construction.</w:t>
      </w:r>
    </w:p>
    <w:p>
      <w:pPr>
        <w:spacing w:after="0" w:line="173" w:lineRule="exact"/>
        <w:rPr>
          <w:sz w:val="20"/>
          <w:szCs w:val="20"/>
          <w:color w:val="auto"/>
        </w:rPr>
      </w:pPr>
    </w:p>
    <w:p>
      <w:pPr>
        <w:ind w:firstLine="769"/>
        <w:spacing w:after="0" w:line="277" w:lineRule="auto"/>
        <w:tabs>
          <w:tab w:leader="none" w:pos="9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"Fee Mortgage" shall mean, collectively, any mortgage which does not constitute a Superior Mortgage and which encumbers the Land and all renewals, modifications, replacements, substitutions, supplements, extensions, spreaders, and consolidations thereof.</w:t>
      </w:r>
    </w:p>
    <w:p>
      <w:pPr>
        <w:spacing w:after="0" w:line="170" w:lineRule="exact"/>
        <w:rPr>
          <w:sz w:val="20"/>
          <w:szCs w:val="20"/>
          <w:color w:val="auto"/>
        </w:rPr>
      </w:pPr>
    </w:p>
    <w:p>
      <w:pPr>
        <w:ind w:left="1000" w:hanging="254"/>
        <w:spacing w:after="0"/>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"Fee Mortgagee" shall mean, collectively, all holders at the time of the Fee Mortgage.</w:t>
      </w:r>
    </w:p>
    <w:p>
      <w:pPr>
        <w:spacing w:after="0" w:line="225" w:lineRule="exact"/>
        <w:rPr>
          <w:rFonts w:ascii="Arial" w:cs="Arial" w:eastAsia="Arial" w:hAnsi="Arial"/>
          <w:sz w:val="18"/>
          <w:szCs w:val="18"/>
          <w:color w:val="auto"/>
        </w:rPr>
      </w:pPr>
    </w:p>
    <w:p>
      <w:pPr>
        <w:ind w:left="960" w:hanging="214"/>
        <w:spacing w:after="0"/>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"Fixed Rent" shall have the meaning given in Section 3.01A.</w:t>
      </w:r>
    </w:p>
    <w:p>
      <w:pPr>
        <w:spacing w:after="0" w:line="225" w:lineRule="exact"/>
        <w:rPr>
          <w:rFonts w:ascii="Arial" w:cs="Arial" w:eastAsia="Arial" w:hAnsi="Arial"/>
          <w:sz w:val="18"/>
          <w:szCs w:val="18"/>
          <w:color w:val="auto"/>
        </w:rPr>
      </w:pPr>
    </w:p>
    <w:p>
      <w:pPr>
        <w:ind w:left="1060" w:hanging="314"/>
        <w:spacing w:after="0"/>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"Fixtures" shall have the meaning given in Section 10.07.</w:t>
      </w:r>
    </w:p>
    <w:p>
      <w:pPr>
        <w:spacing w:after="0" w:line="225" w:lineRule="exact"/>
        <w:rPr>
          <w:sz w:val="20"/>
          <w:szCs w:val="20"/>
          <w:color w:val="auto"/>
        </w:rPr>
      </w:pPr>
    </w:p>
    <w:p>
      <w:pPr>
        <w:jc w:val="both"/>
        <w:ind w:firstLine="809"/>
        <w:spacing w:after="0" w:line="264" w:lineRule="auto"/>
        <w:tabs>
          <w:tab w:leader="none" w:pos="108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"Force Majeure" shall mean any and all causes beyond Landlord's reasonable control, including delays caused by Tenant, other tenants, governmental restriction, regulation or control, labor dispute, strike, accident, mechanical breakdown, shortages or inability to obtain labor, fuel, steam, water, electricity or materials, acts of God, enemy action, civil commotion, fire or other casualty.</w:t>
      </w:r>
    </w:p>
    <w:p>
      <w:pPr>
        <w:spacing w:after="0" w:line="181" w:lineRule="exact"/>
        <w:rPr>
          <w:rFonts w:ascii="Arial" w:cs="Arial" w:eastAsia="Arial" w:hAnsi="Arial"/>
          <w:sz w:val="18"/>
          <w:szCs w:val="18"/>
          <w:color w:val="auto"/>
        </w:rPr>
      </w:pPr>
    </w:p>
    <w:p>
      <w:pPr>
        <w:ind w:left="1000" w:hanging="254"/>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"Guarantor", if any, shall mean any person(s) who guarantees any or all of Tenant's obligations under this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2" w:name="page163"/>
    <w:bookmarkEnd w:id="162"/>
    <w:p>
      <w:pPr>
        <w:ind w:left="1000" w:hanging="254"/>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"Improvements" shall mean improvements made by or on behalf of Tenant or any person claiming through or under Tenant.</w:t>
      </w:r>
    </w:p>
    <w:p>
      <w:pPr>
        <w:spacing w:after="0" w:line="225" w:lineRule="exact"/>
        <w:rPr>
          <w:rFonts w:ascii="Arial" w:cs="Arial" w:eastAsia="Arial" w:hAnsi="Arial"/>
          <w:sz w:val="18"/>
          <w:szCs w:val="18"/>
          <w:color w:val="auto"/>
        </w:rPr>
      </w:pPr>
    </w:p>
    <w:p>
      <w:pPr>
        <w:ind w:left="1000" w:hanging="254"/>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"improvements" shall mean improvements, alterations, additions, substitutions, betterments and decorations.</w:t>
      </w:r>
    </w:p>
    <w:p>
      <w:pPr>
        <w:spacing w:after="0" w:line="225" w:lineRule="exact"/>
        <w:rPr>
          <w:sz w:val="20"/>
          <w:szCs w:val="20"/>
          <w:color w:val="auto"/>
        </w:rPr>
      </w:pPr>
    </w:p>
    <w:p>
      <w:pPr>
        <w:jc w:val="both"/>
        <w:ind w:firstLine="764"/>
        <w:spacing w:after="0" w:line="259" w:lineRule="auto"/>
        <w:tabs>
          <w:tab w:leader="none" w:pos="98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"Insurance Requirements" shall mean all requirements of any insurance policy coveting or applicable to all or any part of the Real Property or the Premises or the use thereof, all requirements of the issuer of any such policy and all orders, rules, regulations, recommendations and other requirements of the New York Board of Fire Underwriters or the Insurance Service Office or any other body exercising the same or similar functions and having jurisdiction or cognizance of all or any part of the Real Property or the Premises.</w:t>
      </w:r>
    </w:p>
    <w:p>
      <w:pPr>
        <w:spacing w:after="0" w:line="186" w:lineRule="exact"/>
        <w:rPr>
          <w:rFonts w:ascii="Arial" w:cs="Arial" w:eastAsia="Arial" w:hAnsi="Arial"/>
          <w:sz w:val="18"/>
          <w:szCs w:val="18"/>
          <w:color w:val="auto"/>
        </w:rPr>
      </w:pPr>
    </w:p>
    <w:p>
      <w:pPr>
        <w:ind w:firstLine="764"/>
        <w:spacing w:after="0" w:line="277" w:lineRule="auto"/>
        <w:tabs>
          <w:tab w:leader="none" w:pos="10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"Interest Rate" shall mean a rate per annum equal to the lesser of (a) 2% above the prime rate in effect from time to time (but in no event less than 15% per annum) or (b) the maximum applicable legal rate, if any.</w:t>
      </w:r>
    </w:p>
    <w:p>
      <w:pPr>
        <w:spacing w:after="0" w:line="170" w:lineRule="exact"/>
        <w:rPr>
          <w:rFonts w:ascii="Arial" w:cs="Arial" w:eastAsia="Arial" w:hAnsi="Arial"/>
          <w:sz w:val="18"/>
          <w:szCs w:val="18"/>
          <w:color w:val="auto"/>
        </w:rPr>
      </w:pPr>
    </w:p>
    <w:p>
      <w:pPr>
        <w:ind w:left="960" w:hanging="214"/>
        <w:spacing w:after="0"/>
        <w:tabs>
          <w:tab w:leader="none" w:pos="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"Land" shall have the meaning given in Section 1.01.</w:t>
      </w:r>
    </w:p>
    <w:p>
      <w:pPr>
        <w:spacing w:after="0" w:line="225" w:lineRule="exact"/>
        <w:rPr>
          <w:rFonts w:ascii="Arial" w:cs="Arial" w:eastAsia="Arial" w:hAnsi="Arial"/>
          <w:sz w:val="18"/>
          <w:szCs w:val="18"/>
          <w:color w:val="auto"/>
        </w:rPr>
      </w:pPr>
    </w:p>
    <w:p>
      <w:pPr>
        <w:ind w:left="1000" w:hanging="254"/>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"Landlord" shall have the meaning given in Section 43.02.</w:t>
      </w:r>
    </w:p>
    <w:p>
      <w:pPr>
        <w:spacing w:after="0" w:line="225" w:lineRule="exact"/>
        <w:rPr>
          <w:rFonts w:ascii="Arial" w:cs="Arial" w:eastAsia="Arial" w:hAnsi="Arial"/>
          <w:sz w:val="18"/>
          <w:szCs w:val="18"/>
          <w:color w:val="auto"/>
        </w:rPr>
      </w:pPr>
    </w:p>
    <w:p>
      <w:pPr>
        <w:ind w:left="1000" w:hanging="254"/>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"Landlord's Work", if any, shall have the meaning given in Exhibit C.</w:t>
      </w:r>
    </w:p>
    <w:p>
      <w:pPr>
        <w:spacing w:after="0" w:line="225" w:lineRule="exact"/>
        <w:rPr>
          <w:rFonts w:ascii="Arial" w:cs="Arial" w:eastAsia="Arial" w:hAnsi="Arial"/>
          <w:sz w:val="18"/>
          <w:szCs w:val="18"/>
          <w:color w:val="auto"/>
        </w:rPr>
      </w:pPr>
    </w:p>
    <w:p>
      <w:pPr>
        <w:jc w:val="both"/>
        <w:ind w:firstLine="795"/>
        <w:spacing w:after="0" w:line="276" w:lineRule="auto"/>
        <w:tabs>
          <w:tab w:leader="none" w:pos="1106" w:val="left"/>
        </w:tabs>
        <w:numPr>
          <w:ilvl w:val="2"/>
          <w:numId w:val="167"/>
        </w:numPr>
        <w:rPr>
          <w:rFonts w:ascii="Arial" w:cs="Arial" w:eastAsia="Arial" w:hAnsi="Arial"/>
          <w:sz w:val="17"/>
          <w:szCs w:val="17"/>
          <w:color w:val="auto"/>
        </w:rPr>
      </w:pPr>
      <w:r>
        <w:rPr>
          <w:rFonts w:ascii="Arial" w:cs="Arial" w:eastAsia="Arial" w:hAnsi="Arial"/>
          <w:sz w:val="17"/>
          <w:szCs w:val="17"/>
          <w:color w:val="auto"/>
        </w:rPr>
        <w:t>"Legal Requirements" shall mean laws, statutes and ordinances (including building codes and zoning regulations and ordinances) and the orders, rules, regulations, directives and requirements of all federal, state, county, city and borough departments, bureaus, boards, agencies, offices, commissions and other subdivisions thereof, or of any official thereof, or of any other governmental, public or quasi-public authority, whether now or hereafter in force, which may be applicable to the Real Property or the Premises or any part thereof or the sidewalks, curbs or areas adjacent thereto and the Declaration and all requirements, obligations and conditions of all instruments of record on the date of this Lease.</w:t>
      </w:r>
    </w:p>
    <w:p>
      <w:pPr>
        <w:spacing w:after="0" w:line="173" w:lineRule="exact"/>
        <w:rPr>
          <w:sz w:val="20"/>
          <w:szCs w:val="20"/>
          <w:color w:val="auto"/>
        </w:rPr>
      </w:pPr>
    </w:p>
    <w:p>
      <w:pPr>
        <w:ind w:left="1000" w:hanging="254"/>
        <w:spacing w:after="0"/>
        <w:tabs>
          <w:tab w:leader="none" w:pos="1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"Premises" shall have the meaning given in Section 1.01.</w:t>
      </w:r>
    </w:p>
    <w:p>
      <w:pPr>
        <w:spacing w:after="0" w:line="225" w:lineRule="exact"/>
        <w:rPr>
          <w:rFonts w:ascii="Arial" w:cs="Arial" w:eastAsia="Arial" w:hAnsi="Arial"/>
          <w:sz w:val="18"/>
          <w:szCs w:val="18"/>
          <w:color w:val="auto"/>
        </w:rPr>
      </w:pPr>
    </w:p>
    <w:p>
      <w:pPr>
        <w:ind w:left="1020" w:hanging="262"/>
        <w:spacing w:after="0"/>
        <w:tabs>
          <w:tab w:leader="none" w:pos="10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"prime rate" shall mean the annual rate of interest from time to time publicly announced by JP Morgan Chase Bank, N.A., as its prime lending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1000" w:hanging="254"/>
        <w:spacing w:after="0"/>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"Real Property" shall mean the Building and the Land and all easements, air rights, development rights and other appurtenances thereto.</w:t>
      </w:r>
    </w:p>
    <w:p>
      <w:pPr>
        <w:spacing w:after="0" w:line="236" w:lineRule="exact"/>
        <w:rPr>
          <w:rFonts w:ascii="Arial" w:cs="Arial" w:eastAsia="Arial" w:hAnsi="Arial"/>
          <w:sz w:val="17"/>
          <w:szCs w:val="17"/>
          <w:color w:val="auto"/>
        </w:rPr>
      </w:pPr>
    </w:p>
    <w:p>
      <w:pPr>
        <w:ind w:left="1080" w:hanging="33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"Rules and Regulations" shall have the meaning given in Section 30.01.</w:t>
      </w:r>
    </w:p>
    <w:p>
      <w:pPr>
        <w:spacing w:after="0" w:line="225" w:lineRule="exact"/>
        <w:rPr>
          <w:rFonts w:ascii="Arial" w:cs="Arial" w:eastAsia="Arial" w:hAnsi="Arial"/>
          <w:sz w:val="18"/>
          <w:szCs w:val="18"/>
          <w:color w:val="auto"/>
        </w:rPr>
      </w:pPr>
    </w:p>
    <w:p>
      <w:pPr>
        <w:ind w:left="1100" w:hanging="354"/>
        <w:spacing w:after="0"/>
        <w:tabs>
          <w:tab w:leader="none" w:pos="11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"Superior Lease" shall have the meaning given in Section 23.01.</w:t>
      </w:r>
    </w:p>
    <w:p>
      <w:pPr>
        <w:spacing w:after="0" w:line="225" w:lineRule="exact"/>
        <w:rPr>
          <w:rFonts w:ascii="Arial" w:cs="Arial" w:eastAsia="Arial" w:hAnsi="Arial"/>
          <w:sz w:val="18"/>
          <w:szCs w:val="18"/>
          <w:color w:val="auto"/>
        </w:rPr>
      </w:pPr>
    </w:p>
    <w:p>
      <w:pPr>
        <w:ind w:left="1080" w:hanging="33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"Superior Lessor" shall mean, collectively, all lessors at the time of the Superior Lease.</w:t>
      </w:r>
    </w:p>
    <w:p>
      <w:pPr>
        <w:spacing w:after="0" w:line="225" w:lineRule="exact"/>
        <w:rPr>
          <w:rFonts w:ascii="Arial" w:cs="Arial" w:eastAsia="Arial" w:hAnsi="Arial"/>
          <w:sz w:val="18"/>
          <w:szCs w:val="18"/>
          <w:color w:val="auto"/>
        </w:rPr>
      </w:pPr>
    </w:p>
    <w:p>
      <w:pPr>
        <w:ind w:left="1100" w:hanging="354"/>
        <w:spacing w:after="0"/>
        <w:tabs>
          <w:tab w:leader="none" w:pos="11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"Superior Mortgage" shall have the meaning given in Section 23.01.</w:t>
      </w:r>
    </w:p>
    <w:p>
      <w:pPr>
        <w:spacing w:after="0" w:line="225" w:lineRule="exact"/>
        <w:rPr>
          <w:rFonts w:ascii="Arial" w:cs="Arial" w:eastAsia="Arial" w:hAnsi="Arial"/>
          <w:sz w:val="18"/>
          <w:szCs w:val="18"/>
          <w:color w:val="auto"/>
        </w:rPr>
      </w:pPr>
    </w:p>
    <w:p>
      <w:pPr>
        <w:ind w:left="1080" w:hanging="33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"Superior Mortgagee" shall mean, collectively, all holders at the time of the Superior Mortgage.</w:t>
      </w:r>
    </w:p>
    <w:p>
      <w:pPr>
        <w:spacing w:after="0" w:line="225" w:lineRule="exact"/>
        <w:rPr>
          <w:rFonts w:ascii="Arial" w:cs="Arial" w:eastAsia="Arial" w:hAnsi="Arial"/>
          <w:sz w:val="18"/>
          <w:szCs w:val="18"/>
          <w:color w:val="auto"/>
        </w:rPr>
      </w:pPr>
    </w:p>
    <w:p>
      <w:pPr>
        <w:ind w:left="1020" w:hanging="274"/>
        <w:spacing w:after="0"/>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"Successor Landlord" shall have the meaning given in Section 23.04.</w:t>
      </w:r>
    </w:p>
    <w:p>
      <w:pPr>
        <w:spacing w:after="0" w:line="225" w:lineRule="exact"/>
        <w:rPr>
          <w:rFonts w:ascii="Arial" w:cs="Arial" w:eastAsia="Arial" w:hAnsi="Arial"/>
          <w:sz w:val="18"/>
          <w:szCs w:val="18"/>
          <w:color w:val="auto"/>
        </w:rPr>
      </w:pPr>
    </w:p>
    <w:p>
      <w:pPr>
        <w:ind w:left="1100" w:hanging="354"/>
        <w:spacing w:after="0"/>
        <w:tabs>
          <w:tab w:leader="none" w:pos="11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"Tenant" shall have the meaning given in Section 43.03.</w:t>
      </w:r>
    </w:p>
    <w:p>
      <w:pPr>
        <w:spacing w:after="0" w:line="225" w:lineRule="exact"/>
        <w:rPr>
          <w:rFonts w:ascii="Arial" w:cs="Arial" w:eastAsia="Arial" w:hAnsi="Arial"/>
          <w:sz w:val="18"/>
          <w:szCs w:val="18"/>
          <w:color w:val="auto"/>
        </w:rPr>
      </w:pPr>
    </w:p>
    <w:p>
      <w:pPr>
        <w:jc w:val="both"/>
        <w:ind w:firstLine="777"/>
        <w:spacing w:after="0" w:line="286" w:lineRule="auto"/>
        <w:tabs>
          <w:tab w:leader="none" w:pos="1129"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"Tenant's Property" shall mean all fixtures, Improvements and other property (i) installed at the sole expense of Tenant, (ii) with respect to which Tenant has not been granted any credit or allowance by Landlord, (iii) which are removable without material damage to the Premises and (iv) which are not replacements of any property of landlord, whether any such replacement is made at Tenant's expense or otherwise.</w:t>
      </w:r>
    </w:p>
    <w:p>
      <w:pPr>
        <w:spacing w:after="0" w:line="166" w:lineRule="exact"/>
        <w:rPr>
          <w:sz w:val="20"/>
          <w:szCs w:val="20"/>
          <w:color w:val="auto"/>
        </w:rPr>
      </w:pPr>
    </w:p>
    <w:p>
      <w:pPr>
        <w:ind w:left="1020" w:hanging="274"/>
        <w:spacing w:after="0"/>
        <w:tabs>
          <w:tab w:leader="none" w:pos="1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"Tenant's Work", if any, shall have the meaning given in Exhibit C.</w:t>
      </w:r>
    </w:p>
    <w:p>
      <w:pPr>
        <w:spacing w:after="0" w:line="225" w:lineRule="exact"/>
        <w:rPr>
          <w:rFonts w:ascii="Arial" w:cs="Arial" w:eastAsia="Arial" w:hAnsi="Arial"/>
          <w:sz w:val="18"/>
          <w:szCs w:val="18"/>
          <w:color w:val="auto"/>
        </w:rPr>
      </w:pPr>
    </w:p>
    <w:p>
      <w:pPr>
        <w:ind w:left="1020" w:hanging="274"/>
        <w:spacing w:after="0"/>
        <w:tabs>
          <w:tab w:leader="none" w:pos="10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"Term" shall have the meaning given in Section 2.01A.</w:t>
      </w:r>
    </w:p>
    <w:p>
      <w:pPr>
        <w:spacing w:after="0" w:line="225" w:lineRule="exact"/>
        <w:rPr>
          <w:rFonts w:ascii="Arial" w:cs="Arial" w:eastAsia="Arial" w:hAnsi="Arial"/>
          <w:sz w:val="18"/>
          <w:szCs w:val="18"/>
          <w:color w:val="auto"/>
        </w:rPr>
      </w:pPr>
    </w:p>
    <w:p>
      <w:pPr>
        <w:ind w:left="1100" w:hanging="354"/>
        <w:spacing w:after="0"/>
        <w:tabs>
          <w:tab w:leader="none" w:pos="11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"Untenantable" shall mean the extent to which Tenant is actually unable to use any or all of the Premises in the normal course of its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3" w:name="page164"/>
    <w:bookmarkEnd w:id="163"/>
    <w:p>
      <w:pPr>
        <w:ind w:firstLine="763"/>
        <w:spacing w:after="0" w:line="277" w:lineRule="auto"/>
        <w:tabs>
          <w:tab w:leader="none" w:pos="102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purposes of this Lease and all agreements supplemental to this Lease, the following additional definitions shall also apply (whether or not capitalized or in lower case):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"include", "including" and "such as" shall construed as if followed by the phrase "without being limited to".</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term "obligations of this Lease", and words of like import, shall mean the covenants to pay rent and additional rent under this Lease and all of the other covenants and conditions contained in this Lease. Any provision in this Lease that one party or the other or both shall do or not do or shall cause or permit or not cause or permit a particular act, condition, or circumstance shall be deemed to mean that such party so covenants or both parties so covenant, as the case may be.</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term "Tenant's obligations hereunder", and words of like import, and the term "Landlord's obligations hereunder", and words of like import, shall mean the obligations of this Lease which are to be performed or observed by Tenant, or by Landlord, as the case may be. Reference to "performance" of either party's obligations under this Lease shall be construed as "performance and observance".</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Reference to Tenant being or not being "in default hereunder", or words of like import, shall mean that Tenant is in default after notice to Tenant and failure to cure in the performance of one or more of Tenant's obligations hereunder, or that Tenant is not in default after notice to Tenant and failure to cure in the performance of any of Tenant's obligations hereunder, or that a condition of the character described in Section 17.01 has occurred and continues or has not occurred or does not continue, as the case may be.</w:t>
      </w:r>
    </w:p>
    <w:p>
      <w:pPr>
        <w:spacing w:after="0" w:line="18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term "repair" shall be deemed to include restoration and replacement as may be necessary to achieve and/or maintain good working order and condition.</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Reference to "termination of this Lease" includes expiration or earlier termination of the term of this Lease or cancellation of this Lease pursuant to any of the provisions of this Lease or to law. Upon a termination of this Lease, the term and estate granted by this Lease shall end at noon of the date of termination as if such date were the date of expiration of the term of this Lease and neither party shall have any further obligation or liability to the other after such termination (i) except as shall be expressly provided for in this Lease, or (ii) except for such obligation as by its nature or under the circumstances can only be, or by the provisions of this Lease, may be, performed after such termination, and, in any event, unless expressly otherwise provided in this Lease, any liability for a payment which shall have accrued to or with respect to any period ending at the time of termination shall survive the termination of this Lease.</w:t>
      </w:r>
    </w:p>
    <w:p>
      <w:pPr>
        <w:spacing w:after="0" w:line="18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term "in full force and effect" when herein used in reference to this Lease as a condition to the existence or exercise of a right on the part of Tenant shall be construed in each instance as including the further condition that at the time in question no default on the part of Tenant exists, and no event has occurred which has continued to exist for such period of time (after the notice, if any, required by this Lease), as would' entitle Landlord to terminate this Lease or to dispossess Tenant.</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40.02 </w:t>
      </w:r>
      <w:r>
        <w:rPr>
          <w:rFonts w:ascii="Arial" w:cs="Arial" w:eastAsia="Arial" w:hAnsi="Arial"/>
          <w:sz w:val="18"/>
          <w:szCs w:val="18"/>
          <w:color w:val="auto"/>
        </w:rPr>
        <w:t>A. If any of the provisions of this Lease, or the application thereof to any person or circumstance, shall, to any extent, be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the remainder of this Lease, or the application of such provision or provisions to persons or circumstances other than those as to whom or which it is held invalid or unenforceable, shall not be affected thereby, and every provision of this Lease shall be valid and enforceable to the fullest extent permitted by law.</w:t>
      </w:r>
    </w:p>
    <w:p>
      <w:pPr>
        <w:spacing w:after="0" w:line="184" w:lineRule="exact"/>
        <w:rPr>
          <w:sz w:val="20"/>
          <w:szCs w:val="20"/>
          <w:color w:val="auto"/>
        </w:rPr>
      </w:pPr>
    </w:p>
    <w:p>
      <w:pPr>
        <w:jc w:val="both"/>
        <w:ind w:firstLine="1760"/>
        <w:spacing w:after="0" w:line="259" w:lineRule="auto"/>
        <w:rPr>
          <w:sz w:val="20"/>
          <w:szCs w:val="20"/>
          <w:color w:val="auto"/>
        </w:rPr>
      </w:pPr>
      <w:r>
        <w:rPr>
          <w:rFonts w:ascii="Arial" w:cs="Arial" w:eastAsia="Arial" w:hAnsi="Arial"/>
          <w:sz w:val="18"/>
          <w:szCs w:val="18"/>
          <w:color w:val="auto"/>
        </w:rPr>
        <w:t>B. If any term of this Lease is found invalid or unenforceable to any extent by a final judgment or award which shall not be subject to change by appeal, then either party may initiate an arbitration in accordance with the provisions of Article 28. Said arbitrator shall devise a valid and enforceable substitute term for this Lease which shall as nearly as possible carry out the intention of the parties with respect to the term of this Lease found invalid or unenforceable. Such substitute term as so devised shall thereupon be deemed a part of this Lease.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40.03 </w:t>
      </w:r>
      <w:r>
        <w:rPr>
          <w:rFonts w:ascii="Arial" w:cs="Arial" w:eastAsia="Arial" w:hAnsi="Arial"/>
          <w:sz w:val="18"/>
          <w:szCs w:val="18"/>
          <w:color w:val="auto"/>
        </w:rPr>
        <w:t>The various terms which are defined in other Articles of this Lease or are defined in Exhibits annexed hereto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such other Articles and such Exhibits for all purposes of this Lease and all agreements supplemental thereto, unless the context clearly indicates the contrary.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40.04 </w:t>
      </w:r>
      <w:r>
        <w:rPr>
          <w:rFonts w:ascii="Arial" w:cs="Arial" w:eastAsia="Arial" w:hAnsi="Arial"/>
          <w:sz w:val="18"/>
          <w:szCs w:val="18"/>
          <w:color w:val="auto"/>
        </w:rPr>
        <w:t>The Article headings in this Lease and the Table of Contents to this Lease are inserted only as a matter of convenience or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not to be given any effect in construing this Lease.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ARTICLE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Estoppel Certificate; Recording</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41.01 </w:t>
      </w:r>
      <w:r>
        <w:rPr>
          <w:rFonts w:ascii="Arial" w:cs="Arial" w:eastAsia="Arial" w:hAnsi="Arial"/>
          <w:sz w:val="16"/>
          <w:szCs w:val="16"/>
          <w:color w:val="auto"/>
        </w:rPr>
        <w:t>(a) At any time and from time to time upon not less than 10 days' prior notice by Landlord or the Superior Lessor or the Superior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Mortgagee to Tenant, Tenant shall, without charge, execute, acknowledge and deliver (1) a statement in writing in the form annexed hereto as Exhibit F addressed to such party as Landlord, or the Superior Lessor or e Superior Mortgagee, as the case may be, may designate (with such additions or changes as may be reasonably requested) or in form satisfactory to Landlord, or the Superior Lessor or the Superior Mortgagee, as the case may be, certifying all or any of the following: (i) that this Lease is unmodified and in full force and effect (or if there have been modifications, that this Lease is in full force and effect as modified and stating the modifications), (ii) whether the Term has commenced and Fixed Rent and Additional Rent have become payable hereunder and, if so, the dates to which they have been paid, (iii) whether or not, to the best knowledge of the signer of such certificate, Landlord is in default in performance of any of the terms of this Lease and, if so, specifying each such default of which the signer may have knowledge, (iv) whether Tenant has accepted possession of the Premises, (v) whether Tenant has made any claim against Landlord under this Lease and, if so, the nature thereof and the dollar amount, if any, of such claim, (vi) whether there exist any offsets or defenses against enforcement of any of the terms of this Lease upon the part of Tenant to be performed, and, if so, specifying the same, (vii) either that Tenant does not know of any default in the performance of any provision of this Lease or specifying any default of which Tenant may have knowledge and stating what action Tenant is taking or proposes to take with respect thereto, (viii) that, to the knowledge of Tenant, there are no proceedings pending or threatened against Tenant or Guarantor before or by any court or administrative agency which, if adversely decided, would materially and adversely affect the financial condition or operations of Tenant or Guarantor or, if any such proceedings are pending or threatened to the knowledge of Tenant, specifying and describing the same and (ix) such further information with respect to the Lease or the Premises as Landlord may reasonably request or the Superior Mortgagee or Superior Lessor may require, and/or (2) "Tenant Acceptance Letter" in the form annexed hereto as Exhibit G, it being intended that any such statement delivered pursuant hereto may be relied upon by any prospective purchaser of the Real Property or any part thereof or of the interest of Landlord in any part thereof, by any mortgagee or prospective mortgagee thereof, by any lessor or prospective lessor thereof, by any lessee or prospective lessee thereof, or by any prospective assignee of any mortgage thereof.</w:t>
      </w:r>
    </w:p>
    <w:p>
      <w:pPr>
        <w:spacing w:after="0" w:line="175" w:lineRule="exact"/>
        <w:rPr>
          <w:sz w:val="20"/>
          <w:szCs w:val="20"/>
          <w:color w:val="auto"/>
        </w:rPr>
      </w:pPr>
    </w:p>
    <w:p>
      <w:pPr>
        <w:jc w:val="both"/>
        <w:ind w:firstLine="1827"/>
        <w:spacing w:after="0" w:line="264" w:lineRule="auto"/>
        <w:tabs>
          <w:tab w:leader="none" w:pos="20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failure of Tenant to execute, acknowledge and deliver to Landlord a statement in accordance with the provisions of this Section within said 10 day period shall constitute an acknowledgment by Tenant, which may be relied on by any person who would be entitled to rely upon any such statement, that such statement as submitted by Landlord is true and correct.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41.02 </w:t>
      </w:r>
      <w:r>
        <w:rPr>
          <w:rFonts w:ascii="Arial" w:cs="Arial" w:eastAsia="Arial" w:hAnsi="Arial"/>
          <w:sz w:val="16"/>
          <w:szCs w:val="16"/>
          <w:color w:val="auto"/>
        </w:rPr>
        <w:t>Upon written request of Landlord, but not more frequently than once in any twelve (12) month period, Tenant shall promptly furnish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Landlord with the most current then prepared and available financial statement, certified by Tenant or an independent auditor to be true and correct, reflecting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Tenant’s then current financial condition.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request of Landlord, Tenant will furnish to Landlord: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41.03 </w:t>
      </w:r>
      <w:r>
        <w:rPr>
          <w:rFonts w:ascii="Arial" w:cs="Arial" w:eastAsia="Arial" w:hAnsi="Arial"/>
          <w:sz w:val="18"/>
          <w:szCs w:val="18"/>
          <w:color w:val="auto"/>
        </w:rPr>
        <w:t>Tenant agrees not to record this Lease (or a memorandum hereof) or any other document related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Deleted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Parties Bound</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43.01 </w:t>
      </w:r>
      <w:r>
        <w:rPr>
          <w:rFonts w:ascii="Arial" w:cs="Arial" w:eastAsia="Arial" w:hAnsi="Arial"/>
          <w:sz w:val="16"/>
          <w:szCs w:val="16"/>
          <w:color w:val="auto"/>
        </w:rPr>
        <w:t>The terms of this Lease shall bind and benefit the successors and assigns of the parties with the same effect as if mentioned in each</w:t>
      </w:r>
      <w:r>
        <w:rPr>
          <w:rFonts w:ascii="Arial" w:cs="Arial" w:eastAsia="Arial" w:hAnsi="Arial"/>
          <w:sz w:val="16"/>
          <w:szCs w:val="16"/>
          <w:b w:val="1"/>
          <w:bCs w:val="1"/>
          <w:color w:val="auto"/>
        </w:rPr>
        <w:t xml:space="preserve"> </w:t>
      </w:r>
      <w:r>
        <w:rPr>
          <w:rFonts w:ascii="Arial" w:cs="Arial" w:eastAsia="Arial" w:hAnsi="Arial"/>
          <w:sz w:val="16"/>
          <w:szCs w:val="16"/>
          <w:color w:val="auto"/>
        </w:rPr>
        <w:t>instance where a party is named or referred to, except that no violation of the provisions of Article 22 shall operate to vest any right in any successor or assignee of Tenant and that the provisions of this Article shall not be construed as modifying the conditions of limitation contained in Article 17.</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5" w:name="page166"/>
    <w:bookmarkEnd w:id="165"/>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43.02 </w:t>
      </w:r>
      <w:r>
        <w:rPr>
          <w:rFonts w:ascii="Arial" w:cs="Arial" w:eastAsia="Arial" w:hAnsi="Arial"/>
          <w:sz w:val="17"/>
          <w:szCs w:val="17"/>
          <w:color w:val="auto"/>
        </w:rPr>
        <w:t>A. The term "Landlord" shall mean only the owner at that time in question of the present landlord's interest in the Building and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a sale or transfer of the Building (by operation of law or otherwise), or in the event of the making of a lease of all or substantially all of the Building, or in the event of a sale or transfer (by operation of law or otherwise) of the leasehold estate under any such lease, the grantor, transferor or lessor, as the case may be, shall be and hereby is (to the extent of the interest or portion of the Building or leasehold estate sold, transferred or leased) automatically and entirely released and discharged, from and after the date of such sale, transfer or leasing, of all liability in respect of the performance of any of the terms of this Lease on the part of Landlord thereafter to be performed; provided that the purchaser, transferee or lessee (collectively, "Transferee") shall be deemed to have assumed and agreed to perform, subject to the limitations of this Section and Section 23.04 (and without further agreement between the then parties hereto, or among such parties and the Transferee) and only during and in respect of the Transferee's period of ownership of the Landlord's interest under this Lease, all of the terms of this Lease on the part of Landlord to be performed during such period of ownership, which terms shall be deemed to "run with the land" it being intended that Landlord's obligations hereunder shall, as limited by this Article, be binding on Landlord, its successors and assigns, only during and in respect of their respective successive periods of ownership.</w:t>
      </w:r>
    </w:p>
    <w:p>
      <w:pPr>
        <w:spacing w:after="0" w:line="178" w:lineRule="exact"/>
        <w:rPr>
          <w:sz w:val="20"/>
          <w:szCs w:val="20"/>
          <w:color w:val="auto"/>
        </w:rPr>
      </w:pPr>
    </w:p>
    <w:p>
      <w:pPr>
        <w:jc w:val="both"/>
        <w:ind w:firstLine="1761"/>
        <w:spacing w:after="0" w:line="273" w:lineRule="auto"/>
        <w:rPr>
          <w:sz w:val="20"/>
          <w:szCs w:val="20"/>
          <w:color w:val="auto"/>
        </w:rPr>
      </w:pPr>
      <w:r>
        <w:rPr>
          <w:rFonts w:ascii="Arial" w:cs="Arial" w:eastAsia="Arial" w:hAnsi="Arial"/>
          <w:sz w:val="17"/>
          <w:szCs w:val="17"/>
          <w:color w:val="auto"/>
        </w:rPr>
        <w:t>B. No recourse shall be had on any of Landlord's obligations hereunder or for any claim based thereon or otherwise in respect thereof against any incorporator, subscriber to the capital stock, shareholder, officer or director, past, present or future, of any corporation or any partner or joint venturer which shall be Landlord hereunder or included in the term "Landlord" or of any successor of any such corporation, or against any principal, disclosed or undisclosed, or any affiliate of any party which shall be Landlord or included in the term "Landlord," whether directly or through Landlord or through any receiver, assignee, trustee in bankruptcy or through any other person, firm or corporation, whether by virtue of any constitution, statute or rule of law or by enforcement of any assessment or penalty or otherwise, all such liability being expressly waived and released by Tenant.</w:t>
      </w:r>
    </w:p>
    <w:p>
      <w:pPr>
        <w:spacing w:after="0" w:line="178" w:lineRule="exact"/>
        <w:rPr>
          <w:sz w:val="20"/>
          <w:szCs w:val="20"/>
          <w:color w:val="auto"/>
        </w:rPr>
      </w:pPr>
    </w:p>
    <w:p>
      <w:pPr>
        <w:jc w:val="both"/>
        <w:ind w:firstLine="1756"/>
        <w:spacing w:after="0" w:line="297" w:lineRule="auto"/>
        <w:rPr>
          <w:sz w:val="20"/>
          <w:szCs w:val="20"/>
          <w:color w:val="auto"/>
        </w:rPr>
      </w:pPr>
      <w:r>
        <w:rPr>
          <w:rFonts w:ascii="Arial" w:cs="Arial" w:eastAsia="Arial" w:hAnsi="Arial"/>
          <w:sz w:val="16"/>
          <w:szCs w:val="16"/>
          <w:color w:val="auto"/>
        </w:rPr>
        <w:t>C. Tenant shall look solely to Landlord's estate and interest in the Building for the satisfaction of any right of Tenant for the collection of a judgment or other judicial process or arbitration award requiring the payment of money by Landlord and no other property or assets of Landlord, Landlord's agents, incorporators, shareholders, officers, directors, partners, principals (disclosed or undisclosed) or affiliates shall be subject to levy, lien, execution, attachment, or other enforcement procedure for the satisfaction of Tenant's rights and remedies under or with respect to this Lease, the relationship of Landlord and Tenant hereunder or under law, or Tenant's use and occupancy of the premises or any other liability of Landlord to Tenant.</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43.03 </w:t>
      </w:r>
      <w:r>
        <w:rPr>
          <w:rFonts w:ascii="Arial" w:cs="Arial" w:eastAsia="Arial" w:hAnsi="Arial"/>
          <w:sz w:val="18"/>
          <w:szCs w:val="18"/>
          <w:color w:val="auto"/>
        </w:rPr>
        <w:t>The term "Tenant" shall mean the Tenant herein named or any assignee or other successor in interest (immediate or remote)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herein named, which at the time in question is the owner of the Tenant's estate and interest granted by this Lease; but the foregoing provisions of this subsection shall not be construed to permit any assignment of this Lease or subletting of the Premises or to relieve the Tenant herein named or any assignee or other successor in interest (whether immediate or remote) of the Tenant herein named from the full and prompt performance of Tenant's obligations hereunder.</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43.04 </w:t>
      </w:r>
      <w:r>
        <w:rPr>
          <w:rFonts w:ascii="Arial" w:cs="Arial" w:eastAsia="Arial" w:hAnsi="Arial"/>
          <w:sz w:val="18"/>
          <w:szCs w:val="18"/>
          <w:color w:val="auto"/>
        </w:rPr>
        <w:t>Nothing contained in this Lease shall be deemed to confer upon any tenant, or anyone claiming under or through any tenant,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insist upon, or to enforce against Landlord or Tenant, the performance of Tenant's obligations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43.05 </w:t>
      </w:r>
      <w:r>
        <w:rPr>
          <w:rFonts w:ascii="Arial" w:cs="Arial" w:eastAsia="Arial" w:hAnsi="Arial"/>
          <w:sz w:val="18"/>
          <w:szCs w:val="18"/>
          <w:color w:val="auto"/>
        </w:rPr>
        <w:t>The submission by Landlord to Tenant of this Lease in draft form shall be deemed submission solely for Tenant's consideration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for acceptance and execution. Such submission shall have no binding force and effect, shall not constitute an option for the leasing of the Premises, and shall not confer any rights or impose any obligations upon either party. The submission by Landlord of this Lease for execution by Tenant and the actual execution and delivery thereof by Tenant to Landlord shall similarly have no binding force and effect on Landlord unless and until Landlord shall have executed this Lease and a counterpart thereof shall have been delivered to Tenant.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44.01 </w:t>
      </w:r>
      <w:r>
        <w:rPr>
          <w:rFonts w:ascii="Arial" w:cs="Arial" w:eastAsia="Arial" w:hAnsi="Arial"/>
          <w:sz w:val="18"/>
          <w:szCs w:val="18"/>
          <w:color w:val="auto"/>
        </w:rPr>
        <w:t>This Lease contains the entire agreement between the parties and all prior negotiations and agreements are merged into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may not be changed, modified, abandoned or discharged, in whole or in part, nor any of its provisions waived except by a written instrument which (a) expressly refers to this Lease, (b) is executed by the party against whom enforcement of the change, modification, abandonment, discharge or waiver is sought and (c) is permissible under the Superior Mortgage and the Superior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6" w:name="page167"/>
    <w:bookmarkEnd w:id="166"/>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44.02 </w:t>
      </w:r>
      <w:r>
        <w:rPr>
          <w:rFonts w:ascii="Arial" w:cs="Arial" w:eastAsia="Arial" w:hAnsi="Arial"/>
          <w:sz w:val="16"/>
          <w:szCs w:val="16"/>
          <w:color w:val="auto"/>
        </w:rPr>
        <w:t>Tenant expressly acknowledges that neither Landlord nor Landlord's agents has made or is making, and Tenant, in executing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delivering this Lease, is not relying upon, any warranties, representations, promises or statements, except to the extent that the same are expressly set forth in this Lease, and no rights, easements or licenses are or shall be acquired by Tenant by implication or otherwise unless expressly set forth in this Lease.</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44.03 </w:t>
      </w:r>
      <w:r>
        <w:rPr>
          <w:rFonts w:ascii="Arial" w:cs="Arial" w:eastAsia="Arial" w:hAnsi="Arial"/>
          <w:sz w:val="18"/>
          <w:szCs w:val="18"/>
          <w:color w:val="auto"/>
        </w:rPr>
        <w:t>Any apportionment or prorations of rent to be made under this Lease shall be computed on the basis of a 360 day year, with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30 days each.</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44.04 </w:t>
      </w:r>
      <w:r>
        <w:rPr>
          <w:rFonts w:ascii="Arial" w:cs="Arial" w:eastAsia="Arial" w:hAnsi="Arial"/>
          <w:sz w:val="18"/>
          <w:szCs w:val="18"/>
          <w:color w:val="auto"/>
        </w:rPr>
        <w:t>The laws of the State of New York applicable to contracts made and to be performed wholly within the State of New York shall</w:t>
      </w:r>
      <w:r>
        <w:rPr>
          <w:rFonts w:ascii="Arial" w:cs="Arial" w:eastAsia="Arial" w:hAnsi="Arial"/>
          <w:sz w:val="18"/>
          <w:szCs w:val="18"/>
          <w:b w:val="1"/>
          <w:bCs w:val="1"/>
          <w:color w:val="auto"/>
        </w:rPr>
        <w:t xml:space="preserve"> </w:t>
      </w:r>
      <w:r>
        <w:rPr>
          <w:rFonts w:ascii="Arial" w:cs="Arial" w:eastAsia="Arial" w:hAnsi="Arial"/>
          <w:sz w:val="18"/>
          <w:szCs w:val="18"/>
          <w:color w:val="auto"/>
        </w:rPr>
        <w:t>govern and control the validity, interpretation, performance and enforcement of this Lease.</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44.05 </w:t>
      </w:r>
      <w:r>
        <w:rPr>
          <w:rFonts w:ascii="Arial" w:cs="Arial" w:eastAsia="Arial" w:hAnsi="Arial"/>
          <w:sz w:val="16"/>
          <w:szCs w:val="16"/>
          <w:color w:val="auto"/>
        </w:rPr>
        <w:t>If Tenant is a corporation, each person executing this Lease on behalf of Tenant hereby covenants, represents and warrants that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is a duly incorporated or duly qualified (if foreign) corporation and is authorized to do business in the State of New York (a copy of evidence thereof to be supplied to Landlord upon request); and that each person executing this Lease on behalf of Tenant is an officer of Tenant and that he is duly authorized to execute, acknowledge and deliver this Lease to Landlord (a copy of a resolution to that effect to be supplied to Landlord upon request).</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44.06 </w:t>
      </w:r>
      <w:r>
        <w:rPr>
          <w:rFonts w:ascii="Arial" w:cs="Arial" w:eastAsia="Arial" w:hAnsi="Arial"/>
          <w:sz w:val="16"/>
          <w:szCs w:val="16"/>
          <w:color w:val="auto"/>
        </w:rPr>
        <w:t>A. If Tenant is a partnership (or is comprised of 2 or more persons. individually, or as joint venturers or as copartners of a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or if Tenant's interest in this Lease shall be assigned to a partnership (or to 2 or more persons, individually, or as joint venturers or as copartners of a partnership) pursuant to Article 22 (any such partnership and such persons are referred to in this Article as "Partnership Tenant"), the following provisions of this Section shall apply to such Partnership Tenant: (a) the liability of each of the parties comprising Partnership Tenant shall be joint and several, and (b) each of the parties comprising Partnership Tenant hereby consents in advance to, and agrees to be bound by, any modifications, termination, discharge or surrender of this Lease which may hereafter be made and by any notices, demands requests or other communications which may hereafter be given, by Partnership Tenant or by any of the parties comprising Partnership Tenant, and (c) any bills, statements, notices, demands, requests or other communications given or rendered to Partnership Tenant or to any of the parties comprising Partnership Tenant shall be deemed given or rendered to Partnership Tenant and to all such parties and shall be binding upon Partnership Tenant and all parties, and (d) if Partnership Tenant shall admit new partners, all such new partners shall, by their admission to Partnership Tenant, be deemed to have assumed performance of all of the terms, covenants and conditions of this Lease on Tenant's part to be observed and performed, and (e) Partnership Tenant shall give prompt notice to Landlord of the admission of any such new partners, and upon demand of Landlord, shall cause each such new partner to execute and deliver to Landlord an agreement in form satisfactory to Landlord, wherein each such new Partner shall assume performance of all of the terms, covenants and conditions of this Lease on Tenant's part to be observed and performed (but neither Landlord's failure to request any such agreement nor the failure of any such new partner to execute or deliver any such agreement nor the failure of any such new partner to execute or deliver any such agreement to Landlord shall vitiate the provisions of Subdivision (d) of this Section 44.06 A).</w:t>
      </w:r>
    </w:p>
    <w:p>
      <w:pPr>
        <w:spacing w:after="0" w:line="1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44.07 </w:t>
      </w:r>
      <w:r>
        <w:rPr>
          <w:rFonts w:ascii="Arial" w:cs="Arial" w:eastAsia="Arial" w:hAnsi="Arial"/>
          <w:sz w:val="18"/>
          <w:szCs w:val="18"/>
          <w:color w:val="auto"/>
        </w:rPr>
        <w:t>All Exhibits to this Lease and any and all Rider provisions attached to this Lease are hereby incorporated into this Lease. If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contained in any Rider hereto is inconsistent or in conflict with any printed provision of this Lease, the provision contained in such Rider shall supersede said printed provision and shall control.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Anti-Terrorism Requirements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45.01 </w:t>
      </w:r>
      <w:r>
        <w:rPr>
          <w:rFonts w:ascii="Arial" w:cs="Arial" w:eastAsia="Arial" w:hAnsi="Arial"/>
          <w:sz w:val="17"/>
          <w:szCs w:val="17"/>
          <w:color w:val="auto"/>
        </w:rPr>
        <w:t>Tenant represents and warrants that (i) neither Tenant nor any person, group or entity who owns any direct or indirect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Tenant or any of them, is listed on the list maintained by the United States Department of the Treasury, Office of Foreign Assets Control (commonly known as the OFAC List) or otherwise qualifies as a terrorist, Specially Designated National and Blocked Person or a person with whom business by a United States citizen or resident is prohibited (each a “Prohibited Person”); (ii) neither Tenant nor any person, group or entity who owns any direct or indirect beneficial interest in Tenant or any of them is in violation of any anti-money laundering or anti-terrorism statute, including, without limitation, the Uniting and Strengthening America by Providing Appropriate Tools Required to Intercept and Obstruct Terrorism Act of 2001, U.S. Public Law 107-56 (commonly known as the USA PATRIOT Act), and the related regulations issued thereunder, including temporary regulations, and Executive Orders (including, without limitation, Executive Order 13224) issued in connection therewith, all as amended from time to time; and (iii) neither Tenant nor any person, group or entity who owns any direct or indirect interest in Tenant is acting on behalf of a Prohibited Person. Tenant shall indemnify and hold Landlord harmless from and against all claims, damages, losses, risks, liabilities and costs (including fines, penalties and legal costs) arising from any misrepresentation in this paragraph or Landlord’s reliance thereon. Tenant’s obligations under this paragraph shall survive the expiration or sooner termination of the term of this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8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ind w:firstLine="8"/>
        <w:spacing w:after="0" w:line="308" w:lineRule="auto"/>
        <w:tabs>
          <w:tab w:leader="none" w:pos="20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sz w:val="20"/>
          <w:szCs w:val="20"/>
          <w:color w:val="auto"/>
        </w:rPr>
      </w:pPr>
    </w:p>
    <w:p>
      <w:pPr>
        <w:ind w:firstLine="8"/>
        <w:spacing w:after="0" w:line="277" w:lineRule="auto"/>
        <w:tabs>
          <w:tab w:leader="none" w:pos="20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2012</w:t>
      </w:r>
    </w:p>
    <w:p>
      <w:pPr>
        <w:spacing w:after="0" w:line="225"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225" w:lineRule="exact"/>
        <w:rPr>
          <w:sz w:val="20"/>
          <w:szCs w:val="20"/>
          <w:color w:val="auto"/>
        </w:rPr>
      </w:pPr>
    </w:p>
    <w:p>
      <w:pPr>
        <w:ind w:left="180" w:hanging="172"/>
        <w:spacing w:after="0"/>
        <w:tabs>
          <w:tab w:leader="none" w:pos="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18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308" w:lineRule="auto"/>
        <w:tabs>
          <w:tab w:leader="none" w:pos="22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6" w:lineRule="exact"/>
        <w:rPr>
          <w:rFonts w:ascii="Arial" w:cs="Arial" w:eastAsia="Arial" w:hAnsi="Arial"/>
          <w:sz w:val="17"/>
          <w:szCs w:val="17"/>
          <w:color w:val="auto"/>
        </w:rPr>
      </w:pPr>
    </w:p>
    <w:p>
      <w:pPr>
        <w:jc w:val="both"/>
        <w:ind w:firstLine="8"/>
        <w:spacing w:after="0" w:line="264" w:lineRule="auto"/>
        <w:tabs>
          <w:tab w:leader="none" w:pos="20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2012</w:t>
      </w:r>
    </w:p>
    <w:p>
      <w:pPr>
        <w:spacing w:after="0" w:line="225" w:lineRule="exact"/>
        <w:rPr>
          <w:sz w:val="20"/>
          <w:szCs w:val="20"/>
          <w:color w:val="auto"/>
        </w:rPr>
      </w:pPr>
    </w:p>
    <w:p>
      <w:pPr>
        <w:jc w:val="center"/>
        <w:ind w:right="3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2012 as filed with the Securities and Exchange Commission on the date hereof (the “Report”) I, Andrew Perlman, Chief Executive Officer of the Company, certify, pursuant to § 906 of the Sarbanes-Oxley Act of 2002,18 U.S.C. § 1350, that to my knowledge:</w:t>
      </w:r>
    </w:p>
    <w:p>
      <w:pPr>
        <w:spacing w:after="0" w:line="181" w:lineRule="exact"/>
        <w:rPr>
          <w:sz w:val="20"/>
          <w:szCs w:val="20"/>
          <w:color w:val="auto"/>
        </w:rPr>
      </w:pPr>
    </w:p>
    <w:p>
      <w:pPr>
        <w:ind w:left="260" w:hanging="252"/>
        <w:spacing w:after="0"/>
        <w:tabs>
          <w:tab w:leader="none" w:pos="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 (d)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2012</w:t>
      </w:r>
    </w:p>
    <w:p>
      <w:pPr>
        <w:ind w:left="4620"/>
        <w:spacing w:after="0"/>
        <w:tabs>
          <w:tab w:leader="none" w:pos="4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2012 as filed with the Securities and Exchange Commission on the date hereof (the “Report”) I, Ellen Cohl,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2012</w:t>
      </w:r>
    </w:p>
    <w:p>
      <w:pPr>
        <w:ind w:left="4920"/>
        <w:spacing w:after="0"/>
        <w:tabs>
          <w:tab w:leader="none" w:pos="5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1"/>
          <w:szCs w:val="11"/>
          <w:color w:val="auto"/>
        </w:rPr>
        <w:t>LLEN</w:t>
      </w:r>
      <w:r>
        <w:rPr>
          <w:rFonts w:ascii="Arial" w:cs="Arial" w:eastAsia="Arial" w:hAnsi="Arial"/>
          <w:sz w:val="17"/>
          <w:szCs w:val="17"/>
          <w:color w:val="auto"/>
        </w:rPr>
        <w:t xml:space="preserve"> C</w:t>
      </w:r>
      <w:r>
        <w:rPr>
          <w:rFonts w:ascii="Arial" w:cs="Arial" w:eastAsia="Arial" w:hAnsi="Arial"/>
          <w:sz w:val="11"/>
          <w:szCs w:val="11"/>
          <w:color w:val="auto"/>
        </w:rPr>
        <w:t>OHL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S"/>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1)"/>
      <w:numFmt w:val="decimal"/>
      <w:start w:val="386"/>
    </w:lvl>
  </w:abstractNum>
  <w:abstractNum w:abstractNumId="3">
    <w:nsid w:val="CC1016F"/>
    <w:multiLevelType w:val="hybridMultilevel"/>
    <w:lvl w:ilvl="0">
      <w:lvlJc w:val="left"/>
      <w:lvlText w:val="(%1)"/>
      <w:numFmt w:val="decimal"/>
      <w:start w:val="596"/>
    </w:lvl>
  </w:abstractNum>
  <w:abstractNum w:abstractNumId="4">
    <w:nsid w:val="43F18422"/>
    <w:multiLevelType w:val="hybridMultilevel"/>
    <w:lvl w:ilvl="0">
      <w:lvlJc w:val="left"/>
      <w:lvlText w:val="%1."/>
      <w:numFmt w:val="lowerLetter"/>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1)"/>
      <w:numFmt w:val="lowerLetter"/>
      <w:start w:val="1"/>
    </w:lvl>
  </w:abstractNum>
  <w:abstractNum w:abstractNumId="7">
    <w:nsid w:val="7F01579B"/>
    <w:multiLevelType w:val="hybridMultilevel"/>
    <w:lvl w:ilvl="0">
      <w:lvlJc w:val="left"/>
      <w:lvlText w:val="(%1)"/>
      <w:numFmt w:val="lowerLetter"/>
      <w:start w:val="1"/>
    </w:lvl>
  </w:abstractNum>
  <w:abstractNum w:abstractNumId="8">
    <w:nsid w:val="49DA307D"/>
    <w:multiLevelType w:val="hybridMultilevel"/>
    <w:lvl w:ilvl="0">
      <w:lvlJc w:val="left"/>
      <w:lvlText w:val="(%1)"/>
      <w:numFmt w:val="lowerLetter"/>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1."/>
      <w:numFmt w:val="decimal"/>
      <w:start w:val="1"/>
    </w:lvl>
  </w:abstractNum>
  <w:abstractNum w:abstractNumId="23">
    <w:nsid w:val="3FA62ACA"/>
    <w:multiLevelType w:val="hybridMultilevel"/>
    <w:lvl w:ilvl="0">
      <w:lvlJc w:val="left"/>
      <w:lvlText w:val="(%1)"/>
      <w:numFmt w:val="lowerLetter"/>
      <w:start w:val="2"/>
    </w:lvl>
  </w:abstractNum>
  <w:abstractNum w:abstractNumId="24">
    <w:nsid w:val="14FCE74E"/>
    <w:multiLevelType w:val="hybridMultilevel"/>
    <w:lvl w:ilvl="0">
      <w:lvlJc w:val="left"/>
      <w:lvlText w:val="%1."/>
      <w:numFmt w:val="decimal"/>
      <w:start w:val="2"/>
    </w:lvl>
  </w:abstractNum>
  <w:abstractNum w:abstractNumId="25">
    <w:nsid w:val="6A3DD3E8"/>
    <w:multiLevelType w:val="hybridMultilevel"/>
    <w:lvl w:ilvl="0">
      <w:lvlJc w:val="left"/>
      <w:lvlText w:val="%1."/>
      <w:numFmt w:val="decimal"/>
      <w:start w:val="3"/>
    </w:lvl>
  </w:abstractNum>
  <w:abstractNum w:abstractNumId="26">
    <w:nsid w:val="71C91298"/>
    <w:multiLevelType w:val="hybridMultilevel"/>
    <w:lvl w:ilvl="0">
      <w:lvlJc w:val="left"/>
      <w:lvlText w:val="%1."/>
      <w:numFmt w:val="decimal"/>
      <w:start w:val="4"/>
    </w:lvl>
  </w:abstractNum>
  <w:abstractNum w:abstractNumId="27">
    <w:nsid w:val="9DAF632"/>
    <w:multiLevelType w:val="hybridMultilevel"/>
    <w:lvl w:ilvl="0">
      <w:lvlJc w:val="left"/>
      <w:lvlText w:val="%"/>
      <w:numFmt w:val="bullet"/>
      <w:start w:val="1"/>
    </w:lvl>
    <w:lvl w:ilvl="1">
      <w:lvlJc w:val="left"/>
      <w:lvlText w:val="(%2)"/>
      <w:numFmt w:val="lowerLetter"/>
      <w:start w:val="1"/>
    </w:lvl>
  </w:abstractNum>
  <w:abstractNum w:abstractNumId="28">
    <w:nsid w:val="53299938"/>
    <w:multiLevelType w:val="hybridMultilevel"/>
    <w:lvl w:ilvl="0">
      <w:lvlJc w:val="left"/>
      <w:lvlText w:val="%"/>
      <w:numFmt w:val="bullet"/>
      <w:start w:val="1"/>
    </w:lvl>
    <w:lvl w:ilvl="1">
      <w:lvlJc w:val="left"/>
      <w:lvlText w:val="(%2)"/>
      <w:numFmt w:val="lowerLetter"/>
      <w:start w:val="2"/>
    </w:lvl>
  </w:abstractNum>
  <w:abstractNum w:abstractNumId="29">
    <w:nsid w:val="1FBFE8E0"/>
    <w:multiLevelType w:val="hybridMultilevel"/>
    <w:lvl w:ilvl="0">
      <w:lvlJc w:val="left"/>
      <w:lvlText w:val="%1."/>
      <w:numFmt w:val="decimal"/>
      <w:start w:val="5"/>
    </w:lvl>
  </w:abstractNum>
  <w:abstractNum w:abstractNumId="30">
    <w:nsid w:val="5092CA79"/>
    <w:multiLevelType w:val="hybridMultilevel"/>
    <w:lvl w:ilvl="0">
      <w:lvlJc w:val="left"/>
      <w:lvlText w:val="(%1)"/>
      <w:numFmt w:val="lowerLetter"/>
      <w:start w:val="1"/>
    </w:lvl>
  </w:abstractNum>
  <w:abstractNum w:abstractNumId="31">
    <w:nsid w:val="1D545C4D"/>
    <w:multiLevelType w:val="hybridMultilevel"/>
    <w:lvl w:ilvl="0">
      <w:lvlJc w:val="left"/>
      <w:lvlText w:val="(%1)"/>
      <w:numFmt w:val="lowerLetter"/>
      <w:start w:val="2"/>
    </w:lvl>
  </w:abstractNum>
  <w:abstractNum w:abstractNumId="32">
    <w:nsid w:val="59ADEA3D"/>
    <w:multiLevelType w:val="hybridMultilevel"/>
    <w:lvl w:ilvl="0">
      <w:lvlJc w:val="left"/>
      <w:lvlText w:val="%1."/>
      <w:numFmt w:val="decimal"/>
      <w:start w:val="6"/>
    </w:lvl>
  </w:abstractNum>
  <w:abstractNum w:abstractNumId="33">
    <w:nsid w:val="288F1A34"/>
    <w:multiLevelType w:val="hybridMultilevel"/>
    <w:lvl w:ilvl="0">
      <w:lvlJc w:val="left"/>
      <w:lvlText w:val="%1."/>
      <w:numFmt w:val="decimal"/>
      <w:start w:val="7"/>
    </w:lvl>
  </w:abstractNum>
  <w:abstractNum w:abstractNumId="34">
    <w:nsid w:val="2A155DBC"/>
    <w:multiLevelType w:val="hybridMultilevel"/>
    <w:lvl w:ilvl="0">
      <w:lvlJc w:val="left"/>
      <w:lvlText w:val="(%1)"/>
      <w:numFmt w:val="lowerLetter"/>
      <w:start w:val="1"/>
    </w:lvl>
  </w:abstractNum>
  <w:abstractNum w:abstractNumId="35">
    <w:nsid w:val="1D9F6E5F"/>
    <w:multiLevelType w:val="hybridMultilevel"/>
    <w:lvl w:ilvl="0">
      <w:lvlJc w:val="left"/>
      <w:lvlText w:val="%1."/>
      <w:numFmt w:val="decimal"/>
      <w:start w:val="8"/>
    </w:lvl>
  </w:abstractNum>
  <w:abstractNum w:abstractNumId="36">
    <w:nsid w:val="97E1B4E"/>
    <w:multiLevelType w:val="hybridMultilevel"/>
    <w:lvl w:ilvl="0">
      <w:lvlJc w:val="left"/>
      <w:lvlText w:val="%1."/>
      <w:numFmt w:val="decimal"/>
      <w:start w:val="9"/>
    </w:lvl>
  </w:abstractNum>
  <w:abstractNum w:abstractNumId="37">
    <w:nsid w:val="51088277"/>
    <w:multiLevelType w:val="hybridMultilevel"/>
    <w:lvl w:ilvl="0">
      <w:lvlJc w:val="left"/>
      <w:lvlText w:val="%1."/>
      <w:numFmt w:val="decimal"/>
      <w:start w:val="10"/>
    </w:lvl>
  </w:abstractNum>
  <w:abstractNum w:abstractNumId="38">
    <w:nsid w:val="1CA0C5FA"/>
    <w:multiLevelType w:val="hybridMultilevel"/>
    <w:lvl w:ilvl="0">
      <w:lvlJc w:val="left"/>
      <w:lvlText w:val="%1."/>
      <w:numFmt w:val="decimal"/>
      <w:start w:val="11"/>
    </w:lvl>
  </w:abstractNum>
  <w:abstractNum w:abstractNumId="39">
    <w:nsid w:val="53584BCB"/>
    <w:multiLevelType w:val="hybridMultilevel"/>
    <w:lvl w:ilvl="0">
      <w:lvlJc w:val="left"/>
      <w:lvlText w:val="%1"/>
      <w:numFmt w:val="decimal"/>
      <w:start w:val="1"/>
    </w:lvl>
    <w:lvl w:ilvl="1">
      <w:lvlJc w:val="left"/>
      <w:lvlText w:val="(%2)"/>
      <w:numFmt w:val="lowerLetter"/>
      <w:start w:val="1"/>
    </w:lvl>
  </w:abstractNum>
  <w:abstractNum w:abstractNumId="40">
    <w:nsid w:val="415E286C"/>
    <w:multiLevelType w:val="hybridMultilevel"/>
    <w:lvl w:ilvl="0">
      <w:lvlJc w:val="left"/>
      <w:lvlText w:val="%1."/>
      <w:numFmt w:val="decimal"/>
      <w:start w:val="12"/>
    </w:lvl>
    <w:lvl w:ilvl="1">
      <w:lvlJc w:val="left"/>
      <w:lvlText w:val="%2"/>
      <w:numFmt w:val="lowerLetter"/>
      <w:start w:val="1"/>
    </w:lvl>
  </w:abstractNum>
  <w:abstractNum w:abstractNumId="41">
    <w:nsid w:val="7C58FD05"/>
    <w:multiLevelType w:val="hybridMultilevel"/>
    <w:lvl w:ilvl="0">
      <w:lvlJc w:val="left"/>
      <w:lvlText w:val="(%1)"/>
      <w:numFmt w:val="lowerLetter"/>
      <w:start w:val="1"/>
    </w:lvl>
  </w:abstractNum>
  <w:abstractNum w:abstractNumId="42">
    <w:nsid w:val="23D86AAC"/>
    <w:multiLevelType w:val="hybridMultilevel"/>
    <w:lvl w:ilvl="0">
      <w:lvlJc w:val="left"/>
      <w:lvlText w:val="(%1)"/>
      <w:numFmt w:val="lowerLetter"/>
      <w:start w:val="2"/>
    </w:lvl>
  </w:abstractNum>
  <w:abstractNum w:abstractNumId="43">
    <w:nsid w:val="45E6D486"/>
    <w:multiLevelType w:val="hybridMultilevel"/>
    <w:lvl w:ilvl="0">
      <w:lvlJc w:val="left"/>
      <w:lvlText w:val="%1"/>
      <w:numFmt w:val="decimal"/>
      <w:start w:val="1"/>
    </w:lvl>
    <w:lvl w:ilvl="1">
      <w:lvlJc w:val="left"/>
      <w:lvlText w:val="(%2)"/>
      <w:numFmt w:val="lowerLetter"/>
      <w:start w:val="1"/>
    </w:lvl>
  </w:abstractNum>
  <w:abstractNum w:abstractNumId="44">
    <w:nsid w:val="5C10FE21"/>
    <w:multiLevelType w:val="hybridMultilevel"/>
    <w:lvl w:ilvl="0">
      <w:lvlJc w:val="left"/>
      <w:lvlText w:val="%1."/>
      <w:numFmt w:val="decimal"/>
      <w:start w:val="13"/>
    </w:lvl>
    <w:lvl w:ilvl="1">
      <w:lvlJc w:val="left"/>
      <w:lvlText w:val="%2"/>
      <w:numFmt w:val="lowerLetter"/>
      <w:start w:val="1"/>
    </w:lvl>
  </w:abstractNum>
  <w:abstractNum w:abstractNumId="45">
    <w:nsid w:val="E7FFA2B"/>
    <w:multiLevelType w:val="hybridMultilevel"/>
    <w:lvl w:ilvl="0">
      <w:lvlJc w:val="left"/>
      <w:lvlText w:val="(%1)"/>
      <w:numFmt w:val="upperLetter"/>
      <w:start w:val="1"/>
    </w:lvl>
  </w:abstractNum>
  <w:abstractNum w:abstractNumId="46">
    <w:nsid w:val="3C5991AA"/>
    <w:multiLevelType w:val="hybridMultilevel"/>
    <w:lvl w:ilvl="0">
      <w:lvlJc w:val="left"/>
      <w:lvlText w:val="(%1)"/>
      <w:numFmt w:val="lowerLetter"/>
      <w:start w:val="1"/>
    </w:lvl>
  </w:abstractNum>
  <w:abstractNum w:abstractNumId="47">
    <w:nsid w:val="4BD8591A"/>
    <w:multiLevelType w:val="hybridMultilevel"/>
    <w:lvl w:ilvl="0">
      <w:lvlJc w:val="left"/>
      <w:lvlText w:val="%1"/>
      <w:numFmt w:val="upperLetter"/>
      <w:start w:val="1"/>
    </w:lvl>
    <w:lvl w:ilvl="1">
      <w:lvlJc w:val="left"/>
      <w:lvlText w:val="(%2)"/>
      <w:numFmt w:val="lowerLetter"/>
      <w:start w:val="3"/>
    </w:lvl>
  </w:abstractNum>
  <w:abstractNum w:abstractNumId="48">
    <w:nsid w:val="78DF6A55"/>
    <w:multiLevelType w:val="hybridMultilevel"/>
    <w:lvl w:ilvl="0">
      <w:lvlJc w:val="left"/>
      <w:lvlText w:val="(%1)"/>
      <w:numFmt w:val="upperLetter"/>
      <w:start w:val="1"/>
    </w:lvl>
    <w:lvl w:ilvl="1">
      <w:lvlJc w:val="left"/>
      <w:lvlText w:val="%2"/>
      <w:numFmt w:val="lowerLetter"/>
      <w:start w:val="1"/>
    </w:lvl>
  </w:abstractNum>
  <w:abstractNum w:abstractNumId="49">
    <w:nsid w:val="39B7AAA2"/>
    <w:multiLevelType w:val="hybridMultilevel"/>
    <w:lvl w:ilvl="0">
      <w:lvlJc w:val="left"/>
      <w:lvlText w:val="(%1)"/>
      <w:numFmt w:val="lowerLetter"/>
      <w:start w:val="1"/>
    </w:lvl>
  </w:abstractNum>
  <w:abstractNum w:abstractNumId="50">
    <w:nsid w:val="2B0D8DBE"/>
    <w:multiLevelType w:val="hybridMultilevel"/>
    <w:lvl w:ilvl="0">
      <w:lvlJc w:val="left"/>
      <w:lvlText w:val="(%1)"/>
      <w:numFmt w:val="lowerLetter"/>
      <w:start w:val="3"/>
    </w:lvl>
  </w:abstractNum>
  <w:abstractNum w:abstractNumId="51">
    <w:nsid w:val="6C80EC70"/>
    <w:multiLevelType w:val="hybridMultilevel"/>
    <w:lvl w:ilvl="0">
      <w:lvlJc w:val="left"/>
      <w:lvlText w:val="(%1)"/>
      <w:numFmt w:val="lowerRoman"/>
      <w:start w:val="2"/>
    </w:lvl>
  </w:abstractNum>
  <w:abstractNum w:abstractNumId="52">
    <w:nsid w:val="379E21B5"/>
    <w:multiLevelType w:val="hybridMultilevel"/>
    <w:lvl w:ilvl="0">
      <w:lvlJc w:val="left"/>
      <w:lvlText w:val="%1."/>
      <w:numFmt w:val="decimal"/>
      <w:start w:val="1"/>
    </w:lvl>
  </w:abstractNum>
  <w:abstractNum w:abstractNumId="53">
    <w:nsid w:val="69E373"/>
    <w:multiLevelType w:val="hybridMultilevel"/>
    <w:lvl w:ilvl="0">
      <w:lvlJc w:val="left"/>
      <w:lvlText w:val="(%1)"/>
      <w:numFmt w:val="lowerRoman"/>
      <w:start w:val="1"/>
    </w:lvl>
  </w:abstractNum>
  <w:abstractNum w:abstractNumId="54">
    <w:nsid w:val="2C27173B"/>
    <w:multiLevelType w:val="hybridMultilevel"/>
    <w:lvl w:ilvl="0">
      <w:lvlJc w:val="left"/>
      <w:lvlText w:val="(%1)"/>
      <w:numFmt w:val="lowerRoman"/>
      <w:start w:val="2"/>
    </w:lvl>
  </w:abstractNum>
  <w:abstractNum w:abstractNumId="55">
    <w:nsid w:val="4C9B0904"/>
    <w:multiLevelType w:val="hybridMultilevel"/>
    <w:lvl w:ilvl="0">
      <w:lvlJc w:val="left"/>
      <w:lvlText w:val="1"/>
      <w:numFmt w:val="bullet"/>
      <w:start w:val="1"/>
    </w:lvl>
  </w:abstractNum>
  <w:abstractNum w:abstractNumId="56">
    <w:nsid w:val="6AA7B75C"/>
    <w:multiLevelType w:val="hybridMultilevel"/>
    <w:lvl w:ilvl="0">
      <w:lvlJc w:val="left"/>
      <w:lvlText w:val="(%1)"/>
      <w:numFmt w:val="decimal"/>
      <w:start w:val="1"/>
    </w:lvl>
  </w:abstractNum>
  <w:abstractNum w:abstractNumId="57">
    <w:nsid w:val="1DF029D3"/>
    <w:multiLevelType w:val="hybridMultilevel"/>
    <w:lvl w:ilvl="0">
      <w:lvlJc w:val="left"/>
      <w:lvlText w:val="%1."/>
      <w:numFmt w:val="decimal"/>
      <w:start w:val="2"/>
    </w:lvl>
  </w:abstractNum>
  <w:abstractNum w:abstractNumId="58">
    <w:nsid w:val="5675FF36"/>
    <w:multiLevelType w:val="hybridMultilevel"/>
    <w:lvl w:ilvl="0">
      <w:lvlJc w:val="left"/>
      <w:lvlText w:val="%1."/>
      <w:numFmt w:val="decimal"/>
      <w:start w:val="3"/>
    </w:lvl>
  </w:abstractNum>
  <w:abstractNum w:abstractNumId="59">
    <w:nsid w:val="3DD15094"/>
    <w:multiLevelType w:val="hybridMultilevel"/>
    <w:lvl w:ilvl="0">
      <w:lvlJc w:val="left"/>
      <w:lvlText w:val="(%1)"/>
      <w:numFmt w:val="lowerLetter"/>
      <w:start w:val="1"/>
    </w:lvl>
  </w:abstractNum>
  <w:abstractNum w:abstractNumId="60">
    <w:nsid w:val="3DB012B3"/>
    <w:multiLevelType w:val="hybridMultilevel"/>
    <w:lvl w:ilvl="0">
      <w:lvlJc w:val="left"/>
      <w:lvlText w:val="(%1)"/>
      <w:numFmt w:val="lowerLetter"/>
      <w:start w:val="2"/>
    </w:lvl>
  </w:abstractNum>
  <w:abstractNum w:abstractNumId="61">
    <w:nsid w:val="2708C9AF"/>
    <w:multiLevelType w:val="hybridMultilevel"/>
    <w:lvl w:ilvl="0">
      <w:lvlJc w:val="left"/>
      <w:lvlText w:val="%1."/>
      <w:numFmt w:val="decimal"/>
      <w:start w:val="4"/>
    </w:lvl>
  </w:abstractNum>
  <w:abstractNum w:abstractNumId="62">
    <w:nsid w:val="5B25ACE2"/>
    <w:multiLevelType w:val="hybridMultilevel"/>
    <w:lvl w:ilvl="0">
      <w:lvlJc w:val="left"/>
      <w:lvlText w:val="(%1)"/>
      <w:numFmt w:val="lowerLetter"/>
      <w:start w:val="1"/>
    </w:lvl>
  </w:abstractNum>
  <w:abstractNum w:abstractNumId="63">
    <w:nsid w:val="175DFCF0"/>
    <w:multiLevelType w:val="hybridMultilevel"/>
    <w:lvl w:ilvl="0">
      <w:lvlJc w:val="left"/>
      <w:lvlText w:val="%1."/>
      <w:numFmt w:val="decimal"/>
      <w:start w:val="5"/>
    </w:lvl>
  </w:abstractNum>
  <w:abstractNum w:abstractNumId="64">
    <w:nsid w:val="4F97E3E4"/>
    <w:multiLevelType w:val="hybridMultilevel"/>
    <w:lvl w:ilvl="0">
      <w:lvlJc w:val="left"/>
      <w:lvlText w:val="%1."/>
      <w:numFmt w:val="decimal"/>
      <w:start w:val="6"/>
    </w:lvl>
  </w:abstractNum>
  <w:abstractNum w:abstractNumId="65">
    <w:nsid w:val="53B0A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34FD6B4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7">
    <w:nsid w:val="5915FF32"/>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68">
    <w:nsid w:val="56438D15"/>
    <w:multiLevelType w:val="hybridMultilevel"/>
    <w:lvl w:ilvl="0">
      <w:lvlJc w:val="left"/>
      <w:lvlText w:val="(%1)"/>
      <w:numFmt w:val="lowerLetter"/>
      <w:start w:val="1"/>
    </w:lvl>
  </w:abstractNum>
  <w:abstractNum w:abstractNumId="69">
    <w:nsid w:val="519E3149"/>
    <w:multiLevelType w:val="hybridMultilevel"/>
    <w:lvl w:ilvl="0">
      <w:lvlJc w:val="left"/>
      <w:lvlText w:val="%1."/>
      <w:numFmt w:val="decimal"/>
      <w:start w:val="8"/>
    </w:lvl>
  </w:abstractNum>
  <w:abstractNum w:abstractNumId="70">
    <w:nsid w:val="2C6E4AFD"/>
    <w:multiLevelType w:val="hybridMultilevel"/>
    <w:lvl w:ilvl="0">
      <w:lvlJc w:val="left"/>
      <w:lvlText w:val="%1."/>
      <w:numFmt w:val="decimal"/>
      <w:start w:val="9"/>
    </w:lvl>
  </w:abstractNum>
  <w:abstractNum w:abstractNumId="71">
    <w:nsid w:val="17A1B582"/>
    <w:multiLevelType w:val="hybridMultilevel"/>
    <w:lvl w:ilvl="0">
      <w:lvlJc w:val="left"/>
      <w:lvlText w:val="%1."/>
      <w:numFmt w:val="decimal"/>
      <w:start w:val="10"/>
    </w:lvl>
  </w:abstractNum>
  <w:abstractNum w:abstractNumId="72">
    <w:nsid w:val="4DF72E4E"/>
    <w:multiLevelType w:val="hybridMultilevel"/>
    <w:lvl w:ilvl="0">
      <w:lvlJc w:val="left"/>
      <w:lvlText w:val="2"/>
      <w:numFmt w:val="bullet"/>
      <w:start w:val="1"/>
    </w:lvl>
  </w:abstractNum>
  <w:abstractNum w:abstractNumId="73">
    <w:nsid w:val="5046B5A9"/>
    <w:multiLevelType w:val="hybridMultilevel"/>
    <w:lvl w:ilvl="0">
      <w:lvlJc w:val="left"/>
      <w:lvlText w:val="%1."/>
      <w:numFmt w:val="decimal"/>
      <w:start w:val="11"/>
    </w:lvl>
  </w:abstractNum>
  <w:abstractNum w:abstractNumId="74">
    <w:nsid w:val="5D888A08"/>
    <w:multiLevelType w:val="hybridMultilevel"/>
    <w:lvl w:ilvl="0">
      <w:lvlJc w:val="left"/>
      <w:lvlText w:val="%1."/>
      <w:numFmt w:val="decimal"/>
      <w:start w:val="12"/>
    </w:lvl>
  </w:abstractNum>
  <w:abstractNum w:abstractNumId="75">
    <w:nsid w:val="2A082C70"/>
    <w:multiLevelType w:val="hybridMultilevel"/>
    <w:lvl w:ilvl="0">
      <w:lvlJc w:val="left"/>
      <w:lvlText w:val="%1."/>
      <w:numFmt w:val="decimal"/>
      <w:start w:val="13"/>
    </w:lvl>
  </w:abstractNum>
  <w:abstractNum w:abstractNumId="76">
    <w:nsid w:val="5EC6AFD4"/>
    <w:multiLevelType w:val="hybridMultilevel"/>
    <w:lvl w:ilvl="0">
      <w:lvlJc w:val="left"/>
      <w:lvlText w:val="(%1)"/>
      <w:numFmt w:val="lowerLetter"/>
      <w:start w:val="1"/>
    </w:lvl>
  </w:abstractNum>
  <w:abstractNum w:abstractNumId="77">
    <w:nsid w:val="19E21BB2"/>
    <w:multiLevelType w:val="hybridMultilevel"/>
    <w:lvl w:ilvl="0">
      <w:lvlJc w:val="left"/>
      <w:lvlText w:val="(%1)"/>
      <w:numFmt w:val="lowerLetter"/>
      <w:start w:val="3"/>
    </w:lvl>
  </w:abstractNum>
  <w:abstractNum w:abstractNumId="78">
    <w:nsid w:val="75E0858A"/>
    <w:multiLevelType w:val="hybridMultilevel"/>
    <w:lvl w:ilvl="0">
      <w:lvlJc w:val="left"/>
      <w:lvlText w:val="%1."/>
      <w:numFmt w:val="decimal"/>
      <w:start w:val="14"/>
    </w:lvl>
  </w:abstractNum>
  <w:abstractNum w:abstractNumId="79">
    <w:nsid w:val="57A61A29"/>
    <w:multiLevelType w:val="hybridMultilevel"/>
    <w:lvl w:ilvl="0">
      <w:lvlJc w:val="left"/>
      <w:lvlText w:val="(%1)"/>
      <w:numFmt w:val="lowerLetter"/>
      <w:start w:val="1"/>
    </w:lvl>
  </w:abstractNum>
  <w:abstractNum w:abstractNumId="80">
    <w:nsid w:val="5399C654"/>
    <w:multiLevelType w:val="hybridMultilevel"/>
    <w:lvl w:ilvl="0">
      <w:lvlJc w:val="left"/>
      <w:lvlText w:val="%1."/>
      <w:numFmt w:val="decimal"/>
      <w:start w:val="15"/>
    </w:lvl>
  </w:abstractNum>
  <w:abstractNum w:abstractNumId="81">
    <w:nsid w:val="20EE1348"/>
    <w:multiLevelType w:val="hybridMultilevel"/>
    <w:lvl w:ilvl="0">
      <w:lvlJc w:val="left"/>
      <w:lvlText w:val="(%1)"/>
      <w:numFmt w:val="lowerLetter"/>
      <w:start w:val="1"/>
    </w:lvl>
    <w:lvl w:ilvl="1">
      <w:lvlJc w:val="left"/>
      <w:lvlText w:val="(%2)"/>
      <w:numFmt w:val="lowerRoman"/>
      <w:start w:val="1"/>
    </w:lvl>
  </w:abstractNum>
  <w:abstractNum w:abstractNumId="82">
    <w:nsid w:val="4427069A"/>
    <w:multiLevelType w:val="hybridMultilevel"/>
    <w:lvl w:ilvl="0">
      <w:lvlJc w:val="left"/>
      <w:lvlText w:val="%1."/>
      <w:numFmt w:val="decimal"/>
      <w:start w:val="16"/>
    </w:lvl>
  </w:abstractNum>
  <w:abstractNum w:abstractNumId="83">
    <w:nsid w:val="B37E80A"/>
    <w:multiLevelType w:val="hybridMultilevel"/>
    <w:lvl w:ilvl="0">
      <w:lvlJc w:val="left"/>
      <w:lvlText w:val="(%1)"/>
      <w:numFmt w:val="lowerLetter"/>
      <w:start w:val="1"/>
    </w:lvl>
    <w:lvl w:ilvl="1">
      <w:lvlJc w:val="left"/>
      <w:lvlText w:val="(%2)"/>
      <w:numFmt w:val="lowerLetter"/>
      <w:start w:val="9"/>
    </w:lvl>
  </w:abstractNum>
  <w:abstractNum w:abstractNumId="84">
    <w:nsid w:val="2157F6BC"/>
    <w:multiLevelType w:val="hybridMultilevel"/>
    <w:lvl w:ilvl="0">
      <w:lvlJc w:val="left"/>
      <w:lvlText w:val="%1"/>
      <w:numFmt w:val="lowerLetter"/>
      <w:start w:val="1"/>
    </w:lvl>
    <w:lvl w:ilvl="1">
      <w:lvlJc w:val="left"/>
      <w:lvlText w:val="(%2)"/>
      <w:numFmt w:val="lowerLetter"/>
      <w:start w:val="35"/>
    </w:lvl>
  </w:abstractNum>
  <w:abstractNum w:abstractNumId="85">
    <w:nsid w:val="704E1DD5"/>
    <w:multiLevelType w:val="hybridMultilevel"/>
    <w:lvl w:ilvl="0">
      <w:lvlJc w:val="left"/>
      <w:lvlText w:val="(%1)"/>
      <w:numFmt w:val="lowerLetter"/>
      <w:start w:val="2"/>
    </w:lvl>
    <w:lvl w:ilvl="1">
      <w:lvlJc w:val="left"/>
      <w:lvlText w:val="%2"/>
      <w:numFmt w:val="lowerLetter"/>
      <w:start w:val="1"/>
    </w:lvl>
  </w:abstractNum>
  <w:abstractNum w:abstractNumId="86">
    <w:nsid w:val="57D2F10E"/>
    <w:multiLevelType w:val="hybridMultilevel"/>
    <w:lvl w:ilvl="0">
      <w:lvlJc w:val="left"/>
      <w:lvlText w:val="%1."/>
      <w:numFmt w:val="decimal"/>
      <w:start w:val="17"/>
    </w:lvl>
  </w:abstractNum>
  <w:abstractNum w:abstractNumId="87">
    <w:nsid w:val="BFFAE18"/>
    <w:multiLevelType w:val="hybridMultilevel"/>
    <w:lvl w:ilvl="0">
      <w:lvlJc w:val="left"/>
      <w:lvlText w:val="%1."/>
      <w:numFmt w:val="decimal"/>
      <w:start w:val="18"/>
    </w:lvl>
  </w:abstractNum>
  <w:abstractNum w:abstractNumId="88">
    <w:nsid w:val="E3E47A8"/>
    <w:multiLevelType w:val="hybridMultilevel"/>
    <w:lvl w:ilvl="0">
      <w:lvlJc w:val="left"/>
      <w:lvlText w:val="%1."/>
      <w:numFmt w:val="decimal"/>
      <w:start w:val="19"/>
    </w:lvl>
  </w:abstractNum>
  <w:abstractNum w:abstractNumId="89">
    <w:nsid w:val="2E48F044"/>
    <w:multiLevelType w:val="hybridMultilevel"/>
    <w:lvl w:ilvl="0">
      <w:lvlJc w:val="left"/>
      <w:lvlText w:val="(%1)"/>
      <w:numFmt w:val="lowerLetter"/>
      <w:start w:val="1"/>
    </w:lvl>
  </w:abstractNum>
  <w:abstractNum w:abstractNumId="90">
    <w:nsid w:val="49D0FEAC"/>
    <w:multiLevelType w:val="hybridMultilevel"/>
    <w:lvl w:ilvl="0">
      <w:lvlJc w:val="left"/>
      <w:lvlText w:val="%1."/>
      <w:numFmt w:val="decimal"/>
      <w:start w:val="20"/>
    </w:lvl>
  </w:abstractNum>
  <w:abstractNum w:abstractNumId="91">
    <w:nsid w:val="4BEE5A5B"/>
    <w:multiLevelType w:val="hybridMultilevel"/>
    <w:lvl w:ilvl="0">
      <w:lvlJc w:val="left"/>
      <w:lvlText w:val="%1."/>
      <w:numFmt w:val="decimal"/>
      <w:start w:val="21"/>
    </w:lvl>
  </w:abstractNum>
  <w:abstractNum w:abstractNumId="92">
    <w:nsid w:val="5551B9F3"/>
    <w:multiLevelType w:val="hybridMultilevel"/>
    <w:lvl w:ilvl="0">
      <w:lvlJc w:val="left"/>
      <w:lvlText w:val="%1."/>
      <w:numFmt w:val="decimal"/>
      <w:start w:val="22"/>
    </w:lvl>
  </w:abstractNum>
  <w:abstractNum w:abstractNumId="93">
    <w:nsid w:val="24F6AB8E"/>
    <w:multiLevelType w:val="hybridMultilevel"/>
    <w:lvl w:ilvl="0">
      <w:lvlJc w:val="left"/>
      <w:lvlText w:val="(%1)"/>
      <w:numFmt w:val="lowerLetter"/>
      <w:start w:val="1"/>
    </w:lvl>
  </w:abstractNum>
  <w:abstractNum w:abstractNumId="94">
    <w:nsid w:val="634C574C"/>
    <w:multiLevelType w:val="hybridMultilevel"/>
    <w:lvl w:ilvl="0">
      <w:lvlJc w:val="left"/>
      <w:lvlText w:val="(%1)"/>
      <w:numFmt w:val="lowerLetter"/>
      <w:start w:val="2"/>
    </w:lvl>
  </w:abstractNum>
  <w:abstractNum w:abstractNumId="95">
    <w:nsid w:val="24E99DD7"/>
    <w:multiLevelType w:val="hybridMultilevel"/>
    <w:lvl w:ilvl="0">
      <w:lvlJc w:val="left"/>
      <w:lvlText w:val="%1."/>
      <w:numFmt w:val="decimal"/>
      <w:start w:val="23"/>
    </w:lvl>
  </w:abstractNum>
  <w:abstractNum w:abstractNumId="96">
    <w:nsid w:val="2A31B62D"/>
    <w:multiLevelType w:val="hybridMultilevel"/>
    <w:lvl w:ilvl="0">
      <w:lvlJc w:val="left"/>
      <w:lvlText w:val="%1."/>
      <w:numFmt w:val="decimal"/>
      <w:start w:val="24"/>
    </w:lvl>
  </w:abstractNum>
  <w:abstractNum w:abstractNumId="97">
    <w:nsid w:val="1849C29B"/>
    <w:multiLevelType w:val="hybridMultilevel"/>
    <w:lvl w:ilvl="0">
      <w:lvlJc w:val="left"/>
      <w:lvlText w:val="(%1)"/>
      <w:numFmt w:val="lowerLetter"/>
      <w:start w:val="1"/>
    </w:lvl>
  </w:abstractNum>
  <w:abstractNum w:abstractNumId="98">
    <w:nsid w:val="7DFF9D09"/>
    <w:multiLevelType w:val="hybridMultilevel"/>
    <w:lvl w:ilvl="0">
      <w:lvlJc w:val="left"/>
      <w:lvlText w:val="(%1)"/>
      <w:numFmt w:val="lowerLetter"/>
      <w:start w:val="3"/>
    </w:lvl>
  </w:abstractNum>
  <w:abstractNum w:abstractNumId="99">
    <w:nsid w:val="754342"/>
    <w:multiLevelType w:val="hybridMultilevel"/>
    <w:lvl w:ilvl="0">
      <w:lvlJc w:val="left"/>
      <w:lvlText w:val="%1."/>
      <w:numFmt w:val="decimal"/>
      <w:start w:val="25"/>
    </w:lvl>
  </w:abstractNum>
  <w:abstractNum w:abstractNumId="100">
    <w:nsid w:val="69E7F3E5"/>
    <w:multiLevelType w:val="hybridMultilevel"/>
    <w:lvl w:ilvl="0">
      <w:lvlJc w:val="left"/>
      <w:lvlText w:val="%1."/>
      <w:numFmt w:val="decimal"/>
      <w:start w:val="26"/>
    </w:lvl>
  </w:abstractNum>
  <w:abstractNum w:abstractNumId="101">
    <w:nsid w:val="2A6DE806"/>
    <w:multiLevelType w:val="hybridMultilevel"/>
    <w:lvl w:ilvl="0">
      <w:lvlJc w:val="left"/>
      <w:lvlText w:val="%1."/>
      <w:numFmt w:val="decimal"/>
      <w:start w:val="27"/>
    </w:lvl>
  </w:abstractNum>
  <w:abstractNum w:abstractNumId="102">
    <w:nsid w:val="1816F8C4"/>
    <w:multiLevelType w:val="hybridMultilevel"/>
    <w:lvl w:ilvl="0">
      <w:lvlJc w:val="left"/>
      <w:lvlText w:val="%1."/>
      <w:numFmt w:val="decimal"/>
      <w:start w:val="28"/>
    </w:lvl>
  </w:abstractNum>
  <w:abstractNum w:abstractNumId="103">
    <w:nsid w:val="37DF2233"/>
    <w:multiLevelType w:val="hybridMultilevel"/>
    <w:lvl w:ilvl="0">
      <w:lvlJc w:val="left"/>
      <w:lvlText w:val="%1."/>
      <w:numFmt w:val="decimal"/>
      <w:start w:val="29"/>
    </w:lvl>
  </w:abstractNum>
  <w:abstractNum w:abstractNumId="104">
    <w:nsid w:val="7AB49DAF"/>
    <w:multiLevelType w:val="hybridMultilevel"/>
    <w:lvl w:ilvl="0">
      <w:lvlJc w:val="left"/>
      <w:lvlText w:val="%1."/>
      <w:numFmt w:val="decimal"/>
      <w:start w:val="30"/>
    </w:lvl>
  </w:abstractNum>
  <w:abstractNum w:abstractNumId="105">
    <w:nsid w:val="759F82CD"/>
    <w:multiLevelType w:val="hybridMultilevel"/>
    <w:lvl w:ilvl="0">
      <w:lvlJc w:val="left"/>
      <w:lvlText w:val="%1."/>
      <w:numFmt w:val="decimal"/>
      <w:start w:val="31"/>
    </w:lvl>
  </w:abstractNum>
  <w:abstractNum w:abstractNumId="106">
    <w:nsid w:val="61E74EA3"/>
    <w:multiLevelType w:val="hybridMultilevel"/>
    <w:lvl w:ilvl="0">
      <w:lvlJc w:val="left"/>
      <w:lvlText w:val="%1."/>
      <w:numFmt w:val="decimal"/>
      <w:start w:val="32"/>
    </w:lvl>
  </w:abstractNum>
  <w:abstractNum w:abstractNumId="107">
    <w:nsid w:val="597B4D84"/>
    <w:multiLevelType w:val="hybridMultilevel"/>
    <w:lvl w:ilvl="0">
      <w:lvlJc w:val="left"/>
      <w:lvlText w:val="%1."/>
      <w:numFmt w:val="decimal"/>
      <w:start w:val="33"/>
    </w:lvl>
  </w:abstractNum>
  <w:abstractNum w:abstractNumId="108">
    <w:nsid w:val="F819E7F"/>
    <w:multiLevelType w:val="hybridMultilevel"/>
    <w:lvl w:ilvl="0">
      <w:lvlJc w:val="left"/>
      <w:lvlText w:val="%1."/>
      <w:numFmt w:val="decimal"/>
      <w:start w:val="1"/>
    </w:lvl>
  </w:abstractNum>
  <w:abstractNum w:abstractNumId="109">
    <w:nsid w:val="57C7D42D"/>
    <w:multiLevelType w:val="hybridMultilevel"/>
    <w:lvl w:ilvl="0">
      <w:lvlJc w:val="left"/>
      <w:lvlText w:val="%1."/>
      <w:numFmt w:val="decimal"/>
      <w:start w:val="2"/>
    </w:lvl>
  </w:abstractNum>
  <w:abstractNum w:abstractNumId="110">
    <w:nsid w:val="312167AD"/>
    <w:multiLevelType w:val="hybridMultilevel"/>
    <w:lvl w:ilvl="0">
      <w:lvlJc w:val="left"/>
      <w:lvlText w:val="%1."/>
      <w:numFmt w:val="decimal"/>
      <w:start w:val="3"/>
    </w:lvl>
  </w:abstractNum>
  <w:abstractNum w:abstractNumId="111">
    <w:nsid w:val="631B64D4"/>
    <w:multiLevelType w:val="hybridMultilevel"/>
    <w:lvl w:ilvl="0">
      <w:lvlJc w:val="left"/>
      <w:lvlText w:val="(%1)"/>
      <w:numFmt w:val="lowerRoman"/>
      <w:start w:val="1"/>
    </w:lvl>
  </w:abstractNum>
  <w:abstractNum w:abstractNumId="112">
    <w:nsid w:val="78B5E776"/>
    <w:multiLevelType w:val="hybridMultilevel"/>
    <w:lvl w:ilvl="0">
      <w:lvlJc w:val="left"/>
      <w:lvlText w:val="(%1)"/>
      <w:numFmt w:val="decimal"/>
      <w:start w:val="30"/>
    </w:lvl>
  </w:abstractNum>
  <w:abstractNum w:abstractNumId="113">
    <w:nsid w:val="75486E47"/>
    <w:multiLevelType w:val="hybridMultilevel"/>
    <w:lvl w:ilvl="0">
      <w:lvlJc w:val="left"/>
      <w:lvlText w:val="%1."/>
      <w:numFmt w:val="decimal"/>
      <w:start w:val="4"/>
    </w:lvl>
  </w:abstractNum>
  <w:abstractNum w:abstractNumId="114">
    <w:nsid w:val="6E534CDE"/>
    <w:multiLevelType w:val="hybridMultilevel"/>
    <w:lvl w:ilvl="0">
      <w:lvlJc w:val="left"/>
      <w:lvlText w:val="%1."/>
      <w:numFmt w:val="decimal"/>
      <w:start w:val="6"/>
    </w:lvl>
  </w:abstractNum>
  <w:abstractNum w:abstractNumId="115">
    <w:nsid w:val="1A0DDE32"/>
    <w:multiLevelType w:val="hybridMultilevel"/>
    <w:lvl w:ilvl="0">
      <w:lvlJc w:val="left"/>
      <w:lvlText w:val="%1."/>
      <w:numFmt w:val="decimal"/>
      <w:start w:val="7"/>
    </w:lvl>
  </w:abstractNum>
  <w:abstractNum w:abstractNumId="116">
    <w:nsid w:val="65968C1C"/>
    <w:multiLevelType w:val="hybridMultilevel"/>
    <w:lvl w:ilvl="0">
      <w:lvlJc w:val="left"/>
      <w:lvlText w:val="%1."/>
      <w:numFmt w:val="decimal"/>
      <w:start w:val="8"/>
    </w:lvl>
  </w:abstractNum>
  <w:abstractNum w:abstractNumId="117">
    <w:nsid w:val="46263DEC"/>
    <w:multiLevelType w:val="hybridMultilevel"/>
    <w:lvl w:ilvl="0">
      <w:lvlJc w:val="left"/>
      <w:lvlText w:val="%1."/>
      <w:numFmt w:val="decimal"/>
      <w:start w:val="9"/>
    </w:lvl>
    <w:lvl w:ilvl="1">
      <w:lvlJc w:val="left"/>
      <w:lvlText w:val="-"/>
      <w:numFmt w:val="bullet"/>
      <w:start w:val="1"/>
    </w:lvl>
  </w:abstractNum>
  <w:abstractNum w:abstractNumId="118">
    <w:nsid w:val="260D8C4A"/>
    <w:multiLevelType w:val="hybridMultilevel"/>
    <w:lvl w:ilvl="0">
      <w:lvlJc w:val="left"/>
      <w:lvlText w:val="%1."/>
      <w:numFmt w:val="decimal"/>
      <w:start w:val="11"/>
    </w:lvl>
  </w:abstractNum>
  <w:abstractNum w:abstractNumId="119">
    <w:nsid w:val="73D4D3C4"/>
    <w:multiLevelType w:val="hybridMultilevel"/>
    <w:lvl w:ilvl="0">
      <w:lvlJc w:val="left"/>
      <w:lvlText w:val="1"/>
      <w:numFmt w:val="bullet"/>
      <w:start w:val="1"/>
    </w:lvl>
  </w:abstractNum>
  <w:abstractNum w:abstractNumId="120">
    <w:nsid w:val="746F2E30"/>
    <w:multiLevelType w:val="hybridMultilevel"/>
    <w:lvl w:ilvl="0">
      <w:lvlJc w:val="left"/>
      <w:lvlText w:val="2"/>
      <w:numFmt w:val="bullet"/>
      <w:start w:val="1"/>
    </w:lvl>
  </w:abstractNum>
  <w:abstractNum w:abstractNumId="121">
    <w:nsid w:val="6FDE8AF6"/>
    <w:multiLevelType w:val="hybridMultilevel"/>
    <w:lvl w:ilvl="0">
      <w:lvlJc w:val="left"/>
      <w:lvlText w:val="3"/>
      <w:numFmt w:val="bullet"/>
      <w:start w:val="1"/>
    </w:lvl>
  </w:abstractNum>
  <w:abstractNum w:abstractNumId="122">
    <w:nsid w:val="3FC32E20"/>
    <w:multiLevelType w:val="hybridMultilevel"/>
    <w:lvl w:ilvl="0">
      <w:lvlJc w:val="left"/>
      <w:lvlText w:val="4"/>
      <w:numFmt w:val="bullet"/>
      <w:start w:val="1"/>
    </w:lvl>
  </w:abstractNum>
  <w:abstractNum w:abstractNumId="123">
    <w:nsid w:val="49C0E823"/>
    <w:multiLevelType w:val="hybridMultilevel"/>
    <w:lvl w:ilvl="0">
      <w:lvlJc w:val="left"/>
      <w:lvlText w:val="5"/>
      <w:numFmt w:val="bullet"/>
      <w:start w:val="1"/>
    </w:lvl>
  </w:abstractNum>
  <w:abstractNum w:abstractNumId="124">
    <w:nsid w:val="14D53685"/>
    <w:multiLevelType w:val="hybridMultilevel"/>
    <w:lvl w:ilvl="0">
      <w:lvlJc w:val="left"/>
      <w:lvlText w:val="6"/>
      <w:numFmt w:val="bullet"/>
      <w:start w:val="1"/>
    </w:lvl>
  </w:abstractNum>
  <w:abstractNum w:abstractNumId="125">
    <w:nsid w:val="230F856C"/>
    <w:multiLevelType w:val="hybridMultilevel"/>
    <w:lvl w:ilvl="0">
      <w:lvlJc w:val="left"/>
      <w:lvlText w:val="7"/>
      <w:numFmt w:val="bullet"/>
      <w:start w:val="1"/>
    </w:lvl>
  </w:abstractNum>
  <w:abstractNum w:abstractNumId="126">
    <w:nsid w:val="6EAA85FB"/>
    <w:multiLevelType w:val="hybridMultilevel"/>
    <w:lvl w:ilvl="0">
      <w:lvlJc w:val="left"/>
      <w:lvlText w:val="8"/>
      <w:numFmt w:val="bullet"/>
      <w:start w:val="1"/>
    </w:lvl>
  </w:abstractNum>
  <w:abstractNum w:abstractNumId="127">
    <w:nsid w:val="3F06ECB2"/>
    <w:multiLevelType w:val="hybridMultilevel"/>
    <w:lvl w:ilvl="0">
      <w:lvlJc w:val="left"/>
      <w:lvlText w:val="9"/>
      <w:numFmt w:val="bullet"/>
      <w:start w:val="1"/>
    </w:lvl>
  </w:abstractNum>
  <w:abstractNum w:abstractNumId="128">
    <w:nsid w:val="3B594807"/>
    <w:multiLevelType w:val="hybridMultilevel"/>
    <w:lvl w:ilvl="0">
      <w:lvlJc w:val="left"/>
      <w:lvlText w:val="%1"/>
      <w:numFmt w:val="decimal"/>
      <w:start w:val="10"/>
    </w:lvl>
  </w:abstractNum>
  <w:abstractNum w:abstractNumId="129">
    <w:nsid w:val="6CAA2304"/>
    <w:multiLevelType w:val="hybridMultilevel"/>
    <w:lvl w:ilvl="0">
      <w:lvlJc w:val="left"/>
      <w:lvlText w:val="(%1)"/>
      <w:numFmt w:val="lowerLetter"/>
      <w:start w:val="1"/>
    </w:lvl>
  </w:abstractNum>
  <w:abstractNum w:abstractNumId="130">
    <w:nsid w:val="3F7C2FF4"/>
    <w:multiLevelType w:val="hybridMultilevel"/>
    <w:lvl w:ilvl="0">
      <w:lvlJc w:val="left"/>
      <w:lvlText w:val="(%1)"/>
      <w:numFmt w:val="lowerLetter"/>
      <w:start w:val="2"/>
    </w:lvl>
  </w:abstractNum>
  <w:abstractNum w:abstractNumId="131">
    <w:nsid w:val="25413BEC"/>
    <w:multiLevelType w:val="hybridMultilevel"/>
    <w:lvl w:ilvl="0">
      <w:lvlJc w:val="left"/>
      <w:lvlText w:val="(%1)"/>
      <w:numFmt w:val="lowerLetter"/>
      <w:start w:val="13"/>
    </w:lvl>
  </w:abstractNum>
  <w:abstractNum w:abstractNumId="132">
    <w:nsid w:val="17180B0B"/>
    <w:multiLevelType w:val="hybridMultilevel"/>
    <w:lvl w:ilvl="0">
      <w:lvlJc w:val="left"/>
      <w:lvlText w:val="%1"/>
      <w:numFmt w:val="upperLetter"/>
      <w:start w:val="1"/>
    </w:lvl>
    <w:lvl w:ilvl="1">
      <w:lvlJc w:val="left"/>
      <w:lvlText w:val="(%2)"/>
      <w:numFmt w:val="decimal"/>
      <w:start w:val="2"/>
    </w:lvl>
  </w:abstractNum>
  <w:abstractNum w:abstractNumId="133">
    <w:nsid w:val="579328B9"/>
    <w:multiLevelType w:val="hybridMultilevel"/>
    <w:lvl w:ilvl="0">
      <w:lvlJc w:val="left"/>
      <w:lvlText w:val="%1."/>
      <w:numFmt w:val="upperLetter"/>
      <w:start w:val="3"/>
    </w:lvl>
    <w:lvl w:ilvl="1">
      <w:lvlJc w:val="left"/>
      <w:lvlText w:val="%2"/>
      <w:numFmt w:val="decimal"/>
      <w:start w:val="1"/>
    </w:lvl>
  </w:abstractNum>
  <w:abstractNum w:abstractNumId="134">
    <w:nsid w:val="5D205E20"/>
    <w:multiLevelType w:val="hybridMultilevel"/>
    <w:lvl w:ilvl="0">
      <w:lvlJc w:val="left"/>
      <w:lvlText w:val="%1"/>
      <w:numFmt w:val="upperLetter"/>
      <w:start w:val="1"/>
    </w:lvl>
    <w:lvl w:ilvl="1">
      <w:lvlJc w:val="left"/>
      <w:lvlText w:val="%2."/>
      <w:numFmt w:val="upperLetter"/>
      <w:start w:val="2"/>
    </w:lvl>
  </w:abstractNum>
  <w:abstractNum w:abstractNumId="135">
    <w:nsid w:val="11CCA8BA"/>
    <w:multiLevelType w:val="hybridMultilevel"/>
    <w:lvl w:ilvl="0">
      <w:lvlJc w:val="left"/>
      <w:lvlText w:val="(%1)"/>
      <w:numFmt w:val="upperLetter"/>
      <w:start w:val="1"/>
    </w:lvl>
    <w:lvl w:ilvl="1">
      <w:lvlJc w:val="left"/>
      <w:lvlText w:val="%2"/>
      <w:numFmt w:val="upperLetter"/>
      <w:start w:val="1"/>
    </w:lvl>
  </w:abstractNum>
  <w:abstractNum w:abstractNumId="136">
    <w:nsid w:val="4D32AB86"/>
    <w:multiLevelType w:val="hybridMultilevel"/>
    <w:lvl w:ilvl="0">
      <w:lvlJc w:val="left"/>
      <w:lvlText w:val="(%1)"/>
      <w:numFmt w:val="upperLetter"/>
      <w:start w:val="3"/>
    </w:lvl>
    <w:lvl w:ilvl="1">
      <w:lvlJc w:val="left"/>
      <w:lvlText w:val="%2."/>
      <w:numFmt w:val="upperLetter"/>
      <w:start w:val="3"/>
    </w:lvl>
  </w:abstractNum>
  <w:abstractNum w:abstractNumId="137">
    <w:nsid w:val="3F07ACC3"/>
    <w:multiLevelType w:val="hybridMultilevel"/>
    <w:lvl w:ilvl="0">
      <w:lvlJc w:val="left"/>
      <w:lvlText w:val="%1."/>
      <w:numFmt w:val="upperLetter"/>
      <w:start w:val="5"/>
    </w:lvl>
  </w:abstractNum>
  <w:abstractNum w:abstractNumId="138">
    <w:nsid w:val="6B47F63E"/>
    <w:multiLevelType w:val="hybridMultilevel"/>
    <w:lvl w:ilvl="0">
      <w:lvlJc w:val="left"/>
      <w:lvlText w:val="(%1)"/>
      <w:numFmt w:val="lowerRoman"/>
      <w:start w:val="2"/>
    </w:lvl>
    <w:lvl w:ilvl="1">
      <w:lvlJc w:val="left"/>
      <w:lvlText w:val="%2."/>
      <w:numFmt w:val="upperLetter"/>
      <w:start w:val="2"/>
    </w:lvl>
  </w:abstractNum>
  <w:abstractNum w:abstractNumId="139">
    <w:nsid w:val="5CB44A05"/>
    <w:multiLevelType w:val="hybridMultilevel"/>
    <w:lvl w:ilvl="0">
      <w:lvlJc w:val="left"/>
      <w:lvlText w:val="(%1)"/>
      <w:numFmt w:val="lowerLetter"/>
      <w:start w:val="1"/>
    </w:lvl>
  </w:abstractNum>
  <w:abstractNum w:abstractNumId="140">
    <w:nsid w:val="16CF80F1"/>
    <w:multiLevelType w:val="hybridMultilevel"/>
    <w:lvl w:ilvl="0">
      <w:lvlJc w:val="left"/>
      <w:lvlText w:val="(%1)"/>
      <w:numFmt w:val="lowerLetter"/>
      <w:start w:val="1"/>
    </w:lvl>
  </w:abstractNum>
  <w:abstractNum w:abstractNumId="141">
    <w:nsid w:val="1C695DEC"/>
    <w:multiLevelType w:val="hybridMultilevel"/>
    <w:lvl w:ilvl="0">
      <w:lvlJc w:val="left"/>
      <w:lvlText w:val="%1"/>
      <w:numFmt w:val="lowerLetter"/>
      <w:start w:val="1"/>
    </w:lvl>
    <w:lvl w:ilvl="1">
      <w:lvlJc w:val="left"/>
      <w:lvlText w:val="(%2)"/>
      <w:numFmt w:val="lowerLetter"/>
      <w:start w:val="7"/>
    </w:lvl>
  </w:abstractNum>
  <w:abstractNum w:abstractNumId="142">
    <w:nsid w:val="3FCFAED9"/>
    <w:multiLevelType w:val="hybridMultilevel"/>
    <w:lvl w:ilvl="0">
      <w:lvlJc w:val="left"/>
      <w:lvlText w:val="(%1)"/>
      <w:numFmt w:val="lowerLetter"/>
      <w:start w:val="35"/>
    </w:lvl>
    <w:lvl w:ilvl="1">
      <w:lvlJc w:val="left"/>
      <w:lvlText w:val="(%2)"/>
      <w:numFmt w:val="lowerLetter"/>
      <w:start w:val="10"/>
    </w:lvl>
  </w:abstractNum>
  <w:abstractNum w:abstractNumId="143">
    <w:nsid w:val="F856867"/>
    <w:multiLevelType w:val="hybridMultilevel"/>
    <w:lvl w:ilvl="0">
      <w:lvlJc w:val="left"/>
      <w:lvlText w:val="(%1)"/>
      <w:numFmt w:val="lowerRoman"/>
      <w:start w:val="1"/>
    </w:lvl>
    <w:lvl w:ilvl="1">
      <w:lvlJc w:val="left"/>
      <w:lvlText w:val="%2."/>
      <w:numFmt w:val="upperLetter"/>
      <w:start w:val="2"/>
    </w:lvl>
  </w:abstractNum>
  <w:abstractNum w:abstractNumId="144">
    <w:nsid w:val="11B1CC3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3"/>
    </w:lvl>
  </w:abstractNum>
  <w:abstractNum w:abstractNumId="145">
    <w:nsid w:val="2E22FBB7"/>
    <w:multiLevelType w:val="hybridMultilevel"/>
    <w:lvl w:ilvl="0">
      <w:lvlJc w:val="left"/>
      <w:lvlText w:val="(%1)"/>
      <w:numFmt w:val="lowerLetter"/>
      <w:start w:val="1"/>
    </w:lvl>
    <w:lvl w:ilvl="1">
      <w:lvlJc w:val="left"/>
      <w:lvlText w:val="%2."/>
      <w:numFmt w:val="upperLetter"/>
      <w:start w:val="2"/>
    </w:lvl>
  </w:abstractNum>
  <w:abstractNum w:abstractNumId="146">
    <w:nsid w:val="29934699"/>
    <w:multiLevelType w:val="hybridMultilevel"/>
    <w:lvl w:ilvl="0">
      <w:lvlJc w:val="left"/>
      <w:lvlText w:val="%1"/>
      <w:numFmt w:val="decimal"/>
      <w:start w:val="1"/>
    </w:lvl>
    <w:lvl w:ilvl="1">
      <w:lvlJc w:val="left"/>
      <w:lvlText w:val="(%2)"/>
      <w:numFmt w:val="lowerLetter"/>
      <w:start w:val="1"/>
    </w:lvl>
  </w:abstractNum>
  <w:abstractNum w:abstractNumId="147">
    <w:nsid w:val="77485850"/>
    <w:multiLevelType w:val="hybridMultilevel"/>
    <w:lvl w:ilvl="0">
      <w:lvlJc w:val="left"/>
      <w:lvlText w:val="(%1)"/>
      <w:numFmt w:val="decimal"/>
      <w:start w:val="1"/>
    </w:lvl>
    <w:lvl w:ilvl="1">
      <w:lvlJc w:val="left"/>
      <w:lvlText w:val="%2"/>
      <w:numFmt w:val="lowerLetter"/>
      <w:start w:val="1"/>
    </w:lvl>
  </w:abstractNum>
  <w:abstractNum w:abstractNumId="148">
    <w:nsid w:val="744939A3"/>
    <w:multiLevelType w:val="hybridMultilevel"/>
    <w:lvl w:ilvl="0">
      <w:lvlJc w:val="left"/>
      <w:lvlText w:val="(%1)"/>
      <w:numFmt w:val="decimal"/>
      <w:start w:val="2"/>
    </w:lvl>
    <w:lvl w:ilvl="1">
      <w:lvlJc w:val="left"/>
      <w:lvlText w:val="(%2)"/>
      <w:numFmt w:val="lowerLetter"/>
      <w:start w:val="2"/>
    </w:lvl>
  </w:abstractNum>
  <w:abstractNum w:abstractNumId="149">
    <w:nsid w:val="4FA0D2E3"/>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abstractNum>
  <w:abstractNum w:abstractNumId="150">
    <w:nsid w:val="6B1D2C14"/>
    <w:multiLevelType w:val="hybridMultilevel"/>
    <w:lvl w:ilvl="0">
      <w:lvlJc w:val="left"/>
      <w:lvlText w:val="(%1)"/>
      <w:numFmt w:val="decimal"/>
      <w:start w:val="3"/>
    </w:lvl>
    <w:lvl w:ilvl="1">
      <w:lvlJc w:val="left"/>
      <w:lvlText w:val="(%2)"/>
      <w:numFmt w:val="decimal"/>
      <w:start w:val="5"/>
    </w:lvl>
    <w:lvl w:ilvl="2">
      <w:lvlJc w:val="left"/>
      <w:lvlText w:val="(%3)"/>
      <w:numFmt w:val="decimal"/>
      <w:start w:val="4"/>
    </w:lvl>
    <w:lvl w:ilvl="3">
      <w:lvlJc w:val="left"/>
      <w:lvlText w:val="(%4)"/>
      <w:numFmt w:val="decimal"/>
      <w:start w:val="4"/>
    </w:lvl>
  </w:abstractNum>
  <w:abstractNum w:abstractNumId="151">
    <w:nsid w:val="68B867D3"/>
    <w:multiLevelType w:val="hybridMultilevel"/>
    <w:lvl w:ilvl="0">
      <w:lvlJc w:val="left"/>
      <w:lvlText w:val="(%1)"/>
      <w:numFmt w:val="decimal"/>
      <w:start w:val="7"/>
    </w:lvl>
    <w:lvl w:ilvl="1">
      <w:lvlJc w:val="left"/>
      <w:lvlText w:val="(%2)"/>
      <w:numFmt w:val="decimal"/>
      <w:start w:val="8"/>
    </w:lvl>
  </w:abstractNum>
  <w:abstractNum w:abstractNumId="152">
    <w:nsid w:val="3F7F5DD9"/>
    <w:multiLevelType w:val="hybridMultilevel"/>
    <w:lvl w:ilvl="0">
      <w:lvlJc w:val="left"/>
      <w:lvlText w:val="(%1)"/>
      <w:numFmt w:val="lowerRoman"/>
      <w:start w:val="2"/>
    </w:lvl>
  </w:abstractNum>
  <w:abstractNum w:abstractNumId="153">
    <w:nsid w:val="2AE05A34"/>
    <w:multiLevelType w:val="hybridMultilevel"/>
    <w:lvl w:ilvl="0">
      <w:lvlJc w:val="left"/>
      <w:lvlText w:val="(%1)"/>
      <w:numFmt w:val="lowerRoman"/>
      <w:start w:val="1"/>
    </w:lvl>
  </w:abstractNum>
  <w:abstractNum w:abstractNumId="154">
    <w:nsid w:val="32794FF7"/>
    <w:multiLevelType w:val="hybridMultilevel"/>
    <w:lvl w:ilvl="0">
      <w:lvlJc w:val="left"/>
      <w:lvlText w:val="(%1)"/>
      <w:numFmt w:val="lowerRoman"/>
      <w:start w:val="2"/>
    </w:lvl>
  </w:abstractNum>
  <w:abstractNum w:abstractNumId="155">
    <w:nsid w:val="545494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56">
    <w:nsid w:val="4DEFDFA0"/>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157">
    <w:nsid w:val="2123D5F2"/>
    <w:multiLevelType w:val="hybridMultilevel"/>
    <w:lvl w:ilvl="0">
      <w:lvlJc w:val="left"/>
      <w:lvlText w:val="(%1)"/>
      <w:numFmt w:val="lowerLetter"/>
      <w:start w:val="1"/>
    </w:lvl>
    <w:lvl w:ilvl="1">
      <w:lvlJc w:val="left"/>
      <w:lvlText w:val="%2."/>
      <w:numFmt w:val="upperLetter"/>
      <w:start w:val="2"/>
    </w:lvl>
  </w:abstractNum>
  <w:abstractNum w:abstractNumId="158">
    <w:nsid w:val="135B8110"/>
    <w:multiLevelType w:val="hybridMultilevel"/>
    <w:lvl w:ilvl="0">
      <w:lvlJc w:val="left"/>
      <w:lvlText w:val="(%1)"/>
      <w:numFmt w:val="lowerLetter"/>
      <w:start w:val="1"/>
    </w:lvl>
    <w:lvl w:ilvl="1">
      <w:lvlJc w:val="left"/>
      <w:lvlText w:val="(%2)"/>
      <w:numFmt w:val="lowerLetter"/>
      <w:start w:val="5"/>
    </w:lvl>
  </w:abstractNum>
  <w:abstractNum w:abstractNumId="159">
    <w:nsid w:val="94927A8"/>
    <w:multiLevelType w:val="hybridMultilevel"/>
    <w:lvl w:ilvl="0">
      <w:lvlJc w:val="left"/>
      <w:lvlText w:val="(%1)"/>
      <w:numFmt w:val="lowerLetter"/>
      <w:start w:val="6"/>
    </w:lvl>
  </w:abstractNum>
  <w:abstractNum w:abstractNumId="160">
    <w:nsid w:val="DCDF8F6"/>
    <w:multiLevelType w:val="hybridMultilevel"/>
    <w:lvl w:ilvl="0">
      <w:lvlJc w:val="left"/>
      <w:lvlText w:val="(%1)"/>
      <w:numFmt w:val="lowerLetter"/>
      <w:start w:val="10"/>
    </w:lvl>
  </w:abstractNum>
  <w:abstractNum w:abstractNumId="161">
    <w:nsid w:val="52D7B105"/>
    <w:multiLevelType w:val="hybridMultilevel"/>
    <w:lvl w:ilvl="0">
      <w:lvlJc w:val="left"/>
      <w:lvlText w:val="(%1)"/>
      <w:numFmt w:val="lowerLetter"/>
      <w:start w:val="11"/>
    </w:lvl>
  </w:abstractNum>
  <w:abstractNum w:abstractNumId="162">
    <w:nsid w:val="2E8A6394"/>
    <w:multiLevelType w:val="hybridMultilevel"/>
    <w:lvl w:ilvl="0">
      <w:lvlJc w:val="left"/>
      <w:lvlText w:val="%1"/>
      <w:numFmt w:val="lowerLetter"/>
      <w:start w:val="1"/>
    </w:lvl>
    <w:lvl w:ilvl="1">
      <w:lvlJc w:val="left"/>
      <w:lvlText w:val="(%2)"/>
      <w:numFmt w:val="lowerLetter"/>
      <w:start w:val="14"/>
    </w:lvl>
  </w:abstractNum>
  <w:abstractNum w:abstractNumId="163">
    <w:nsid w:val="24E60401"/>
    <w:multiLevelType w:val="hybridMultilevel"/>
    <w:lvl w:ilvl="0">
      <w:lvlJc w:val="left"/>
      <w:lvlText w:val="(%1)"/>
      <w:numFmt w:val="lowerLetter"/>
      <w:start w:val="15"/>
    </w:lvl>
    <w:lvl w:ilvl="1">
      <w:lvlJc w:val="left"/>
      <w:lvlText w:val="%2"/>
      <w:numFmt w:val="lowerLetter"/>
      <w:start w:val="1"/>
    </w:lvl>
  </w:abstractNum>
  <w:abstractNum w:abstractNumId="164">
    <w:nsid w:val="2A6AD9BE"/>
    <w:multiLevelType w:val="hybridMultilevel"/>
    <w:lvl w:ilvl="0">
      <w:lvlJc w:val="left"/>
      <w:lvlText w:val="(%1)"/>
      <w:numFmt w:val="lowerLetter"/>
      <w:start w:val="16"/>
    </w:lvl>
  </w:abstractNum>
  <w:abstractNum w:abstractNumId="165">
    <w:nsid w:val="BAAC1B4"/>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1"/>
    </w:lvl>
  </w:abstractNum>
  <w:abstractNum w:abstractNumId="166">
    <w:nsid w:val="36B2ACBC"/>
    <w:multiLevelType w:val="hybridMultilevel"/>
    <w:lvl w:ilvl="0">
      <w:lvlJc w:val="left"/>
      <w:lvlText w:val="(%1)"/>
      <w:numFmt w:val="lowerLetter"/>
      <w:start w:val="20"/>
    </w:lvl>
    <w:lvl w:ilvl="1">
      <w:lvlJc w:val="left"/>
      <w:lvlText w:val="%2"/>
      <w:numFmt w:val="lowerLetter"/>
      <w:start w:val="1"/>
    </w:lvl>
    <w:lvl w:ilvl="2">
      <w:lvlJc w:val="left"/>
      <w:lvlText w:val="(%3)"/>
      <w:numFmt w:val="lowerLetter"/>
      <w:start w:val="23"/>
    </w:lvl>
  </w:abstractNum>
  <w:abstractNum w:abstractNumId="167">
    <w:nsid w:val="779D8544"/>
    <w:multiLevelType w:val="hybridMultilevel"/>
    <w:lvl w:ilvl="0">
      <w:lvlJc w:val="left"/>
      <w:lvlText w:val="(%1)"/>
      <w:numFmt w:val="lowerLetter"/>
      <w:start w:val="24"/>
    </w:lvl>
    <w:lvl w:ilvl="1">
      <w:lvlJc w:val="left"/>
      <w:lvlText w:val="(%2)"/>
      <w:numFmt w:val="lowerLetter"/>
      <w:start w:val="25"/>
    </w:lvl>
  </w:abstractNum>
  <w:abstractNum w:abstractNumId="168">
    <w:nsid w:val="4AB26E78"/>
    <w:multiLevelType w:val="hybridMultilevel"/>
    <w:lvl w:ilvl="0">
      <w:lvlJc w:val="left"/>
      <w:lvlText w:val="(%1)"/>
      <w:numFmt w:val="lowerLetter"/>
      <w:start w:val="26"/>
    </w:lvl>
    <w:lvl w:ilvl="1">
      <w:lvlJc w:val="left"/>
      <w:lvlText w:val="(%2)"/>
      <w:numFmt w:val="lowerLetter"/>
      <w:start w:val="34"/>
    </w:lvl>
  </w:abstractNum>
  <w:abstractNum w:abstractNumId="169">
    <w:nsid w:val="21FAA2FA"/>
    <w:multiLevelType w:val="hybridMultilevel"/>
    <w:lvl w:ilvl="0">
      <w:lvlJc w:val="left"/>
      <w:lvlText w:val="(%1)"/>
      <w:numFmt w:val="lowerLetter"/>
      <w:start w:val="35"/>
    </w:lvl>
  </w:abstractNum>
  <w:abstractNum w:abstractNumId="170">
    <w:nsid w:val="5451CF49"/>
    <w:multiLevelType w:val="hybridMultilevel"/>
    <w:lvl w:ilvl="0">
      <w:lvlJc w:val="left"/>
      <w:lvlText w:val="(%1)"/>
      <w:numFmt w:val="lowerLetter"/>
      <w:start w:val="38"/>
    </w:lvl>
  </w:abstractNum>
  <w:abstractNum w:abstractNumId="171">
    <w:nsid w:val="6181EF69"/>
    <w:multiLevelType w:val="hybridMultilevel"/>
    <w:lvl w:ilvl="0">
      <w:lvlJc w:val="left"/>
      <w:lvlText w:val="(%1)"/>
      <w:numFmt w:val="lowerLetter"/>
      <w:start w:val="2"/>
    </w:lvl>
  </w:abstractNum>
  <w:abstractNum w:abstractNumId="172">
    <w:nsid w:val="3E6400E6"/>
    <w:multiLevelType w:val="hybridMultilevel"/>
    <w:lvl w:ilvl="0">
      <w:lvlJc w:val="left"/>
      <w:lvlText w:val="%1."/>
      <w:numFmt w:val="decimal"/>
      <w:start w:val="1"/>
    </w:lvl>
  </w:abstractNum>
  <w:abstractNum w:abstractNumId="173">
    <w:nsid w:val="14217E23"/>
    <w:multiLevelType w:val="hybridMultilevel"/>
    <w:lvl w:ilvl="0">
      <w:lvlJc w:val="left"/>
      <w:lvlText w:val="%1)"/>
      <w:numFmt w:val="lowerLetter"/>
      <w:start w:val="1"/>
    </w:lvl>
  </w:abstractNum>
  <w:abstractNum w:abstractNumId="174">
    <w:nsid w:val="710757D0"/>
    <w:multiLevelType w:val="hybridMultilevel"/>
    <w:lvl w:ilvl="0">
      <w:lvlJc w:val="left"/>
      <w:lvlText w:val="%1."/>
      <w:numFmt w:val="decimal"/>
      <w:start w:val="5"/>
    </w:lvl>
  </w:abstractNum>
  <w:abstractNum w:abstractNumId="175">
    <w:nsid w:val="5015CD1A"/>
    <w:multiLevelType w:val="hybridMultilevel"/>
    <w:lvl w:ilvl="0">
      <w:lvlJc w:val="left"/>
      <w:lvlText w:val="%1)"/>
      <w:numFmt w:val="lowerLetter"/>
      <w:start w:val="1"/>
    </w:lvl>
  </w:abstractNum>
  <w:abstractNum w:abstractNumId="176">
    <w:nsid w:val="424479DA"/>
    <w:multiLevelType w:val="hybridMultilevel"/>
    <w:lvl w:ilvl="0">
      <w:lvlJc w:val="left"/>
      <w:lvlText w:val="%1."/>
      <w:numFmt w:val="decimal"/>
      <w:start w:val="1"/>
    </w:lvl>
  </w:abstractNum>
  <w:abstractNum w:abstractNumId="177">
    <w:nsid w:val="1A9A9E69"/>
    <w:multiLevelType w:val="hybridMultilevel"/>
    <w:lvl w:ilvl="0">
      <w:lvlJc w:val="left"/>
      <w:lvlText w:val="%1)"/>
      <w:numFmt w:val="lowerLetter"/>
      <w:start w:val="1"/>
    </w:lvl>
  </w:abstractNum>
  <w:abstractNum w:abstractNumId="178">
    <w:nsid w:val="475E256A"/>
    <w:multiLevelType w:val="hybridMultilevel"/>
    <w:lvl w:ilvl="0">
      <w:lvlJc w:val="left"/>
      <w:lvlText w:val="%1."/>
      <w:numFmt w:val="decimal"/>
      <w:start w:val="5"/>
    </w:lvl>
  </w:abstractNum>
  <w:abstractNum w:abstractNumId="179">
    <w:nsid w:val="368DB37E"/>
    <w:multiLevelType w:val="hybridMultilevel"/>
    <w:lvl w:ilvl="0">
      <w:lvlJc w:val="left"/>
      <w:lvlText w:val="%1)"/>
      <w:numFmt w:val="lowerLetter"/>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2019-12-09T18:34:30Z</dcterms:created>
  <dcterms:modified xsi:type="dcterms:W3CDTF">2019-12-09T18:34:30Z</dcterms:modified>
</cp:coreProperties>
</file>