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WEINSTEIN ROBERT</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XWELL,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XWEL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02/27/2026</w:t>
            </w:r>
          </w:p>
        </w:tc>
        <w:tc>
          <w:tcPr>
            <w:tcW w:w="2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XWELL, INC.</w:t>
            </w:r>
          </w:p>
        </w:tc>
        <w:tc>
          <w:tcPr>
            <w:tcW w:w="14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254 WEST 31ST STREET, 11TH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02/27/2026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100,000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215,231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100,000 restricted stock units ("RSUs"), which such RSUs shall vest on the thirtieth (30th) day following the date of grant, provided that the reporting person remains employed by or is providing services to the Issuer. The RSUs were granted subject to the closing of the transaction contemplated by that certain securities purchase agreement, dated as of February 24, 2026, by and between the Company and the purchaser signatory thereto, which occurred on February 27, 2026.</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Robert Weinstein</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709" TargetMode="External"/><Relationship Id="rId14"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2026-03-02T18:46:41Z</dcterms:created>
  <dcterms:modified xsi:type="dcterms:W3CDTF">2026-03-02T18:46:41Z</dcterms:modified>
</cp:coreProperties>
</file>