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FORM 12b-25</w:t>
      </w:r>
    </w:p>
    <w:p>
      <w:pPr>
        <w:spacing w:after="0" w:line="232"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NOTIFICATION OF LATE FILING</w:t>
      </w:r>
    </w:p>
    <w:p>
      <w:pPr>
        <w:spacing w:after="0" w:line="188" w:lineRule="exact"/>
        <w:rPr>
          <w:sz w:val="24"/>
          <w:szCs w:val="24"/>
          <w:color w:val="auto"/>
        </w:rPr>
      </w:pPr>
    </w:p>
    <w:p>
      <w:pPr>
        <w:spacing w:after="0" w:line="207" w:lineRule="exact"/>
        <w:tabs>
          <w:tab w:leader="none" w:pos="1120" w:val="left"/>
        </w:tabs>
        <w:rPr>
          <w:sz w:val="20"/>
          <w:szCs w:val="20"/>
          <w:color w:val="auto"/>
        </w:rPr>
      </w:pPr>
      <w:r>
        <w:rPr>
          <w:rFonts w:ascii="Times New Roman" w:cs="Times New Roman" w:eastAsia="Times New Roman" w:hAnsi="Times New Roman"/>
          <w:sz w:val="18"/>
          <w:szCs w:val="18"/>
          <w:i w:val="1"/>
          <w:iCs w:val="1"/>
          <w:color w:val="auto"/>
        </w:rPr>
        <w:t>(Check One):</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Form 10-K</w:t>
      </w:r>
      <w:r>
        <w:rPr>
          <w:rFonts w:ascii="MS PGothic" w:cs="MS PGothic" w:eastAsia="MS PGothic" w:hAnsi="MS PGothic"/>
          <w:sz w:val="17"/>
          <w:szCs w:val="17"/>
          <w:color w:val="auto"/>
        </w:rPr>
        <w:t xml:space="preserve"> ☐ </w:t>
      </w:r>
      <w:r>
        <w:rPr>
          <w:rFonts w:ascii="Times New Roman" w:cs="Times New Roman" w:eastAsia="Times New Roman" w:hAnsi="Times New Roman"/>
          <w:sz w:val="17"/>
          <w:szCs w:val="17"/>
          <w:color w:val="auto"/>
        </w:rPr>
        <w:t>Form 20-F</w:t>
      </w:r>
      <w:r>
        <w:rPr>
          <w:rFonts w:ascii="MS PGothic" w:cs="MS PGothic" w:eastAsia="MS PGothic" w:hAnsi="MS PGothic"/>
          <w:sz w:val="17"/>
          <w:szCs w:val="17"/>
          <w:color w:val="auto"/>
        </w:rPr>
        <w:t xml:space="preserve"> ☐ </w:t>
      </w:r>
      <w:r>
        <w:rPr>
          <w:rFonts w:ascii="Times New Roman" w:cs="Times New Roman" w:eastAsia="Times New Roman" w:hAnsi="Times New Roman"/>
          <w:sz w:val="17"/>
          <w:szCs w:val="17"/>
          <w:color w:val="auto"/>
        </w:rPr>
        <w:t>Form 11-K</w:t>
      </w:r>
      <w:r>
        <w:rPr>
          <w:rFonts w:ascii="MS PGothic" w:cs="MS PGothic" w:eastAsia="MS PGothic" w:hAnsi="MS PGothic"/>
          <w:sz w:val="17"/>
          <w:szCs w:val="17"/>
          <w:color w:val="auto"/>
        </w:rPr>
        <w:t xml:space="preserve"> ☐ </w:t>
      </w:r>
      <w:r>
        <w:rPr>
          <w:rFonts w:ascii="Times New Roman" w:cs="Times New Roman" w:eastAsia="Times New Roman" w:hAnsi="Times New Roman"/>
          <w:sz w:val="17"/>
          <w:szCs w:val="17"/>
          <w:color w:val="auto"/>
        </w:rPr>
        <w:t>Form 10-Q</w:t>
      </w:r>
      <w:r>
        <w:rPr>
          <w:rFonts w:ascii="MS PGothic" w:cs="MS PGothic" w:eastAsia="MS PGothic" w:hAnsi="MS PGothic"/>
          <w:sz w:val="17"/>
          <w:szCs w:val="17"/>
          <w:color w:val="auto"/>
        </w:rPr>
        <w:t xml:space="preserve"> ☐ </w:t>
      </w:r>
      <w:r>
        <w:rPr>
          <w:rFonts w:ascii="Times New Roman" w:cs="Times New Roman" w:eastAsia="Times New Roman" w:hAnsi="Times New Roman"/>
          <w:sz w:val="17"/>
          <w:szCs w:val="17"/>
          <w:color w:val="auto"/>
        </w:rPr>
        <w:t>Form 10-D</w:t>
      </w:r>
      <w:r>
        <w:rPr>
          <w:rFonts w:ascii="MS PGothic" w:cs="MS PGothic" w:eastAsia="MS PGothic" w:hAnsi="MS PGothic"/>
          <w:sz w:val="17"/>
          <w:szCs w:val="17"/>
          <w:color w:val="auto"/>
        </w:rPr>
        <w:t xml:space="preserve"> ☐ </w:t>
      </w:r>
      <w:r>
        <w:rPr>
          <w:rFonts w:ascii="Times New Roman" w:cs="Times New Roman" w:eastAsia="Times New Roman" w:hAnsi="Times New Roman"/>
          <w:sz w:val="17"/>
          <w:szCs w:val="17"/>
          <w:color w:val="auto"/>
        </w:rPr>
        <w:t>Form N-CEN</w:t>
      </w:r>
      <w:r>
        <w:rPr>
          <w:rFonts w:ascii="MS PGothic" w:cs="MS PGothic" w:eastAsia="MS PGothic" w:hAnsi="MS PGothic"/>
          <w:sz w:val="17"/>
          <w:szCs w:val="17"/>
          <w:color w:val="auto"/>
        </w:rPr>
        <w:t xml:space="preserve"> ☐ </w:t>
      </w:r>
      <w:r>
        <w:rPr>
          <w:rFonts w:ascii="Times New Roman" w:cs="Times New Roman" w:eastAsia="Times New Roman" w:hAnsi="Times New Roman"/>
          <w:sz w:val="17"/>
          <w:szCs w:val="17"/>
          <w:color w:val="auto"/>
        </w:rPr>
        <w:t>Form N-CSR</w:t>
      </w:r>
    </w:p>
    <w:p>
      <w:pPr>
        <w:spacing w:after="0" w:line="266"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color w:val="auto"/>
        </w:rPr>
        <w:t xml:space="preserve">For Period Ended: </w:t>
      </w:r>
      <w:r>
        <w:rPr>
          <w:rFonts w:ascii="Times New Roman" w:cs="Times New Roman" w:eastAsia="Times New Roman" w:hAnsi="Times New Roman"/>
          <w:sz w:val="18"/>
          <w:szCs w:val="18"/>
          <w:u w:val="single" w:color="auto"/>
          <w:color w:val="auto"/>
        </w:rPr>
        <w:t>December 31, 2023</w:t>
      </w:r>
    </w:p>
    <w:p>
      <w:pPr>
        <w:spacing w:after="0" w:line="225" w:lineRule="exact"/>
        <w:rPr>
          <w:sz w:val="24"/>
          <w:szCs w:val="24"/>
          <w:color w:val="auto"/>
        </w:rPr>
      </w:pPr>
    </w:p>
    <w:p>
      <w:pPr>
        <w:ind w:left="1340" w:hanging="198"/>
        <w:spacing w:after="0"/>
        <w:tabs>
          <w:tab w:leader="none" w:pos="1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10-K</w:t>
      </w:r>
    </w:p>
    <w:p>
      <w:pPr>
        <w:spacing w:after="0" w:line="29" w:lineRule="exact"/>
        <w:rPr>
          <w:rFonts w:ascii="MS PGothic" w:cs="MS PGothic" w:eastAsia="MS PGothic" w:hAnsi="MS PGothic"/>
          <w:sz w:val="18"/>
          <w:szCs w:val="18"/>
          <w:color w:val="auto"/>
        </w:rPr>
      </w:pPr>
    </w:p>
    <w:p>
      <w:pPr>
        <w:ind w:left="1340" w:hanging="198"/>
        <w:spacing w:after="0"/>
        <w:tabs>
          <w:tab w:leader="none" w:pos="1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20-F</w:t>
      </w:r>
    </w:p>
    <w:p>
      <w:pPr>
        <w:spacing w:after="0" w:line="9" w:lineRule="exact"/>
        <w:rPr>
          <w:rFonts w:ascii="MS PGothic" w:cs="MS PGothic" w:eastAsia="MS PGothic" w:hAnsi="MS PGothic"/>
          <w:sz w:val="18"/>
          <w:szCs w:val="18"/>
          <w:color w:val="auto"/>
        </w:rPr>
      </w:pPr>
    </w:p>
    <w:p>
      <w:pPr>
        <w:ind w:left="1340" w:hanging="198"/>
        <w:spacing w:after="0"/>
        <w:tabs>
          <w:tab w:leader="none" w:pos="1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11-K</w:t>
      </w:r>
    </w:p>
    <w:p>
      <w:pPr>
        <w:spacing w:after="0" w:line="9" w:lineRule="exact"/>
        <w:rPr>
          <w:rFonts w:ascii="MS PGothic" w:cs="MS PGothic" w:eastAsia="MS PGothic" w:hAnsi="MS PGothic"/>
          <w:sz w:val="18"/>
          <w:szCs w:val="18"/>
          <w:color w:val="auto"/>
        </w:rPr>
      </w:pPr>
    </w:p>
    <w:p>
      <w:pPr>
        <w:ind w:left="1340" w:hanging="198"/>
        <w:spacing w:after="0"/>
        <w:tabs>
          <w:tab w:leader="none" w:pos="1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10-Q</w:t>
      </w:r>
    </w:p>
    <w:p>
      <w:pPr>
        <w:spacing w:after="0" w:line="9"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color w:val="auto"/>
        </w:rPr>
        <w:t>For the Transition Period Ended: ________________________</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the notification relates to a portion of the filing checked above, identify the Item(s) to which the notification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REGISTRANT INFORMATION</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XWELL, INC.</w:t>
      </w:r>
    </w:p>
    <w:p>
      <w:pPr>
        <w:spacing w:after="0" w:line="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Full name of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Former Name if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254 West 31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Street, 11</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Address of Principal Executive Office (Street and Number)</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City, State and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98"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PART II – RULES 12b-25(b) AND (c)</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62" w:lineRule="exact"/>
        <w:rPr>
          <w:sz w:val="20"/>
          <w:szCs w:val="20"/>
          <w:color w:val="auto"/>
        </w:rPr>
      </w:pPr>
    </w:p>
    <w:p>
      <w:pPr>
        <w:ind w:left="1560" w:hanging="324"/>
        <w:spacing w:after="0"/>
        <w:tabs>
          <w:tab w:leader="none" w:pos="15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 described in reasonable detail in Part III of this form could not be eliminated without unreasonable effort or expense;</w:t>
      </w:r>
    </w:p>
    <w:p>
      <w:pPr>
        <w:spacing w:after="0" w:line="63" w:lineRule="exact"/>
        <w:rPr>
          <w:rFonts w:ascii="Times New Roman" w:cs="Times New Roman" w:eastAsia="Times New Roman" w:hAnsi="Times New Roman"/>
          <w:sz w:val="18"/>
          <w:szCs w:val="18"/>
          <w:color w:val="auto"/>
        </w:rPr>
      </w:pPr>
    </w:p>
    <w:p>
      <w:pPr>
        <w:ind w:left="1560" w:hanging="324"/>
        <w:spacing w:after="0"/>
        <w:tabs>
          <w:tab w:leader="none" w:pos="1560" w:val="left"/>
        </w:tabs>
        <w:numPr>
          <w:ilvl w:val="1"/>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subject annual report, semi-annual report, transition report on Form 10-K, Form 20-F, Form 11-K, Form N-CEN or Form N-CSR,</w:t>
      </w:r>
    </w:p>
    <w:p>
      <w:pPr>
        <w:spacing w:after="0" w:line="38" w:lineRule="exact"/>
        <w:rPr>
          <w:rFonts w:ascii="Times New Roman" w:cs="Times New Roman" w:eastAsia="Times New Roman" w:hAnsi="Times New Roman"/>
          <w:sz w:val="17"/>
          <w:szCs w:val="17"/>
          <w:color w:val="auto"/>
        </w:rPr>
      </w:pPr>
    </w:p>
    <w:p>
      <w:pPr>
        <w:jc w:val="both"/>
        <w:ind w:left="1560" w:hanging="1073"/>
        <w:spacing w:after="0" w:line="200" w:lineRule="auto"/>
        <w:tabs>
          <w:tab w:leader="none" w:pos="1560" w:val="left"/>
        </w:tabs>
        <w:numPr>
          <w:ilvl w:val="0"/>
          <w:numId w:val="2"/>
        </w:numPr>
        <w:rPr>
          <w:rFonts w:ascii="MS PGothic" w:cs="MS PGothic" w:eastAsia="MS PGothic" w:hAnsi="MS PGothic"/>
          <w:sz w:val="36"/>
          <w:szCs w:val="36"/>
          <w:color w:val="auto"/>
          <w:vertAlign w:val="subscript"/>
        </w:rPr>
      </w:pPr>
      <w:r>
        <w:rPr>
          <w:rFonts w:ascii="Times New Roman" w:cs="Times New Roman" w:eastAsia="Times New Roman" w:hAnsi="Times New Roman"/>
          <w:sz w:val="18"/>
          <w:szCs w:val="18"/>
          <w:color w:val="auto"/>
        </w:rPr>
        <w:t>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38" w:lineRule="exact"/>
        <w:rPr>
          <w:rFonts w:ascii="MS PGothic" w:cs="MS PGothic" w:eastAsia="MS PGothic" w:hAnsi="MS PGothic"/>
          <w:sz w:val="36"/>
          <w:szCs w:val="36"/>
          <w:color w:val="auto"/>
          <w:vertAlign w:val="subscript"/>
        </w:rPr>
      </w:pPr>
    </w:p>
    <w:p>
      <w:pPr>
        <w:ind w:left="1560" w:hanging="324"/>
        <w:spacing w:after="0"/>
        <w:tabs>
          <w:tab w:leader="none" w:pos="15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accountant’s statement or other exhibit required by Rule 12b-25(c) has been attached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-873760</wp:posOffset>
            </wp:positionV>
            <wp:extent cx="8255" cy="925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925830"/>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 – NARRATIVE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State below in reasonable detail the reasons why Forms 10-K, 20-F, 11-K, 10-Q, N-CEN, N-CSR, or the transition report or portion thereof, could not be filed within the prescribed time period.</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XWELL, Inc. (the “Company”) will not, without unreasonable effort and expense, be able to file its Annual Report on Form 10-K for the fiscal year ended December 31, 2023 (the “2023 Annual Report”) within the prescribed time period. Additional time is needed for the Company to compile and analyze supporting documentation in order to finalize the Form 10-K and in order to permit the Company’s independent registered public accounting firm to complete its audit of the consolidated financial statements included in the Form 10-K. The Company anticipates that it will file the Form 10-K no later than the fifteenth calendar day following the prescribed filing date.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 – OTHER INFORMATION</w:t>
      </w:r>
    </w:p>
    <w:p>
      <w:pPr>
        <w:spacing w:after="0" w:line="229"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and telephone number of person to contact in regard to this notification</w:t>
      </w:r>
    </w:p>
    <w:p>
      <w:pPr>
        <w:spacing w:after="0" w:line="225" w:lineRule="exact"/>
        <w:rPr>
          <w:sz w:val="20"/>
          <w:szCs w:val="20"/>
          <w:color w:val="auto"/>
        </w:rPr>
      </w:pPr>
    </w:p>
    <w:tbl>
      <w:tblPr>
        <w:tblLayout w:type="fixed"/>
        <w:tblInd w:w="2260" w:type="dxa"/>
        <w:tblCellMar>
          <w:top w:w="0" w:type="dxa"/>
          <w:left w:w="0" w:type="dxa"/>
          <w:bottom w:w="0" w:type="dxa"/>
          <w:right w:w="0" w:type="dxa"/>
        </w:tblCellMar>
      </w:tblPr>
      <w:tr>
        <w:trPr>
          <w:trHeight w:val="234"/>
        </w:trPr>
        <w:tc>
          <w:tcPr>
            <w:tcW w:w="338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9"/>
              </w:rPr>
              <w:t>Scott R. Milford</w:t>
            </w:r>
          </w:p>
        </w:tc>
        <w:tc>
          <w:tcPr>
            <w:tcW w:w="280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(212) 750-9595</w:t>
            </w:r>
          </w:p>
        </w:tc>
      </w:tr>
      <w:tr>
        <w:trPr>
          <w:trHeight w:val="228"/>
        </w:trPr>
        <w:tc>
          <w:tcPr>
            <w:tcW w:w="2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(Name)</w:t>
            </w:r>
          </w:p>
        </w:tc>
        <w:tc>
          <w:tcPr>
            <w:tcW w:w="560" w:type="dxa"/>
            <w:vAlign w:val="bottom"/>
          </w:tcPr>
          <w:p>
            <w:pPr>
              <w:spacing w:after="0"/>
              <w:rPr>
                <w:sz w:val="19"/>
                <w:szCs w:val="19"/>
                <w:color w:val="auto"/>
              </w:rPr>
            </w:pPr>
          </w:p>
        </w:tc>
        <w:tc>
          <w:tcPr>
            <w:tcW w:w="2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(Area Code) (Telephone Number)</w:t>
            </w:r>
          </w:p>
        </w:tc>
      </w:tr>
    </w:tbl>
    <w:p>
      <w:pPr>
        <w:spacing w:after="0" w:line="179" w:lineRule="exact"/>
        <w:rPr>
          <w:sz w:val="20"/>
          <w:szCs w:val="20"/>
          <w:color w:val="auto"/>
        </w:rPr>
      </w:pPr>
    </w:p>
    <w:p>
      <w:pPr>
        <w:ind w:left="720" w:right="100" w:hanging="658"/>
        <w:spacing w:after="0" w:line="232" w:lineRule="exact"/>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ind w:left="720" w:hanging="658"/>
        <w:spacing w:after="0" w:line="239" w:lineRule="exact"/>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 it anticipated that any significant change in results of operations from the corresponding period for the last fiscal year will be reflected by the earnings statements to be included in the subject report or portion thereof?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-436880</wp:posOffset>
            </wp:positionV>
            <wp:extent cx="66865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86550" cy="8890"/>
                    </a:xfrm>
                    <a:prstGeom prst="rect">
                      <a:avLst/>
                    </a:prstGeom>
                    <a:noFill/>
                  </pic:spPr>
                </pic:pic>
              </a:graphicData>
            </a:graphic>
          </wp:anchor>
        </w:drawing>
      </w:r>
    </w:p>
    <w:p>
      <w:pPr>
        <w:spacing w:after="0" w:line="150"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If so, attach an explanation of the anticipated change, both narratively and quantitatively, and, if appropriate, state the reasons why a reasonable estimate of the results cannot be made.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Please refer to Annex A, which is attached to this Form 12b-25 and incorporated by reference herein.</w:t>
      </w:r>
    </w:p>
    <w:p>
      <w:pPr>
        <w:spacing w:after="0" w:line="221"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r>
        <w:rPr>
          <w:rFonts w:ascii="Times New Roman" w:cs="Times New Roman" w:eastAsia="Times New Roman" w:hAnsi="Times New Roman"/>
          <w:sz w:val="18"/>
          <w:szCs w:val="18"/>
          <w:color w:val="auto"/>
        </w:rPr>
        <w:t>. The statements included in or incorporated into this Form 12b-25 regarding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performance and results of operations, in each case as expected to be reported, expected filing date of the Form 10-K, and the completion of matters necessary to permit filing by the extension deadline, and other statements that are not historical facts are “forward-looking statements” within the meaning of Section 27A of the Securities Act of 1933 and Section 21E of the Securities Exchange Act of 1934. Although we believe the expectations and forecasts reflected in our forward-looking statements are reasonable, we can give no assurance they will prove to have been correct. They can be affected by inaccurate assumptions or by known or unknown risks and uncertainties. Should one or more of these risks or uncertainties materialize, or should underlying assumptions prove incorrect, actual results may vary materially from those indicated. Factors that could cause actual results to differ materially from expected results include: (i) unanticipated factors that may delay the Company’s completion of its Form 10-K; (ii) the preliminary nature of the financial results contained in this Form 12b-25 and the possibility that such results could materially change as they are finalized and audited; and (iii) other factors described under Risk Factors in our most recent Form 10-K and other filings with the U.S. Securities and Exchange Commission. Unless required by law, the Company expressly disclaims any obligation to update publicly any forward-looking statements, whether as a result of new information, future events or otherwise.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8"/>
          <w:szCs w:val="18"/>
          <w:u w:val="single" w:color="auto"/>
          <w:color w:val="auto"/>
        </w:rPr>
        <w:t>XWELL, INC.</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(Name of Registrant as Specified in Charter)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caused this notification to be signed on its behalf by the undersigned hereunto duly authorized.</w:t>
      </w:r>
    </w:p>
    <w:p>
      <w:pPr>
        <w:spacing w:after="0" w:line="225" w:lineRule="exact"/>
        <w:rPr>
          <w:sz w:val="20"/>
          <w:szCs w:val="20"/>
          <w:color w:val="auto"/>
        </w:rPr>
      </w:pPr>
    </w:p>
    <w:p>
      <w:pPr>
        <w:spacing w:after="0"/>
        <w:tabs>
          <w:tab w:leader="none" w:pos="560" w:val="left"/>
          <w:tab w:leader="none" w:pos="5740" w:val="left"/>
        </w:tabs>
        <w:rPr>
          <w:sz w:val="20"/>
          <w:szCs w:val="20"/>
          <w:color w:val="auto"/>
        </w:rPr>
      </w:pPr>
      <w:r>
        <w:rPr>
          <w:rFonts w:ascii="Times New Roman" w:cs="Times New Roman" w:eastAsia="Times New Roman" w:hAnsi="Times New Roman"/>
          <w:sz w:val="18"/>
          <w:szCs w:val="18"/>
          <w:color w:val="auto"/>
        </w:rPr>
        <w:t>Date</w:t>
        <w:tab/>
        <w:t>April 2, 2024</w:t>
      </w:r>
      <w:r>
        <w:rPr>
          <w:sz w:val="20"/>
          <w:szCs w:val="20"/>
          <w:color w:val="auto"/>
        </w:rPr>
        <w:tab/>
      </w:r>
      <w:r>
        <w:rPr>
          <w:rFonts w:ascii="Times New Roman" w:cs="Times New Roman" w:eastAsia="Times New Roman" w:hAnsi="Times New Roman"/>
          <w:sz w:val="18"/>
          <w:szCs w:val="18"/>
          <w:color w:val="auto"/>
        </w:rPr>
        <w:t>By: /s/ Scott R. Milford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436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436880"/>
                    </a:xfrm>
                    <a:prstGeom prst="rect">
                      <a:avLst/>
                    </a:prstGeom>
                    <a:noFill/>
                  </pic:spPr>
                </pic:pic>
              </a:graphicData>
            </a:graphic>
          </wp:anchor>
        </w:drawing>
      </w:r>
    </w:p>
    <w:p>
      <w:pPr>
        <w:spacing w:after="0" w:line="21"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Scott R. Milford</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7"/>
          <w:szCs w:val="17"/>
          <w:color w:val="auto"/>
        </w:rPr>
        <w:t>Title: Chief Executive Officer</w:t>
      </w:r>
    </w:p>
    <w:p>
      <w:pPr>
        <w:spacing w:after="0" w:line="200" w:lineRule="exact"/>
        <w:rPr>
          <w:sz w:val="20"/>
          <w:szCs w:val="20"/>
          <w:color w:val="auto"/>
        </w:rPr>
      </w:pPr>
    </w:p>
    <w:p>
      <w:pPr>
        <w:spacing w:after="0" w:line="24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Annex A (Pursuant to Part IV, Question 3)</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expects to report total revenue of approximately $30.1 million for the year ended December 31, 2023, consisting of approximately $19.1 million in revenue from its XpresSpa segment, $9.9 million from its XpresTest segment and $1.1 million from its Treat and other segments, compared to total revenue of $55.9 million for the year ended December 31, 2022, consisting of $13.7 million in revenue from its XpresSpa segment, $38.5 million from its XpresCheck segment and $3.7 million from its Treat and other segments. The decline in revenue was due to the reduction in patient service revenue triggered by the rapid decline of the XpresTest segment as countries continued to relax their testing requirements and the decreased testing volumes at our now closed XpresCheck locations.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believes that the results contained herein, are materially correct, however, certain amounts in the financial statements could be revised when the Company files its Annual Report on Form 10-K.</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lvl w:ilvl="1">
      <w:lvlJc w:val="left"/>
      <w:lvlText w:val="(%2)"/>
      <w:numFmt w:val="lowerLetter"/>
      <w:start w:val="1"/>
    </w:lvl>
  </w:abstractNum>
  <w:abstractNum w:abstractNumId="2">
    <w:nsid w:val="625558EC"/>
    <w:multiLevelType w:val="hybridMultilevel"/>
    <w:lvl w:ilvl="0">
      <w:lvlJc w:val="left"/>
      <w:lvlText w:val="☒"/>
      <w:numFmt w:val="bullet"/>
      <w:start w:val="1"/>
    </w:lvl>
    <w:lvl w:ilvl="1">
      <w:lvlJc w:val="left"/>
      <w:lvlText w:val="(%2)"/>
      <w:numFmt w:val="lowerLetter"/>
      <w:start w:val="3"/>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2024-04-02T15:16:39Z</dcterms:created>
  <dcterms:modified xsi:type="dcterms:W3CDTF">2024-04-02T15:16:39Z</dcterms:modified>
</cp:coreProperties>
</file>