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34634E102</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Alex Tew</w:t>
      </w:r>
    </w:p>
    <w:p>
      <w:pPr>
        <w:ind w:left="4680"/>
        <w:spacing w:after="0" w:line="198" w:lineRule="auto"/>
        <w:rPr>
          <w:sz w:val="20"/>
          <w:szCs w:val="20"/>
          <w:color w:val="auto"/>
        </w:rPr>
      </w:pPr>
      <w:r>
        <w:rPr>
          <w:rFonts w:ascii="Arial" w:cs="Arial" w:eastAsia="Arial" w:hAnsi="Arial"/>
          <w:sz w:val="18"/>
          <w:szCs w:val="18"/>
          <w:b w:val="1"/>
          <w:bCs w:val="1"/>
          <w:color w:val="auto"/>
        </w:rPr>
        <w:t>140 2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Street, Third Floor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 94105</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752-2000</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b w:val="1"/>
          <w:bCs w:val="1"/>
          <w:color w:val="auto"/>
        </w:rPr>
        <w:t>:</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Alan F. Denenberg, Esq.</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(650) 752-2000</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28,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06"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34634E102</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0240" w:type="dxa"/>
            <w:vAlign w:val="bottom"/>
            <w:tcBorders>
              <w:top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Calm.com, Inc.</w:t>
            </w: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04"/>
        </w:trPr>
        <w:tc>
          <w:tcPr>
            <w:tcW w:w="1180" w:type="dxa"/>
            <w:vAlign w:val="bottom"/>
            <w:tcBorders>
              <w:left w:val="single" w:sz="8" w:color="auto"/>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w w:val="90"/>
              </w:rPr>
              <w:t>Source of funds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WC</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Delaware</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4,838,710*</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09"/>
        </w:trPr>
        <w:tc>
          <w:tcPr>
            <w:tcW w:w="22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Number of shares</w:t>
            </w:r>
          </w:p>
        </w:tc>
        <w:tc>
          <w:tcPr>
            <w:tcW w:w="3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beneficially owned by each</w:t>
            </w: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20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6"/>
                <w:szCs w:val="6"/>
                <w:color w:val="auto"/>
              </w:rPr>
            </w:pPr>
          </w:p>
        </w:tc>
        <w:tc>
          <w:tcPr>
            <w:tcW w:w="8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reporting person with:</w:t>
            </w:r>
          </w:p>
        </w:tc>
        <w:tc>
          <w:tcPr>
            <w:tcW w:w="30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20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4,838,710*</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3"/>
              </w:rPr>
              <w:t>(10)</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(11)</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4"/>
              </w:rPr>
              <w:t>4,838,710*</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14.0%</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2020" w:type="dxa"/>
            <w:vAlign w:val="bottom"/>
            <w:gridSpan w:val="5"/>
          </w:tcPr>
          <w:p>
            <w:pPr>
              <w:ind w:left="160"/>
              <w:spacing w:after="0"/>
              <w:rPr>
                <w:sz w:val="20"/>
                <w:szCs w:val="20"/>
                <w:color w:val="auto"/>
              </w:rPr>
            </w:pPr>
            <w:r>
              <w:rPr>
                <w:rFonts w:ascii="Arial" w:cs="Arial" w:eastAsia="Arial" w:hAnsi="Arial"/>
                <w:sz w:val="18"/>
                <w:szCs w:val="18"/>
                <w:color w:val="auto"/>
                <w:w w:val="93"/>
              </w:rPr>
              <w:t>Type of reporting person</w:t>
            </w: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6"/>
              </w:rPr>
              <w:t>CO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80" w:hanging="572"/>
        <w:spacing w:after="0" w:line="284"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Calm.com, Inc. (“Calm”) owns 4,838,710 shares of Common Stock, par value $0.01 per share (the “Common Stock”), of XpresSpa Group, Inc., a Delaware corporation (the “Issuer”), issuable upon the conversion of the Issuer’s Series E Convertible Preferred Stock, par value $0.01 per share (the “Series E Preferred Stock”). The Series E Preferred Stock has the powers, designations, preferences and other rights as set forth in a Certificate of Designation of Preferences, Rights and Limitations of Series E Convertible Preferred Stock (the “Certificate of Designation”), a copy of which was filed as Exhibit 3.1 to the Issuer’s Quarterly Report on Form 10-Q for the quarterly period ended September 30, 2018 filed the Securities and Exchange Commission (the “SEC”) on November 14, 2018, which exhibit is herein incorporated by reference in its entirety, which rights include, among other things, an aggregate initial liquidation preference and the right to participate in any dividends and distributions paid to holders of Common Stock on an as-converted basis. The Series E Preferred Stock will vote on an as-converted basis. The holders of Series E Preferred Stock</w:t>
      </w:r>
    </w:p>
    <w:p>
      <w:pPr>
        <w:spacing w:after="0" w:line="1" w:lineRule="exact"/>
        <w:rPr>
          <w:sz w:val="20"/>
          <w:szCs w:val="20"/>
          <w:color w:val="auto"/>
        </w:rPr>
      </w:pPr>
    </w:p>
    <w:p>
      <w:pPr>
        <w:ind w:left="580" w:right="200"/>
        <w:spacing w:after="0" w:line="250" w:lineRule="auto"/>
        <w:rPr>
          <w:sz w:val="20"/>
          <w:szCs w:val="20"/>
          <w:color w:val="auto"/>
        </w:rPr>
      </w:pPr>
      <w:r>
        <w:rPr>
          <w:rFonts w:ascii="Arial" w:cs="Arial" w:eastAsia="Arial" w:hAnsi="Arial"/>
          <w:sz w:val="18"/>
          <w:szCs w:val="18"/>
          <w:color w:val="auto"/>
        </w:rPr>
        <w:t>have the right to convert at any time and from time to time into shares of the Common Stock at an initial conversion rate of 5 shares of Common Stock for each share of Series E Preferred Stock (the “Conversion Ratio”). The Conversion Ratio is subject to adjustment upon certain fundamental events.</w:t>
      </w:r>
    </w:p>
    <w:p>
      <w:pPr>
        <w:spacing w:after="0" w:line="1" w:lineRule="exact"/>
        <w:rPr>
          <w:sz w:val="20"/>
          <w:szCs w:val="20"/>
          <w:color w:val="auto"/>
        </w:rPr>
      </w:pPr>
    </w:p>
    <w:p>
      <w:pPr>
        <w:ind w:left="58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purposes of calculating beneficial ownership of Calm, the total number of shares of Issuer’s Common Stock outstanding is 34,546,518 shares as of November 9, 2018, as reported by the Issuer in its Quarterly Report on Form 10-Q for the quarterly period ended September 30, 2018 filed with the SEC on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ind w:right="60"/>
        <w:spacing w:after="0" w:line="264" w:lineRule="auto"/>
        <w:rPr>
          <w:sz w:val="20"/>
          <w:szCs w:val="20"/>
          <w:color w:val="auto"/>
        </w:rPr>
      </w:pPr>
      <w:r>
        <w:rPr>
          <w:rFonts w:ascii="Arial" w:cs="Arial" w:eastAsia="Arial" w:hAnsi="Arial"/>
          <w:sz w:val="18"/>
          <w:szCs w:val="18"/>
          <w:color w:val="auto"/>
        </w:rPr>
        <w:t>Pursuant to Rule 13d-2(a) of the General Rules and Regulations under the Exchange Act, the undersigned hereby amends the Schedule 13D originally filed on November 19, 2018 (the “Schedule 13D”), relating to the Common Stock of the Issuer. Except as expressly set forth herein, there have been no changes in the information set forth in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3 is hereby amended to add the following at the end of such section: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28, 2018, Calm received 322,581 additional shares of Issuer’s Series E Preferred Stock for aggregate consideration of $1,000,000 pursuant to the preferred stock purchase agreement entered into on November 13, 2018, which was filed as Exhibit 10.1 to the Issuer’s Quarterly Report on Form 10-Q for the quarterly period ended September 30, 2018 filed the Securities and Exchange Commission (the “SEC”) on November 14, 2018, which exhibit is herein incorporated by reference in its entirety.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this Schedule 13D is hereby amended and restated in its entirety as follows:</w:t>
      </w:r>
    </w:p>
    <w:p>
      <w:pPr>
        <w:spacing w:after="0" w:line="225" w:lineRule="exact"/>
        <w:rPr>
          <w:sz w:val="20"/>
          <w:szCs w:val="20"/>
          <w:color w:val="auto"/>
        </w:rPr>
      </w:pPr>
    </w:p>
    <w:p>
      <w:pPr>
        <w:ind w:right="240" w:firstLine="8"/>
        <w:spacing w:after="0" w:line="276"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Calm is the record owner of 967,742 shares of Series E Preferred Stock (initially convertible into 4,838,710 shares of Common Stock). Calm may be deemed to beneficially own 4,838,710 shares of Common Stock, which constitutes approximately 14.0% of the outstanding shares of the Issuer’s Common Stock, based on 34,546,518 shares of the Issuer’s Common Stock outstanding as of November 9, 2018, as reported by the Issuer in its Quarterly Report on Form 10-Q for the quarterly period ended September 30, 2018 filed with the SEC on November 14, 2018. See also the information contained on the cover pages of this Schedule 13D/A, which is incorporated herein by reference.</w:t>
      </w:r>
    </w:p>
    <w:p>
      <w:pPr>
        <w:spacing w:after="0" w:line="172" w:lineRule="exact"/>
        <w:rPr>
          <w:rFonts w:ascii="Arial" w:cs="Arial" w:eastAsia="Arial" w:hAnsi="Arial"/>
          <w:sz w:val="17"/>
          <w:szCs w:val="17"/>
          <w:color w:val="auto"/>
        </w:rPr>
      </w:pPr>
    </w:p>
    <w:p>
      <w:pPr>
        <w:ind w:right="28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Calm may be deemed to have sole power to vote 4,838,710 shares of the Common Stock. See also the information contained on the cover pages of this Schedule 13D/A, which is incorporated herein by reference.</w:t>
      </w:r>
    </w:p>
    <w:p>
      <w:pPr>
        <w:spacing w:after="0" w:line="17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than as described in this herein, neither Calm nor, to Calm’s knowledge, any person named in Appendix A hereto has effected any transaction in the Common Stock during the past 60 days.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Calm.com, Inc.</w:t>
      </w:r>
    </w:p>
    <w:p>
      <w:pPr>
        <w:spacing w:after="0" w:line="200" w:lineRule="exact"/>
        <w:rPr>
          <w:sz w:val="20"/>
          <w:szCs w:val="20"/>
          <w:color w:val="auto"/>
        </w:rPr>
      </w:pPr>
    </w:p>
    <w:p>
      <w:pPr>
        <w:spacing w:after="0" w:line="2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Tew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3837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Name: Alex Tew</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Title: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796"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CALM</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a list of each executive officer and director of Calm setting forth the name, business address and present principal occupation or employment (and the name, principal business and address of any corporation or organization in which such employment is conducted) of each such person. Each individual is a United States citizen, and unless otherwise indicated, each occupation set forth opposite an individual’s name refers to such individual’s employment with Calm.</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Address of Corporation or</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Present Principal Occupation</w:t>
            </w:r>
          </w:p>
        </w:tc>
        <w:tc>
          <w:tcPr>
            <w:tcW w:w="4100" w:type="dxa"/>
            <w:vAlign w:val="bottom"/>
          </w:tcPr>
          <w:p>
            <w:pPr>
              <w:spacing w:after="0"/>
              <w:rPr>
                <w:sz w:val="20"/>
                <w:szCs w:val="20"/>
                <w:color w:val="auto"/>
              </w:rPr>
            </w:pPr>
            <w:r>
              <w:rPr>
                <w:rFonts w:ascii="Arial" w:cs="Arial" w:eastAsia="Arial" w:hAnsi="Arial"/>
                <w:sz w:val="18"/>
                <w:szCs w:val="18"/>
                <w:b w:val="1"/>
                <w:bCs w:val="1"/>
                <w:color w:val="auto"/>
              </w:rPr>
              <w:t>Other Organization (if different from</w:t>
            </w:r>
          </w:p>
        </w:tc>
      </w:tr>
      <w:tr>
        <w:trPr>
          <w:trHeight w:val="241"/>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Name and Business Address</w:t>
            </w: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Business of Employer)</w:t>
            </w:r>
          </w:p>
        </w:tc>
        <w:tc>
          <w:tcPr>
            <w:tcW w:w="4100" w:type="dxa"/>
            <w:vAlign w:val="bottom"/>
          </w:tcPr>
          <w:p>
            <w:pPr>
              <w:spacing w:after="0"/>
              <w:rPr>
                <w:sz w:val="20"/>
                <w:szCs w:val="20"/>
                <w:color w:val="auto"/>
              </w:rPr>
            </w:pPr>
            <w:r>
              <w:rPr>
                <w:rFonts w:ascii="Arial" w:cs="Arial" w:eastAsia="Arial" w:hAnsi="Arial"/>
                <w:sz w:val="18"/>
                <w:szCs w:val="18"/>
                <w:b w:val="1"/>
                <w:bCs w:val="1"/>
                <w:color w:val="auto"/>
              </w:rPr>
              <w:t>address provided in Column 1)</w:t>
            </w:r>
          </w:p>
        </w:tc>
      </w:tr>
      <w:tr>
        <w:trPr>
          <w:trHeight w:val="390"/>
        </w:trPr>
        <w:tc>
          <w:tcPr>
            <w:tcW w:w="20" w:type="dxa"/>
            <w:vAlign w:val="bottom"/>
          </w:tcPr>
          <w:p>
            <w:pPr>
              <w:spacing w:after="0"/>
              <w:rPr>
                <w:sz w:val="24"/>
                <w:szCs w:val="24"/>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Alex Tew*</w:t>
            </w:r>
            <w:r>
              <w:rPr>
                <w:rFonts w:ascii="Arial" w:cs="Arial" w:eastAsia="Arial" w:hAnsi="Arial"/>
                <w:sz w:val="30"/>
                <w:szCs w:val="30"/>
                <w:color w:val="auto"/>
                <w:vertAlign w:val="superscript"/>
              </w:rPr>
              <w:t>+</w:t>
            </w:r>
          </w:p>
        </w:tc>
        <w:tc>
          <w:tcPr>
            <w:tcW w:w="240" w:type="dxa"/>
            <w:vAlign w:val="bottom"/>
          </w:tcPr>
          <w:p>
            <w:pPr>
              <w:spacing w:after="0"/>
              <w:rPr>
                <w:sz w:val="24"/>
                <w:szCs w:val="24"/>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Co-Chief Executive Officer at Calm.com, Inc. </w:t>
            </w:r>
            <w:r>
              <w:rPr>
                <w:rFonts w:ascii="Arial" w:cs="Arial" w:eastAsia="Arial" w:hAnsi="Arial"/>
                <w:sz w:val="30"/>
                <w:szCs w:val="30"/>
                <w:color w:val="auto"/>
                <w:vertAlign w:val="superscript"/>
              </w:rPr>
              <w:t>+</w:t>
            </w:r>
          </w:p>
        </w:tc>
        <w:tc>
          <w:tcPr>
            <w:tcW w:w="220" w:type="dxa"/>
            <w:vAlign w:val="bottom"/>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r>
      <w:tr>
        <w:trPr>
          <w:trHeight w:val="462"/>
        </w:trPr>
        <w:tc>
          <w:tcPr>
            <w:tcW w:w="3340" w:type="dxa"/>
            <w:vAlign w:val="bottom"/>
            <w:gridSpan w:val="3"/>
          </w:tcPr>
          <w:p>
            <w:pPr>
              <w:spacing w:after="0"/>
              <w:rPr>
                <w:sz w:val="20"/>
                <w:szCs w:val="20"/>
                <w:color w:val="auto"/>
              </w:rPr>
            </w:pPr>
            <w:r>
              <w:rPr>
                <w:rFonts w:ascii="Arial" w:cs="Arial" w:eastAsia="Arial" w:hAnsi="Arial"/>
                <w:sz w:val="18"/>
                <w:szCs w:val="18"/>
                <w:color w:val="auto"/>
              </w:rPr>
              <w:t>Michael Acton Smith*</w:t>
            </w:r>
            <w:r>
              <w:rPr>
                <w:rFonts w:ascii="Arial" w:cs="Arial" w:eastAsia="Arial" w:hAnsi="Arial"/>
                <w:sz w:val="30"/>
                <w:szCs w:val="30"/>
                <w:color w:val="auto"/>
                <w:vertAlign w:val="superscript"/>
              </w:rPr>
              <w:t>+</w:t>
            </w:r>
          </w:p>
        </w:tc>
        <w:tc>
          <w:tcPr>
            <w:tcW w:w="3980" w:type="dxa"/>
            <w:vAlign w:val="bottom"/>
            <w:gridSpan w:val="2"/>
          </w:tcPr>
          <w:p>
            <w:pPr>
              <w:spacing w:after="0"/>
              <w:rPr>
                <w:sz w:val="20"/>
                <w:szCs w:val="20"/>
                <w:color w:val="auto"/>
              </w:rPr>
            </w:pPr>
            <w:r>
              <w:rPr>
                <w:rFonts w:ascii="Arial" w:cs="Arial" w:eastAsia="Arial" w:hAnsi="Arial"/>
                <w:sz w:val="18"/>
                <w:szCs w:val="18"/>
                <w:color w:val="auto"/>
              </w:rPr>
              <w:t xml:space="preserve">Co-Chief Executive Officer at Calm.com, Inc. </w:t>
            </w:r>
            <w:r>
              <w:rPr>
                <w:rFonts w:ascii="Arial" w:cs="Arial" w:eastAsia="Arial" w:hAnsi="Arial"/>
                <w:sz w:val="30"/>
                <w:szCs w:val="30"/>
                <w:color w:val="auto"/>
                <w:vertAlign w:val="superscript"/>
              </w:rPr>
              <w:t>+</w:t>
            </w:r>
          </w:p>
        </w:tc>
        <w:tc>
          <w:tcPr>
            <w:tcW w:w="4100" w:type="dxa"/>
            <w:vAlign w:val="bottom"/>
          </w:tcPr>
          <w:p>
            <w:pPr>
              <w:spacing w:after="0"/>
              <w:rPr>
                <w:sz w:val="24"/>
                <w:szCs w:val="24"/>
                <w:color w:val="auto"/>
              </w:rPr>
            </w:pPr>
          </w:p>
        </w:tc>
      </w:tr>
      <w:tr>
        <w:trPr>
          <w:trHeight w:val="515"/>
        </w:trPr>
        <w:tc>
          <w:tcPr>
            <w:tcW w:w="20" w:type="dxa"/>
            <w:vAlign w:val="bottom"/>
          </w:tcPr>
          <w:p>
            <w:pPr>
              <w:spacing w:after="0"/>
              <w:rPr>
                <w:sz w:val="24"/>
                <w:szCs w:val="24"/>
                <w:color w:val="auto"/>
              </w:rPr>
            </w:pPr>
          </w:p>
        </w:tc>
        <w:tc>
          <w:tcPr>
            <w:tcW w:w="3320" w:type="dxa"/>
            <w:vAlign w:val="bottom"/>
            <w:gridSpan w:val="2"/>
          </w:tcPr>
          <w:p>
            <w:pPr>
              <w:ind w:left="80"/>
              <w:spacing w:after="0"/>
              <w:rPr>
                <w:sz w:val="20"/>
                <w:szCs w:val="20"/>
                <w:color w:val="auto"/>
              </w:rPr>
            </w:pPr>
            <w:r>
              <w:rPr>
                <w:rFonts w:ascii="Arial" w:cs="Arial" w:eastAsia="Arial" w:hAnsi="Arial"/>
                <w:sz w:val="18"/>
                <w:szCs w:val="18"/>
                <w:color w:val="auto"/>
              </w:rPr>
              <w:t>* Director</w:t>
            </w: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57"/>
        </w:trPr>
        <w:tc>
          <w:tcPr>
            <w:tcW w:w="334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Calm.com, Inc.</w:t>
            </w:r>
          </w:p>
        </w:tc>
        <w:tc>
          <w:tcPr>
            <w:tcW w:w="3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3"/>
        </w:trPr>
        <w:tc>
          <w:tcPr>
            <w:tcW w:w="3340" w:type="dxa"/>
            <w:vAlign w:val="bottom"/>
            <w:gridSpan w:val="3"/>
          </w:tcPr>
          <w:p>
            <w:pPr>
              <w:spacing w:after="0" w:line="253" w:lineRule="exact"/>
              <w:rPr>
                <w:sz w:val="20"/>
                <w:szCs w:val="20"/>
                <w:color w:val="auto"/>
              </w:rPr>
            </w:pPr>
            <w:r>
              <w:rPr>
                <w:rFonts w:ascii="Arial" w:cs="Arial" w:eastAsia="Arial" w:hAnsi="Arial"/>
                <w:sz w:val="18"/>
                <w:szCs w:val="18"/>
                <w:color w:val="auto"/>
              </w:rPr>
              <w:t>140 2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Third Floor</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San Francisco, CA 94105</w:t>
            </w: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527"/>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2019-12-20T01:44:55Z</dcterms:created>
  <dcterms:modified xsi:type="dcterms:W3CDTF">2019-12-20T01:44:55Z</dcterms:modified>
</cp:coreProperties>
</file>