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10-K/A</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(Amendment No. 1)</w:t>
      </w:r>
    </w:p>
    <w:p>
      <w:pPr>
        <w:spacing w:after="0" w:line="105" w:lineRule="exact"/>
        <w:rPr>
          <w:sz w:val="24"/>
          <w:szCs w:val="24"/>
          <w:color w:val="auto"/>
        </w:rPr>
      </w:pPr>
    </w:p>
    <w:p>
      <w:pPr>
        <w:ind w:left="400" w:hanging="386"/>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92"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jc w:val="center"/>
        <w:ind w:right="-19"/>
        <w:spacing w:after="0" w:line="226" w:lineRule="auto"/>
        <w:rPr>
          <w:sz w:val="20"/>
          <w:szCs w:val="20"/>
          <w:color w:val="auto"/>
        </w:rPr>
      </w:pPr>
      <w:r>
        <w:rPr>
          <w:rFonts w:ascii="Arial" w:cs="Arial" w:eastAsia="Arial" w:hAnsi="Arial"/>
          <w:sz w:val="14"/>
          <w:szCs w:val="14"/>
          <w:b w:val="1"/>
          <w:bCs w:val="1"/>
          <w:color w:val="auto"/>
        </w:rPr>
        <w:t>For the fiscal year ended December 31, 2021</w:t>
      </w: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05" w:lineRule="exact"/>
        <w:rPr>
          <w:sz w:val="24"/>
          <w:szCs w:val="24"/>
          <w:color w:val="auto"/>
        </w:rPr>
      </w:pPr>
    </w:p>
    <w:p>
      <w:pPr>
        <w:ind w:left="400" w:hanging="386"/>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2"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 the transition period from ___to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001-34785</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XPRESSPA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5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Delaware</w:t>
            </w:r>
          </w:p>
        </w:tc>
        <w:tc>
          <w:tcPr>
            <w:tcW w:w="4940" w:type="dxa"/>
            <w:vAlign w:val="bottom"/>
          </w:tcPr>
          <w:p>
            <w:pPr>
              <w:jc w:val="right"/>
              <w:ind w:right="1728"/>
              <w:spacing w:after="0"/>
              <w:rPr>
                <w:sz w:val="20"/>
                <w:szCs w:val="20"/>
                <w:color w:val="auto"/>
              </w:rPr>
            </w:pPr>
            <w:r>
              <w:rPr>
                <w:rFonts w:ascii="Arial" w:cs="Arial" w:eastAsia="Arial" w:hAnsi="Arial"/>
                <w:sz w:val="14"/>
                <w:szCs w:val="14"/>
                <w:b w:val="1"/>
                <w:bCs w:val="1"/>
                <w:color w:val="auto"/>
              </w:rPr>
              <w:t>20-4988129</w:t>
            </w:r>
          </w:p>
        </w:tc>
        <w:tc>
          <w:tcPr>
            <w:tcW w:w="0" w:type="dxa"/>
            <w:vAlign w:val="bottom"/>
          </w:tcPr>
          <w:p>
            <w:pPr>
              <w:spacing w:after="0"/>
              <w:rPr>
                <w:sz w:val="1"/>
                <w:szCs w:val="1"/>
                <w:color w:val="auto"/>
              </w:rPr>
            </w:pPr>
          </w:p>
        </w:tc>
      </w:tr>
      <w:tr>
        <w:trPr>
          <w:trHeight w:val="175"/>
        </w:trPr>
        <w:tc>
          <w:tcPr>
            <w:tcW w:w="5280" w:type="dxa"/>
            <w:vAlign w:val="bottom"/>
            <w:gridSpan w:val="2"/>
          </w:tcPr>
          <w:p>
            <w:pPr>
              <w:jc w:val="center"/>
              <w:ind w:right="740"/>
              <w:spacing w:after="0"/>
              <w:rPr>
                <w:sz w:val="20"/>
                <w:szCs w:val="20"/>
                <w:color w:val="auto"/>
              </w:rPr>
            </w:pPr>
            <w:r>
              <w:rPr>
                <w:rFonts w:ascii="Arial" w:cs="Arial" w:eastAsia="Arial" w:hAnsi="Arial"/>
                <w:sz w:val="14"/>
                <w:szCs w:val="14"/>
                <w:color w:val="auto"/>
                <w:w w:val="94"/>
              </w:rPr>
              <w:t>(State or other jurisdiction of incorporation or</w:t>
            </w:r>
          </w:p>
        </w:tc>
        <w:tc>
          <w:tcPr>
            <w:tcW w:w="4940" w:type="dxa"/>
            <w:vAlign w:val="bottom"/>
          </w:tcPr>
          <w:p>
            <w:pPr>
              <w:jc w:val="center"/>
              <w:ind w:left="54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740"/>
              <w:spacing w:after="0"/>
              <w:rPr>
                <w:sz w:val="20"/>
                <w:szCs w:val="20"/>
                <w:color w:val="auto"/>
              </w:rPr>
            </w:pPr>
            <w:r>
              <w:rPr>
                <w:rFonts w:ascii="Arial" w:cs="Arial" w:eastAsia="Arial" w:hAnsi="Arial"/>
                <w:sz w:val="14"/>
                <w:szCs w:val="14"/>
                <w:color w:val="auto"/>
                <w:w w:val="96"/>
              </w:rPr>
              <w:t>organization)</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254 West 31 Street 11</w:t>
            </w:r>
            <w:r>
              <w:rPr>
                <w:rFonts w:ascii="Arial" w:cs="Arial" w:eastAsia="Arial" w:hAnsi="Arial"/>
                <w:sz w:val="21"/>
                <w:szCs w:val="21"/>
                <w:b w:val="1"/>
                <w:bCs w:val="1"/>
                <w:color w:val="auto"/>
                <w:w w:val="91"/>
                <w:vertAlign w:val="superscript"/>
              </w:rPr>
              <w:t>th</w:t>
            </w:r>
            <w:r>
              <w:rPr>
                <w:rFonts w:ascii="Arial" w:cs="Arial" w:eastAsia="Arial" w:hAnsi="Arial"/>
                <w:sz w:val="14"/>
                <w:szCs w:val="14"/>
                <w:b w:val="1"/>
                <w:bCs w:val="1"/>
                <w:color w:val="auto"/>
                <w:w w:val="91"/>
              </w:rPr>
              <w:t xml:space="preserve"> Floor</w:t>
            </w:r>
          </w:p>
        </w:tc>
        <w:tc>
          <w:tcPr>
            <w:tcW w:w="4940" w:type="dxa"/>
            <w:vAlign w:val="bottom"/>
            <w:vMerge w:val="restart"/>
          </w:tcPr>
          <w:p>
            <w:pPr>
              <w:jc w:val="right"/>
              <w:ind w:right="2288"/>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153"/>
        </w:trPr>
        <w:tc>
          <w:tcPr>
            <w:tcW w:w="5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New York, NY</w:t>
            </w:r>
          </w:p>
        </w:tc>
        <w:tc>
          <w:tcPr>
            <w:tcW w:w="4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(Address of principal executive offices)</w:t>
            </w:r>
          </w:p>
        </w:tc>
        <w:tc>
          <w:tcPr>
            <w:tcW w:w="4940" w:type="dxa"/>
            <w:vAlign w:val="bottom"/>
          </w:tcPr>
          <w:p>
            <w:pPr>
              <w:jc w:val="center"/>
              <w:ind w:right="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29"/>
        </w:trPr>
        <w:tc>
          <w:tcPr>
            <w:tcW w:w="10220" w:type="dxa"/>
            <w:vAlign w:val="bottom"/>
            <w:gridSpan w:val="3"/>
          </w:tcPr>
          <w:p>
            <w:pPr>
              <w:jc w:val="center"/>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(212) 309-7549</w:t>
            </w:r>
          </w:p>
        </w:tc>
        <w:tc>
          <w:tcPr>
            <w:tcW w:w="0" w:type="dxa"/>
            <w:vAlign w:val="bottom"/>
          </w:tcPr>
          <w:p>
            <w:pPr>
              <w:spacing w:after="0"/>
              <w:rPr>
                <w:sz w:val="1"/>
                <w:szCs w:val="1"/>
                <w:color w:val="auto"/>
              </w:rPr>
            </w:pPr>
          </w:p>
        </w:tc>
      </w:tr>
      <w:tr>
        <w:trPr>
          <w:trHeight w:val="257"/>
        </w:trPr>
        <w:tc>
          <w:tcPr>
            <w:tcW w:w="10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55"/>
        </w:trPr>
        <w:tc>
          <w:tcPr>
            <w:tcW w:w="5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5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0" w:type="dxa"/>
            <w:vAlign w:val="bottom"/>
          </w:tcPr>
          <w:p>
            <w:pPr>
              <w:spacing w:after="0"/>
              <w:rPr>
                <w:sz w:val="15"/>
                <w:szCs w:val="15"/>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6" w:lineRule="exact"/>
        <w:rPr>
          <w:sz w:val="24"/>
          <w:szCs w:val="24"/>
          <w:color w:val="auto"/>
        </w:rPr>
      </w:pPr>
    </w:p>
    <w:p>
      <w:pPr>
        <w:ind w:left="20" w:right="230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jc w:val="both"/>
        <w:ind w:left="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88" w:lineRule="exact"/>
        <w:tabs>
          <w:tab w:leader="none" w:pos="66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76" w:lineRule="exact"/>
        <w:rPr>
          <w:sz w:val="24"/>
          <w:szCs w:val="24"/>
          <w:color w:val="auto"/>
        </w:rPr>
      </w:pPr>
    </w:p>
    <w:p>
      <w:pPr>
        <w:jc w:val="both"/>
        <w:ind w:lef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jc w:val="both"/>
        <w:ind w:left="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4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80" w:type="dxa"/>
            <w:vAlign w:val="bottom"/>
          </w:tcPr>
          <w:p>
            <w:pPr>
              <w:ind w:left="19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2740" w:type="dxa"/>
            <w:vAlign w:val="bottom"/>
          </w:tcPr>
          <w:p>
            <w:pPr>
              <w:ind w:left="68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980" w:type="dxa"/>
            <w:vAlign w:val="bottom"/>
          </w:tcPr>
          <w:p>
            <w:pPr>
              <w:ind w:left="19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1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980" w:type="dxa"/>
            <w:vAlign w:val="bottom"/>
          </w:tcPr>
          <w:p>
            <w:pPr>
              <w:ind w:left="19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31" w:lineRule="exact"/>
        <w:rPr>
          <w:sz w:val="24"/>
          <w:szCs w:val="24"/>
          <w:color w:val="auto"/>
        </w:rPr>
      </w:pPr>
    </w:p>
    <w:p>
      <w:pPr>
        <w:jc w:val="both"/>
        <w:ind w:left="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jc w:val="both"/>
        <w:ind w:left="20"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20"/>
        <w:spacing w:after="0" w:line="188" w:lineRule="exact"/>
        <w:tabs>
          <w:tab w:leader="none" w:pos="65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10" w:lineRule="exact"/>
        <w:rPr>
          <w:sz w:val="24"/>
          <w:szCs w:val="24"/>
          <w:color w:val="auto"/>
        </w:rPr>
      </w:pPr>
    </w:p>
    <w:p>
      <w:pPr>
        <w:jc w:val="both"/>
        <w:ind w:left="20"/>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(without admitting that any person whose shares are not included in such calculation is an affiliate), as of June 30, 2021, the last business day of the registrant’s most recently completed second quarter, was $162,522,363 computed by reference to the closing sale price of $1.54 per share on the Nasdaq Stock Market LLC on June 30, 2021.</w:t>
      </w:r>
    </w:p>
    <w:p>
      <w:pPr>
        <w:spacing w:after="0" w:line="142" w:lineRule="exact"/>
        <w:rPr>
          <w:sz w:val="24"/>
          <w:szCs w:val="24"/>
          <w:color w:val="auto"/>
        </w:rPr>
      </w:pPr>
    </w:p>
    <w:p>
      <w:pPr>
        <w:ind w:left="20"/>
        <w:spacing w:after="0"/>
        <w:rPr>
          <w:sz w:val="20"/>
          <w:szCs w:val="20"/>
          <w:color w:val="auto"/>
        </w:rPr>
      </w:pPr>
      <w:r>
        <w:rPr>
          <w:rFonts w:ascii="Arial" w:cs="Arial" w:eastAsia="Arial" w:hAnsi="Arial"/>
          <w:sz w:val="14"/>
          <w:szCs w:val="14"/>
          <w:color w:val="auto"/>
        </w:rPr>
        <w:t>As of April 19, 2022, 95,321,210. shares of the registrant’s common stock are outstanding.</w:t>
      </w:r>
    </w:p>
    <w:p>
      <w:pPr>
        <w:spacing w:after="0" w:line="38"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62" w:lineRule="exact"/>
        <w:rPr>
          <w:sz w:val="24"/>
          <w:szCs w:val="24"/>
          <w:color w:val="auto"/>
        </w:rPr>
      </w:pPr>
    </w:p>
    <w:p>
      <w:pPr>
        <w:ind w:left="840"/>
        <w:spacing w:after="0"/>
        <w:tabs>
          <w:tab w:leader="none" w:pos="4060" w:val="left"/>
          <w:tab w:leader="none" w:pos="7500" w:val="left"/>
        </w:tabs>
        <w:rPr>
          <w:sz w:val="20"/>
          <w:szCs w:val="20"/>
          <w:color w:val="auto"/>
        </w:rPr>
      </w:pPr>
      <w:r>
        <w:rPr>
          <w:rFonts w:ascii="Arial" w:cs="Arial" w:eastAsia="Arial" w:hAnsi="Arial"/>
          <w:sz w:val="14"/>
          <w:szCs w:val="14"/>
          <w:color w:val="auto"/>
        </w:rPr>
        <w:t>Auditor Name:Friedman LLP</w:t>
      </w:r>
      <w:r>
        <w:rPr>
          <w:sz w:val="20"/>
          <w:szCs w:val="20"/>
          <w:color w:val="auto"/>
        </w:rPr>
        <w:tab/>
      </w:r>
      <w:r>
        <w:rPr>
          <w:rFonts w:ascii="Arial" w:cs="Arial" w:eastAsia="Arial" w:hAnsi="Arial"/>
          <w:sz w:val="14"/>
          <w:szCs w:val="14"/>
          <w:color w:val="auto"/>
        </w:rPr>
        <w:t>Auditor Location:East Hanover, New Jersey</w:t>
      </w:r>
      <w:r>
        <w:rPr>
          <w:sz w:val="20"/>
          <w:szCs w:val="20"/>
          <w:color w:val="auto"/>
        </w:rPr>
        <w:tab/>
      </w:r>
      <w:r>
        <w:rPr>
          <w:rFonts w:ascii="Arial" w:cs="Arial" w:eastAsia="Arial" w:hAnsi="Arial"/>
          <w:sz w:val="13"/>
          <w:szCs w:val="13"/>
          <w:color w:val="auto"/>
        </w:rPr>
        <w:t>Auditor Firm ID:711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698500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278130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312420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80" w:type="dxa"/>
            <w:vAlign w:val="bottom"/>
            <w:gridSpan w:val="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PART III</w:t>
              </w:r>
            </w:hyperlink>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10:   Directors, Executive Officers and Corporate Governance</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11:</w:t>
              </w:r>
            </w:hyperlink>
          </w:p>
        </w:tc>
        <w:tc>
          <w:tcPr>
            <w:tcW w:w="7040" w:type="dxa"/>
            <w:vAlign w:val="bottom"/>
            <w:gridSpan w:val="11"/>
            <w:shd w:val="clear" w:color="auto" w:fill="CCEEFF"/>
          </w:tcPr>
          <w:p>
            <w:pPr>
              <w:ind w:left="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Executive Compensation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12:</w:t>
              </w:r>
            </w:hyperlink>
          </w:p>
        </w:tc>
        <w:tc>
          <w:tcPr>
            <w:tcW w:w="7040" w:type="dxa"/>
            <w:vAlign w:val="bottom"/>
            <w:gridSpan w:val="11"/>
          </w:tcPr>
          <w:p>
            <w:pPr>
              <w:ind w:left="60"/>
              <w:spacing w:after="0" w:line="17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Security Ownership of Certain Beneficial Owners and Management and Related Stockholder</w:t>
              </w:r>
            </w:hyperlink>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Matters</w:t>
              </w:r>
            </w:hyperlink>
          </w:p>
        </w:tc>
        <w:tc>
          <w:tcPr>
            <w:tcW w:w="2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13:   Certain Relationships and Related Transactions, and Director Independence</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14:   Principal Accounting Fees and Services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PART IV</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20" w:type="dxa"/>
            <w:vAlign w:val="bottom"/>
            <w:gridSpan w:val="1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15:   Exhibits, Financial Statement Schedules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Signature Page</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This Amendment No. 1 on Form 10-K/A (this “Form 10-K/A”) amends the Annual Report on Form 10-K of XpresSpa Group, Inc. (“XpresSpa Group” or the “Company”) for the fiscal year ended December 31, 2021 as originally filed with the Securities and Exchange Commission (the “SEC”) on March 31, 2022 (the “Original Filing”). This Form 10-K/A amends the Original Filing to include the information required by Part III of the Original Filing because the Company has not filed and will not file a definitive proxy statement within 120 days after the end of its 2021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Form 10-K/A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All references in this Form 10-K/A to “we,” “us” and “our” refer to XpresSpa Group, Inc.,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4020" w:type="dxa"/>
            <w:vAlign w:val="bottom"/>
          </w:tcPr>
          <w:p>
            <w:pPr>
              <w:ind w:left="1100"/>
              <w:spacing w:after="0"/>
              <w:rPr>
                <w:sz w:val="20"/>
                <w:szCs w:val="20"/>
                <w:color w:val="auto"/>
              </w:rPr>
            </w:pPr>
            <w:r>
              <w:rPr>
                <w:rFonts w:ascii="Arial" w:cs="Arial" w:eastAsia="Arial" w:hAnsi="Arial"/>
                <w:sz w:val="14"/>
                <w:szCs w:val="14"/>
                <w:b w:val="1"/>
                <w:bCs w:val="1"/>
                <w:color w:val="auto"/>
              </w:rPr>
              <w:t>Position(s) with the Company</w:t>
            </w:r>
          </w:p>
        </w:tc>
      </w:tr>
      <w:tr>
        <w:trPr>
          <w:trHeight w:val="209"/>
        </w:trPr>
        <w:tc>
          <w:tcPr>
            <w:tcW w:w="40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Bruce T. Bernstein*</w:t>
            </w:r>
            <w:r>
              <w:rPr>
                <w:rFonts w:ascii="Arial" w:cs="Arial" w:eastAsia="Arial" w:hAnsi="Arial"/>
                <w:sz w:val="24"/>
                <w:szCs w:val="24"/>
                <w:color w:val="auto"/>
                <w:vertAlign w:val="superscript"/>
              </w:rPr>
              <w:t>(1)(2)(3)(4)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16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*(2)(4)</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Donald E. Stout*</w:t>
            </w:r>
            <w:r>
              <w:rPr>
                <w:rFonts w:ascii="Arial" w:cs="Arial" w:eastAsia="Arial" w:hAnsi="Arial"/>
                <w:sz w:val="25"/>
                <w:szCs w:val="25"/>
                <w:color w:val="auto"/>
                <w:vertAlign w:val="superscript"/>
              </w:rPr>
              <w:t>(1)(2)(3)</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Michael Lebowitz</w:t>
            </w:r>
            <w:r>
              <w:rPr>
                <w:rFonts w:ascii="Arial" w:cs="Arial" w:eastAsia="Arial" w:hAnsi="Arial"/>
                <w:sz w:val="25"/>
                <w:szCs w:val="25"/>
                <w:color w:val="auto"/>
                <w:vertAlign w:val="superscript"/>
              </w:rPr>
              <w:t>* (4)</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R. Milford</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James A. Berry</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*Independent director under the rules of The Nasdaq Stock Market</w:t>
      </w:r>
    </w:p>
    <w:p>
      <w:pPr>
        <w:spacing w:after="0" w:line="23"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Strategic Affairs Committee</w:t>
      </w:r>
    </w:p>
    <w:p>
      <w:pPr>
        <w:spacing w:after="0" w:line="21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(“Nasdaq”)</w:t>
      </w:r>
      <w:r>
        <w:rPr>
          <w:rFonts w:ascii="Arial" w:cs="Arial" w:eastAsia="Arial" w:hAnsi="Arial"/>
          <w:sz w:val="18"/>
          <w:szCs w:val="18"/>
          <w:b w:val="1"/>
          <w:bCs w:val="1"/>
          <w:color w:val="auto"/>
        </w:rPr>
        <w:t>:</w:t>
      </w:r>
      <w:r>
        <w:rPr>
          <w:rFonts w:ascii="Arial" w:cs="Arial" w:eastAsia="Arial" w:hAnsi="Arial"/>
          <w:sz w:val="18"/>
          <w:szCs w:val="18"/>
          <w:color w:val="auto"/>
        </w:rPr>
        <w:t xml:space="preserve"> Bruce T. Bernstein, Donald E. Stout, Robert Weinstein, and Michael Lebowitz.</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Scott Milford </w:t>
      </w:r>
      <w:r>
        <w:rPr>
          <w:rFonts w:ascii="Arial" w:cs="Arial" w:eastAsia="Arial" w:hAnsi="Arial"/>
          <w:sz w:val="16"/>
          <w:szCs w:val="16"/>
          <w:color w:val="auto"/>
        </w:rPr>
        <w:t>joined the Company in July 2019 and has served as our Chief Executive Officer and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XpresSpa,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We believe Mr. Milford’s extensive experience in the retail industry and his knowledge of the Company’s business due to his status as an executive officer of the Company qualifies him to serve on our Board of Directors.</w:t>
      </w:r>
    </w:p>
    <w:p>
      <w:pPr>
        <w:spacing w:after="0" w:line="146"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b w:val="1"/>
          <w:bCs w:val="1"/>
          <w:i w:val="1"/>
          <w:iCs w:val="1"/>
          <w:color w:val="auto"/>
        </w:rPr>
        <w:t xml:space="preserve">Bruce T. Bernstein </w:t>
      </w:r>
      <w:r>
        <w:rPr>
          <w:rFonts w:ascii="Arial" w:cs="Arial" w:eastAsia="Arial" w:hAnsi="Arial"/>
          <w:sz w:val="16"/>
          <w:szCs w:val="16"/>
          <w:color w:val="auto"/>
        </w:rPr>
        <w:t>joined our Board of Directors in February 2016 and has served as the Chairman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w:t>
      </w:r>
    </w:p>
    <w:p>
      <w:pPr>
        <w:spacing w:after="0" w:line="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 xml:space="preserve">Assistant Treasurer. Mr. Bernstein also serves as a member of the Board of Directors of </w:t>
      </w:r>
      <w:r>
        <w:rPr>
          <w:rFonts w:ascii="Arial" w:cs="Arial" w:eastAsia="Arial" w:hAnsi="Arial"/>
          <w:sz w:val="18"/>
          <w:szCs w:val="18"/>
          <w:color w:val="2C2C2C"/>
          <w:highlight w:val="white"/>
        </w:rPr>
        <w:t>Synaptogenix, Inc</w:t>
      </w:r>
      <w:r>
        <w:rPr>
          <w:rFonts w:ascii="Arial" w:cs="Arial" w:eastAsia="Arial" w:hAnsi="Arial"/>
          <w:sz w:val="24"/>
          <w:szCs w:val="24"/>
          <w:color w:val="2C2C2C"/>
          <w:highlight w:val="white"/>
        </w:rPr>
        <w:t>.</w:t>
      </w:r>
      <w:r>
        <w:rPr>
          <w:rFonts w:ascii="Arial" w:cs="Arial" w:eastAsia="Arial" w:hAnsi="Arial"/>
          <w:sz w:val="18"/>
          <w:szCs w:val="18"/>
          <w:color w:val="auto"/>
        </w:rPr>
        <w:t xml:space="preserve"> </w:t>
      </w:r>
      <w:r>
        <w:rPr>
          <w:rFonts w:ascii="Arial" w:cs="Arial" w:eastAsia="Arial" w:hAnsi="Arial"/>
          <w:sz w:val="18"/>
          <w:szCs w:val="18"/>
          <w:color w:val="2C2C2C"/>
          <w:highlight w:val="white"/>
        </w:rPr>
        <w:t>(formerly</w:t>
      </w:r>
      <w:r>
        <w:rPr>
          <w:rFonts w:ascii="Arial" w:cs="Arial" w:eastAsia="Arial" w:hAnsi="Arial"/>
          <w:sz w:val="18"/>
          <w:szCs w:val="18"/>
          <w:color w:val="auto"/>
        </w:rPr>
        <w:t xml:space="preserve"> Neurotrope Bioscience, Inc.), Mr. Bernstein is also a member of the board of Summit Digital Health, a laser-based blood glucose monitor distributor, based in New Jersey. Mr. Bernstein holds a B.B.A. from City University of New York (Baruch).</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Bernstein’s extensive experience in the securities industry qualifies him to serve as the chairman of our Board of Directors.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b w:val="1"/>
          <w:bCs w:val="1"/>
          <w:i w:val="1"/>
          <w:iCs w:val="1"/>
          <w:color w:val="auto"/>
        </w:rPr>
        <w:t xml:space="preserve">Robert Weinstein </w:t>
      </w:r>
      <w:r>
        <w:rPr>
          <w:rFonts w:ascii="Arial" w:cs="Arial" w:eastAsia="Arial" w:hAnsi="Arial"/>
          <w:sz w:val="16"/>
          <w:szCs w:val="16"/>
          <w:color w:val="auto"/>
        </w:rPr>
        <w:t>joined our Board of Directors in February 2020. Mr. Weinstein has extensive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spanning more than thirty years, as a public accountant, investment banker, healthcare private equity fund principal and chief financial officer. Since October 2013, Mr. Weinstein has been the Chief Financial Officer of</w:t>
      </w:r>
    </w:p>
    <w:p>
      <w:pPr>
        <w:spacing w:after="0" w:line="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2C2C2C"/>
          <w:highlight w:val="white"/>
        </w:rPr>
        <w:t>Synaptogenix, Inc</w:t>
      </w:r>
      <w:r>
        <w:rPr>
          <w:rFonts w:ascii="Arial" w:cs="Arial" w:eastAsia="Arial" w:hAnsi="Arial"/>
          <w:sz w:val="23"/>
          <w:szCs w:val="23"/>
          <w:color w:val="2C2C2C"/>
          <w:highlight w:val="white"/>
        </w:rPr>
        <w:t>.</w:t>
      </w:r>
      <w:r>
        <w:rPr>
          <w:rFonts w:ascii="Arial" w:cs="Arial" w:eastAsia="Arial" w:hAnsi="Arial"/>
          <w:sz w:val="17"/>
          <w:szCs w:val="17"/>
          <w:color w:val="2C2C2C"/>
          <w:highlight w:val="white"/>
        </w:rPr>
        <w:t xml:space="preserve"> (formerly </w:t>
      </w:r>
      <w:r>
        <w:rPr>
          <w:rFonts w:ascii="Arial" w:cs="Arial" w:eastAsia="Arial" w:hAnsi="Arial"/>
          <w:sz w:val="17"/>
          <w:szCs w:val="17"/>
          <w:color w:val="000000"/>
        </w:rPr>
        <w:t>Neurotrope Bioscience, Inc.), a publicly-traded biotechnology company. From</w:t>
      </w:r>
      <w:r>
        <w:rPr>
          <w:rFonts w:ascii="Arial" w:cs="Arial" w:eastAsia="Arial" w:hAnsi="Arial"/>
          <w:sz w:val="17"/>
          <w:szCs w:val="17"/>
          <w:color w:val="2C2C2C"/>
          <w:highlight w:val="white"/>
        </w:rPr>
        <w:t xml:space="preserve"> </w:t>
      </w:r>
      <w:r>
        <w:rPr>
          <w:rFonts w:ascii="Arial" w:cs="Arial" w:eastAsia="Arial" w:hAnsi="Arial"/>
          <w:sz w:val="17"/>
          <w:szCs w:val="17"/>
          <w:color w:val="000000"/>
        </w:rPr>
        <w:t>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 November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USPTO. Mr. Stout holds a Bachelor’s degree in Electrical Engineering, with distinction, from Pennsylvania State University, and a J.D., with honors, from The George Washington University.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Michael Lebowitz </w:t>
      </w:r>
      <w:r>
        <w:rPr>
          <w:rFonts w:ascii="Arial" w:cs="Arial" w:eastAsia="Arial" w:hAnsi="Arial"/>
          <w:sz w:val="18"/>
          <w:szCs w:val="18"/>
          <w:color w:val="auto"/>
        </w:rPr>
        <w:t>joined our Board of Directors in April 2020. An expert in customer experience strategy and innovation,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A. Berry</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Mr. Berry joined XpresSpa as its Chief Financial Officer in December 2020. For the past 20 years, he has provided financial and administrative leadership to healthcare organizations delivering urgent and emergency medical services. With annual patient volumes topping 200,000 visits, he has optimized revenue cycle processes; negotiated strong payer contracts; controlled spending; developed provider compensation plans; overseen accounting functions; developed planning, reporting, and business intelligence analytics; managed investment accounts; evaluated and oversaw benefit programs; and raised equity and debt capital for rapidly expanding enterprises. He is also experienced leading support functions including IT, HR, payroll, and business development.</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his most recent role, Mr. Berry served as CFO for ClearChoiceMD Urgent Care from 2016 to December 2020, where he has been instrumental in creating partnerships with large health care delivery systems, ranging from financial joint ventures to affiliation agreements, managed services agreements, and memorialized letters of understanding. Prior to that, Mr. Berry served as Vice President-Finance and Corporate Treasurer of CareWell Urgent Care, a high-growth developer and operator of urgent care centers, from 2013 to 2016. He has testified before a New Hampshire legislature subcommittee, supporting Critical Access Hospitals, and has presented at the National Urgent Care Association annual meeting. Prior to his career in healthcare services, Mr. Berry held positions in the medical devices space, including Johnson &amp; Johnson, a VC backed startup, and a small public company turnaround.</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He holds a Bachelor of Science in Biochemistry (University of Massachusetts-Amherst) and an MBA from Purdue (Krannert Graduate School of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b w:val="1"/>
          <w:bCs w:val="1"/>
          <w:i w:val="1"/>
          <w:iCs w:val="1"/>
          <w:color w:val="auto"/>
        </w:rPr>
        <w:t>Meeting Attendance</w:t>
      </w:r>
      <w:r>
        <w:rPr>
          <w:rFonts w:ascii="Arial" w:cs="Arial" w:eastAsia="Arial" w:hAnsi="Arial"/>
          <w:sz w:val="16"/>
          <w:szCs w:val="16"/>
          <w:color w:val="auto"/>
        </w:rPr>
        <w:t>. During the fiscal year ended December 31, 2021, there were 8 meetings of our Board of Directors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4 unanimous written consents. The various committees of the Board of Directors met a total of 4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2021 annual meeting of stockholders.</w:t>
      </w:r>
    </w:p>
    <w:p>
      <w:pPr>
        <w:spacing w:after="0" w:line="19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met 4 times during fiscal 2021. This committee currently has three (3)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Arial" w:cs="Arial" w:eastAsia="Arial" w:hAnsi="Arial"/>
          <w:sz w:val="16"/>
          <w:szCs w:val="16"/>
          <w:i w:val="1"/>
          <w:iCs w:val="1"/>
          <w:color w:val="auto"/>
        </w:rPr>
        <w:t>www.xpresspagroup.com/corp_governance</w:t>
      </w:r>
      <w:r>
        <w:rPr>
          <w:rFonts w:ascii="Arial" w:cs="Arial" w:eastAsia="Arial" w:hAnsi="Arial"/>
          <w:sz w:val="16"/>
          <w:szCs w:val="16"/>
          <w:color w:val="auto"/>
        </w:rPr>
        <w:t>.</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which did not meet during 2021, has two (2) members, Bruce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 Bernstein (Chairman) and Donald E. Stout.</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2021, the Compensation Committee did engage a third-party compensation consultant to review the Company’s compensation structure as well as benchmark it against the Company’s peer group.</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which did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meet during 2021,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187"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18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concern for the long-term interests of the stockholders. In general, persons recommended by stockholders will be considered on the same basis as candidates from other sources.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Additional Committee – the Strategic Affairs Committee. </w:t>
      </w:r>
      <w:r>
        <w:rPr>
          <w:rFonts w:ascii="Arial" w:cs="Arial" w:eastAsia="Arial" w:hAnsi="Arial"/>
          <w:sz w:val="18"/>
          <w:szCs w:val="18"/>
          <w:color w:val="auto"/>
        </w:rPr>
        <w:t>The Strategic Affairs Committee was formed in September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to assist the Board in in reviewing, analyzing, considering and assessing, potential acquisitions, joint ventures, strategic investments, divestitures and other strategic transactions. The committee’s current members are Bruce T. Bernstein (chairman), Robert Weinstein and Michael Lebowitz. The Strategic Affairs Committee’s responsibilities include, among others:</w:t>
      </w:r>
    </w:p>
    <w:p>
      <w:pPr>
        <w:spacing w:after="0" w:line="188" w:lineRule="exact"/>
        <w:rPr>
          <w:sz w:val="20"/>
          <w:szCs w:val="20"/>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strategic transactions received by the Company or proposed by management; and</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6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Diversity Matrix</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Nasdaq diversity matrix is set forth below as required under the listing requirements of Nasdaq.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Diversity Matrix (As of April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2649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49220"/>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Total Number of Directors - 5</w:t>
            </w: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Did Not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580"/>
              <w:spacing w:after="0"/>
              <w:rPr>
                <w:sz w:val="20"/>
                <w:szCs w:val="20"/>
                <w:color w:val="auto"/>
              </w:rPr>
            </w:pPr>
            <w:r>
              <w:rPr>
                <w:rFonts w:ascii="Arial" w:cs="Arial" w:eastAsia="Arial" w:hAnsi="Arial"/>
                <w:sz w:val="18"/>
                <w:szCs w:val="18"/>
                <w:b w:val="1"/>
                <w:bCs w:val="1"/>
                <w:color w:val="auto"/>
              </w:rPr>
              <w:t>Female</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Male</w:t>
            </w:r>
          </w:p>
        </w:tc>
        <w:tc>
          <w:tcPr>
            <w:tcW w:w="1700" w:type="dxa"/>
            <w:vAlign w:val="bottom"/>
          </w:tcPr>
          <w:p>
            <w:pPr>
              <w:ind w:left="420"/>
              <w:spacing w:after="0"/>
              <w:rPr>
                <w:sz w:val="20"/>
                <w:szCs w:val="20"/>
                <w:color w:val="auto"/>
              </w:rPr>
            </w:pPr>
            <w:r>
              <w:rPr>
                <w:rFonts w:ascii="Arial" w:cs="Arial" w:eastAsia="Arial" w:hAnsi="Arial"/>
                <w:sz w:val="18"/>
                <w:szCs w:val="18"/>
                <w:b w:val="1"/>
                <w:bCs w:val="1"/>
                <w:color w:val="auto"/>
              </w:rPr>
              <w:t>Non-Binary</w:t>
            </w: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Disclose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Gender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79"/>
              </w:rPr>
              <w:t>5</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African American or Black</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Alaskan Native or Native American</w:t>
            </w: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Asian</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Hispanic or Latinx</w:t>
            </w: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Native Hawaiian or Pacific Islander</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White</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79"/>
              </w:rPr>
              <w:t>5</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Two or More Races or Ethnicities</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LGBTQ+</w:t>
            </w: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Did Not Disclose Demographic</w:t>
            </w:r>
          </w:p>
        </w:tc>
        <w:tc>
          <w:tcPr>
            <w:tcW w:w="1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Background</w:t>
            </w:r>
          </w:p>
        </w:tc>
        <w:tc>
          <w:tcPr>
            <w:tcW w:w="13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Delinquent Section 16(a) Reports</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 except that Donald E. Stout, a director, filed a Form 4 reporting receipt of an equity grant one day late.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 and will be made available to stockholders without charge, upon request, in writing to the Corporate Secretary at 254 West 31 Street 11</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table summarizes the total compensation awarded or paid by us during the fiscal years ended December 31, 2021 and 2020 to (i) our principal executive officer; and (ii) the two most highly compensated executive officers other than the principal executive officer who was serving as executive officer at December 31, 2021 (collectively, the “named executive officers”).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7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Douglas Satzman </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w:t>
            </w:r>
            <w:r>
              <w:rPr>
                <w:rFonts w:ascii="Arial" w:cs="Arial" w:eastAsia="Arial" w:hAnsi="Arial"/>
                <w:sz w:val="24"/>
                <w:szCs w:val="24"/>
                <w:b w:val="1"/>
                <w:bCs w:val="1"/>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472,115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1,042,934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326,000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1,841,049</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387,578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108,070</w:t>
            </w:r>
          </w:p>
        </w:tc>
        <w:tc>
          <w:tcPr>
            <w:tcW w:w="700" w:type="dxa"/>
            <w:vAlign w:val="bottom"/>
          </w:tcPr>
          <w:p>
            <w:pPr>
              <w:jc w:val="right"/>
              <w:spacing w:after="0"/>
              <w:rPr>
                <w:sz w:val="20"/>
                <w:szCs w:val="20"/>
                <w:color w:val="auto"/>
              </w:rPr>
            </w:pPr>
            <w:r>
              <w:rPr>
                <w:rFonts w:ascii="Arial" w:cs="Arial" w:eastAsia="Arial" w:hAnsi="Arial"/>
                <w:sz w:val="18"/>
                <w:szCs w:val="18"/>
                <w:color w:val="auto"/>
              </w:rPr>
              <w:t>38,625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669,273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Scott Milford </w:t>
            </w:r>
            <w:r>
              <w:rPr>
                <w:rFonts w:ascii="Arial" w:cs="Arial" w:eastAsia="Arial" w:hAnsi="Arial"/>
                <w:sz w:val="25"/>
                <w:szCs w:val="25"/>
                <w:b w:val="1"/>
                <w:bCs w:val="1"/>
                <w:color w:val="auto"/>
                <w:vertAlign w:val="superscript"/>
              </w:rPr>
              <w:t>(3)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768,479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1,118,479</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279,582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629,528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James A Berry</w:t>
            </w:r>
            <w:r>
              <w:rPr>
                <w:rFonts w:ascii="Arial" w:cs="Arial" w:eastAsia="Arial" w:hAnsi="Arial"/>
                <w:sz w:val="25"/>
                <w:szCs w:val="25"/>
                <w:b w:val="1"/>
                <w:bCs w:val="1"/>
                <w:color w:val="auto"/>
                <w:vertAlign w:val="superscript"/>
              </w:rPr>
              <w:t>(4)</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263,942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311,145</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9,615</w:t>
            </w: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211,940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85"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in accordance with FASB ASC </w:t>
      </w:r>
      <w:r>
        <w:rPr>
          <w:rFonts w:ascii="Arial" w:cs="Arial" w:eastAsia="Arial" w:hAnsi="Arial"/>
          <w:sz w:val="16"/>
          <w:szCs w:val="16"/>
          <w:i w:val="1"/>
          <w:iCs w:val="1"/>
          <w:color w:val="auto"/>
        </w:rPr>
        <w:t>Topic 718</w:t>
      </w:r>
      <w:r>
        <w:rPr>
          <w:rFonts w:ascii="Arial" w:cs="Arial" w:eastAsia="Arial" w:hAnsi="Arial"/>
          <w:sz w:val="16"/>
          <w:szCs w:val="16"/>
          <w:color w:val="auto"/>
        </w:rPr>
        <w:t>. For the assumptions made in the valuation of our equity awards see Notes 2 and 14 to our consolidated financial statements included in the Original Filing. The amount reported for Mr. Satzman is the grant date fair value of a restricted stock unit award for 200,000 shares of our Common Stock, which he received as compensation for his services as a Board member, as described in the narrative description accompany the tabular disclosure under “—Director Compensation: below.</w:t>
      </w:r>
    </w:p>
    <w:p>
      <w:pPr>
        <w:spacing w:after="0" w:line="1"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Satzman served as our Chief Executive Officer since February 11, 2019 until January 19, 2022. Compensation in 2021 and 2020 includes equity awards of stock options and restricted stock.</w:t>
      </w:r>
    </w:p>
    <w:p>
      <w:pPr>
        <w:jc w:val="both"/>
        <w:ind w:left="380" w:right="79" w:hanging="330"/>
        <w:spacing w:after="0" w:line="281"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Milford is currently our Chief Executive Officer, effective January 19, 2022. Prior to that, he served as our Chief Operating Officer since December 14, 2020 and as our first Chief People Officer, a non-executive role, from July 8, 2019 to December 14, 2020. Compensation in 2020 includes equity awards of stock options and restricted stock.</w:t>
      </w:r>
    </w:p>
    <w:p>
      <w:pPr>
        <w:spacing w:after="0" w:line="1" w:lineRule="exact"/>
        <w:rPr>
          <w:rFonts w:ascii="Arial" w:cs="Arial" w:eastAsia="Arial" w:hAnsi="Arial"/>
          <w:sz w:val="16"/>
          <w:szCs w:val="16"/>
          <w:color w:val="auto"/>
        </w:rPr>
      </w:pP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Berry has served as our Chief Financial Officer and Principal Financial &amp; Accounting Officer since December 14, 2020. Compensation in 2020 includes an equity award of stock options.</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11, 2019, we entered into an employment agreement with Mr. Satzman, which had a term of three years provided that the employment agreement would extend in two month increments for up to one (1) year thereafter for each month that the negotiations for an extension to the Employment Agreement were not concluded prior to sixth months before the end of the term. Under the terms of the employment agreement, Mr. Satzman received an annual base salary of $400,000 and was eligible to participate in any annual bonus or other incentive compensation program adopted from time to time for our executive officers. If Mr. Satzman earned any bonus or non-equity based incentive compensation which remained unpaid upon termination of employment for any reason, whether by Mr. Satzman or us other than for cause, then the employment agreement provided that Mr. Satzman would be entitled to receive a pro- rata portion of such incentive compensation at the time it was paid. Mr. Satzman resigned from the Company on January 19, 2022 and received the amounts set forth below under “Potential Payments upon Termination or Change-In-Control.”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Scott Milford</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March 28, 2022, the Company and Mr. Milford entered into an Executive Employment Agreement effective as of January 19, 2022, the date of Mr. Milford’s assumption of the role of CEO. The agreement has a term of two years from such January 19, 2022 effective date. Following that period, Mr. Milford will continue to be employed by the Company as an “at will” employee. Mr. Milford is entitled to receive an annual base salary of $425,000. He is also eligible to participate in any annual bonus and other incentive compensation program that the Company may adopt from time to time for its executive officers. Mr. Milford is eligible to earn an annual bonus, the target amount of which is up to one hundred percent (100%)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Milford's employment and for six months thereafter.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A. Berry</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November 27, 2020, we entered into an offer letter with Mr. Berry, pursuant to which he agreed to serve as our Chief Financial Officer for an annual base salary of $250,000, subject to annual review by the Compensation Committee. Mr. Berry also received a signing bonus of $25,000, and a sign-on equity award of $250,000 of stock options. He is eligible to receive a short-term incentive with a target payout of 50% of his annual base salary, as well as to participate in any annual bonus or other incentive compensation program that the Company may adopt from time to time for its executive officers.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The following table sets forth information regarding grants of stock options and unvested stock awards outstanding on the last day of the fiscal year ended December 31, 2021, to each of our named executive officers.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ind w:left="500"/>
              <w:spacing w:after="0"/>
              <w:rPr>
                <w:sz w:val="20"/>
                <w:szCs w:val="20"/>
                <w:color w:val="auto"/>
              </w:rPr>
            </w:pPr>
            <w:r>
              <w:rPr>
                <w:rFonts w:ascii="Arial" w:cs="Arial" w:eastAsia="Arial" w:hAnsi="Arial"/>
                <w:sz w:val="14"/>
                <w:szCs w:val="14"/>
                <w:b w:val="1"/>
                <w:bCs w:val="1"/>
                <w:color w:val="auto"/>
                <w:w w:val="96"/>
              </w:rPr>
              <w:t>Options Awards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shares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auto"/>
                <w:w w:val="89"/>
              </w:rPr>
              <w:t>of securities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units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securities</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stock</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that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Option expiration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have not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8"/>
        </w:trPr>
        <w:tc>
          <w:tcPr>
            <w:tcW w:w="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un-</w:t>
            </w: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4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vested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400" w:type="dxa"/>
            <w:vAlign w:val="bottom"/>
            <w:gridSpan w:val="2"/>
            <w:vMerge w:val="continue"/>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0"/>
              </w:rPr>
              <w:t>(#) exercisable</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 xml:space="preserve">price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vested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top w:val="single" w:sz="8" w:color="auto"/>
            </w:tcBorders>
            <w:gridSpan w:val="3"/>
            <w:shd w:val="clear" w:color="auto" w:fill="CCEEFF"/>
          </w:tcPr>
          <w:p>
            <w:pPr>
              <w:spacing w:after="0" w:line="210" w:lineRule="exact"/>
              <w:rPr>
                <w:sz w:val="20"/>
                <w:szCs w:val="20"/>
                <w:color w:val="auto"/>
              </w:rPr>
            </w:pPr>
            <w:r>
              <w:rPr>
                <w:rFonts w:ascii="Arial" w:cs="Arial" w:eastAsia="Arial" w:hAnsi="Arial"/>
                <w:sz w:val="17"/>
                <w:szCs w:val="17"/>
                <w:color w:val="auto"/>
              </w:rPr>
              <w:t xml:space="preserve">Doug Satzman </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2019</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7"/>
              </w:rPr>
              <w:t>Non-Qualified Stock Option from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4"/>
          </w:tcPr>
          <w:p>
            <w:pPr>
              <w:ind w:left="20"/>
              <w:spacing w:after="0"/>
              <w:rPr>
                <w:sz w:val="20"/>
                <w:szCs w:val="20"/>
                <w:color w:val="auto"/>
              </w:rPr>
            </w:pPr>
            <w:r>
              <w:rPr>
                <w:rFonts w:ascii="Arial" w:cs="Arial" w:eastAsia="Arial" w:hAnsi="Arial"/>
                <w:sz w:val="18"/>
                <w:szCs w:val="18"/>
                <w:color w:val="auto"/>
              </w:rPr>
              <w:t>the 2012 Plan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February 11, 2029</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2020</w:t>
            </w:r>
          </w:p>
        </w:tc>
        <w:tc>
          <w:tcPr>
            <w:tcW w:w="2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Non-Qualified Stock Options rom</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2012 Plan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20, 2030</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2021</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Non-Qualified Stock Options from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4"/>
          </w:tcPr>
          <w:p>
            <w:pPr>
              <w:ind w:left="20"/>
              <w:spacing w:after="0"/>
              <w:rPr>
                <w:sz w:val="20"/>
                <w:szCs w:val="20"/>
                <w:color w:val="auto"/>
              </w:rPr>
            </w:pPr>
            <w:r>
              <w:rPr>
                <w:rFonts w:ascii="Arial" w:cs="Arial" w:eastAsia="Arial" w:hAnsi="Arial"/>
                <w:sz w:val="18"/>
                <w:szCs w:val="18"/>
                <w:color w:val="auto"/>
              </w:rPr>
              <w:t>the 2020 Plan</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516,304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21, 2031</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2021</w:t>
            </w:r>
          </w:p>
        </w:tc>
        <w:tc>
          <w:tcPr>
            <w:tcW w:w="2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Restricted Stock Units (RSUs)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from the 2020 Plan</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Scott Milford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2020</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Non-Qualified Stock Options from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4"/>
          </w:tcPr>
          <w:p>
            <w:pPr>
              <w:ind w:left="20"/>
              <w:spacing w:after="0"/>
              <w:rPr>
                <w:sz w:val="20"/>
                <w:szCs w:val="20"/>
                <w:color w:val="auto"/>
              </w:rPr>
            </w:pPr>
            <w:r>
              <w:rPr>
                <w:rFonts w:ascii="Arial" w:cs="Arial" w:eastAsia="Arial" w:hAnsi="Arial"/>
                <w:sz w:val="18"/>
                <w:szCs w:val="18"/>
                <w:color w:val="auto"/>
              </w:rPr>
              <w:t>the 2012 Plan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April 20, 2030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2020</w:t>
            </w:r>
          </w:p>
        </w:tc>
        <w:tc>
          <w:tcPr>
            <w:tcW w:w="2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Incentive Stock Options from the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32,106</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September 6, 2030</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2020</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Non-Qualified Stock Options from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4"/>
          </w:tcPr>
          <w:p>
            <w:pPr>
              <w:ind w:left="20"/>
              <w:spacing w:after="0"/>
              <w:rPr>
                <w:sz w:val="20"/>
                <w:szCs w:val="20"/>
                <w:color w:val="auto"/>
              </w:rPr>
            </w:pPr>
            <w:r>
              <w:rPr>
                <w:rFonts w:ascii="Arial" w:cs="Arial" w:eastAsia="Arial" w:hAnsi="Arial"/>
                <w:sz w:val="18"/>
                <w:szCs w:val="18"/>
                <w:color w:val="auto"/>
              </w:rPr>
              <w:t>the 2020 Plan</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96,319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October 28, 2030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2021</w:t>
            </w:r>
          </w:p>
        </w:tc>
        <w:tc>
          <w:tcPr>
            <w:tcW w:w="2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Non-Qualified Stock Options from</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2020 Plan</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380,435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January 21, 2031</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3"/>
            <w:shd w:val="clear" w:color="auto" w:fill="CCEEFF"/>
          </w:tcPr>
          <w:p>
            <w:pPr>
              <w:spacing w:after="0" w:line="201" w:lineRule="exact"/>
              <w:rPr>
                <w:sz w:val="20"/>
                <w:szCs w:val="20"/>
                <w:color w:val="auto"/>
              </w:rPr>
            </w:pPr>
            <w:r>
              <w:rPr>
                <w:rFonts w:ascii="Arial" w:cs="Arial" w:eastAsia="Arial" w:hAnsi="Arial"/>
                <w:sz w:val="16"/>
                <w:szCs w:val="16"/>
                <w:color w:val="auto"/>
              </w:rPr>
              <w:t xml:space="preserve">James A Berry </w:t>
            </w:r>
            <w:r>
              <w:rPr>
                <w:rFonts w:ascii="Arial" w:cs="Arial" w:eastAsia="Arial" w:hAnsi="Arial"/>
                <w:sz w:val="23"/>
                <w:szCs w:val="23"/>
                <w:color w:val="auto"/>
                <w:vertAlign w:val="superscript"/>
              </w:rPr>
              <w:t>(1)</w:t>
            </w:r>
            <w:r>
              <w:rPr>
                <w:rFonts w:ascii="Arial" w:cs="Arial" w:eastAsia="Arial" w:hAnsi="Arial"/>
                <w:sz w:val="16"/>
                <w:szCs w:val="16"/>
                <w:color w:val="auto"/>
              </w:rPr>
              <w:t>: 2020 Non-Qualified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 from the 2020 Plan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December 14, 2030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Un-exercisable Options vest in equal annual increments over each of the remaining anniversaries of the date of grant.</w:t>
      </w:r>
    </w:p>
    <w:p>
      <w:pPr>
        <w:spacing w:after="0" w:line="46" w:lineRule="exact"/>
        <w:rPr>
          <w:rFonts w:ascii="Arial" w:cs="Arial" w:eastAsia="Arial" w:hAnsi="Arial"/>
          <w:sz w:val="16"/>
          <w:szCs w:val="16"/>
          <w:color w:val="auto"/>
        </w:rPr>
      </w:pPr>
    </w:p>
    <w:p>
      <w:pPr>
        <w:jc w:val="both"/>
        <w:ind w:left="380" w:right="79" w:hanging="330"/>
        <w:spacing w:after="0" w:line="277"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connection with his Separation Agreement, dated January 21, 2022 all of Mr. Satzman’s stock options and RSUs outstanding and held by Mr. Satzman vested immediately after the Effective Date of such agreement, notwithstanding any vesting provisions set forth such stock-based awards or the Employment Agreement</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following summarizes the payments and potential payments to each of our named executive officers as of December 31, 2021 upon termination or change-in-control. The discussion assumes that such event occurred on December 31, 2021, the last business day of our fiscal year, at which time the closing price of our common stock as listed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Nasdaq was $2.02 per share. For a further discussion of these provisions see the “Narrative Disclosure to Summary Compensation Table and Grants of Plan-Based Awards Table”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Mr. Satzman resigned from the Company on January 19, 2022. Under the terms of the Separation Agreement and Release that he entered into with the Company, Mr. Satzman will receive (i) an amount equal to his current annual base salary ($475,000) as severance, payable over the 12-month period following January 21, 2022 in accordance with the Company’s regular payroll schedule and (ii) if elected by Mr. Satzman, subsidization of COBRA continuation payments under the Company’ group medical insurance plans until the earlier of January 31, 2023, the date he is eligible under another employer’s heath plan or Medicare, or the expiration of the maximum COBRA continuation coverage period for which he eligible under law. Mr. Satzman is entitled to incentive compensation of $168,341 attributable to calendar year 2021 (of which amount $10,000 represents expense reimbursement), as provided in his employment agreement, (ii) that the vesting of all stock options, RSUs and other stock-based awards outstanding held by Mr. Satzman vest immediately after such effective date, and (iii) for a general release in favor of the Company.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Scott R. Milford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event Mr. Milford’s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A. Berry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Mr. Berry is not entitled to any payments upon termination or change-in-control.</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2021. As described below, Mr. Satzman, our former CEO, received certain equity compensation for his service on our Board of Directors; such compensation is fully reflected in the Summary Compensation Table above and is not reflected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Fees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Earned or</w:t>
            </w: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Cash</w:t>
            </w:r>
          </w:p>
        </w:tc>
        <w:tc>
          <w:tcPr>
            <w:tcW w:w="110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4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860" w:type="dxa"/>
            <w:vAlign w:val="bottom"/>
          </w:tcPr>
          <w:p>
            <w:pPr>
              <w:ind w:left="30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4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(6)</w:t>
            </w:r>
          </w:p>
        </w:tc>
        <w:tc>
          <w:tcPr>
            <w:tcW w:w="240" w:type="dxa"/>
            <w:vAlign w:val="bottom"/>
          </w:tcPr>
          <w:p>
            <w:pPr>
              <w:spacing w:after="0"/>
              <w:rPr>
                <w:sz w:val="15"/>
                <w:szCs w:val="15"/>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Bruce T. Bernstein</w:t>
            </w:r>
            <w:r>
              <w:rPr>
                <w:rFonts w:ascii="Arial" w:cs="Arial" w:eastAsia="Arial" w:hAnsi="Arial"/>
                <w:sz w:val="24"/>
                <w:szCs w:val="24"/>
                <w:color w:val="auto"/>
                <w:vertAlign w:val="superscript"/>
              </w:rPr>
              <w:t>(2) (6)</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881,000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1,605,554</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Donald E. Stout</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5"/>
              </w:rPr>
              <w:t>196,600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87,016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339,615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359,600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522,615</w:t>
            </w:r>
          </w:p>
        </w:tc>
        <w:tc>
          <w:tcPr>
            <w:tcW w:w="0" w:type="dxa"/>
            <w:vAlign w:val="bottom"/>
          </w:tcPr>
          <w:p>
            <w:pPr>
              <w:spacing w:after="0"/>
              <w:rPr>
                <w:sz w:val="1"/>
                <w:szCs w:val="1"/>
                <w:color w:val="auto"/>
              </w:rPr>
            </w:pPr>
          </w:p>
        </w:tc>
      </w:tr>
      <w:tr>
        <w:trPr>
          <w:trHeight w:val="35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Michael Lebowitz</w:t>
            </w:r>
            <w:r>
              <w:rPr>
                <w:rFonts w:ascii="Arial" w:cs="Arial" w:eastAsia="Arial" w:hAnsi="Arial"/>
                <w:sz w:val="26"/>
                <w:szCs w:val="26"/>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5"/>
              </w:rPr>
              <w:t>359,600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87,016</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5" w:lineRule="exact"/>
        <w:rPr>
          <w:sz w:val="20"/>
          <w:szCs w:val="20"/>
          <w:color w:val="auto"/>
        </w:rPr>
      </w:pPr>
    </w:p>
    <w:p>
      <w:pPr>
        <w:jc w:val="both"/>
        <w:ind w:left="380" w:right="79" w:hanging="330"/>
        <w:spacing w:after="0" w:line="255"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the restricted stock units granted during the fiscal year computed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14 to the consolidated financial statements disclosed in the Original Filing for the assumptions made in the valuation of the equity awards.</w:t>
      </w:r>
    </w:p>
    <w:p>
      <w:pPr>
        <w:spacing w:after="0" w:line="2"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2021, Mr. Bernstein held 156,532 unexercised options and unvested 250,000 restricted stock units.</w:t>
      </w:r>
    </w:p>
    <w:p>
      <w:pPr>
        <w:ind w:left="380" w:hanging="330"/>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2021, Mr. Stout held 106,952 unexercised options and unvested 50,000 restricted stock units.</w:t>
      </w:r>
    </w:p>
    <w:p>
      <w:pPr>
        <w:spacing w:after="0" w:line="32"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2021, Mr. Weinstein held 104,744 unexercised options and unvested 100,000 restricted stock units.</w:t>
      </w:r>
    </w:p>
    <w:p>
      <w:pPr>
        <w:ind w:left="380" w:hanging="330"/>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2021, Mr. Lebowitz held 93,077 unexercised options and unvested 100,000 restricted stock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86"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(i) $120,000 in cash paid in respect of XpresTest board services (as described below); and (ii) $313,632, which is the grant date fair value of 60 shares of restricted stock of our majority owned subsidiary, XpresTest, Inc., paid in respect of XpresTest board services, as computed in accordance with ASC 718;</w:t>
      </w:r>
    </w:p>
    <w:p>
      <w:pPr>
        <w:spacing w:after="0" w:line="165" w:lineRule="exact"/>
        <w:rPr>
          <w:sz w:val="20"/>
          <w:szCs w:val="20"/>
          <w:color w:val="auto"/>
        </w:rPr>
      </w:pPr>
    </w:p>
    <w:p>
      <w:pPr>
        <w:ind w:left="60" w:right="719"/>
        <w:spacing w:after="0" w:line="263" w:lineRule="auto"/>
        <w:rPr>
          <w:sz w:val="20"/>
          <w:szCs w:val="20"/>
          <w:color w:val="auto"/>
        </w:rPr>
      </w:pPr>
      <w:r>
        <w:rPr>
          <w:rFonts w:ascii="Arial" w:cs="Arial" w:eastAsia="Arial" w:hAnsi="Arial"/>
          <w:sz w:val="18"/>
          <w:szCs w:val="18"/>
          <w:color w:val="auto"/>
        </w:rPr>
        <w:t>At various times during 2021, the Board and the Compensation Committee of the Board of Directors engaged StreeterWyatt Analytics, an independent third-party compensation analyst, to evaluate and make recommendations regarding the compensation paid to our directors.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December 2020, the Board requested and received analysis and evaluation from StreeterWyatt Analytics regarding the Company’s compensation structure as well as to benchmark it against the Company’s peer group. Effective in January 2021, Board approved, upon recommendation of the Compensation Committee the following compensation structure for its non-employee directors for fiscal year 2021:</w:t>
      </w:r>
    </w:p>
    <w:p>
      <w:pPr>
        <w:spacing w:after="0" w:line="2" w:lineRule="exact"/>
        <w:rPr>
          <w:sz w:val="20"/>
          <w:szCs w:val="20"/>
          <w:color w:val="auto"/>
        </w:rPr>
      </w:pPr>
    </w:p>
    <w:p>
      <w:pPr>
        <w:ind w:left="1040" w:right="359" w:hanging="639"/>
        <w:spacing w:after="0" w:line="241" w:lineRule="auto"/>
        <w:tabs>
          <w:tab w:leader="none" w:pos="7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For the Chairman of the Board, total compensation of $275,000, consisting of a 40/60 split of cash and equity: </w:t>
      </w:r>
      <w:r>
        <w:rPr>
          <w:rFonts w:ascii="Courier New" w:cs="Courier New" w:eastAsia="Courier New" w:hAnsi="Courier New"/>
          <w:sz w:val="18"/>
          <w:szCs w:val="18"/>
          <w:color w:val="auto"/>
        </w:rPr>
        <w:t xml:space="preserve">o </w:t>
      </w:r>
      <w:r>
        <w:rPr>
          <w:rFonts w:ascii="Arial" w:cs="Arial" w:eastAsia="Arial" w:hAnsi="Arial"/>
          <w:sz w:val="18"/>
          <w:szCs w:val="18"/>
          <w:color w:val="auto"/>
        </w:rPr>
        <w:t>$110,000 in cash; and</w:t>
      </w:r>
    </w:p>
    <w:p>
      <w:pPr>
        <w:ind w:left="1380" w:right="79" w:hanging="324"/>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equity awards having a combined value of $165,000, weighted as 40% in RSUs and 60% in non-qualified stock options.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all other Board members, total compensation of $140,000, consisting of a 40/60 split of cash and equity:</w:t>
      </w:r>
    </w:p>
    <w:p>
      <w:pPr>
        <w:spacing w:after="0" w:line="14" w:lineRule="exact"/>
        <w:rPr>
          <w:sz w:val="20"/>
          <w:szCs w:val="20"/>
          <w:color w:val="auto"/>
        </w:rPr>
      </w:pPr>
    </w:p>
    <w:p>
      <w:pPr>
        <w:ind w:left="1380" w:hanging="331"/>
        <w:spacing w:after="0"/>
        <w:tabs>
          <w:tab w:leader="none" w:pos="13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56,000 in cash; and</w:t>
      </w:r>
    </w:p>
    <w:p>
      <w:pPr>
        <w:ind w:left="1380" w:right="79" w:hanging="331"/>
        <w:spacing w:after="0" w:line="241" w:lineRule="auto"/>
        <w:tabs>
          <w:tab w:leader="none" w:pos="13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equity awards having a combined value of $84,000, weighted 40% in RSUs and 60% in non-qualified stock options.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additional cash payments:</w:t>
      </w:r>
    </w:p>
    <w:p>
      <w:pPr>
        <w:spacing w:after="0" w:line="9" w:lineRule="exact"/>
        <w:rPr>
          <w:rFonts w:ascii="Arial" w:cs="Arial" w:eastAsia="Arial" w:hAnsi="Arial"/>
          <w:sz w:val="18"/>
          <w:szCs w:val="18"/>
          <w:color w:val="auto"/>
        </w:rPr>
      </w:pPr>
    </w:p>
    <w:p>
      <w:pPr>
        <w:ind w:left="1380" w:hanging="331"/>
        <w:spacing w:after="0" w:line="232" w:lineRule="auto"/>
        <w:tabs>
          <w:tab w:leader="none" w:pos="13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$20,000 in cash to the Chairman of the Audit Committee.</w:t>
      </w:r>
    </w:p>
    <w:p>
      <w:pPr>
        <w:ind w:left="1380" w:hanging="331"/>
        <w:spacing w:after="0" w:line="232" w:lineRule="auto"/>
        <w:tabs>
          <w:tab w:leader="none" w:pos="13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$10,000 in cash to the Chairman of the Compensation Committee.</w:t>
      </w:r>
    </w:p>
    <w:p>
      <w:pPr>
        <w:spacing w:after="0" w:line="20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In January 2021, the Company, its Board and the board of directors of </w:t>
      </w:r>
      <w:r>
        <w:rPr>
          <w:rFonts w:ascii="Arial" w:cs="Arial" w:eastAsia="Arial" w:hAnsi="Arial"/>
          <w:sz w:val="16"/>
          <w:szCs w:val="16"/>
          <w:color w:val="212529"/>
        </w:rPr>
        <w:t>XpresTest, Inc., a Delaware corporation and</w:t>
      </w:r>
      <w:r>
        <w:rPr>
          <w:rFonts w:ascii="Arial" w:cs="Arial" w:eastAsia="Arial" w:hAnsi="Arial"/>
          <w:sz w:val="16"/>
          <w:szCs w:val="16"/>
          <w:color w:val="auto"/>
        </w:rPr>
        <w:t xml:space="preserve"> </w:t>
      </w:r>
      <w:r>
        <w:rPr>
          <w:rFonts w:ascii="Arial" w:cs="Arial" w:eastAsia="Arial" w:hAnsi="Arial"/>
          <w:sz w:val="16"/>
          <w:szCs w:val="16"/>
          <w:color w:val="212529"/>
        </w:rPr>
        <w:t xml:space="preserve">majority-owned subsidiary of the Company (“XpresTest”), </w:t>
      </w:r>
      <w:r>
        <w:rPr>
          <w:rFonts w:ascii="Arial" w:cs="Arial" w:eastAsia="Arial" w:hAnsi="Arial"/>
          <w:sz w:val="16"/>
          <w:szCs w:val="16"/>
          <w:color w:val="000000"/>
        </w:rPr>
        <w:t>approved the issuance of 60 shares of immediately vested</w:t>
      </w:r>
      <w:r>
        <w:rPr>
          <w:rFonts w:ascii="Arial" w:cs="Arial" w:eastAsia="Arial" w:hAnsi="Arial"/>
          <w:sz w:val="16"/>
          <w:szCs w:val="16"/>
          <w:color w:val="212529"/>
        </w:rPr>
        <w:t xml:space="preserve"> </w:t>
      </w:r>
      <w:r>
        <w:rPr>
          <w:rFonts w:ascii="Arial" w:cs="Arial" w:eastAsia="Arial" w:hAnsi="Arial"/>
          <w:sz w:val="16"/>
          <w:szCs w:val="16"/>
          <w:color w:val="000000"/>
        </w:rPr>
        <w:t xml:space="preserve">restricted stock under the </w:t>
      </w:r>
      <w:r>
        <w:rPr>
          <w:rFonts w:ascii="Arial" w:cs="Arial" w:eastAsia="Arial" w:hAnsi="Arial"/>
          <w:sz w:val="16"/>
          <w:szCs w:val="16"/>
          <w:color w:val="212529"/>
        </w:rPr>
        <w:t>XpresTest, Inc. 2020 Equity Incentive Plan (the “Subsidiary Plan”)</w:t>
      </w:r>
      <w:r>
        <w:rPr>
          <w:rFonts w:ascii="Arial" w:cs="Arial" w:eastAsia="Arial" w:hAnsi="Arial"/>
          <w:sz w:val="16"/>
          <w:szCs w:val="16"/>
          <w:color w:val="000000"/>
        </w:rPr>
        <w:t xml:space="preserve"> to each of Messrs. Bernstein and Satzman, pursuant to a restricted stock award agreement under the Subsidiary Plan. In addition, the restricted stock award agreements each contain an antidilution provision pursuant to which XpresTest agreed to issue such additional shares of XpresTest common stock to each such individual (for no additional consideration) sufficient to maintain share ownership interest for each such individual of and at 6% of the total capital stock of XpresTest on a fully-diluted basis, including all options, warrants, convertible securities, and other rights to acquire capital stock, including shares reserved for equity plans not yet allocated, but in the case of convertible debt, only at the time that such convertible debt converts into capital stock, or at such time that a specific conversion ratio is established pursuant to the operation of such instrument) through and until immediately prior to the sale and issuance of XpresTest’s capital stock in a bona fide equity or convertible note financing which assumes that the enterprise value XpresTest is at or above $100 million.</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February and March 2021, following the conclusion of it previous review and approval of cash and equity compensation for its non-employee directors, the Board further requested and received analysis and evaluation from StreeterWyatt Analytics of appropriate director compensation specifically related to the duties, responsibilities and services of Mr. Bernstein beyond the scope of normal Board member services in connection with his role as a non-employee director of XpresTest, especially in light of the significance of the XpresTest business for the Company as a whole commencing in 2020 and going forward in to the future. In March 2021, following such review, the Board determined it was necessary, advisable and appropriate, and in the best interests of the Company and its stockholders, to provide for an appropriate amount of additional compensation to Mr. Bernstein for his XpresTest board services, in addition to the amounts previously approved for other services as director of our Board, and approved the payment to Mr. Bernstein of $120,000 per year in cash compensation for such XpresTest board services, retroactive to January 1, 2021. The Board concluded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July 2021, after reviewing the data provided by StreeterWyatt Analytics, the Committee deemed it to be in the best interest of the Company to recommend that the Board make restricted stock unit grants to each of the members of the Board. Based on the Committee’s recommendation, the Board approved the grants of restricted stock unit, vesting in equal quarterly installments of 25% each on the last date of the first, second, third and fourth quarters after the grant date (commencing on September 30, 2021 and being fully vested on June 30, 2022), subject to the individuals continuous server with the Company through such dates, of 500,000 shares for Mr. Bernstein (as Chairman of the Board), 200,000 shares to each Messrs. Satzman (as CEO of the Company and a Board member), Weinstein (as the Audit Committee Chairman) and Lebowitz, and 100,000 shares to Mr. Stout.</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January 2022, the Board requested and received analysis and evaluation from StreeterWyatt Analytics regarding the Company’s compensation structure. Based on its review, the Compensation Committee recommended, and the full Board approved, a new director compensation program effective for fiscal year 2022:</w:t>
      </w:r>
    </w:p>
    <w:p>
      <w:pPr>
        <w:spacing w:after="0" w:line="165" w:lineRule="exact"/>
        <w:rPr>
          <w:sz w:val="20"/>
          <w:szCs w:val="20"/>
          <w:color w:val="auto"/>
        </w:rPr>
      </w:pPr>
    </w:p>
    <w:p>
      <w:pPr>
        <w:ind w:left="1040" w:right="3619" w:hanging="639"/>
        <w:spacing w:after="0" w:line="249" w:lineRule="auto"/>
        <w:tabs>
          <w:tab w:leader="none" w:pos="7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For the Chairman of the Board: $350,000 per year, consisting of: </w:t>
      </w:r>
      <w:r>
        <w:rPr>
          <w:rFonts w:ascii="Courier New" w:cs="Courier New" w:eastAsia="Courier New" w:hAnsi="Courier New"/>
          <w:sz w:val="18"/>
          <w:szCs w:val="18"/>
          <w:color w:val="auto"/>
        </w:rPr>
        <w:t xml:space="preserve">o </w:t>
      </w:r>
      <w:r>
        <w:rPr>
          <w:rFonts w:ascii="Arial" w:cs="Arial" w:eastAsia="Arial" w:hAnsi="Arial"/>
          <w:sz w:val="18"/>
          <w:szCs w:val="18"/>
          <w:color w:val="auto"/>
        </w:rPr>
        <w:t>$150,000 in cash; and</w:t>
      </w:r>
    </w:p>
    <w:p>
      <w:pPr>
        <w:ind w:left="1380" w:right="79" w:hanging="324"/>
        <w:spacing w:after="0" w:line="252"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equity awards having a combined value of $200,000, consisting of (i) a grant of a Non-Qualified Stock</w:t>
      </w:r>
      <w:r>
        <w:rPr>
          <w:rFonts w:ascii="Courier New" w:cs="Courier New" w:eastAsia="Courier New" w:hAnsi="Courier New"/>
          <w:sz w:val="17"/>
          <w:szCs w:val="17"/>
          <w:color w:val="auto"/>
        </w:rPr>
        <w:t xml:space="preserve"> </w:t>
      </w:r>
      <w:r>
        <w:rPr>
          <w:rFonts w:ascii="Arial" w:cs="Arial" w:eastAsia="Arial" w:hAnsi="Arial"/>
          <w:sz w:val="17"/>
          <w:szCs w:val="17"/>
          <w:color w:val="auto"/>
        </w:rPr>
        <w:t>Option to purchase such number of shares of Common Stock having a grant date fair value of $120,0000 and (ii) a grant of RSUs of such number of shares having a grant date value of $80,000.</w:t>
      </w: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other non-employee Directors: $170,000 per year, consisting of:</w:t>
      </w:r>
    </w:p>
    <w:p>
      <w:pPr>
        <w:spacing w:after="0" w:line="2" w:lineRule="exact"/>
        <w:rPr>
          <w:sz w:val="20"/>
          <w:szCs w:val="20"/>
          <w:color w:val="auto"/>
        </w:rPr>
      </w:pPr>
    </w:p>
    <w:p>
      <w:pPr>
        <w:ind w:left="1380" w:hanging="331"/>
        <w:spacing w:after="0"/>
        <w:tabs>
          <w:tab w:leader="none" w:pos="138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$70,000 in cash; and</w:t>
      </w:r>
    </w:p>
    <w:p>
      <w:pPr>
        <w:jc w:val="both"/>
        <w:ind w:left="1380" w:right="79" w:hanging="331"/>
        <w:spacing w:after="0" w:line="258" w:lineRule="auto"/>
        <w:tabs>
          <w:tab w:leader="none" w:pos="138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equity awards having a combined value of $100,000, consisting of (i) a grant of a Non-Qualified Stock Option to purchase such number of shares of Common Stock having a grant date fair value of $60,0000 and (ii) a grant of RSUs of such number of shares having a grant date value of $40,000.</w:t>
      </w:r>
    </w:p>
    <w:p>
      <w:pPr>
        <w:spacing w:after="0" w:line="1" w:lineRule="exact"/>
        <w:rPr>
          <w:rFonts w:ascii="Courier New" w:cs="Courier New" w:eastAsia="Courier New" w:hAnsi="Courier New"/>
          <w:sz w:val="17"/>
          <w:szCs w:val="17"/>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additional cash payments:</w:t>
      </w:r>
    </w:p>
    <w:p>
      <w:pPr>
        <w:spacing w:after="0" w:line="9" w:lineRule="exact"/>
        <w:rPr>
          <w:rFonts w:ascii="Arial" w:cs="Arial" w:eastAsia="Arial" w:hAnsi="Arial"/>
          <w:sz w:val="18"/>
          <w:szCs w:val="18"/>
          <w:color w:val="auto"/>
        </w:rPr>
      </w:pPr>
    </w:p>
    <w:p>
      <w:pPr>
        <w:ind w:left="1380" w:hanging="331"/>
        <w:spacing w:after="0" w:line="232" w:lineRule="auto"/>
        <w:tabs>
          <w:tab w:leader="none" w:pos="138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$30,000 in cash to the Chairman of the Audit Committee.</w:t>
      </w:r>
    </w:p>
    <w:p>
      <w:pPr>
        <w:ind w:left="1380" w:hanging="331"/>
        <w:spacing w:after="0" w:line="232" w:lineRule="auto"/>
        <w:tabs>
          <w:tab w:leader="none" w:pos="138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$20,000 in cash to the Chairman of the Compensation Committee.</w:t>
      </w:r>
    </w:p>
    <w:p>
      <w:pPr>
        <w:ind w:left="1380" w:hanging="331"/>
        <w:spacing w:after="0" w:line="232" w:lineRule="auto"/>
        <w:tabs>
          <w:tab w:leader="none" w:pos="138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$20,000 in cash to each member of the Investment Committee.</w:t>
      </w:r>
    </w:p>
    <w:p>
      <w:pPr>
        <w:spacing w:after="0" w:line="20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382" w:lineRule="exact"/>
        <w:rPr>
          <w:sz w:val="20"/>
          <w:szCs w:val="20"/>
          <w:color w:val="auto"/>
        </w:rPr>
      </w:pPr>
    </w:p>
    <w:p>
      <w:pPr>
        <w:ind w:left="60" w:right="6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2021 with respect to all of our equity compensation plans then in effect: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No. of securities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No. of securities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options,</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5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400" w:type="dxa"/>
            <w:vAlign w:val="bottom"/>
            <w:gridSpan w:val="3"/>
            <w:vMerge w:val="continue"/>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and rights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the first column)</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equity compensation plans approved by security holders </w:t>
            </w:r>
            <w:r>
              <w:rPr>
                <w:rFonts w:ascii="Arial" w:cs="Arial" w:eastAsia="Arial" w:hAnsi="Arial"/>
                <w:sz w:val="24"/>
                <w:szCs w:val="24"/>
                <w:color w:val="auto"/>
                <w:vertAlign w:val="superscript"/>
              </w:rPr>
              <w:t>(1)(2)</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3,426,871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815,628</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plans consist solely of the 2020 Plan, as approved by our Board of Directors in September 2020 and by our stockholders in October 2020. Under the 2020 Plan, a maximum of 5,705,239 shares of common stock may be awarded.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 xml:space="preserve">The following table sets forth certain information with respect to the beneficial ownership of Common Stock as of April 19, 2022 for (a) each stockholder known by us to own beneficially more than 5% of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19, 2022, pursuant to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w:t>
      </w:r>
      <w:r>
        <w:rPr>
          <w:rFonts w:ascii="Arial" w:cs="Arial" w:eastAsia="Arial" w:hAnsi="Arial"/>
          <w:sz w:val="14"/>
          <w:szCs w:val="14"/>
          <w:color w:val="auto"/>
        </w:rPr>
        <w:t>95,321,210</w:t>
      </w:r>
      <w:r>
        <w:rPr>
          <w:rFonts w:ascii="Arial" w:cs="Arial" w:eastAsia="Arial" w:hAnsi="Arial"/>
          <w:sz w:val="16"/>
          <w:szCs w:val="16"/>
          <w:color w:val="auto"/>
        </w:rPr>
        <w:t xml:space="preserve"> shares of Common Stock as of April 19, 2022.</w:t>
      </w:r>
    </w:p>
    <w:tbl>
      <w:tblPr>
        <w:tblLayout w:type="fixed"/>
        <w:tblInd w:w="40" w:type="dxa"/>
        <w:tblCellMar>
          <w:top w:w="0" w:type="dxa"/>
          <w:left w:w="0" w:type="dxa"/>
          <w:bottom w:w="0" w:type="dxa"/>
          <w:right w:w="0" w:type="dxa"/>
        </w:tblCellMar>
      </w:tblPr>
      <w:tr>
        <w:trPr>
          <w:trHeight w:val="143"/>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Owned</w:t>
            </w:r>
          </w:p>
        </w:tc>
        <w:tc>
          <w:tcPr>
            <w:tcW w:w="960" w:type="dxa"/>
            <w:vAlign w:val="bottom"/>
          </w:tcPr>
          <w:p>
            <w:pPr>
              <w:jc w:val="right"/>
              <w:ind w:right="1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42"/>
        </w:trPr>
        <w:tc>
          <w:tcPr>
            <w:tcW w:w="6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Five percent or more beneficial owners: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Sabby Volatility Warrant Master Fund, Ltd</w:t>
            </w:r>
            <w:r>
              <w:rPr>
                <w:rFonts w:ascii="Arial" w:cs="Arial" w:eastAsia="Arial" w:hAnsi="Arial"/>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14,383,810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Directors and named executive officers: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Scott Milford</w:t>
            </w:r>
            <w:r>
              <w:rPr>
                <w:rFonts w:ascii="Arial" w:cs="Arial" w:eastAsia="Arial" w:hAnsi="Arial"/>
                <w:sz w:val="25"/>
                <w:szCs w:val="25"/>
                <w:color w:val="auto"/>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197,953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James A. Berry</w:t>
            </w:r>
            <w:r>
              <w:rPr>
                <w:rFonts w:ascii="Arial" w:cs="Arial" w:eastAsia="Arial" w:hAnsi="Arial"/>
                <w:sz w:val="25"/>
                <w:szCs w:val="25"/>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241,615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Bruce T. Bernstein</w:t>
            </w:r>
            <w:r>
              <w:rPr>
                <w:rFonts w:ascii="Arial" w:cs="Arial" w:eastAsia="Arial" w:hAnsi="Arial"/>
                <w:sz w:val="25"/>
                <w:szCs w:val="25"/>
                <w:color w:val="auto"/>
                <w:vertAlign w:val="superscript"/>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Donald E. Stout</w:t>
            </w:r>
            <w:r>
              <w:rPr>
                <w:rFonts w:ascii="Arial" w:cs="Arial" w:eastAsia="Arial" w:hAnsi="Arial"/>
                <w:sz w:val="25"/>
                <w:szCs w:val="25"/>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278,155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222,947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Michael Lebowitz</w:t>
            </w:r>
            <w:r>
              <w:rPr>
                <w:rFonts w:ascii="Arial" w:cs="Arial" w:eastAsia="Arial" w:hAnsi="Arial"/>
                <w:sz w:val="25"/>
                <w:szCs w:val="25"/>
                <w:color w:val="auto"/>
                <w:vertAlign w:val="superscript"/>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364,280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Douglas Satzman</w:t>
            </w:r>
            <w:r>
              <w:rPr>
                <w:rFonts w:ascii="Arial" w:cs="Arial" w:eastAsia="Arial" w:hAnsi="Arial"/>
                <w:sz w:val="25"/>
                <w:szCs w:val="25"/>
                <w:color w:val="auto"/>
                <w:vertAlign w:val="superscript"/>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1,553,503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All current directors and officers as a group (6 individuals)</w:t>
            </w:r>
            <w:r>
              <w:rPr>
                <w:rFonts w:ascii="Arial" w:cs="Arial" w:eastAsia="Arial" w:hAnsi="Arial"/>
                <w:sz w:val="26"/>
                <w:szCs w:val="26"/>
                <w:color w:val="auto"/>
                <w:vertAlign w:val="superscript"/>
              </w:rPr>
              <w:t>(10)</w:t>
            </w: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2,214,047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5"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80" w:right="7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254 West 31st Street, 11th Floor, New York, NY 10001.</w:t>
      </w:r>
    </w:p>
    <w:p>
      <w:pPr>
        <w:jc w:val="both"/>
        <w:ind w:left="380" w:right="79" w:hanging="330"/>
        <w:spacing w:after="0" w:line="281"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(i) Form SC 13G/A filed by Sabby Volatility Warrant Master Fund, Ltd., Sabby Management, LLC and Hal Mintz with the SEC on January 7, 2021, which reported 4,691,933 shares of Common Stock ownership as of December 31, 2020, and (ii) 9,691,877 shares of Common Stock issuable upon exercise of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3" w:lineRule="exact"/>
        <w:rPr>
          <w:rFonts w:ascii="Arial" w:cs="Arial" w:eastAsia="Arial" w:hAnsi="Arial"/>
          <w:sz w:val="16"/>
          <w:szCs w:val="16"/>
          <w:color w:val="auto"/>
        </w:rPr>
      </w:pPr>
    </w:p>
    <w:p>
      <w:pPr>
        <w:ind w:left="380" w:right="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12,405 shares of Common Stock and options to purchase 185,548 shares of Common Stock, which are exercisable within 60 days of April 19, 2022.</w:t>
      </w:r>
    </w:p>
    <w:p>
      <w:pPr>
        <w:ind w:left="380" w:right="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198,213 shares of Common Stock and options to purchase 43,402 shares of Common Stock, which are exercisable within 60 days of April 19, 2022.</w:t>
      </w:r>
    </w:p>
    <w:p>
      <w:pPr>
        <w:ind w:left="380" w:right="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729,128 shares of Common Stock and options to purchase 179,969 shares of Common Stock, which are exercisable within 60 days of April 19, 2022.</w:t>
      </w:r>
    </w:p>
    <w:p>
      <w:pPr>
        <w:ind w:left="380" w:right="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159,485 shares of Common Stock and options to purchase 118,670 shares of Common Stock, which are exercisable within 60 days of April 19, 2022.</w:t>
      </w:r>
    </w:p>
    <w:p>
      <w:pPr>
        <w:jc w:val="both"/>
        <w:ind w:left="380" w:right="79" w:hanging="330"/>
        <w:spacing w:after="0" w:line="30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includes 106,485 shares of Common Stock and options to purchase 116,462 shares of Common Stock, which are exercisable within 60 days of April 19, 2022. Solely for Mr. Weinstein, the number of shares of Common Stock beneficially owned reflects 151,485 shares owned on April 19,</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58" w:lineRule="auto"/>
        <w:rPr>
          <w:sz w:val="20"/>
          <w:szCs w:val="20"/>
          <w:color w:val="auto"/>
        </w:rPr>
      </w:pPr>
      <w:r>
        <w:rPr>
          <w:rFonts w:ascii="Arial" w:cs="Arial" w:eastAsia="Arial" w:hAnsi="Arial"/>
          <w:sz w:val="18"/>
          <w:szCs w:val="18"/>
          <w:color w:val="auto"/>
        </w:rPr>
        <w:t>2022, less 45,000 shares subsequently sold on April 20, 2022, pursuant to a Rule 10b5-1 plan, as previously disclosed in a Form 4 filed on April 22, 2022.</w:t>
      </w:r>
    </w:p>
    <w:p>
      <w:pPr>
        <w:spacing w:after="0" w:line="1" w:lineRule="exact"/>
        <w:rPr>
          <w:sz w:val="20"/>
          <w:szCs w:val="20"/>
          <w:color w:val="auto"/>
        </w:rPr>
      </w:pPr>
    </w:p>
    <w:p>
      <w:pPr>
        <w:ind w:left="380" w:right="79" w:hanging="330"/>
        <w:spacing w:after="0" w:line="28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includes 259,485 vested shares of Common Stock and options to purchase 104,795 shares of Common Stock, which are exercisable within 60 days of April 19, 2022.</w:t>
      </w:r>
    </w:p>
    <w:p>
      <w:pPr>
        <w:spacing w:after="0" w:line="1" w:lineRule="exact"/>
        <w:rPr>
          <w:rFonts w:ascii="Arial" w:cs="Arial" w:eastAsia="Arial" w:hAnsi="Arial"/>
          <w:sz w:val="16"/>
          <w:szCs w:val="16"/>
          <w:color w:val="auto"/>
        </w:rPr>
      </w:pPr>
    </w:p>
    <w:p>
      <w:pPr>
        <w:jc w:val="both"/>
        <w:ind w:left="380" w:right="79" w:hanging="330"/>
        <w:spacing w:after="0" w:line="28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includes 928,865 shares of Common Stock and options to purchase 624,638 shares of Common Stock, and which are exercisable within 60 days of April 19, 2022. All of Mr. Satzman’s equity awards immediately vested pursuant to his Separation Agreement, dated January 21, 2022.</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footnotes (4) through (9).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155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2021, and 2020. For the fiscal years ended December 31, 2021, and 2020, we incurred the following fees for the services of CohnReznick and Friedman: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142"/>
        </w:trPr>
        <w:tc>
          <w:tcPr>
            <w:tcW w:w="22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Friedman: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49"/>
        </w:trPr>
        <w:tc>
          <w:tcPr>
            <w:tcW w:w="22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0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Audit fees</w:t>
            </w:r>
            <w:r>
              <w:rPr>
                <w:rFonts w:ascii="Arial" w:cs="Arial" w:eastAsia="Arial" w:hAnsi="Arial"/>
                <w:sz w:val="25"/>
                <w:szCs w:val="25"/>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$ 268,957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148,243</w:t>
            </w:r>
          </w:p>
        </w:tc>
      </w:tr>
      <w:tr>
        <w:trPr>
          <w:trHeight w:val="216"/>
        </w:trPr>
        <w:tc>
          <w:tcPr>
            <w:tcW w:w="706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107,492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45,780</w:t>
            </w:r>
          </w:p>
        </w:tc>
      </w:tr>
      <w:tr>
        <w:trPr>
          <w:trHeight w:val="148"/>
        </w:trPr>
        <w:tc>
          <w:tcPr>
            <w:tcW w:w="224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22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4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CohnReznick:</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Audit fees(1)</w:t>
            </w:r>
          </w:p>
        </w:tc>
        <w:tc>
          <w:tcPr>
            <w:tcW w:w="8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170,000</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Audit-related fees(2)</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16"/>
        </w:trPr>
        <w:tc>
          <w:tcPr>
            <w:tcW w:w="224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376,449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378,523</w:t>
            </w:r>
          </w:p>
        </w:tc>
      </w:tr>
      <w:tr>
        <w:trPr>
          <w:trHeight w:val="115"/>
        </w:trPr>
        <w:tc>
          <w:tcPr>
            <w:tcW w:w="2240" w:type="dxa"/>
            <w:vAlign w:val="bottom"/>
            <w:tcBorders>
              <w:bottom w:val="single" w:sz="8" w:color="auto"/>
            </w:tcBorders>
          </w:tcPr>
          <w:p>
            <w:pPr>
              <w:spacing w:after="0"/>
              <w:rPr>
                <w:sz w:val="10"/>
                <w:szCs w:val="10"/>
                <w:color w:val="auto"/>
              </w:rPr>
            </w:pPr>
          </w:p>
        </w:tc>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67" w:lineRule="exact"/>
        <w:rPr>
          <w:sz w:val="20"/>
          <w:szCs w:val="20"/>
          <w:color w:val="auto"/>
        </w:rPr>
      </w:pPr>
    </w:p>
    <w:p>
      <w:pPr>
        <w:jc w:val="both"/>
        <w:ind w:left="380" w:right="79" w:hanging="330"/>
        <w:spacing w:after="0" w:line="25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2021 and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Part IV, Item 15 of the Original Filing and the exhibits listed below are filed with, or incorporated by reference in, this Form 10-K/A.</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gridSpan w:val="7"/>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80" w:type="dxa"/>
            <w:vAlign w:val="bottom"/>
            <w:tcBorders>
              <w:top w:val="single" w:sz="8" w:color="auto"/>
              <w:bottom w:val="single" w:sz="8" w:color="0000EE"/>
            </w:tcBorders>
            <w:gridSpan w:val="7"/>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Agreement and Plan of Merger by and among FORM Holdings Corp., FHXMS, LLC, XpresSpa Holdings,</w:t>
              </w:r>
            </w:hyperlink>
          </w:p>
        </w:tc>
        <w:tc>
          <w:tcPr>
            <w:tcW w:w="40" w:type="dxa"/>
            <w:vAlign w:val="bottom"/>
            <w:tcBorders>
              <w:top w:val="single" w:sz="8" w:color="auto"/>
            </w:tcBorders>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8"/>
          </w:tcPr>
          <w:p>
            <w:pPr>
              <w:spacing w:after="0" w:line="196" w:lineRule="exact"/>
              <w:rPr>
                <w:rFonts w:ascii="Arial" w:cs="Arial" w:eastAsia="Arial" w:hAnsi="Arial"/>
                <w:sz w:val="18"/>
                <w:szCs w:val="18"/>
                <w:color w:val="0000EE"/>
                <w:w w:val="99"/>
              </w:rPr>
            </w:pPr>
            <w:hyperlink r:id="rId35">
              <w:r>
                <w:rPr>
                  <w:rFonts w:ascii="Arial" w:cs="Arial" w:eastAsia="Arial" w:hAnsi="Arial"/>
                  <w:sz w:val="18"/>
                  <w:szCs w:val="18"/>
                  <w:color w:val="0000EE"/>
                  <w:w w:val="99"/>
                </w:rPr>
                <w:t>LLC, the unitholders of XpresSpa who are parties thereto and Mistral XH Representative, LLC, as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8"/>
          </w:tcPr>
          <w:p>
            <w:pPr>
              <w:spacing w:after="0" w:line="19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representative of the unitholders, dated as of August 8, 2016 (incorporated by reference to Exhibit 2.1 to</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our Current Report on Form 8-K filed with the SEC on August 8, 2016)</w:t>
              </w:r>
            </w:hyperlink>
          </w:p>
        </w:tc>
        <w:tc>
          <w:tcPr>
            <w:tcW w:w="234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4"/>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Amendment No. 1 to Agreement and Plan of Merger by and among FORM Holdings Corp., FHXMS,</w:t>
              </w:r>
            </w:hyperlink>
          </w:p>
        </w:tc>
        <w:tc>
          <w:tcPr>
            <w:tcW w:w="4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8"/>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LLC, XpresSpa Holdings, LLC and Mistral XH Representative, LLC, as representative of the unitholders,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dated September 8, 2016 (incorporated by reference to Exhibit 2.1 to our Current Report on Form 8-K filed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with the SEC on September 9, 2016)</w:t>
              </w:r>
            </w:hyperlink>
          </w:p>
        </w:tc>
        <w:tc>
          <w:tcPr>
            <w:tcW w:w="5080" w:type="dxa"/>
            <w:vAlign w:val="bottom"/>
            <w:gridSpan w:val="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80" w:type="dxa"/>
            <w:vAlign w:val="bottom"/>
            <w:gridSpan w:val="25"/>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32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Amendment No. 2 to Agreement and Plan of Merger by and among FORM Holdings Corp., FHXMS,</w:t>
              </w:r>
            </w:hyperlink>
          </w:p>
        </w:tc>
        <w:tc>
          <w:tcPr>
            <w:tcW w:w="400" w:type="dxa"/>
            <w:vAlign w:val="bottom"/>
            <w:tcBorders>
              <w:top w:val="single" w:sz="8" w:color="auto"/>
            </w:tcBorders>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LLC, XpresSpa Holdings, LLC and Mistral XH Representative, LLC, as representative of the unitholders,</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dated October 25, 2016 (incorporated by reference to Exhibit 2.1 to our Current Report on Form 8-K filed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with the SEC on October 25, 2016)</w:t>
              </w:r>
            </w:hyperlink>
          </w:p>
        </w:tc>
        <w:tc>
          <w:tcPr>
            <w:tcW w:w="5080" w:type="dxa"/>
            <w:vAlign w:val="bottom"/>
            <w:tcBorders>
              <w:top w:val="single" w:sz="8" w:color="0000EE"/>
            </w:tcBorders>
            <w:gridSpan w:val="21"/>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8"/>
          </w:tcPr>
          <w:p>
            <w:pPr>
              <w:spacing w:after="0"/>
              <w:rPr>
                <w:rFonts w:ascii="Arial" w:cs="Arial" w:eastAsia="Arial" w:hAnsi="Arial"/>
                <w:sz w:val="18"/>
                <w:szCs w:val="18"/>
                <w:color w:val="0000EE"/>
                <w:w w:val="95"/>
              </w:rPr>
            </w:pPr>
            <w:hyperlink r:id="rId39">
              <w:r>
                <w:rPr>
                  <w:rFonts w:ascii="Arial" w:cs="Arial" w:eastAsia="Arial" w:hAnsi="Arial"/>
                  <w:sz w:val="18"/>
                  <w:szCs w:val="18"/>
                  <w:color w:val="0000EE"/>
                  <w:w w:val="95"/>
                </w:rPr>
                <w:t>Amended and Restated Certificate of Incorporation (incorporated by reference from Exhibit 3.1 to our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Annual Report on Form 10-K filed with the SEC on April 20, 2020)</w:t>
              </w:r>
            </w:hyperlink>
          </w:p>
        </w:tc>
        <w:tc>
          <w:tcPr>
            <w:tcW w:w="2440" w:type="dxa"/>
            <w:vAlign w:val="bottom"/>
            <w:tcBorders>
              <w:top w:val="single" w:sz="8" w:color="0000EE"/>
            </w:tcBorders>
            <w:gridSpan w:val="7"/>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22"/>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Certificate of Amendment to the Amended and Restated Certificate of Incorporation of XpresSpa Group,</w:t>
              </w:r>
            </w:hyperlink>
          </w:p>
        </w:tc>
        <w:tc>
          <w:tcPr>
            <w:tcW w:w="16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Inc., filed with the Secretary of State of the State of Delaware on June 10, 2020 (incorporated by reference</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to Exhibit 3.1 to our Current Report on Form 8-K filed on June 10,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EE"/>
            </w:tcBorders>
            <w:gridSpan w:val="20"/>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Amended and Restated Bylaws (incorporated by reference to Exhibit 3.2 to our Annual Report on Form</w:t>
              </w:r>
            </w:hyperlink>
          </w:p>
        </w:tc>
        <w:tc>
          <w:tcPr>
            <w:tcW w:w="24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10-K filed with the SEC on April 1, 2019)</w:t>
              </w:r>
            </w:hyperlink>
          </w:p>
        </w:tc>
        <w:tc>
          <w:tcPr>
            <w:tcW w:w="468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28"/>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Amendment to Bylaws of XpresSpa Group, Inc. (incorporated by reference from Exhibit 3.1 to our Current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Report on Form 8-K filed with the SEC on August 6, 2021)</w:t>
              </w:r>
            </w:hyperlink>
          </w:p>
        </w:tc>
        <w:tc>
          <w:tcPr>
            <w:tcW w:w="3440" w:type="dxa"/>
            <w:vAlign w:val="bottom"/>
            <w:gridSpan w:val="2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EE"/>
            </w:tcBorders>
            <w:gridSpan w:val="17"/>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Section 382 Rights Agreement, dated as of March 18, 2016, between Vringo, Inc. and American Stock</w:t>
              </w:r>
            </w:hyperlink>
          </w:p>
        </w:tc>
        <w:tc>
          <w:tcPr>
            <w:tcW w:w="34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Transfer &amp; Trust Company, LLC, which includes the Form of Certificate of Designation of Series C Junior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Participating Preferred Stock as Exhibit A, the Form of Right Certificate as Exhibit B and the Summary of</w:t>
              </w:r>
            </w:hyperlink>
          </w:p>
        </w:tc>
        <w:tc>
          <w:tcPr>
            <w:tcW w:w="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Rights to Purchase Preferred Stock as Exhibit C (incorporated by reference from Exhibit 4.1 to our Current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Report on Form 8-K filed with the SEC on March 21, 2016)</w:t>
              </w:r>
            </w:hyperlink>
          </w:p>
        </w:tc>
        <w:tc>
          <w:tcPr>
            <w:tcW w:w="338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EE"/>
            </w:tcBorders>
            <w:gridSpan w:val="12"/>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Amendment to Section 382 Rights Agreement, dated March 18, 2019, between the Company and</w:t>
              </w:r>
            </w:hyperlink>
          </w:p>
        </w:tc>
        <w:tc>
          <w:tcPr>
            <w:tcW w:w="720" w:type="dxa"/>
            <w:vAlign w:val="bottom"/>
            <w:gridSpan w:val="1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w w:val="97"/>
              </w:rPr>
            </w:pPr>
            <w:hyperlink r:id="rId44">
              <w:r>
                <w:rPr>
                  <w:rFonts w:ascii="Arial" w:cs="Arial" w:eastAsia="Arial" w:hAnsi="Arial"/>
                  <w:sz w:val="18"/>
                  <w:szCs w:val="18"/>
                  <w:color w:val="0000EE"/>
                  <w:w w:val="97"/>
                </w:rPr>
                <w:t>American Stock Transfer &amp; Trust Company, LLC (incorporated by reference from Exhibit 10.1 to our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Current Report on Form 8-K filed with the SEC on March 22, 2019)</w:t>
              </w:r>
            </w:hyperlink>
          </w:p>
        </w:tc>
        <w:tc>
          <w:tcPr>
            <w:tcW w:w="2400" w:type="dxa"/>
            <w:vAlign w:val="bottom"/>
            <w:tcBorders>
              <w:top w:val="single" w:sz="8" w:color="0000EE"/>
            </w:tcBorders>
            <w:gridSpan w:val="5"/>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8"/>
          </w:tcPr>
          <w:p>
            <w:pPr>
              <w:spacing w:after="0"/>
              <w:rPr>
                <w:rFonts w:ascii="Arial" w:cs="Arial" w:eastAsia="Arial" w:hAnsi="Arial"/>
                <w:sz w:val="18"/>
                <w:szCs w:val="18"/>
                <w:color w:val="0000EE"/>
                <w:w w:val="98"/>
              </w:rPr>
            </w:pPr>
            <w:hyperlink r:id="rId45">
              <w:r>
                <w:rPr>
                  <w:rFonts w:ascii="Arial" w:cs="Arial" w:eastAsia="Arial" w:hAnsi="Arial"/>
                  <w:sz w:val="18"/>
                  <w:szCs w:val="18"/>
                  <w:color w:val="0000EE"/>
                  <w:w w:val="98"/>
                </w:rPr>
                <w:t>Form of Warrant to Purchase Shares of Common Stock of FORM Holdings Corp. (incorporated by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tcBorders>
              <w:right w:val="single" w:sz="8" w:color="0000EE"/>
            </w:tcBorders>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reference from Annex F to our Registration Statement on Form S-4 filed with the SEC on October 26,</w:t>
              </w:r>
            </w:hyperlink>
          </w:p>
        </w:tc>
        <w:tc>
          <w:tcPr>
            <w:tcW w:w="38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0000EE"/>
                <w:w w:val="86"/>
              </w:rPr>
            </w:pPr>
            <w:hyperlink r:id="rId45">
              <w:r>
                <w:rPr>
                  <w:rFonts w:ascii="Arial" w:cs="Arial" w:eastAsia="Arial" w:hAnsi="Arial"/>
                  <w:sz w:val="18"/>
                  <w:szCs w:val="18"/>
                  <w:color w:val="0000EE"/>
                  <w:w w:val="86"/>
                </w:rPr>
                <w:t>2016)</w:t>
              </w:r>
            </w:hyperlink>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8"/>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Form of Secured Convertible Note (incorporated by reference from Exhibit 4.1 to our Quarterly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10-Q filed with the SEC on May 15, 2018)</w:t>
              </w:r>
            </w:hyperlink>
          </w:p>
        </w:tc>
        <w:tc>
          <w:tcPr>
            <w:tcW w:w="8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14"/>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Amendment to Secured Convertible Note (incorporated by reference from Exhibit 4.1 to our Current</w:t>
              </w:r>
            </w:hyperlink>
          </w:p>
        </w:tc>
        <w:tc>
          <w:tcPr>
            <w:tcW w:w="48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Report on Form 8-K filed with the SEC on June 27, 2019)</w:t>
              </w:r>
            </w:hyperlink>
          </w:p>
        </w:tc>
        <w:tc>
          <w:tcPr>
            <w:tcW w:w="3540" w:type="dxa"/>
            <w:vAlign w:val="bottom"/>
            <w:gridSpan w:val="22"/>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8"/>
          </w:tcPr>
          <w:p>
            <w:pPr>
              <w:spacing w:after="0"/>
              <w:rPr>
                <w:rFonts w:ascii="Arial" w:cs="Arial" w:eastAsia="Arial" w:hAnsi="Arial"/>
                <w:sz w:val="18"/>
                <w:szCs w:val="18"/>
                <w:color w:val="0000EE"/>
                <w:w w:val="93"/>
              </w:rPr>
            </w:pPr>
            <w:hyperlink r:id="rId48">
              <w:r>
                <w:rPr>
                  <w:rFonts w:ascii="Arial" w:cs="Arial" w:eastAsia="Arial" w:hAnsi="Arial"/>
                  <w:sz w:val="18"/>
                  <w:szCs w:val="18"/>
                  <w:color w:val="0000EE"/>
                  <w:w w:val="93"/>
                </w:rPr>
                <w:t>Second Amended and Restated Convertible Promissory Note, dated as of July 8, 2019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reference from Exhibit 4.3 to our Current Report on Form 8-K filed with the SEC on July 8, 2019)</w:t>
              </w:r>
            </w:hyperlink>
          </w:p>
        </w:tc>
        <w:tc>
          <w:tcPr>
            <w:tcW w:w="320" w:type="dxa"/>
            <w:vAlign w:val="bottom"/>
            <w:tcBorders>
              <w:top w:val="single" w:sz="8" w:color="0000EE"/>
            </w:tcBorders>
            <w:gridSpan w:val="5"/>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22"/>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Third Amended and Restated Convertible Promissory Note, dated as of January 9, 2020 (incorporated by</w:t>
              </w:r>
            </w:hyperlink>
          </w:p>
        </w:tc>
        <w:tc>
          <w:tcPr>
            <w:tcW w:w="16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8"/>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reference from Exhibit 4.1 to our Current Report on Form 8-K filed with the SEC on January 14,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3180" w:type="dxa"/>
            <w:vAlign w:val="bottom"/>
            <w:gridSpan w:val="9"/>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8"/>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Fourth Amended and Restated Convertible Promissory Note, dated as of March 6,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r:id="rId50">
              <w:r>
                <w:rPr>
                  <w:rFonts w:ascii="Arial" w:cs="Arial" w:eastAsia="Arial" w:hAnsi="Arial"/>
                  <w:sz w:val="18"/>
                  <w:szCs w:val="18"/>
                  <w:color w:val="0000EE"/>
                  <w:w w:val="95"/>
                </w:rPr>
                <w:t>reference from Exhibit 4.1 to our Current Report on Form 8-K filed with the SEC on March 6, 2020)</w:t>
              </w:r>
            </w:hyperlink>
          </w:p>
        </w:tc>
        <w:tc>
          <w:tcPr>
            <w:tcW w:w="18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3180" w:type="dxa"/>
            <w:vAlign w:val="bottom"/>
            <w:gridSpan w:val="9"/>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000EE"/>
            </w:tcBorders>
            <w:gridSpan w:val="19"/>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Unsecured Convertible Note due May 31, 2022 (incorporated by reference to Exhibit 4.1 to our Current</w:t>
              </w:r>
            </w:hyperlink>
          </w:p>
        </w:tc>
        <w:tc>
          <w:tcPr>
            <w:tcW w:w="26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Report on Form 8-K filed with the SEC on July 8, 2019)</w:t>
              </w:r>
            </w:hyperlink>
          </w:p>
        </w:tc>
        <w:tc>
          <w:tcPr>
            <w:tcW w:w="3660" w:type="dxa"/>
            <w:vAlign w:val="bottom"/>
            <w:gridSpan w:val="2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20" w:type="dxa"/>
            <w:vAlign w:val="bottom"/>
            <w:gridSpan w:val="26"/>
          </w:tcPr>
          <w:p>
            <w:pPr>
              <w:ind w:left="19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20" w:type="dxa"/>
            <w:vAlign w:val="bottom"/>
            <w:tcBorders>
              <w:top w:val="single" w:sz="8" w:color="auto"/>
              <w:bottom w:val="single" w:sz="8" w:color="0000EE"/>
            </w:tcBorders>
            <w:gridSpan w:val="23"/>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Warrant to Purchase Common Stock in favor of Calm.com, Inc., dated as of July 8, 2019 (incorporated by</w:t>
              </w:r>
            </w:hyperlink>
          </w:p>
        </w:tc>
        <w:tc>
          <w:tcPr>
            <w:tcW w:w="100" w:type="dxa"/>
            <w:vAlign w:val="bottom"/>
            <w:tcBorders>
              <w:top w:val="single" w:sz="8" w:color="auto"/>
            </w:tcBorders>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reference to Exhibit 4.2 to our Current Report on Form 8-K filed with the SEC on July 8,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10"/>
          </w:tcPr>
          <w:p>
            <w:pPr>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Form of Pre-Funded Warrant to Purchase Common Stock, dated March 19, 2020 (incorporated by</w:t>
              </w:r>
            </w:hyperlink>
          </w:p>
        </w:tc>
        <w:tc>
          <w:tcPr>
            <w:tcW w:w="680" w:type="dxa"/>
            <w:vAlign w:val="bottom"/>
            <w:gridSpan w:val="1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reference from Exhibit 4.1 to our Current Report on Form 8-K filed with the SEC on March 19, 2020)</w:t>
              </w:r>
            </w:hyperlink>
          </w:p>
        </w:tc>
        <w:tc>
          <w:tcPr>
            <w:tcW w:w="380" w:type="dxa"/>
            <w:vAlign w:val="bottom"/>
            <w:gridSpan w:val="1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10"/>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Form of Pre-Funded Warrant to Purchase Common Stock, dated March 25, 2020 (incorporated by</w:t>
              </w:r>
            </w:hyperlink>
          </w:p>
        </w:tc>
        <w:tc>
          <w:tcPr>
            <w:tcW w:w="680" w:type="dxa"/>
            <w:vAlign w:val="bottom"/>
            <w:gridSpan w:val="1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reference from Exhibit 4.1 to our Current Report on Form 8-K filed with the SEC on March 25, 2020)</w:t>
              </w:r>
            </w:hyperlink>
          </w:p>
        </w:tc>
        <w:tc>
          <w:tcPr>
            <w:tcW w:w="380" w:type="dxa"/>
            <w:vAlign w:val="bottom"/>
            <w:gridSpan w:val="1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10"/>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Form of Pre-Funded Warrant to Purchase Common Stock, dated March 27, 2020 (incorporated by</w:t>
              </w:r>
            </w:hyperlink>
          </w:p>
        </w:tc>
        <w:tc>
          <w:tcPr>
            <w:tcW w:w="680" w:type="dxa"/>
            <w:vAlign w:val="bottom"/>
            <w:gridSpan w:val="1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reference from Exhibit 4.1 to our Current Report on Form 8-K filed with the SEC on March 27, 2020)</w:t>
              </w:r>
            </w:hyperlink>
          </w:p>
        </w:tc>
        <w:tc>
          <w:tcPr>
            <w:tcW w:w="380" w:type="dxa"/>
            <w:vAlign w:val="bottom"/>
            <w:gridSpan w:val="1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bottom w:val="single" w:sz="8" w:color="0000EE"/>
            </w:tcBorders>
            <w:gridSpan w:val="21"/>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Form of Pre-Funded Warrant to Purchase Common Stock, dated April 6, 2020 (incorporated by reference</w:t>
              </w:r>
            </w:hyperlink>
          </w:p>
        </w:tc>
        <w:tc>
          <w:tcPr>
            <w:tcW w:w="14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from Exhibit 4.1 to our Current Report on Form 8-K filed with the SEC on April 7,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tcBorders>
              <w:bottom w:val="single" w:sz="8" w:color="0000EE"/>
            </w:tcBorders>
            <w:gridSpan w:val="13"/>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Description of the Registrant’s Securities (incorporated by reference from Exhibit 4.22 to our Annual</w:t>
              </w:r>
            </w:hyperlink>
          </w:p>
        </w:tc>
        <w:tc>
          <w:tcPr>
            <w:tcW w:w="44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Report on Form 10-K filed with the SEC on April 20, 2020)</w:t>
              </w:r>
            </w:hyperlink>
          </w:p>
        </w:tc>
        <w:tc>
          <w:tcPr>
            <w:tcW w:w="340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bottom w:val="single" w:sz="8" w:color="0000EE"/>
            </w:tcBorders>
            <w:gridSpan w:val="25"/>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Calm Note, dated as of April 17, 2020 (incorporated by reference from Exhibit 4.1</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to our Current Report on Form 8-K filed with the SEC on April 17, 2020).</w:t>
              </w:r>
            </w:hyperlink>
          </w:p>
        </w:tc>
        <w:tc>
          <w:tcPr>
            <w:tcW w:w="2380" w:type="dxa"/>
            <w:vAlign w:val="bottom"/>
            <w:gridSpan w:val="2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bottom w:val="single" w:sz="8" w:color="0000EE"/>
            </w:tcBorders>
            <w:gridSpan w:val="25"/>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Amended and Restated Calm Note, dated as of April 22, 2020 (incorporated by reference from Exhibit 4.1</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to our Current Report on Form 8-K filed with the SEC on April 24, 2020)</w:t>
              </w:r>
            </w:hyperlink>
          </w:p>
        </w:tc>
        <w:tc>
          <w:tcPr>
            <w:tcW w:w="2420" w:type="dxa"/>
            <w:vAlign w:val="bottom"/>
            <w:gridSpan w:val="24"/>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26"/>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Form of Warrant to Purchase Common Stock, dated June 17, 2020 (incorporated by reference from Exhibit</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June 17, 2020)</w:t>
              </w:r>
            </w:hyperlink>
          </w:p>
        </w:tc>
        <w:tc>
          <w:tcPr>
            <w:tcW w:w="2200" w:type="dxa"/>
            <w:vAlign w:val="bottom"/>
            <w:gridSpan w:val="22"/>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EE"/>
            </w:tcBorders>
            <w:gridSpan w:val="14"/>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Form of Placement Agent Warrant to Purchase Common Stock, dated June 17, 2020 (incorporated by</w:t>
              </w:r>
            </w:hyperlink>
          </w:p>
        </w:tc>
        <w:tc>
          <w:tcPr>
            <w:tcW w:w="4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reference from Exhibit 4.2 to our Current Report on Form 8-K filed with the SEC on June 17, 2020)</w:t>
              </w:r>
            </w:hyperlink>
          </w:p>
        </w:tc>
        <w:tc>
          <w:tcPr>
            <w:tcW w:w="520" w:type="dxa"/>
            <w:vAlign w:val="bottom"/>
            <w:gridSpan w:val="1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5"/>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Form of Warrant to Purchase Common Stock, dated August 25, 2020 (incorporated by reference from</w:t>
              </w:r>
            </w:hyperlink>
          </w:p>
        </w:tc>
        <w:tc>
          <w:tcPr>
            <w:tcW w:w="40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Exhibit 4.1 to our Current Report on Form 8-K filed with the SEC on August 28, 2020)</w:t>
              </w:r>
            </w:hyperlink>
          </w:p>
        </w:tc>
        <w:tc>
          <w:tcPr>
            <w:tcW w:w="1440" w:type="dxa"/>
            <w:vAlign w:val="bottom"/>
            <w:gridSpan w:val="2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7"/>
              </w:rPr>
            </w:pPr>
            <w:hyperlink r:id="rId64">
              <w:r>
                <w:rPr>
                  <w:rFonts w:ascii="Arial" w:cs="Arial" w:eastAsia="Arial" w:hAnsi="Arial"/>
                  <w:sz w:val="18"/>
                  <w:szCs w:val="18"/>
                  <w:color w:val="0000EE"/>
                  <w:w w:val="97"/>
                </w:rPr>
                <w:t>Form of Pre-Funded Warrant to Purchase Common Stock, dated August 25, 2020 (incorporated by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0" w:type="dxa"/>
            <w:vAlign w:val="bottom"/>
            <w:gridSpan w:val="7"/>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reference from Exhibit 4.2 to our Current Report on Form 8-K filed with the SEC on August 28,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0" w:type="dxa"/>
            <w:vAlign w:val="bottom"/>
            <w:gridSpan w:val="7"/>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Form of Placement Agent Warrant to Purchase Common Stock, dated August 25,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reference from Exhibit 4.3 to our Current Report on Form 8-K filed with the SEC on August 28, 2020)</w:t>
              </w:r>
            </w:hyperlink>
          </w:p>
        </w:tc>
        <w:tc>
          <w:tcPr>
            <w:tcW w:w="240" w:type="dxa"/>
            <w:vAlign w:val="bottom"/>
            <w:gridSpan w:val="8"/>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0" w:type="dxa"/>
            <w:vAlign w:val="bottom"/>
            <w:gridSpan w:val="7"/>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20"/>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Form of Warrant to Purchase Common Stock, dated December 17, 2020 (incorporated by reference from</w:t>
              </w:r>
            </w:hyperlink>
          </w:p>
        </w:tc>
        <w:tc>
          <w:tcPr>
            <w:tcW w:w="1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Exhibit 4.1 to our Current Report on Form 8-K filed with the SEC on December 21, 2020)</w:t>
              </w:r>
            </w:hyperlink>
          </w:p>
        </w:tc>
        <w:tc>
          <w:tcPr>
            <w:tcW w:w="1220" w:type="dxa"/>
            <w:vAlign w:val="bottom"/>
            <w:gridSpan w:val="1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Form of Placement Agent Warrant to Purchase Common Stock, dated December 17,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reference from Exhibit 4.2 to our Current Report on Form 8-K filed with the SEC on December 21, 2020)</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940" w:type="dxa"/>
            <w:vAlign w:val="bottom"/>
            <w:gridSpan w:val="17"/>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7640" w:type="dxa"/>
            <w:vAlign w:val="bottom"/>
            <w:tcBorders>
              <w:bottom w:val="single" w:sz="8" w:color="0000EE"/>
            </w:tcBorders>
            <w:gridSpan w:val="24"/>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Vringo, Inc. 2012 Employee, Director and Consultant Equity Incentive Plan, as amended (incorporated by</w:t>
              </w:r>
            </w:hyperlink>
          </w:p>
        </w:tc>
        <w:tc>
          <w:tcPr>
            <w:tcW w:w="8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reference from Appendix C of our Proxy Statement on Schedule 14A (DEF 14A) filed with the SEC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September 25, 2015)</w:t>
              </w:r>
            </w:hyperlink>
          </w:p>
        </w:tc>
        <w:tc>
          <w:tcPr>
            <w:tcW w:w="5940" w:type="dxa"/>
            <w:vAlign w:val="bottom"/>
            <w:tcBorders>
              <w:top w:val="single" w:sz="8" w:color="0000EE"/>
            </w:tcBorders>
            <w:gridSpan w:val="17"/>
          </w:tcPr>
          <w:p>
            <w:pPr>
              <w:spacing w:after="0"/>
              <w:rPr>
                <w:sz w:val="17"/>
                <w:szCs w:val="17"/>
                <w:color w:val="auto"/>
              </w:rPr>
            </w:pPr>
          </w:p>
        </w:tc>
        <w:tc>
          <w:tcPr>
            <w:tcW w:w="280" w:type="dxa"/>
            <w:vAlign w:val="bottom"/>
            <w:gridSpan w:val="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2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7500" w:type="dxa"/>
            <w:vAlign w:val="bottom"/>
            <w:tcBorders>
              <w:bottom w:val="single" w:sz="8" w:color="0000EE"/>
            </w:tcBorders>
            <w:gridSpan w:val="22"/>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Form of Management Option Agreement (incorporated by reference from our Registration Statement on</w:t>
              </w:r>
            </w:hyperlink>
          </w:p>
        </w:tc>
        <w:tc>
          <w:tcPr>
            <w:tcW w:w="2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Form S-1 filed on March 29, 2010).</w:t>
              </w:r>
            </w:hyperlink>
          </w:p>
        </w:tc>
        <w:tc>
          <w:tcPr>
            <w:tcW w:w="5140" w:type="dxa"/>
            <w:vAlign w:val="bottom"/>
            <w:gridSpan w:val="23"/>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7700" w:type="dxa"/>
            <w:vAlign w:val="bottom"/>
            <w:tcBorders>
              <w:bottom w:val="single" w:sz="8" w:color="0000EE"/>
            </w:tcBorders>
            <w:gridSpan w:val="29"/>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Form of Stock Option Agreement (incorporated by reference from our Registration Statement on Form S-8</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filed on July 26, 2012)</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Form of Restricted Stock Unit Agreement (incorporated by reference from our Registration Statement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Form S-8 filed on July 26, 2012)</w:t>
              </w:r>
            </w:hyperlink>
          </w:p>
        </w:tc>
        <w:tc>
          <w:tcPr>
            <w:tcW w:w="520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EE"/>
            </w:tcBorders>
            <w:gridSpan w:val="26"/>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Indemnification Agreement, dated January 31, 2013, by and between Vringo, Inc. and each of its</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Directors and Executive Officer (incorporated by reference from our Annual Report on Form 10-K for the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period ended December 31, 2012 filed on March 21, 2013)</w:t>
              </w:r>
            </w:hyperlink>
          </w:p>
        </w:tc>
        <w:tc>
          <w:tcPr>
            <w:tcW w:w="3380" w:type="dxa"/>
            <w:vAlign w:val="bottom"/>
            <w:tcBorders>
              <w:top w:val="single" w:sz="8" w:color="0000EE"/>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Holdings Corp. 2012 Employee, Director and Consultant Equity Incentive Plan, as amended</w:t>
              </w:r>
            </w:hyperlink>
          </w:p>
        </w:tc>
        <w:tc>
          <w:tcPr>
            <w:tcW w:w="52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(incorporated by reference from Exhibit 10.1 to our Current Report on Form 8-K filed with the SEC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November 28, 2016)</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Registration Rights Agreement, dated May 15, 2018, by and among the Company and the</w:t>
              </w:r>
            </w:hyperlink>
          </w:p>
        </w:tc>
        <w:tc>
          <w:tcPr>
            <w:tcW w:w="640" w:type="dxa"/>
            <w:vAlign w:val="bottom"/>
            <w:gridSpan w:val="1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Investors (incorporated by reference from Exhibit 10.9 to our Quarterly Report on Form 10-Q filed with</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the SEC on May 15, 2018).</w:t>
              </w:r>
            </w:hyperlink>
          </w:p>
        </w:tc>
        <w:tc>
          <w:tcPr>
            <w:tcW w:w="24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9"/>
          </w:tcPr>
          <w:p>
            <w:pPr>
              <w:spacing w:after="0"/>
              <w:rPr>
                <w:rFonts w:ascii="Arial" w:cs="Arial" w:eastAsia="Arial" w:hAnsi="Arial"/>
                <w:sz w:val="18"/>
                <w:szCs w:val="18"/>
                <w:color w:val="0000EE"/>
                <w:w w:val="88"/>
              </w:rPr>
            </w:pPr>
            <w:hyperlink r:id="rId76">
              <w:r>
                <w:rPr>
                  <w:rFonts w:ascii="Arial" w:cs="Arial" w:eastAsia="Arial" w:hAnsi="Arial"/>
                  <w:sz w:val="18"/>
                  <w:szCs w:val="18"/>
                  <w:color w:val="0000EE"/>
                  <w:w w:val="88"/>
                </w:rPr>
                <w:t>Amendment to Securities Purchase Agreement and Class A Warrants and Class B Warrants, dated as of</w:t>
              </w:r>
            </w:hyperlink>
          </w:p>
        </w:tc>
        <w:tc>
          <w:tcPr>
            <w:tcW w:w="28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July 8, 2019, by and between the Company and the purchasers party thereto (incorporated by reference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from Exhibit 10.5 to our Current Report on Form 8-K filed with the SEC on July 8, 2019)</w:t>
              </w:r>
            </w:hyperlink>
          </w:p>
        </w:tc>
        <w:tc>
          <w:tcPr>
            <w:tcW w:w="940" w:type="dxa"/>
            <w:vAlign w:val="bottom"/>
            <w:tcBorders>
              <w:top w:val="single" w:sz="8" w:color="0000EE"/>
            </w:tcBorders>
            <w:gridSpan w:val="5"/>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Product Sale and Marketing Agreement, dated November 12, 2018, by and between the Company and</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Calm.com, Inc. (incorporated by reference to Exhibit 10.28 to our Annual Report on Form 10-K filed with</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the SEC on April 1,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Amendment to Amended and Restated Product Sale and Marketing, dated as of October 30, 2019, by and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between the Company and Calm.com, Inc. (incorporated by reference from Exhibit 10.8 to our Quarterly</w:t>
              </w:r>
            </w:hyperlink>
          </w:p>
        </w:tc>
        <w:tc>
          <w:tcPr>
            <w:tcW w:w="14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Report on Form 10-Q filed with the SEC on November 14, 2019)</w:t>
              </w:r>
            </w:hyperlink>
          </w:p>
        </w:tc>
        <w:tc>
          <w:tcPr>
            <w:tcW w:w="2840" w:type="dxa"/>
            <w:vAlign w:val="bottom"/>
            <w:tcBorders>
              <w:top w:val="single" w:sz="8" w:color="0000EE"/>
            </w:tcBorders>
            <w:gridSpan w:val="12"/>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30"/>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Securities Purchase Agreement, dated as of July 8, 2019, by and between the Company and Calm.com, Inc.</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(incorporated by reference from Exhibit 10.1 to our Current Report on Form 8-K filed with the SEC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July 8, 2019)</w:t>
              </w:r>
            </w:hyperlink>
          </w:p>
        </w:tc>
        <w:tc>
          <w:tcPr>
            <w:tcW w:w="6780" w:type="dxa"/>
            <w:vAlign w:val="bottom"/>
            <w:gridSpan w:val="2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30"/>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Registration Rights Agreement, dated as of July 8, 2019, by and between the Company and Calm.com, Inc.</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(incorporated by reference from Exhibit 10.2 to our Current Report on Form 8-K filed with the SEC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July 8, 2019)</w:t>
              </w:r>
            </w:hyperlink>
          </w:p>
        </w:tc>
        <w:tc>
          <w:tcPr>
            <w:tcW w:w="6780" w:type="dxa"/>
            <w:vAlign w:val="bottom"/>
            <w:gridSpan w:val="2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Amendment No. 3 to Agreement and Plan of Merger, dated as of October 1, 2019, by and between the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Company, XpresSpa Holdings, LLC, and Mistral XH Representative, LLC, as representative of the</w:t>
              </w:r>
            </w:hyperlink>
          </w:p>
        </w:tc>
        <w:tc>
          <w:tcPr>
            <w:tcW w:w="380" w:type="dxa"/>
            <w:vAlign w:val="bottom"/>
            <w:gridSpan w:val="1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unitholders of the Company (incorporated by reference from Exhibit 10.1 to our Current Report on Form</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8-K filed with the SEC on October 3, 2019)</w:t>
              </w:r>
            </w:hyperlink>
          </w:p>
        </w:tc>
        <w:tc>
          <w:tcPr>
            <w:tcW w:w="18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4"/>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Securities Purchase Agreement, dated as of March 19, 2020, by and between the Company and the</w:t>
              </w:r>
            </w:hyperlink>
          </w:p>
        </w:tc>
        <w:tc>
          <w:tcPr>
            <w:tcW w:w="600" w:type="dxa"/>
            <w:vAlign w:val="bottom"/>
            <w:gridSpan w:val="1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purchasers party thereto (incorporated by reference to Exhibit 10.1 to the Company’s Current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Form 8-K filed with the SEC on March 19, 2020)</w:t>
              </w:r>
            </w:hyperlink>
          </w:p>
        </w:tc>
        <w:tc>
          <w:tcPr>
            <w:tcW w:w="3900" w:type="dxa"/>
            <w:vAlign w:val="bottom"/>
            <w:tcBorders>
              <w:top w:val="single" w:sz="8" w:color="0000EE"/>
            </w:tcBorders>
            <w:gridSpan w:val="11"/>
          </w:tcPr>
          <w:p>
            <w:pPr>
              <w:spacing w:after="0"/>
              <w:rPr>
                <w:sz w:val="17"/>
                <w:szCs w:val="17"/>
                <w:color w:val="auto"/>
              </w:rPr>
            </w:pPr>
          </w:p>
        </w:tc>
        <w:tc>
          <w:tcPr>
            <w:tcW w:w="26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40" w:type="dxa"/>
            <w:vAlign w:val="bottom"/>
            <w:gridSpan w:val="26"/>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500" w:type="dxa"/>
            <w:vAlign w:val="bottom"/>
            <w:tcBorders>
              <w:top w:val="single" w:sz="8" w:color="auto"/>
              <w:bottom w:val="single" w:sz="8" w:color="0000EE"/>
            </w:tcBorders>
            <w:gridSpan w:val="24"/>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Form of Exchange Agreement, dated as of March 19, 2020 (incorporated by reference to Exhibit 10.2 to</w:t>
              </w:r>
            </w:hyperlink>
          </w:p>
        </w:tc>
        <w:tc>
          <w:tcPr>
            <w:tcW w:w="220" w:type="dxa"/>
            <w:vAlign w:val="bottom"/>
            <w:tcBorders>
              <w:top w:val="single" w:sz="8" w:color="auto"/>
            </w:tcBorders>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the Company’s Current Report on Form 8-K filed with the SEC on March 19,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bottom w:val="single" w:sz="8" w:color="0000EE"/>
            </w:tcBorders>
            <w:gridSpan w:val="24"/>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Voting Agreement, dated as of March 19, 2020, by and between the Company and Mistral Spa Holdings</w:t>
              </w:r>
            </w:hyperlink>
          </w:p>
        </w:tc>
        <w:tc>
          <w:tcPr>
            <w:tcW w:w="22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LLC (incorporated by reference to Exhibit 10.3 to the Company’s Current Report on Form 8-K filed with</w:t>
              </w:r>
            </w:hyperlink>
          </w:p>
        </w:tc>
        <w:tc>
          <w:tcPr>
            <w:tcW w:w="14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SEC on March 19,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7"/>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Securities Purchase Agreement, dated as of March 25, 2020, by and between the Company and the</w:t>
              </w:r>
            </w:hyperlink>
          </w:p>
        </w:tc>
        <w:tc>
          <w:tcPr>
            <w:tcW w:w="60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purchasers party thereto (incorporated by reference to Exhibit 10.1 to the Company’s Current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Form 8-K filed with the SEC on March 25, 2020)</w:t>
              </w:r>
            </w:hyperlink>
          </w:p>
        </w:tc>
        <w:tc>
          <w:tcPr>
            <w:tcW w:w="3880" w:type="dxa"/>
            <w:vAlign w:val="bottom"/>
            <w:tcBorders>
              <w:top w:val="single" w:sz="8" w:color="0000EE"/>
            </w:tcBorders>
            <w:gridSpan w:val="16"/>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7"/>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Securities Purchase Agreement, dated as of March 27, 2020, by and between the Company and the</w:t>
              </w:r>
            </w:hyperlink>
          </w:p>
        </w:tc>
        <w:tc>
          <w:tcPr>
            <w:tcW w:w="60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purchasers party thereto (incorporated by reference to Exhibit 10.1 to the Company’s Current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8-K filed with the SEC on March 27, 2020)</w:t>
              </w:r>
            </w:hyperlink>
          </w:p>
        </w:tc>
        <w:tc>
          <w:tcPr>
            <w:tcW w:w="3900" w:type="dxa"/>
            <w:vAlign w:val="bottom"/>
            <w:tcBorders>
              <w:top w:val="single" w:sz="8" w:color="0000EE"/>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Borders>
              <w:bottom w:val="single" w:sz="8" w:color="0000EE"/>
            </w:tcBorders>
            <w:gridSpan w:val="14"/>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Securities Purchase Agreement, dated as of April 6, 2020, by and between the Company and the</w:t>
              </w:r>
            </w:hyperlink>
          </w:p>
        </w:tc>
        <w:tc>
          <w:tcPr>
            <w:tcW w:w="800" w:type="dxa"/>
            <w:vAlign w:val="bottom"/>
            <w:gridSpan w:val="1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purchasers party thereto (incorporated by reference to Exhibit 10.1 to the Company’s Current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Form 8-K filed with the SEC on April 7, 2020)</w:t>
              </w:r>
            </w:hyperlink>
          </w:p>
        </w:tc>
        <w:tc>
          <w:tcPr>
            <w:tcW w:w="4080" w:type="dxa"/>
            <w:vAlign w:val="bottom"/>
            <w:tcBorders>
              <w:top w:val="single" w:sz="8" w:color="0000EE"/>
            </w:tcBorders>
            <w:gridSpan w:val="18"/>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7660" w:type="dxa"/>
            <w:vAlign w:val="bottom"/>
            <w:tcBorders>
              <w:bottom w:val="single" w:sz="8" w:color="0000EE"/>
            </w:tcBorders>
            <w:gridSpan w:val="28"/>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Stock Option Grant under the XpresSpa Group Inc. 2020 Equity Incentive Plan (incorporated by reference</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to Exhibit 10.35 to the Company’s Annual Report on Form 10-K filed with the SEC on March 31, 2021)</w:t>
              </w:r>
            </w:hyperlink>
          </w:p>
        </w:tc>
        <w:tc>
          <w:tcPr>
            <w:tcW w:w="200" w:type="dxa"/>
            <w:vAlign w:val="bottom"/>
            <w:gridSpan w:val="5"/>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7080" w:type="dxa"/>
            <w:vAlign w:val="bottom"/>
            <w:tcBorders>
              <w:bottom w:val="single" w:sz="8" w:color="0000EE"/>
            </w:tcBorders>
            <w:gridSpan w:val="15"/>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Notice of Restricted Stock Unit Award under the XpresSpa Group Inc. 2020 Equity Incentive Plan</w:t>
              </w:r>
            </w:hyperlink>
          </w:p>
        </w:tc>
        <w:tc>
          <w:tcPr>
            <w:tcW w:w="64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(incorporated by reference to Exhibit 10.36 to the Company’s Annual Report on Form 10-K filed with the</w:t>
              </w:r>
            </w:hyperlink>
          </w:p>
        </w:tc>
        <w:tc>
          <w:tcPr>
            <w:tcW w:w="10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SEC on March 31, 2021)</w:t>
              </w:r>
            </w:hyperlink>
          </w:p>
        </w:tc>
        <w:tc>
          <w:tcPr>
            <w:tcW w:w="5920" w:type="dxa"/>
            <w:vAlign w:val="bottom"/>
            <w:gridSpan w:val="28"/>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Offer Letter, dated November 27, 2020, between the Company and James A. Berry (incorporated by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54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reference to Exhibit 10.37 to the Company’s Annual Report on Form 10-K filed with the SEC on March</w:t>
              </w:r>
            </w:hyperlink>
          </w:p>
        </w:tc>
        <w:tc>
          <w:tcPr>
            <w:tcW w:w="2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20"/>
              <w:spacing w:after="0" w:line="196" w:lineRule="exact"/>
              <w:rPr>
                <w:rFonts w:ascii="Arial" w:cs="Arial" w:eastAsia="Arial" w:hAnsi="Arial"/>
                <w:sz w:val="18"/>
                <w:szCs w:val="18"/>
                <w:color w:val="0000EE"/>
                <w:w w:val="86"/>
              </w:rPr>
            </w:pPr>
            <w:hyperlink r:id="rId91">
              <w:r>
                <w:rPr>
                  <w:rFonts w:ascii="Arial" w:cs="Arial" w:eastAsia="Arial" w:hAnsi="Arial"/>
                  <w:sz w:val="18"/>
                  <w:szCs w:val="18"/>
                  <w:color w:val="0000EE"/>
                  <w:w w:val="86"/>
                </w:rPr>
                <w:t>31, 2021)</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U.S. Small Business Administration Paycheck Protection Program Note (incorporated by reference to</w:t>
              </w:r>
            </w:hyperlink>
          </w:p>
        </w:tc>
        <w:tc>
          <w:tcPr>
            <w:tcW w:w="40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10.1 to the Company’s Current Report on Form 8-K filed with the SEC on May 7, 2020</w:t>
              </w:r>
              <w:r>
                <w:rPr>
                  <w:rFonts w:ascii="Arial" w:cs="Arial" w:eastAsia="Arial" w:hAnsi="Arial"/>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Form of Exchange Agreement, dated June 4, 2020 (incorporated by reference to Exhibit 10.1 to the</w:t>
              </w:r>
            </w:hyperlink>
          </w:p>
        </w:tc>
        <w:tc>
          <w:tcPr>
            <w:tcW w:w="52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Company’s Current Report on Form 8-K filed with the SEC on June 4,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Securities Purchase Agreement, dated as of June 17, 2020 (incorporated by reference to Exhibit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June 17, 2020)</w:t>
              </w:r>
            </w:hyperlink>
          </w:p>
        </w:tc>
        <w:tc>
          <w:tcPr>
            <w:tcW w:w="220" w:type="dxa"/>
            <w:vAlign w:val="bottom"/>
            <w:gridSpan w:val="6"/>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7"/>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29"/>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Form of Securities Purchase Agreement, dated as of August 25, 2020 (incorporated by reference to Exhibit</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August 28, 2020)</w:t>
              </w:r>
            </w:hyperlink>
          </w:p>
        </w:tc>
        <w:tc>
          <w:tcPr>
            <w:tcW w:w="1080" w:type="dxa"/>
            <w:vAlign w:val="bottom"/>
            <w:gridSpan w:val="18"/>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4"/>
                <w:szCs w:val="24"/>
                <w:color w:val="auto"/>
              </w:rPr>
            </w:pPr>
          </w:p>
        </w:tc>
        <w:tc>
          <w:tcPr>
            <w:tcW w:w="7480" w:type="dxa"/>
            <w:vAlign w:val="bottom"/>
            <w:tcBorders>
              <w:bottom w:val="single" w:sz="8" w:color="0000EE"/>
            </w:tcBorders>
            <w:gridSpan w:val="23"/>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XpresTest, Inc. 2020 Equity Incentive Plan (incorporated by reference to Exhibit 10.1 to the Company’s</w:t>
              </w:r>
            </w:hyperlink>
          </w:p>
        </w:tc>
        <w:tc>
          <w:tcPr>
            <w:tcW w:w="24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Current Report on Form 8-K filed with the SEC on September 28, 2020)</w:t>
              </w:r>
            </w:hyperlink>
          </w:p>
        </w:tc>
        <w:tc>
          <w:tcPr>
            <w:tcW w:w="2500" w:type="dxa"/>
            <w:vAlign w:val="bottom"/>
            <w:gridSpan w:val="23"/>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7100" w:type="dxa"/>
            <w:vAlign w:val="bottom"/>
            <w:tcBorders>
              <w:bottom w:val="single" w:sz="8" w:color="0000EE"/>
            </w:tcBorders>
            <w:gridSpan w:val="1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XpresSpa Group, Inc. 2020 Equity Incentive Plan (incorporated by reference to Exhibit 10.1 to the</w:t>
              </w:r>
            </w:hyperlink>
          </w:p>
        </w:tc>
        <w:tc>
          <w:tcPr>
            <w:tcW w:w="62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Company’s Current Report on Form 8-K filed with the SEC on October 30,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9"/>
            <w:shd w:val="clear" w:color="auto" w:fill="0000EE"/>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Form of Securities Purchase Agreement, dated as of December 17, 2020 (incorporated by reference to</w:t>
              </w:r>
            </w:hyperlink>
          </w:p>
        </w:tc>
        <w:tc>
          <w:tcPr>
            <w:tcW w:w="38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Exhibit 10.1 to the Company’s Current Report on Form 8-K filed with the SEC on December 21, 2020)</w:t>
              </w:r>
            </w:hyperlink>
          </w:p>
        </w:tc>
        <w:tc>
          <w:tcPr>
            <w:tcW w:w="280" w:type="dxa"/>
            <w:vAlign w:val="bottom"/>
            <w:gridSpan w:val="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16"/>
          </w:tcPr>
          <w:p>
            <w:pPr>
              <w:ind w:left="900"/>
              <w:spacing w:after="0"/>
              <w:rPr>
                <w:sz w:val="20"/>
                <w:szCs w:val="20"/>
                <w:color w:val="auto"/>
              </w:rPr>
            </w:pPr>
            <w:r>
              <w:rPr>
                <w:rFonts w:ascii="Arial" w:cs="Arial" w:eastAsia="Arial" w:hAnsi="Arial"/>
                <w:sz w:val="18"/>
                <w:szCs w:val="18"/>
                <w:b w:val="1"/>
                <w:bCs w:val="1"/>
                <w:color w:val="auto"/>
              </w:rPr>
              <w:t>Description</w:t>
            </w:r>
          </w:p>
        </w:tc>
      </w:tr>
      <w:tr>
        <w:trPr>
          <w:trHeight w:val="60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4"/>
                <w:szCs w:val="24"/>
                <w:color w:val="auto"/>
              </w:rPr>
            </w:pPr>
          </w:p>
        </w:tc>
        <w:tc>
          <w:tcPr>
            <w:tcW w:w="7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XpresTest, Inc. Restricted Stock Award Agreement (incorporated by reference to Exhibit 10.45 to</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w w:val="98"/>
              </w:rPr>
            </w:pPr>
            <w:hyperlink r:id="rId100">
              <w:r>
                <w:rPr>
                  <w:rFonts w:ascii="Arial" w:cs="Arial" w:eastAsia="Arial" w:hAnsi="Arial"/>
                  <w:sz w:val="18"/>
                  <w:szCs w:val="18"/>
                  <w:color w:val="0000EE"/>
                  <w:w w:val="98"/>
                </w:rPr>
                <w:t>the Company’s Amendment No. 1 to Annual Report on Form 10-K/A filed with the SEC on April 30,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2021)</w:t>
              </w:r>
            </w:hyperlink>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4"/>
                <w:szCs w:val="24"/>
                <w:color w:val="auto"/>
              </w:rPr>
            </w:pPr>
          </w:p>
        </w:tc>
        <w:tc>
          <w:tcPr>
            <w:tcW w:w="7720" w:type="dxa"/>
            <w:vAlign w:val="bottom"/>
            <w:gridSpan w:val="19"/>
          </w:tcPr>
          <w:p>
            <w:pPr>
              <w:spacing w:after="0"/>
              <w:rPr>
                <w:rFonts w:ascii="Arial" w:cs="Arial" w:eastAsia="Arial" w:hAnsi="Arial"/>
                <w:sz w:val="18"/>
                <w:szCs w:val="18"/>
                <w:color w:val="0000EE"/>
                <w:w w:val="96"/>
              </w:rPr>
            </w:pPr>
            <w:hyperlink r:id="rId101">
              <w:r>
                <w:rPr>
                  <w:rFonts w:ascii="Arial" w:cs="Arial" w:eastAsia="Arial" w:hAnsi="Arial"/>
                  <w:sz w:val="18"/>
                  <w:szCs w:val="18"/>
                  <w:color w:val="0000EE"/>
                  <w:w w:val="96"/>
                </w:rPr>
                <w:t>Separation Agreement and Release dated as of January 21, 2022, between the Company and Doug</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Satzman (incorporated by reference to Exhibit 99.1 to the Company’s Current Report on Form 8-K filed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with the SEC on January 26, 2012)</w:t>
              </w:r>
            </w:hyperlink>
          </w:p>
        </w:tc>
        <w:tc>
          <w:tcPr>
            <w:tcW w:w="4960" w:type="dxa"/>
            <w:vAlign w:val="bottom"/>
            <w:tcBorders>
              <w:top w:val="single" w:sz="8" w:color="0000EE"/>
            </w:tcBorders>
            <w:gridSpan w:val="8"/>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4"/>
                <w:szCs w:val="24"/>
                <w:color w:val="auto"/>
              </w:rPr>
            </w:pPr>
          </w:p>
        </w:tc>
        <w:tc>
          <w:tcPr>
            <w:tcW w:w="7720" w:type="dxa"/>
            <w:vAlign w:val="bottom"/>
            <w:gridSpan w:val="19"/>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Executive Employment Agreement dated March 28, 2022, between the Company and Scott Milford.</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from Exhibit 10.48 to our Annual Report on Form 10-K filed with the SEC on</w:t>
              </w:r>
            </w:hyperlink>
          </w:p>
        </w:tc>
        <w:tc>
          <w:tcPr>
            <w:tcW w:w="12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March 31, 2022)</w:t>
              </w:r>
            </w:hyperlink>
          </w:p>
        </w:tc>
        <w:tc>
          <w:tcPr>
            <w:tcW w:w="6520" w:type="dxa"/>
            <w:vAlign w:val="bottom"/>
            <w:gridSpan w:val="1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40" w:type="dxa"/>
            <w:vAlign w:val="bottom"/>
            <w:tcBorders>
              <w:bottom w:val="single" w:sz="8" w:color="0000EE"/>
            </w:tcBorders>
            <w:gridSpan w:val="16"/>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Subsidiaries of XpresSpa Group, Inc. (incorporated by reference from Exhibit 21 to our Annual Report on</w:t>
              </w:r>
            </w:hyperlink>
          </w:p>
        </w:tc>
        <w:tc>
          <w:tcPr>
            <w:tcW w:w="8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10-K filed with the SEC on March 31,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Consent of Friedman LLP, independent registered public accounting firm (incorporated by reference from</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Exhibit 23.1 to our Annual Report on Form 10-K filed with the SEC on March 31,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Principal Executive Officer pursuant to Exchange Act, Rules 13a – 14(a) and 15d – 14(a),</w:t>
              </w:r>
            </w:hyperlink>
          </w:p>
        </w:tc>
        <w:tc>
          <w:tcPr>
            <w:tcW w:w="1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as adopted pursuant to 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Financial Officer pursuant to Exchange Act, Rules 13a – 14(a) and 15d – 14(a),</w:t>
              </w:r>
            </w:hyperlink>
          </w:p>
        </w:tc>
        <w:tc>
          <w:tcPr>
            <w:tcW w:w="14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as adopted pursuant to 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Certifications of Principal Executive Officer and Principal Financial Officer Pursuant to 18 U.S.C. Section</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1350, as adopted pursuant to Section 906 of the Sarbanes-Oxley Act of 2002 (incorporated by reference</w:t>
              </w:r>
            </w:hyperlink>
          </w:p>
        </w:tc>
        <w:tc>
          <w:tcPr>
            <w:tcW w:w="16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from Exhibit 32 to our Annual Report on Form 10-K filed with the SEC on March 31, 2022)</w:t>
              </w:r>
            </w:hyperlink>
          </w:p>
        </w:tc>
      </w:tr>
      <w:tr>
        <w:trPr>
          <w:trHeight w:val="45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6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gridSpan w:val="12"/>
          </w:tcPr>
          <w:p>
            <w:pPr>
              <w:spacing w:after="0"/>
              <w:rPr>
                <w:sz w:val="24"/>
                <w:szCs w:val="24"/>
                <w:color w:val="auto"/>
              </w:rPr>
            </w:pP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9"/>
          </w:tcPr>
          <w:p>
            <w:pPr>
              <w:spacing w:after="0"/>
              <w:rPr>
                <w:sz w:val="20"/>
                <w:szCs w:val="20"/>
                <w:color w:val="auto"/>
              </w:rPr>
            </w:pPr>
            <w:r>
              <w:rPr>
                <w:rFonts w:ascii="Arial" w:cs="Arial" w:eastAsia="Arial" w:hAnsi="Arial"/>
                <w:sz w:val="18"/>
                <w:szCs w:val="18"/>
                <w:color w:val="auto"/>
              </w:rPr>
              <w:t>Cover Page Interactive Data File (embedded within the Inline XBRL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2022.</w:t>
      </w:r>
    </w:p>
    <w:p>
      <w:pPr>
        <w:spacing w:after="0" w:line="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5031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Scott R Milford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Pursuant to the requirements of Securities Exchange Act of 1934, this Amendment No. 2 to Annual Report on Form 10-K has been signed below by the following persons on behalf of the registrant and in the capacities indicated below and on the dates indicated.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9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r>
      <w:tr>
        <w:trPr>
          <w:trHeight w:val="426"/>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R Milford</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 and Director (Principal</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Scott R Milford</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Executive Officer)</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Berry</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 (Principal Financial</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James A Berry</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Officer and Principal Accounting Officer)</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 Chairman of Board of Directors</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Bruce T. Bernstein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Weinstein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Robert Weinstein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Donald E. Stout</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Lebowitz</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May 2, 2022</w:t>
            </w: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Michael Lebowitz</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2, 2022</w:t>
      </w:r>
    </w:p>
    <w:p>
      <w:pPr>
        <w:spacing w:after="0" w:line="23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3282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Scott R Milford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Berry,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2, 2022</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14605</wp:posOffset>
            </wp:positionV>
            <wp:extent cx="3308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James A. Berry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o"/>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lvl w:ilvl="1">
      <w:lvlJc w:val="left"/>
      <w:lvlText w:val="o"/>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8"/>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52" Type="http://schemas.openxmlformats.org/officeDocument/2006/relationships/image" Target="media/image29.png"/><Relationship Id="rId69" Type="http://schemas.openxmlformats.org/officeDocument/2006/relationships/image" Target="media/image30.png"/><Relationship Id="rId83" Type="http://schemas.openxmlformats.org/officeDocument/2006/relationships/image" Target="media/image31.png"/><Relationship Id="rId99" Type="http://schemas.openxmlformats.org/officeDocument/2006/relationships/image" Target="media/image32.png"/><Relationship Id="rId106" Type="http://schemas.openxmlformats.org/officeDocument/2006/relationships/image" Target="media/image33.png"/><Relationship Id="rId107" Type="http://schemas.openxmlformats.org/officeDocument/2006/relationships/image" Target="media/image34.png"/><Relationship Id="rId108" Type="http://schemas.openxmlformats.org/officeDocument/2006/relationships/image" Target="media/image35.png"/><Relationship Id="rId109" Type="http://schemas.openxmlformats.org/officeDocument/2006/relationships/image" Target="media/image36.png"/><Relationship Id="rId110" Type="http://schemas.openxmlformats.org/officeDocument/2006/relationships/image" Target="media/image37.png"/><Relationship Id="rId111" Type="http://schemas.openxmlformats.org/officeDocument/2006/relationships/image" Target="media/image38.png"/><Relationship Id="rId112" Type="http://schemas.openxmlformats.org/officeDocument/2006/relationships/image" Target="media/image39.png"/><Relationship Id="rId113" Type="http://schemas.openxmlformats.org/officeDocument/2006/relationships/image" Target="media/image40.png"/><Relationship Id="rId35" Type="http://schemas.openxmlformats.org/officeDocument/2006/relationships/hyperlink" Target="https://www.sec.gov/Archives/edgar/data/1410428/000114420416117230/v446257_ex2-1.htm" TargetMode="External"/><Relationship Id="rId36" Type="http://schemas.openxmlformats.org/officeDocument/2006/relationships/hyperlink" Target="https://www.sec.gov/Archives/edgar/data/1410428/000114420416123414/v448507_ex2-1.htm" TargetMode="External"/><Relationship Id="rId38" Type="http://schemas.openxmlformats.org/officeDocument/2006/relationships/hyperlink" Target="https://www.sec.gov/Archives/edgar/data/1410428/000114420416129472/v451220_ex2-1.htm" TargetMode="External"/><Relationship Id="rId39" Type="http://schemas.openxmlformats.org/officeDocument/2006/relationships/hyperlink" Target="https://www.sec.gov/Archives/edgar/data/0001410428/000110465920048780/tm205324d1_ex3-1.htm" TargetMode="External"/><Relationship Id="rId40" Type="http://schemas.openxmlformats.org/officeDocument/2006/relationships/hyperlink" Target="https://www.sec.gov/Archives/edgar/data/0001410428/000110465920071715/tm2021956d1_ex3-1.htm" TargetMode="External"/><Relationship Id="rId41" Type="http://schemas.openxmlformats.org/officeDocument/2006/relationships/hyperlink" Target="https://www.sec.gov/Archives/edgar/data/1410428/000114420419017496/tv516017_ex3-2.htm" TargetMode="External"/><Relationship Id="rId42" Type="http://schemas.openxmlformats.org/officeDocument/2006/relationships/hyperlink" Target="https://www.sec.gov/Archives/edgar/data/1410428/000110465921101540/tm2124329d1_ex3-1.htm" TargetMode="External"/><Relationship Id="rId43" Type="http://schemas.openxmlformats.org/officeDocument/2006/relationships/hyperlink" Target="https://www.sec.gov/Archives/edgar/data/1410428/000114420416089189/v434655_ex4-1.htm" TargetMode="External"/><Relationship Id="rId44" Type="http://schemas.openxmlformats.org/officeDocument/2006/relationships/hyperlink" Target="https://www.sec.gov/Archives/edgar/data/1410428/000114420419015650/tv516755_ex10-1.htm" TargetMode="External"/><Relationship Id="rId45" Type="http://schemas.openxmlformats.org/officeDocument/2006/relationships/hyperlink" Target="https://www.sec.gov/Archives/edgar/data/1410428/000114420416129474/v449051_s4a.htm" TargetMode="External"/><Relationship Id="rId46" Type="http://schemas.openxmlformats.org/officeDocument/2006/relationships/hyperlink" Target="https://www.sec.gov/Archives/edgar/data/1410428/000114420418028911/tv492938_ex4-1.htm" TargetMode="External"/><Relationship Id="rId47" Type="http://schemas.openxmlformats.org/officeDocument/2006/relationships/hyperlink" Target="https://www.sec.gov/Archives/edgar/data/1410428/000114420419032532/tv524367_ex4-1.htm" TargetMode="External"/><Relationship Id="rId48" Type="http://schemas.openxmlformats.org/officeDocument/2006/relationships/hyperlink" Target="https://www.sec.gov/Archives/edgar/data/1410428/000114420419033939/tv524856_ex4-3.htm" TargetMode="External"/><Relationship Id="rId49" Type="http://schemas.openxmlformats.org/officeDocument/2006/relationships/hyperlink" Target="https://www.sec.gov/Archives/edgar/data/1410428/000110465920003636/tm203197d1_ex4-1.htm" TargetMode="External"/><Relationship Id="rId50" Type="http://schemas.openxmlformats.org/officeDocument/2006/relationships/hyperlink" Target="https://www.sec.gov/Archives/edgar/data/1410428/000110465920029962/tm2011914d1_ex4-1.htm" TargetMode="External"/><Relationship Id="rId51" Type="http://schemas.openxmlformats.org/officeDocument/2006/relationships/hyperlink" Target="https://www.sec.gov/Archives/edgar/data/1410428/000114420419033939/tv524856_ex4-1.htm" TargetMode="External"/><Relationship Id="rId53" Type="http://schemas.openxmlformats.org/officeDocument/2006/relationships/hyperlink" Target="https://www.sec.gov/Archives/edgar/data/1410428/000114420419033939/tv524856_ex4-2.htm" TargetMode="External"/><Relationship Id="rId54" Type="http://schemas.openxmlformats.org/officeDocument/2006/relationships/hyperlink" Target="https://www.sec.gov/Archives/edgar/data/1410428/000110465920035631/tm2013177d1_ex4-1.htm" TargetMode="External"/><Relationship Id="rId55" Type="http://schemas.openxmlformats.org/officeDocument/2006/relationships/hyperlink" Target="https://www.sec.gov/Archives/edgar/data/1410428/000110465920038562/tm2013765d1_ex4-1.htm" TargetMode="External"/><Relationship Id="rId56" Type="http://schemas.openxmlformats.org/officeDocument/2006/relationships/hyperlink" Target="https://www.sec.gov/Archives/edgar/data/1410428/000110465920039953/tm2014049d1_ex4-1.htm" TargetMode="External"/><Relationship Id="rId57" Type="http://schemas.openxmlformats.org/officeDocument/2006/relationships/hyperlink" Target="https://www.sec.gov/Archives/edgar/data/1410428/000110465920043879/tm2015133d1_ex4-1.htm" TargetMode="External"/><Relationship Id="rId58" Type="http://schemas.openxmlformats.org/officeDocument/2006/relationships/hyperlink" Target="https://www.sec.gov/Archives/edgar/data/0001410428/000110465920048780/tm205324d1_ex4-22.htm" TargetMode="External"/><Relationship Id="rId59" Type="http://schemas.openxmlformats.org/officeDocument/2006/relationships/hyperlink" Target="https://www.sec.gov/Archives/edgar/data/1410428/000110465920048297/tm2016230-1_ex41.htm" TargetMode="External"/><Relationship Id="rId60" Type="http://schemas.openxmlformats.org/officeDocument/2006/relationships/hyperlink" Target="https://www.sec.gov/Archives/edgar/data/1410428/000110465920051103/tm2016889d1_ex4-1.htm" TargetMode="External"/><Relationship Id="rId61" Type="http://schemas.openxmlformats.org/officeDocument/2006/relationships/hyperlink" Target="https://www.sec.gov/Archives/edgar/data/1410428/000110465920074007/tm2022774d1_ex4-1.htm" TargetMode="External"/><Relationship Id="rId62" Type="http://schemas.openxmlformats.org/officeDocument/2006/relationships/hyperlink" Target="https://www.sec.gov/Archives/edgar/data/1410428/000110465920074007/tm2022774d1_ex4-2.htm" TargetMode="External"/><Relationship Id="rId63" Type="http://schemas.openxmlformats.org/officeDocument/2006/relationships/hyperlink" Target="https://www.sec.gov/Archives/edgar/data/1410428/000110465920100178/tm2029683d2_ex4-1.htm" TargetMode="External"/><Relationship Id="rId64" Type="http://schemas.openxmlformats.org/officeDocument/2006/relationships/hyperlink" Target="https://www.sec.gov/Archives/edgar/data/1410428/000110465920100178/tm2029683d2_ex4-2.htm" TargetMode="External"/><Relationship Id="rId65" Type="http://schemas.openxmlformats.org/officeDocument/2006/relationships/hyperlink" Target="https://www.sec.gov/Archives/edgar/data/1410428/000110465920100178/tm2029683d2_ex4-3.htm" TargetMode="External"/><Relationship Id="rId66" Type="http://schemas.openxmlformats.org/officeDocument/2006/relationships/hyperlink" Target="https://www.sec.gov/Archives/edgar/data/1410428/000110465920138085/tm2039005d1_ex4-1.htm" TargetMode="External"/><Relationship Id="rId67" Type="http://schemas.openxmlformats.org/officeDocument/2006/relationships/hyperlink" Target="https://www.sec.gov/Archives/edgar/data/1410428/000110465920138085/tm2039005d1_ex4-2.htm" TargetMode="External"/><Relationship Id="rId68" Type="http://schemas.openxmlformats.org/officeDocument/2006/relationships/hyperlink" Target="https://www.sec.gov/Archives/edgar/data/1410428/000114420415056596/v420716_def14a.htm" TargetMode="External"/><Relationship Id="rId70" Type="http://schemas.openxmlformats.org/officeDocument/2006/relationships/hyperlink" Target="https://www.sec.gov/Archives/edgar/data/1410428/000119312510069268/dex45.htm" TargetMode="External"/><Relationship Id="rId71" Type="http://schemas.openxmlformats.org/officeDocument/2006/relationships/hyperlink" Target="https://www.sec.gov/Archives/edgar/data/1410428/000114420412041064/v319421_ex99-2.htm" TargetMode="External"/><Relationship Id="rId72" Type="http://schemas.openxmlformats.org/officeDocument/2006/relationships/hyperlink" Target="https://www.sec.gov/Archives/edgar/data/1410428/000114420412041064/v319421_ex99-3.htm" TargetMode="External"/><Relationship Id="rId73" Type="http://schemas.openxmlformats.org/officeDocument/2006/relationships/hyperlink" Target="https://www.sec.gov/Archives/edgar/data/1410428/000114420413016671/v333989_ex10-24.htm" TargetMode="External"/><Relationship Id="rId74" Type="http://schemas.openxmlformats.org/officeDocument/2006/relationships/hyperlink" Target="https://www.sec.gov/Archives/edgar/data/1410428/000114420416136736/v454026_ex10-1.htm" TargetMode="External"/><Relationship Id="rId75" Type="http://schemas.openxmlformats.org/officeDocument/2006/relationships/hyperlink" Target="https://www.sec.gov/Archives/edgar/data/1410428/000114420418028911/tv492938_ex10-9.htm" TargetMode="External"/><Relationship Id="rId76" Type="http://schemas.openxmlformats.org/officeDocument/2006/relationships/hyperlink" Target="https://www.sec.gov/Archives/edgar/data/1410428/000114420419033939/tv524856_ex10-5.htm" TargetMode="External"/><Relationship Id="rId77" Type="http://schemas.openxmlformats.org/officeDocument/2006/relationships/hyperlink" Target="https://www.sec.gov/Archives/edgar/data/1410428/000114420419017496/tv516017_ex10-28.htm" TargetMode="External"/><Relationship Id="rId78" Type="http://schemas.openxmlformats.org/officeDocument/2006/relationships/hyperlink" Target="https://www.sec.gov/Archives/edgar/data/1410428/000110465919064328/tm1919635d1_ex108.htm" TargetMode="External"/><Relationship Id="rId79" Type="http://schemas.openxmlformats.org/officeDocument/2006/relationships/hyperlink" Target="https://www.sec.gov/Archives/edgar/data/1410428/000114420419033939/tv524856_ex10-1.htm" TargetMode="External"/><Relationship Id="rId80" Type="http://schemas.openxmlformats.org/officeDocument/2006/relationships/hyperlink" Target="https://www.sec.gov/Archives/edgar/data/1410428/000114420419033939/tv524856_ex10-2.htm" TargetMode="External"/><Relationship Id="rId81" Type="http://schemas.openxmlformats.org/officeDocument/2006/relationships/hyperlink" Target="https://www.sec.gov/Archives/edgar/data/1410428/000114420419047032/tv530541_ex10-1.htm" TargetMode="External"/><Relationship Id="rId82" Type="http://schemas.openxmlformats.org/officeDocument/2006/relationships/hyperlink" Target="https://www.sec.gov/Archives/edgar/data/1410428/000110465920035631/tm2013177d1_ex10-1.htm" TargetMode="External"/><Relationship Id="rId84" Type="http://schemas.openxmlformats.org/officeDocument/2006/relationships/hyperlink" Target="https://www.sec.gov/Archives/edgar/data/1410428/000110465920035631/tm2013177d1_ex10-2.htm" TargetMode="External"/><Relationship Id="rId85" Type="http://schemas.openxmlformats.org/officeDocument/2006/relationships/hyperlink" Target="https://www.sec.gov/Archives/edgar/data/1410428/000110465920035631/tm2013177d1_ex10-3.htm" TargetMode="External"/><Relationship Id="rId86" Type="http://schemas.openxmlformats.org/officeDocument/2006/relationships/hyperlink" Target="https://www.sec.gov/Archives/edgar/data/1410428/000110465920038562/tm2013765d1_ex10-1.htm" TargetMode="External"/><Relationship Id="rId87" Type="http://schemas.openxmlformats.org/officeDocument/2006/relationships/hyperlink" Target="https://www.sec.gov/Archives/edgar/data/1410428/000110465920039953/tm2014049d1_ex10-1.htm" TargetMode="External"/><Relationship Id="rId88" Type="http://schemas.openxmlformats.org/officeDocument/2006/relationships/hyperlink" Target="https://www.sec.gov/Archives/edgar/data/1410428/000110465920043879/tm2015133d1_ex10-1.htm" TargetMode="External"/><Relationship Id="rId89" Type="http://schemas.openxmlformats.org/officeDocument/2006/relationships/hyperlink" Target="https://www.sec.gov/Archives/edgar/data/1410428/000155837021003840/xspa-20201231ex103530ae1.htm" TargetMode="External"/><Relationship Id="rId90" Type="http://schemas.openxmlformats.org/officeDocument/2006/relationships/hyperlink" Target="https://www.sec.gov/Archives/edgar/data/1410428/000155837021003840/xspa-20201231ex1036b4f7e.htm" TargetMode="External"/><Relationship Id="rId91" Type="http://schemas.openxmlformats.org/officeDocument/2006/relationships/hyperlink" Target="https://www.sec.gov/Archives/edgar/data/1410428/000155837021003840/xspa-20201231ex1037d1e39.htm" TargetMode="External"/><Relationship Id="rId92" Type="http://schemas.openxmlformats.org/officeDocument/2006/relationships/hyperlink" Target="https://www.sec.gov/Archives/edgar/data/1410428/000110465920057642/tm2018713d2_ex10-1.htm" TargetMode="External"/><Relationship Id="rId93" Type="http://schemas.openxmlformats.org/officeDocument/2006/relationships/hyperlink" Target="https://www.sec.gov/Archives/edgar/data/1410428/000110465920069761/tm2021831d1_ex10-1.htm" TargetMode="External"/><Relationship Id="rId94" Type="http://schemas.openxmlformats.org/officeDocument/2006/relationships/hyperlink" Target="https://www.sec.gov/Archives/edgar/data/1410428/000110465920074007/tm2022774d1_ex10-1.htm" TargetMode="External"/><Relationship Id="rId95" Type="http://schemas.openxmlformats.org/officeDocument/2006/relationships/hyperlink" Target="https://www.sec.gov/Archives/edgar/data/1410428/000110465920100178/tm2029683d2_ex10-1.htm" TargetMode="External"/><Relationship Id="rId96" Type="http://schemas.openxmlformats.org/officeDocument/2006/relationships/hyperlink" Target="https://www.sec.gov/Archives/edgar/data/1410428/000110465920109366/tm2031943d1_ex10-1.htm" TargetMode="External"/><Relationship Id="rId97" Type="http://schemas.openxmlformats.org/officeDocument/2006/relationships/hyperlink" Target="https://www.sec.gov/Archives/edgar/data/1410428/000110465920120037/tm2034656d1_ex10-1.htm" TargetMode="External"/><Relationship Id="rId98" Type="http://schemas.openxmlformats.org/officeDocument/2006/relationships/hyperlink" Target="https://www.sec.gov/Archives/edgar/data/1410428/000110465920138085/tm2039005d1_ex10-1.htm" TargetMode="External"/><Relationship Id="rId100" Type="http://schemas.openxmlformats.org/officeDocument/2006/relationships/hyperlink" Target="https://www.sec.gov/Archives/edgar/data/1410428/000155837021005390/tmb-20201231xex10d45.htm" TargetMode="External"/><Relationship Id="rId101" Type="http://schemas.openxmlformats.org/officeDocument/2006/relationships/hyperlink" Target="https://www.sec.gov/Archives/edgar/data/1410428/000110465922007853/tm224576d1_ex99-1.htm" TargetMode="External"/><Relationship Id="rId102" Type="http://schemas.openxmlformats.org/officeDocument/2006/relationships/hyperlink" Target="https://www.sec.gov/Archives/edgar/data/1410428/000155837022004897/xspa-20211231xex10d48.htm" TargetMode="External"/><Relationship Id="rId103" Type="http://schemas.openxmlformats.org/officeDocument/2006/relationships/hyperlink" Target="https://www.sec.gov/Archives/edgar/data/1410428/000155837022004897/xspa-20211231xex21.htm" TargetMode="External"/><Relationship Id="rId104" Type="http://schemas.openxmlformats.org/officeDocument/2006/relationships/hyperlink" Target="https://www.sec.gov/Archives/edgar/data/1410428/000155837022004897/xspa-20211231xex23d1.htm" TargetMode="External"/><Relationship Id="rId105" Type="http://schemas.openxmlformats.org/officeDocument/2006/relationships/hyperlink" Target="https://www.sec.gov/Archives/edgar/data/1410428/000155837022004897/xspa-20211231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2022-05-02T15:45:59Z</dcterms:created>
  <dcterms:modified xsi:type="dcterms:W3CDTF">2022-05-02T15:45:59Z</dcterms:modified>
</cp:coreProperties>
</file>