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274560" cy="44272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4560" cy="4427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4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4"/>
                </w:rPr>
                <w:t>Siegel Seth M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80" w:type="dxa"/>
            <w:vAlign w:val="bottom"/>
            <w:gridSpan w:val="7"/>
          </w:tcPr>
          <w:p>
            <w:pPr>
              <w:ind w:left="60"/>
              <w:spacing w:after="0" w:line="106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Vringo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VRNG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03/13/2012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VRINGO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44 WEST 28TH STREET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10001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7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gridSpan w:val="8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7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1.65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03/13/2012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03/13/2018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3"/>
              </w:rPr>
              <w:t>1. Options will become exercisable in twelve equal quarterly increments (i.e., 8.33% per quarter), commencing on June 13, 2012.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Seth M. Siegel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03/26/2012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6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7291070</wp:posOffset>
            </wp:positionH>
            <wp:positionV relativeFrom="paragraph">
              <wp:posOffset>-2539365</wp:posOffset>
            </wp:positionV>
            <wp:extent cx="24130" cy="17392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" cy="1739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93407" TargetMode="External"/><Relationship Id="rId13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2019-12-17T07:12:31Z</dcterms:created>
  <dcterms:modified xsi:type="dcterms:W3CDTF">2019-12-17T07:12:31Z</dcterms:modified>
</cp:coreProperties>
</file>