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8425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8425815"/>
                    </a:xfrm>
                    <a:prstGeom prst="rect">
                      <a:avLst/>
                    </a:prstGeom>
                    <a:noFill/>
                  </pic:spPr>
                </pic:pic>
              </a:graphicData>
            </a:graphic>
          </wp:anchor>
        </w:drawing>
      </w:r>
    </w:p>
    <w:p>
      <w:pPr>
        <w:spacing w:after="0" w:line="98" w:lineRule="exact"/>
        <w:rPr>
          <w:sz w:val="24"/>
          <w:szCs w:val="24"/>
          <w:color w:val="auto"/>
        </w:rPr>
      </w:pPr>
    </w:p>
    <w:p>
      <w:pPr>
        <w:sectPr>
          <w:pgSz w:w="11900" w:h="1684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Lang Andrew Kennedy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VRINGO,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Vringo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10/03/2012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340" w:type="dxa"/>
            <w:vAlign w:val="bottom"/>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340" w:type="dxa"/>
            <w:vAlign w:val="bottom"/>
          </w:tcPr>
          <w:p>
            <w:pPr>
              <w:ind w:left="5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340" w:type="dxa"/>
            <w:vAlign w:val="bottom"/>
            <w:vMerge w:val="restart"/>
          </w:tcPr>
          <w:p>
            <w:pPr>
              <w:ind w:left="5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51"/>
        <w:spacing w:after="0"/>
        <w:rPr>
          <w:sz w:val="20"/>
          <w:szCs w:val="20"/>
          <w:color w:val="auto"/>
        </w:rPr>
      </w:pPr>
      <w:r>
        <w:rPr>
          <w:rFonts w:ascii="Arial" w:cs="Arial" w:eastAsia="Arial" w:hAnsi="Arial"/>
          <w:sz w:val="17"/>
          <w:szCs w:val="17"/>
          <w:color w:val="0000FF"/>
        </w:rPr>
        <w:t>President &amp; CTO</w:t>
      </w:r>
    </w:p>
    <w:p>
      <w:pPr>
        <w:spacing w:after="0" w:line="416" w:lineRule="exact"/>
        <w:rPr>
          <w:sz w:val="24"/>
          <w:szCs w:val="24"/>
          <w:color w:val="auto"/>
        </w:rPr>
      </w:pPr>
    </w:p>
    <w:p>
      <w:pPr>
        <w:sectPr>
          <w:pgSz w:w="11900" w:h="16848" w:orient="portrait"/>
          <w:cols w:equalWidth="0" w:num="3">
            <w:col w:w="3340" w:space="720"/>
            <w:col w:w="3269" w:space="720"/>
            <w:col w:w="3471"/>
          </w:cols>
          <w:pgMar w:left="240" w:top="224" w:right="139" w:bottom="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48"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2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jc w:val="center"/>
              <w:ind w:right="6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jc w:val="center"/>
              <w:ind w:left="23"/>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jc w:val="center"/>
              <w:ind w:right="51"/>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Arial" w:cs="Arial" w:eastAsia="Arial" w:hAnsi="Arial"/>
                <w:sz w:val="17"/>
                <w:szCs w:val="17"/>
                <w:color w:val="0000FF"/>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6"/>
              </w:rPr>
              <w:t>Common Stock, $0.01 par value per share</w:t>
            </w:r>
          </w:p>
        </w:tc>
        <w:tc>
          <w:tcPr>
            <w:tcW w:w="1220" w:type="dxa"/>
            <w:vAlign w:val="bottom"/>
            <w:gridSpan w:val="2"/>
            <w:vMerge w:val="restart"/>
          </w:tcPr>
          <w:p>
            <w:pPr>
              <w:jc w:val="center"/>
              <w:ind w:left="43"/>
              <w:spacing w:after="0"/>
              <w:rPr>
                <w:sz w:val="20"/>
                <w:szCs w:val="20"/>
                <w:color w:val="auto"/>
              </w:rPr>
            </w:pPr>
            <w:r>
              <w:rPr>
                <w:rFonts w:ascii="Arial" w:cs="Arial" w:eastAsia="Arial" w:hAnsi="Arial"/>
                <w:sz w:val="17"/>
                <w:szCs w:val="17"/>
                <w:color w:val="0000FF"/>
                <w:w w:val="91"/>
              </w:rPr>
              <w:t>10/03/2012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X</w:t>
            </w:r>
          </w:p>
        </w:tc>
        <w:tc>
          <w:tcPr>
            <w:tcW w:w="760" w:type="dxa"/>
            <w:vAlign w:val="bottom"/>
            <w:vMerge w:val="restart"/>
          </w:tcPr>
          <w:p>
            <w:pPr>
              <w:jc w:val="center"/>
              <w:ind w:left="88"/>
              <w:spacing w:after="0"/>
              <w:rPr>
                <w:sz w:val="20"/>
                <w:szCs w:val="20"/>
                <w:color w:val="auto"/>
              </w:rPr>
            </w:pPr>
            <w:r>
              <w:rPr>
                <w:rFonts w:ascii="Arial" w:cs="Arial" w:eastAsia="Arial" w:hAnsi="Arial"/>
                <w:sz w:val="17"/>
                <w:szCs w:val="17"/>
                <w:color w:val="0000FF"/>
                <w:w w:val="91"/>
              </w:rPr>
              <w:t>170,455</w:t>
            </w:r>
          </w:p>
        </w:tc>
        <w:tc>
          <w:tcPr>
            <w:tcW w:w="6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1.76</w:t>
            </w:r>
          </w:p>
        </w:tc>
        <w:tc>
          <w:tcPr>
            <w:tcW w:w="40" w:type="dxa"/>
            <w:vAlign w:val="bottom"/>
          </w:tcPr>
          <w:p>
            <w:pPr>
              <w:spacing w:after="0"/>
              <w:rPr>
                <w:sz w:val="18"/>
                <w:szCs w:val="18"/>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3,188,055</w:t>
            </w:r>
          </w:p>
        </w:tc>
        <w:tc>
          <w:tcPr>
            <w:tcW w:w="360" w:type="dxa"/>
            <w:vAlign w:val="bottom"/>
          </w:tcPr>
          <w:p>
            <w:pPr>
              <w:spacing w:after="0"/>
              <w:rPr>
                <w:sz w:val="18"/>
                <w:szCs w:val="18"/>
                <w:color w:val="auto"/>
              </w:rPr>
            </w:pPr>
          </w:p>
        </w:tc>
        <w:tc>
          <w:tcPr>
            <w:tcW w:w="540" w:type="dxa"/>
            <w:vAlign w:val="bottom"/>
            <w:vMerge w:val="restart"/>
          </w:tcPr>
          <w:p>
            <w:pPr>
              <w:jc w:val="center"/>
              <w:ind w:right="308"/>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Innovation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60" w:type="dxa"/>
            <w:vAlign w:val="bottom"/>
            <w:gridSpan w:val="4"/>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Spring</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By</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6"/>
              </w:rPr>
              <w:t>Common Stock, $0.01 par value per share</w:t>
            </w:r>
          </w:p>
        </w:tc>
        <w:tc>
          <w:tcPr>
            <w:tcW w:w="1220" w:type="dxa"/>
            <w:vAlign w:val="bottom"/>
            <w:gridSpan w:val="2"/>
            <w:vMerge w:val="restart"/>
          </w:tcPr>
          <w:p>
            <w:pPr>
              <w:jc w:val="center"/>
              <w:ind w:left="43"/>
              <w:spacing w:after="0"/>
              <w:rPr>
                <w:sz w:val="20"/>
                <w:szCs w:val="20"/>
                <w:color w:val="auto"/>
              </w:rPr>
            </w:pPr>
            <w:r>
              <w:rPr>
                <w:rFonts w:ascii="Arial" w:cs="Arial" w:eastAsia="Arial" w:hAnsi="Arial"/>
                <w:sz w:val="17"/>
                <w:szCs w:val="17"/>
                <w:color w:val="0000FF"/>
                <w:w w:val="91"/>
              </w:rPr>
              <w:t>10/03/2012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center"/>
              <w:ind w:left="88"/>
              <w:spacing w:after="0"/>
              <w:rPr>
                <w:sz w:val="20"/>
                <w:szCs w:val="20"/>
                <w:color w:val="auto"/>
              </w:rPr>
            </w:pPr>
            <w:r>
              <w:rPr>
                <w:rFonts w:ascii="Arial" w:cs="Arial" w:eastAsia="Arial" w:hAnsi="Arial"/>
                <w:sz w:val="17"/>
                <w:szCs w:val="17"/>
                <w:color w:val="0000FF"/>
                <w:w w:val="91"/>
              </w:rPr>
              <w:t>170,455</w:t>
            </w:r>
          </w:p>
        </w:tc>
        <w:tc>
          <w:tcPr>
            <w:tcW w:w="660" w:type="dxa"/>
            <w:vAlign w:val="bottom"/>
            <w:vMerge w:val="restart"/>
          </w:tcPr>
          <w:p>
            <w:pPr>
              <w:ind w:left="320"/>
              <w:spacing w:after="0"/>
              <w:rPr>
                <w:sz w:val="20"/>
                <w:szCs w:val="20"/>
                <w:color w:val="auto"/>
              </w:rPr>
            </w:pPr>
            <w:r>
              <w:rPr>
                <w:rFonts w:ascii="Arial" w:cs="Arial" w:eastAsia="Arial" w:hAnsi="Arial"/>
                <w:sz w:val="17"/>
                <w:szCs w:val="17"/>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4.0022</w:t>
            </w:r>
          </w:p>
        </w:tc>
        <w:tc>
          <w:tcPr>
            <w:tcW w:w="40" w:type="dxa"/>
            <w:vAlign w:val="bottom"/>
          </w:tcPr>
          <w:p>
            <w:pPr>
              <w:spacing w:after="0"/>
              <w:rPr>
                <w:sz w:val="18"/>
                <w:szCs w:val="18"/>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3,017,600</w:t>
            </w:r>
          </w:p>
        </w:tc>
        <w:tc>
          <w:tcPr>
            <w:tcW w:w="360" w:type="dxa"/>
            <w:vAlign w:val="bottom"/>
          </w:tcPr>
          <w:p>
            <w:pPr>
              <w:spacing w:after="0"/>
              <w:rPr>
                <w:sz w:val="18"/>
                <w:szCs w:val="18"/>
                <w:color w:val="auto"/>
              </w:rPr>
            </w:pPr>
          </w:p>
        </w:tc>
        <w:tc>
          <w:tcPr>
            <w:tcW w:w="540" w:type="dxa"/>
            <w:vAlign w:val="bottom"/>
            <w:vMerge w:val="restart"/>
          </w:tcPr>
          <w:p>
            <w:pPr>
              <w:jc w:val="center"/>
              <w:ind w:right="308"/>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Innovation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60" w:type="dxa"/>
            <w:vAlign w:val="bottom"/>
            <w:gridSpan w:val="4"/>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Spring</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4"/>
          </w:tcPr>
          <w:p>
            <w:pPr>
              <w:ind w:left="80"/>
              <w:spacing w:after="0" w:line="272"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By</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6"/>
              </w:rPr>
              <w:t>Common Stock, $0.01 par value per share</w:t>
            </w:r>
          </w:p>
        </w:tc>
        <w:tc>
          <w:tcPr>
            <w:tcW w:w="1220" w:type="dxa"/>
            <w:vAlign w:val="bottom"/>
            <w:gridSpan w:val="2"/>
            <w:vMerge w:val="restart"/>
          </w:tcPr>
          <w:p>
            <w:pPr>
              <w:jc w:val="center"/>
              <w:ind w:left="43"/>
              <w:spacing w:after="0"/>
              <w:rPr>
                <w:sz w:val="20"/>
                <w:szCs w:val="20"/>
                <w:color w:val="auto"/>
              </w:rPr>
            </w:pPr>
            <w:r>
              <w:rPr>
                <w:rFonts w:ascii="Arial" w:cs="Arial" w:eastAsia="Arial" w:hAnsi="Arial"/>
                <w:sz w:val="17"/>
                <w:szCs w:val="17"/>
                <w:color w:val="0000FF"/>
                <w:w w:val="91"/>
              </w:rPr>
              <w:t>10/03/2012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center"/>
              <w:ind w:left="68"/>
              <w:spacing w:after="0"/>
              <w:rPr>
                <w:sz w:val="20"/>
                <w:szCs w:val="20"/>
                <w:color w:val="auto"/>
              </w:rPr>
            </w:pPr>
            <w:r>
              <w:rPr>
                <w:rFonts w:ascii="Arial" w:cs="Arial" w:eastAsia="Arial" w:hAnsi="Arial"/>
                <w:sz w:val="17"/>
                <w:szCs w:val="17"/>
                <w:color w:val="0000FF"/>
                <w:w w:val="88"/>
              </w:rPr>
              <w:t>14,558</w:t>
            </w:r>
          </w:p>
        </w:tc>
        <w:tc>
          <w:tcPr>
            <w:tcW w:w="660" w:type="dxa"/>
            <w:vAlign w:val="bottom"/>
            <w:vMerge w:val="restart"/>
          </w:tcPr>
          <w:p>
            <w:pPr>
              <w:ind w:left="320"/>
              <w:spacing w:after="0"/>
              <w:rPr>
                <w:sz w:val="20"/>
                <w:szCs w:val="20"/>
                <w:color w:val="auto"/>
              </w:rPr>
            </w:pPr>
            <w:r>
              <w:rPr>
                <w:rFonts w:ascii="Arial" w:cs="Arial" w:eastAsia="Arial" w:hAnsi="Arial"/>
                <w:sz w:val="17"/>
                <w:szCs w:val="17"/>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4.25</w:t>
            </w:r>
          </w:p>
        </w:tc>
        <w:tc>
          <w:tcPr>
            <w:tcW w:w="40" w:type="dxa"/>
            <w:vAlign w:val="bottom"/>
          </w:tcPr>
          <w:p>
            <w:pPr>
              <w:spacing w:after="0"/>
              <w:rPr>
                <w:sz w:val="18"/>
                <w:szCs w:val="18"/>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3,003,042</w:t>
            </w:r>
          </w:p>
        </w:tc>
        <w:tc>
          <w:tcPr>
            <w:tcW w:w="360" w:type="dxa"/>
            <w:vAlign w:val="bottom"/>
          </w:tcPr>
          <w:p>
            <w:pPr>
              <w:spacing w:after="0"/>
              <w:rPr>
                <w:sz w:val="18"/>
                <w:szCs w:val="18"/>
                <w:color w:val="auto"/>
              </w:rPr>
            </w:pPr>
          </w:p>
        </w:tc>
        <w:tc>
          <w:tcPr>
            <w:tcW w:w="540" w:type="dxa"/>
            <w:vAlign w:val="bottom"/>
            <w:vMerge w:val="restart"/>
          </w:tcPr>
          <w:p>
            <w:pPr>
              <w:jc w:val="center"/>
              <w:ind w:right="308"/>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Innovation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60" w:type="dxa"/>
            <w:vAlign w:val="bottom"/>
            <w:gridSpan w:val="4"/>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Spring</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By</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6"/>
              </w:rPr>
              <w:t>Common Stock, $0.01 par value per share</w:t>
            </w:r>
          </w:p>
        </w:tc>
        <w:tc>
          <w:tcPr>
            <w:tcW w:w="1220" w:type="dxa"/>
            <w:vAlign w:val="bottom"/>
            <w:gridSpan w:val="2"/>
            <w:vMerge w:val="restart"/>
          </w:tcPr>
          <w:p>
            <w:pPr>
              <w:jc w:val="center"/>
              <w:ind w:left="43"/>
              <w:spacing w:after="0"/>
              <w:rPr>
                <w:sz w:val="20"/>
                <w:szCs w:val="20"/>
                <w:color w:val="auto"/>
              </w:rPr>
            </w:pPr>
            <w:r>
              <w:rPr>
                <w:rFonts w:ascii="Arial" w:cs="Arial" w:eastAsia="Arial" w:hAnsi="Arial"/>
                <w:sz w:val="17"/>
                <w:szCs w:val="17"/>
                <w:color w:val="0000FF"/>
                <w:w w:val="91"/>
              </w:rPr>
              <w:t>10/05/2012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X</w:t>
            </w:r>
          </w:p>
        </w:tc>
        <w:tc>
          <w:tcPr>
            <w:tcW w:w="760" w:type="dxa"/>
            <w:vAlign w:val="bottom"/>
            <w:vMerge w:val="restart"/>
          </w:tcPr>
          <w:p>
            <w:pPr>
              <w:jc w:val="center"/>
              <w:ind w:left="68"/>
              <w:spacing w:after="0"/>
              <w:rPr>
                <w:sz w:val="20"/>
                <w:szCs w:val="20"/>
                <w:color w:val="auto"/>
              </w:rPr>
            </w:pPr>
            <w:r>
              <w:rPr>
                <w:rFonts w:ascii="Arial" w:cs="Arial" w:eastAsia="Arial" w:hAnsi="Arial"/>
                <w:sz w:val="17"/>
                <w:szCs w:val="17"/>
                <w:color w:val="0000FF"/>
                <w:w w:val="88"/>
              </w:rPr>
              <w:t>53,613</w:t>
            </w:r>
          </w:p>
        </w:tc>
        <w:tc>
          <w:tcPr>
            <w:tcW w:w="6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1.76</w:t>
            </w:r>
          </w:p>
        </w:tc>
        <w:tc>
          <w:tcPr>
            <w:tcW w:w="40" w:type="dxa"/>
            <w:vAlign w:val="bottom"/>
          </w:tcPr>
          <w:p>
            <w:pPr>
              <w:spacing w:after="0"/>
              <w:rPr>
                <w:sz w:val="18"/>
                <w:szCs w:val="18"/>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3,056,655</w:t>
            </w:r>
          </w:p>
        </w:tc>
        <w:tc>
          <w:tcPr>
            <w:tcW w:w="360" w:type="dxa"/>
            <w:vAlign w:val="bottom"/>
          </w:tcPr>
          <w:p>
            <w:pPr>
              <w:spacing w:after="0"/>
              <w:rPr>
                <w:sz w:val="18"/>
                <w:szCs w:val="18"/>
                <w:color w:val="auto"/>
              </w:rPr>
            </w:pPr>
          </w:p>
        </w:tc>
        <w:tc>
          <w:tcPr>
            <w:tcW w:w="540" w:type="dxa"/>
            <w:vAlign w:val="bottom"/>
            <w:vMerge w:val="restart"/>
          </w:tcPr>
          <w:p>
            <w:pPr>
              <w:jc w:val="center"/>
              <w:ind w:right="308"/>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Innovation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60" w:type="dxa"/>
            <w:vAlign w:val="bottom"/>
            <w:gridSpan w:val="4"/>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Spring</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rPr>
              <w:t>By</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6"/>
              </w:rPr>
              <w:t>Common Stock, $0.01 par value per share</w:t>
            </w:r>
          </w:p>
        </w:tc>
        <w:tc>
          <w:tcPr>
            <w:tcW w:w="1220" w:type="dxa"/>
            <w:vAlign w:val="bottom"/>
            <w:gridSpan w:val="2"/>
            <w:vMerge w:val="restart"/>
          </w:tcPr>
          <w:p>
            <w:pPr>
              <w:jc w:val="center"/>
              <w:ind w:left="43"/>
              <w:spacing w:after="0"/>
              <w:rPr>
                <w:sz w:val="20"/>
                <w:szCs w:val="20"/>
                <w:color w:val="auto"/>
              </w:rPr>
            </w:pPr>
            <w:r>
              <w:rPr>
                <w:rFonts w:ascii="Arial" w:cs="Arial" w:eastAsia="Arial" w:hAnsi="Arial"/>
                <w:sz w:val="17"/>
                <w:szCs w:val="17"/>
                <w:color w:val="0000FF"/>
                <w:w w:val="91"/>
              </w:rPr>
              <w:t>10/05/2012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center"/>
              <w:ind w:left="68"/>
              <w:spacing w:after="0"/>
              <w:rPr>
                <w:sz w:val="20"/>
                <w:szCs w:val="20"/>
                <w:color w:val="auto"/>
              </w:rPr>
            </w:pPr>
            <w:r>
              <w:rPr>
                <w:rFonts w:ascii="Arial" w:cs="Arial" w:eastAsia="Arial" w:hAnsi="Arial"/>
                <w:sz w:val="17"/>
                <w:szCs w:val="17"/>
                <w:color w:val="0000FF"/>
                <w:w w:val="88"/>
              </w:rPr>
              <w:t>53,613</w:t>
            </w:r>
          </w:p>
        </w:tc>
        <w:tc>
          <w:tcPr>
            <w:tcW w:w="660" w:type="dxa"/>
            <w:vAlign w:val="bottom"/>
            <w:vMerge w:val="restart"/>
          </w:tcPr>
          <w:p>
            <w:pPr>
              <w:ind w:left="320"/>
              <w:spacing w:after="0"/>
              <w:rPr>
                <w:sz w:val="20"/>
                <w:szCs w:val="20"/>
                <w:color w:val="auto"/>
              </w:rPr>
            </w:pPr>
            <w:r>
              <w:rPr>
                <w:rFonts w:ascii="Arial" w:cs="Arial" w:eastAsia="Arial" w:hAnsi="Arial"/>
                <w:sz w:val="17"/>
                <w:szCs w:val="17"/>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4.7131</w:t>
            </w:r>
          </w:p>
        </w:tc>
        <w:tc>
          <w:tcPr>
            <w:tcW w:w="40" w:type="dxa"/>
            <w:vAlign w:val="bottom"/>
          </w:tcPr>
          <w:p>
            <w:pPr>
              <w:spacing w:after="0"/>
              <w:rPr>
                <w:sz w:val="18"/>
                <w:szCs w:val="18"/>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3,003,042</w:t>
            </w:r>
          </w:p>
        </w:tc>
        <w:tc>
          <w:tcPr>
            <w:tcW w:w="360" w:type="dxa"/>
            <w:vAlign w:val="bottom"/>
          </w:tcPr>
          <w:p>
            <w:pPr>
              <w:spacing w:after="0"/>
              <w:rPr>
                <w:sz w:val="18"/>
                <w:szCs w:val="18"/>
                <w:color w:val="auto"/>
              </w:rPr>
            </w:pPr>
          </w:p>
        </w:tc>
        <w:tc>
          <w:tcPr>
            <w:tcW w:w="540" w:type="dxa"/>
            <w:vAlign w:val="bottom"/>
            <w:vMerge w:val="restart"/>
          </w:tcPr>
          <w:p>
            <w:pPr>
              <w:jc w:val="center"/>
              <w:ind w:right="308"/>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Innovation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60" w:type="dxa"/>
            <w:vAlign w:val="bottom"/>
            <w:gridSpan w:val="4"/>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Spring</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3160" w:type="dxa"/>
            <w:vAlign w:val="bottom"/>
            <w:tcBorders>
              <w:top w:val="single" w:sz="8" w:color="2C2C2C"/>
              <w:bottom w:val="single" w:sz="8" w:color="2C2C2C"/>
            </w:tcBorders>
            <w:gridSpan w:val="4"/>
          </w:tcPr>
          <w:p>
            <w:pPr>
              <w:ind w:left="60"/>
              <w:spacing w:after="0"/>
              <w:rPr>
                <w:sz w:val="20"/>
                <w:szCs w:val="20"/>
                <w:color w:val="auto"/>
              </w:rPr>
            </w:pPr>
            <w:r>
              <w:rPr>
                <w:rFonts w:ascii="Arial" w:cs="Arial" w:eastAsia="Arial" w:hAnsi="Arial"/>
                <w:sz w:val="17"/>
                <w:szCs w:val="17"/>
                <w:color w:val="0000FF"/>
                <w:w w:val="96"/>
              </w:rPr>
              <w:t>Common Stock, $0.01 par value per share</w:t>
            </w:r>
          </w:p>
        </w:tc>
        <w:tc>
          <w:tcPr>
            <w:tcW w:w="5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9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2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2,765,400</w:t>
            </w:r>
            <w:r>
              <w:rPr>
                <w:rFonts w:ascii="Arial" w:cs="Arial" w:eastAsia="Arial" w:hAnsi="Arial"/>
                <w:sz w:val="22"/>
                <w:szCs w:val="22"/>
                <w:color w:val="008000"/>
                <w:w w:val="87"/>
                <w:vertAlign w:val="superscript"/>
              </w:rPr>
              <w:t>(1)</w:t>
            </w:r>
          </w:p>
        </w:tc>
        <w:tc>
          <w:tcPr>
            <w:tcW w:w="3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jc w:val="center"/>
              <w:ind w:right="13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0" w:type="dxa"/>
            <w:vAlign w:val="bottom"/>
            <w:gridSpan w:val="9"/>
          </w:tcPr>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3"/>
          </w:tcPr>
          <w:p>
            <w:pPr>
              <w:ind w:left="2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Series 1</w:t>
            </w:r>
          </w:p>
        </w:tc>
        <w:tc>
          <w:tcPr>
            <w:tcW w:w="80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1.76</w:t>
            </w:r>
          </w:p>
        </w:tc>
        <w:tc>
          <w:tcPr>
            <w:tcW w:w="1100" w:type="dxa"/>
            <w:vAlign w:val="bottom"/>
            <w:vMerge w:val="restart"/>
          </w:tcPr>
          <w:p>
            <w:pPr>
              <w:jc w:val="right"/>
              <w:ind w:right="178"/>
              <w:spacing w:after="0"/>
              <w:rPr>
                <w:sz w:val="20"/>
                <w:szCs w:val="20"/>
                <w:color w:val="auto"/>
              </w:rPr>
            </w:pPr>
            <w:r>
              <w:rPr>
                <w:rFonts w:ascii="Arial" w:cs="Arial" w:eastAsia="Arial" w:hAnsi="Arial"/>
                <w:sz w:val="13"/>
                <w:szCs w:val="13"/>
                <w:color w:val="0000FF"/>
              </w:rPr>
              <w:t>10/03/2012</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0000FF"/>
              </w:rPr>
              <w:t>X</w:t>
            </w:r>
          </w:p>
        </w:tc>
        <w:tc>
          <w:tcPr>
            <w:tcW w:w="160" w:type="dxa"/>
            <w:vAlign w:val="bottom"/>
          </w:tcPr>
          <w:p>
            <w:pPr>
              <w:spacing w:after="0"/>
              <w:rPr>
                <w:sz w:val="12"/>
                <w:szCs w:val="12"/>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3"/>
                <w:szCs w:val="13"/>
                <w:color w:val="0000FF"/>
              </w:rPr>
              <w:t>170,455</w:t>
            </w: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07/19/2012</w:t>
            </w: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07/19/2017</w:t>
            </w:r>
          </w:p>
        </w:tc>
        <w:tc>
          <w:tcPr>
            <w:tcW w:w="660" w:type="dxa"/>
            <w:vAlign w:val="bottom"/>
          </w:tcPr>
          <w:p>
            <w:pPr>
              <w:ind w:left="4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5"/>
              <w:spacing w:after="0"/>
              <w:rPr>
                <w:sz w:val="20"/>
                <w:szCs w:val="20"/>
                <w:color w:val="auto"/>
              </w:rPr>
            </w:pPr>
            <w:r>
              <w:rPr>
                <w:rFonts w:ascii="Arial" w:cs="Arial" w:eastAsia="Arial" w:hAnsi="Arial"/>
                <w:sz w:val="17"/>
                <w:szCs w:val="17"/>
                <w:color w:val="0000FF"/>
                <w:w w:val="87"/>
              </w:rPr>
              <w:t>170,455</w:t>
            </w:r>
          </w:p>
        </w:tc>
        <w:tc>
          <w:tcPr>
            <w:tcW w:w="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1.76</w:t>
            </w:r>
          </w:p>
        </w:tc>
        <w:tc>
          <w:tcPr>
            <w:tcW w:w="840" w:type="dxa"/>
            <w:vAlign w:val="bottom"/>
            <w:gridSpan w:val="2"/>
            <w:vMerge w:val="restart"/>
          </w:tcPr>
          <w:p>
            <w:pPr>
              <w:ind w:left="200"/>
              <w:spacing w:after="0"/>
              <w:rPr>
                <w:sz w:val="20"/>
                <w:szCs w:val="20"/>
                <w:color w:val="auto"/>
              </w:rPr>
            </w:pPr>
            <w:r>
              <w:rPr>
                <w:rFonts w:ascii="Arial" w:cs="Arial" w:eastAsia="Arial" w:hAnsi="Arial"/>
                <w:sz w:val="13"/>
                <w:szCs w:val="13"/>
                <w:color w:val="0000FF"/>
              </w:rPr>
              <w:t>233,429</w:t>
            </w:r>
          </w:p>
        </w:tc>
        <w:tc>
          <w:tcPr>
            <w:tcW w:w="54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00" w:type="dxa"/>
            <w:vAlign w:val="bottom"/>
          </w:tcPr>
          <w:p>
            <w:pPr>
              <w:spacing w:after="0"/>
              <w:rPr>
                <w:sz w:val="12"/>
                <w:szCs w:val="12"/>
                <w:color w:val="auto"/>
              </w:rPr>
            </w:pPr>
          </w:p>
        </w:tc>
        <w:tc>
          <w:tcPr>
            <w:tcW w:w="720" w:type="dxa"/>
            <w:vAlign w:val="bottom"/>
            <w:gridSpan w:val="3"/>
          </w:tcPr>
          <w:p>
            <w:pPr>
              <w:ind w:left="20"/>
              <w:spacing w:after="0" w:line="146" w:lineRule="exact"/>
              <w:rPr>
                <w:sz w:val="20"/>
                <w:szCs w:val="20"/>
                <w:color w:val="auto"/>
              </w:rPr>
            </w:pPr>
            <w:r>
              <w:rPr>
                <w:rFonts w:ascii="Arial" w:cs="Arial" w:eastAsia="Arial" w:hAnsi="Arial"/>
                <w:sz w:val="13"/>
                <w:szCs w:val="13"/>
                <w:color w:val="0000FF"/>
              </w:rPr>
              <w:t>Innovation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Warrants</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tcPr>
          <w:p>
            <w:pPr>
              <w:jc w:val="center"/>
              <w:ind w:right="11"/>
              <w:spacing w:after="0" w:line="141" w:lineRule="exact"/>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tcPr>
          <w:p>
            <w:pPr>
              <w:ind w:left="20"/>
              <w:spacing w:after="0" w:line="141" w:lineRule="exact"/>
              <w:rPr>
                <w:sz w:val="20"/>
                <w:szCs w:val="20"/>
                <w:color w:val="auto"/>
              </w:rPr>
            </w:pPr>
            <w:r>
              <w:rPr>
                <w:rFonts w:ascii="Arial" w:cs="Arial" w:eastAsia="Arial" w:hAnsi="Arial"/>
                <w:sz w:val="13"/>
                <w:szCs w:val="13"/>
                <w:color w:val="0000FF"/>
              </w:rPr>
              <w:t>Spring</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gridSpan w:val="3"/>
          </w:tcPr>
          <w:p>
            <w:pPr>
              <w:ind w:left="20"/>
              <w:spacing w:after="0" w:line="238" w:lineRule="exact"/>
              <w:rPr>
                <w:sz w:val="20"/>
                <w:szCs w:val="20"/>
                <w:color w:val="auto"/>
              </w:rPr>
            </w:pPr>
            <w:r>
              <w:rPr>
                <w:rFonts w:ascii="Arial" w:cs="Arial" w:eastAsia="Arial" w:hAnsi="Arial"/>
                <w:sz w:val="13"/>
                <w:szCs w:val="13"/>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3"/>
          </w:tcPr>
          <w:p>
            <w:pPr>
              <w:ind w:left="2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Series 1</w:t>
            </w:r>
          </w:p>
        </w:tc>
        <w:tc>
          <w:tcPr>
            <w:tcW w:w="80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1.76</w:t>
            </w:r>
          </w:p>
        </w:tc>
        <w:tc>
          <w:tcPr>
            <w:tcW w:w="1100" w:type="dxa"/>
            <w:vAlign w:val="bottom"/>
            <w:vMerge w:val="restart"/>
          </w:tcPr>
          <w:p>
            <w:pPr>
              <w:jc w:val="right"/>
              <w:ind w:right="178"/>
              <w:spacing w:after="0"/>
              <w:rPr>
                <w:sz w:val="20"/>
                <w:szCs w:val="20"/>
                <w:color w:val="auto"/>
              </w:rPr>
            </w:pPr>
            <w:r>
              <w:rPr>
                <w:rFonts w:ascii="Arial" w:cs="Arial" w:eastAsia="Arial" w:hAnsi="Arial"/>
                <w:sz w:val="13"/>
                <w:szCs w:val="13"/>
                <w:color w:val="0000FF"/>
              </w:rPr>
              <w:t>10/05/2012</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0000FF"/>
              </w:rPr>
              <w:t>X</w:t>
            </w:r>
          </w:p>
        </w:tc>
        <w:tc>
          <w:tcPr>
            <w:tcW w:w="160" w:type="dxa"/>
            <w:vAlign w:val="bottom"/>
          </w:tcPr>
          <w:p>
            <w:pPr>
              <w:spacing w:after="0"/>
              <w:rPr>
                <w:sz w:val="12"/>
                <w:szCs w:val="12"/>
                <w:color w:val="auto"/>
              </w:rPr>
            </w:pPr>
          </w:p>
        </w:tc>
        <w:tc>
          <w:tcPr>
            <w:tcW w:w="940" w:type="dxa"/>
            <w:vAlign w:val="bottom"/>
            <w:vMerge w:val="restart"/>
          </w:tcPr>
          <w:p>
            <w:pPr>
              <w:jc w:val="right"/>
              <w:ind w:right="79"/>
              <w:spacing w:after="0"/>
              <w:rPr>
                <w:sz w:val="20"/>
                <w:szCs w:val="20"/>
                <w:color w:val="auto"/>
              </w:rPr>
            </w:pPr>
            <w:r>
              <w:rPr>
                <w:rFonts w:ascii="Arial" w:cs="Arial" w:eastAsia="Arial" w:hAnsi="Arial"/>
                <w:sz w:val="13"/>
                <w:szCs w:val="13"/>
                <w:color w:val="0000FF"/>
              </w:rPr>
              <w:t>53,613</w:t>
            </w: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07/19/2012</w:t>
            </w: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07/19/2017</w:t>
            </w:r>
          </w:p>
        </w:tc>
        <w:tc>
          <w:tcPr>
            <w:tcW w:w="660" w:type="dxa"/>
            <w:vAlign w:val="bottom"/>
          </w:tcPr>
          <w:p>
            <w:pPr>
              <w:ind w:left="4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45"/>
              <w:spacing w:after="0"/>
              <w:rPr>
                <w:sz w:val="20"/>
                <w:szCs w:val="20"/>
                <w:color w:val="auto"/>
              </w:rPr>
            </w:pPr>
            <w:r>
              <w:rPr>
                <w:rFonts w:ascii="Arial" w:cs="Arial" w:eastAsia="Arial" w:hAnsi="Arial"/>
                <w:sz w:val="17"/>
                <w:szCs w:val="17"/>
                <w:color w:val="0000FF"/>
                <w:w w:val="96"/>
              </w:rPr>
              <w:t>53,613</w:t>
            </w:r>
          </w:p>
        </w:tc>
        <w:tc>
          <w:tcPr>
            <w:tcW w:w="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1.76</w:t>
            </w:r>
          </w:p>
        </w:tc>
        <w:tc>
          <w:tcPr>
            <w:tcW w:w="840" w:type="dxa"/>
            <w:vAlign w:val="bottom"/>
            <w:gridSpan w:val="2"/>
            <w:vMerge w:val="restart"/>
          </w:tcPr>
          <w:p>
            <w:pPr>
              <w:ind w:left="200"/>
              <w:spacing w:after="0"/>
              <w:rPr>
                <w:sz w:val="20"/>
                <w:szCs w:val="20"/>
                <w:color w:val="auto"/>
              </w:rPr>
            </w:pPr>
            <w:r>
              <w:rPr>
                <w:rFonts w:ascii="Arial" w:cs="Arial" w:eastAsia="Arial" w:hAnsi="Arial"/>
                <w:sz w:val="13"/>
                <w:szCs w:val="13"/>
                <w:color w:val="0000FF"/>
              </w:rPr>
              <w:t>179,816</w:t>
            </w:r>
          </w:p>
        </w:tc>
        <w:tc>
          <w:tcPr>
            <w:tcW w:w="54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00" w:type="dxa"/>
            <w:vAlign w:val="bottom"/>
          </w:tcPr>
          <w:p>
            <w:pPr>
              <w:spacing w:after="0"/>
              <w:rPr>
                <w:sz w:val="12"/>
                <w:szCs w:val="12"/>
                <w:color w:val="auto"/>
              </w:rPr>
            </w:pPr>
          </w:p>
        </w:tc>
        <w:tc>
          <w:tcPr>
            <w:tcW w:w="720" w:type="dxa"/>
            <w:vAlign w:val="bottom"/>
            <w:gridSpan w:val="3"/>
          </w:tcPr>
          <w:p>
            <w:pPr>
              <w:ind w:left="20"/>
              <w:spacing w:after="0" w:line="146" w:lineRule="exact"/>
              <w:rPr>
                <w:sz w:val="20"/>
                <w:szCs w:val="20"/>
                <w:color w:val="auto"/>
              </w:rPr>
            </w:pPr>
            <w:r>
              <w:rPr>
                <w:rFonts w:ascii="Arial" w:cs="Arial" w:eastAsia="Arial" w:hAnsi="Arial"/>
                <w:sz w:val="13"/>
                <w:szCs w:val="13"/>
                <w:color w:val="0000FF"/>
              </w:rPr>
              <w:t>Innovation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Warrants</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tcPr>
          <w:p>
            <w:pPr>
              <w:jc w:val="center"/>
              <w:ind w:right="11"/>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tcPr>
          <w:p>
            <w:pPr>
              <w:ind w:left="20"/>
              <w:spacing w:after="0"/>
              <w:rPr>
                <w:sz w:val="20"/>
                <w:szCs w:val="20"/>
                <w:color w:val="auto"/>
              </w:rPr>
            </w:pPr>
            <w:r>
              <w:rPr>
                <w:rFonts w:ascii="Arial" w:cs="Arial" w:eastAsia="Arial" w:hAnsi="Arial"/>
                <w:sz w:val="13"/>
                <w:szCs w:val="13"/>
                <w:color w:val="0000FF"/>
              </w:rPr>
              <w:t>Spring</w:t>
            </w:r>
          </w:p>
        </w:tc>
        <w:tc>
          <w:tcPr>
            <w:tcW w:w="0" w:type="dxa"/>
            <w:vAlign w:val="bottom"/>
          </w:tcPr>
          <w:p>
            <w:pPr>
              <w:spacing w:after="0"/>
              <w:rPr>
                <w:sz w:val="1"/>
                <w:szCs w:val="1"/>
                <w:color w:val="auto"/>
              </w:rPr>
            </w:pPr>
          </w:p>
        </w:tc>
      </w:tr>
    </w:tbl>
    <w:p>
      <w:pPr>
        <w:ind w:left="10820"/>
        <w:spacing w:after="0"/>
        <w:rPr>
          <w:sz w:val="20"/>
          <w:szCs w:val="20"/>
          <w:color w:val="auto"/>
        </w:rPr>
      </w:pPr>
      <w:r>
        <w:rPr>
          <w:rFonts w:ascii="Arial" w:cs="Arial" w:eastAsia="Arial" w:hAnsi="Arial"/>
          <w:sz w:val="13"/>
          <w:szCs w:val="13"/>
          <w:color w:val="0000FF"/>
        </w:rPr>
        <w:t>LLC</w:t>
      </w:r>
      <w:r>
        <w:rPr>
          <w:rFonts w:ascii="Arial" w:cs="Arial" w:eastAsia="Arial" w:hAnsi="Arial"/>
          <w:sz w:val="22"/>
          <w:szCs w:val="22"/>
          <w:color w:val="008000"/>
          <w:vertAlign w:val="superscript"/>
        </w:rPr>
        <w:t>(2)</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125,000 shares of common stock that are represented by restricted stock units which vest over a four-year period, with 1/8 of the restricted stock units vesting on January 26, 2013 and 1/16 of the restricted stock units vesting ratably on a quarterly basis thereafter.</w:t>
      </w:r>
    </w:p>
    <w:p>
      <w:pPr>
        <w:spacing w:after="0" w:line="21" w:lineRule="exact"/>
        <w:rPr>
          <w:rFonts w:ascii="Arial" w:cs="Arial" w:eastAsia="Arial" w:hAnsi="Arial"/>
          <w:sz w:val="13"/>
          <w:szCs w:val="13"/>
          <w:color w:val="008000"/>
        </w:rPr>
      </w:pPr>
    </w:p>
    <w:p>
      <w:pPr>
        <w:ind w:left="40" w:right="160" w:firstLine="6"/>
        <w:spacing w:after="0" w:line="246"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Lang is the manager of Innovation Spring LLC ("Innovation Spring") and has the sole power to dispose or direct the disposition of the securities held by Innovation Spring. Innovation Spring Trust is the sole member and 100% owner of Innovation Spring and has the sole power to vote or direct the vote over the securities held by Innovation Spring. Mr. Lang does not have power to vote or direct the vote over the securities held by Innovation Spring.</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48" w:orient="portrait"/>
          <w:cols w:equalWidth="0" w:num="1">
            <w:col w:w="11520"/>
          </w:cols>
          <w:pgMar w:left="240" w:top="224" w:right="139" w:bottom="0" w:gutter="0" w:footer="0" w:header="0"/>
          <w:type w:val="continuous"/>
        </w:sectPr>
      </w:pPr>
    </w:p>
    <w:p>
      <w:pPr>
        <w:spacing w:after="0" w:line="66" w:lineRule="exact"/>
        <w:rPr>
          <w:sz w:val="24"/>
          <w:szCs w:val="24"/>
          <w:color w:val="auto"/>
        </w:rPr>
      </w:pPr>
    </w:p>
    <w:p>
      <w:pPr>
        <w:ind w:left="40"/>
        <w:spacing w:after="0"/>
        <w:rPr>
          <w:sz w:val="20"/>
          <w:szCs w:val="20"/>
          <w:color w:val="auto"/>
        </w:rPr>
      </w:pPr>
      <w:r>
        <w:rPr>
          <w:rFonts w:ascii="Arial" w:cs="Arial" w:eastAsia="Arial" w:hAnsi="Arial"/>
          <w:sz w:val="11"/>
          <w:szCs w:val="11"/>
          <w:color w:val="008000"/>
        </w:rPr>
        <w:t>The transactions reported in this Form 4 were effected pursuant to a Rule 10b5-1 trading plan adopted by the reporting person on August 31, 2012.</w:t>
      </w:r>
    </w:p>
    <w:p>
      <w:pPr>
        <w:sectPr>
          <w:pgSz w:w="11900" w:h="16848" w:orient="portrait"/>
          <w:cols w:equalWidth="0" w:num="1">
            <w:col w:w="11520"/>
          </w:cols>
          <w:pgMar w:left="240" w:top="224"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18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Andrew Kennedy Lang</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10/05/2012</w:t>
            </w:r>
          </w:p>
        </w:tc>
      </w:tr>
      <w:tr>
        <w:trPr>
          <w:trHeight w:val="230"/>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2539" w:firstLine="6"/>
        <w:spacing w:after="0" w:line="316"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67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2019-12-17T07:03:50Z</dcterms:created>
  <dcterms:modified xsi:type="dcterms:W3CDTF">2019-12-17T07:03:50Z</dcterms:modified>
</cp:coreProperties>
</file>