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028690"/>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5"/>
            <w:vMerge w:val="restart"/>
          </w:tcPr>
          <w:p>
            <w:pPr>
              <w:ind w:left="20"/>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Bernstein Bruce</w:t>
              </w:r>
            </w:hyperlink>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tcPr>
          <w:p>
            <w:pPr>
              <w:ind w:left="60"/>
              <w:spacing w:after="0" w:line="105" w:lineRule="exact"/>
              <w:rPr>
                <w:rFonts w:ascii="Arial" w:cs="Arial" w:eastAsia="Arial" w:hAnsi="Arial"/>
                <w:sz w:val="11"/>
                <w:szCs w:val="11"/>
                <w:color w:val="0000EE"/>
              </w:rPr>
            </w:pPr>
            <w:hyperlink r:id="rId13">
              <w:r>
                <w:rPr>
                  <w:rFonts w:ascii="Arial" w:cs="Arial" w:eastAsia="Arial" w:hAnsi="Arial"/>
                  <w:sz w:val="11"/>
                  <w:szCs w:val="11"/>
                  <w:color w:val="0000EE"/>
                </w:rPr>
                <w:t xml:space="preserve">FORM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10"/>
                <w:szCs w:val="10"/>
                <w:color w:val="0000FF"/>
              </w:rPr>
              <w:t>FH</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5"/>
            <w:vMerge w:val="continue"/>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72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7"/>
                <w:szCs w:val="7"/>
                <w:color w:val="auto"/>
              </w:rPr>
            </w:pPr>
          </w:p>
        </w:tc>
        <w:tc>
          <w:tcPr>
            <w:tcW w:w="154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36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0"/>
                <w:szCs w:val="10"/>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continue"/>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ind w:left="180"/>
              <w:spacing w:after="0" w:line="123" w:lineRule="exact"/>
              <w:rPr>
                <w:sz w:val="20"/>
                <w:szCs w:val="20"/>
                <w:color w:val="auto"/>
              </w:rPr>
            </w:pPr>
            <w:r>
              <w:rPr>
                <w:rFonts w:ascii="Arial" w:cs="Arial" w:eastAsia="Arial" w:hAnsi="Arial"/>
                <w:sz w:val="13"/>
                <w:szCs w:val="13"/>
                <w:color w:val="auto"/>
              </w:rPr>
              <w:t>below)</w:t>
            </w: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2"/>
          </w:tcPr>
          <w:p>
            <w:pPr>
              <w:ind w:left="260"/>
              <w:spacing w:after="0" w:line="123"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480" w:type="dxa"/>
            <w:vAlign w:val="bottom"/>
            <w:gridSpan w:val="6"/>
            <w:vMerge w:val="restart"/>
          </w:tcPr>
          <w:p>
            <w:pPr>
              <w:ind w:left="300"/>
              <w:spacing w:after="0"/>
              <w:rPr>
                <w:sz w:val="20"/>
                <w:szCs w:val="20"/>
                <w:color w:val="auto"/>
              </w:rPr>
            </w:pPr>
            <w:r>
              <w:rPr>
                <w:rFonts w:ascii="Arial" w:cs="Arial" w:eastAsia="Arial" w:hAnsi="Arial"/>
                <w:sz w:val="17"/>
                <w:szCs w:val="17"/>
                <w:color w:val="0000FF"/>
              </w:rPr>
              <w:t>12/03/2015</w:t>
            </w: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FORM HOLDINGS CORP.,</w:t>
            </w:r>
          </w:p>
        </w:tc>
        <w:tc>
          <w:tcPr>
            <w:tcW w:w="114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20" w:type="dxa"/>
            <w:vAlign w:val="bottom"/>
            <w:gridSpan w:val="6"/>
            <w:vMerge w:val="continue"/>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60" w:type="dxa"/>
            <w:vAlign w:val="bottom"/>
            <w:gridSpan w:val="7"/>
            <w:vMerge w:val="restart"/>
          </w:tcPr>
          <w:p>
            <w:pPr>
              <w:ind w:left="20"/>
              <w:spacing w:after="0"/>
              <w:rPr>
                <w:sz w:val="20"/>
                <w:szCs w:val="20"/>
                <w:color w:val="auto"/>
              </w:rPr>
            </w:pPr>
            <w:r>
              <w:rPr>
                <w:rFonts w:ascii="Arial" w:cs="Arial" w:eastAsia="Arial" w:hAnsi="Arial"/>
                <w:sz w:val="17"/>
                <w:szCs w:val="17"/>
                <w:color w:val="0000FF"/>
              </w:rPr>
              <w:t>780 THIRD AVENUE, 12TH FLOOR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7"/>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9"/>
            <w:vMerge w:val="restart"/>
          </w:tcPr>
          <w:p>
            <w:pPr>
              <w:jc w:val="center"/>
              <w:ind w:right="136"/>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8"/>
                <w:szCs w:val="8"/>
                <w:color w:val="auto"/>
              </w:rPr>
            </w:pPr>
          </w:p>
        </w:tc>
        <w:tc>
          <w:tcPr>
            <w:tcW w:w="354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34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400" w:type="dxa"/>
            <w:vAlign w:val="bottom"/>
            <w:gridSpan w:val="6"/>
          </w:tcPr>
          <w:p>
            <w:pPr>
              <w:ind w:left="180"/>
              <w:spacing w:after="0"/>
              <w:rPr>
                <w:sz w:val="20"/>
                <w:szCs w:val="20"/>
                <w:color w:val="auto"/>
              </w:rPr>
            </w:pPr>
            <w:r>
              <w:rPr>
                <w:rFonts w:ascii="Arial" w:cs="Arial" w:eastAsia="Arial" w:hAnsi="Arial"/>
                <w:sz w:val="13"/>
                <w:szCs w:val="13"/>
                <w:color w:val="auto"/>
              </w:rPr>
              <w:t>Form filed by One Reporting Person</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260" w:type="dxa"/>
            <w:vAlign w:val="bottom"/>
            <w:gridSpan w:val="3"/>
          </w:tcPr>
          <w:p>
            <w:pPr>
              <w:ind w:left="40"/>
              <w:spacing w:after="0"/>
              <w:rPr>
                <w:sz w:val="20"/>
                <w:szCs w:val="20"/>
                <w:color w:val="auto"/>
              </w:rPr>
            </w:pPr>
            <w:r>
              <w:rPr>
                <w:rFonts w:ascii="Arial" w:cs="Arial" w:eastAsia="Arial" w:hAnsi="Arial"/>
                <w:sz w:val="17"/>
                <w:szCs w:val="17"/>
                <w:color w:val="0000FF"/>
              </w:rPr>
              <w:t>NY</w:t>
            </w:r>
          </w:p>
        </w:tc>
        <w:tc>
          <w:tcPr>
            <w:tcW w:w="1140" w:type="dxa"/>
            <w:vAlign w:val="bottom"/>
          </w:tcPr>
          <w:p>
            <w:pPr>
              <w:ind w:left="40"/>
              <w:spacing w:after="0"/>
              <w:rPr>
                <w:sz w:val="20"/>
                <w:szCs w:val="20"/>
                <w:color w:val="auto"/>
              </w:rPr>
            </w:pPr>
            <w:r>
              <w:rPr>
                <w:rFonts w:ascii="Arial" w:cs="Arial" w:eastAsia="Arial" w:hAnsi="Arial"/>
                <w:sz w:val="17"/>
                <w:szCs w:val="17"/>
                <w:color w:val="0000FF"/>
              </w:rPr>
              <w:t>10017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180"/>
              <w:spacing w:after="0" w:line="132" w:lineRule="exact"/>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5"/>
          </w:tcPr>
          <w:p>
            <w:pPr>
              <w:spacing w:after="0"/>
              <w:rPr>
                <w:sz w:val="10"/>
                <w:szCs w:val="10"/>
                <w:color w:val="auto"/>
              </w:rPr>
            </w:pPr>
          </w:p>
        </w:tc>
        <w:tc>
          <w:tcPr>
            <w:tcW w:w="198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8"/>
          </w:tcPr>
          <w:p>
            <w:pPr>
              <w:jc w:val="center"/>
              <w:ind w:left="65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21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5"/>
          </w:tcPr>
          <w:p>
            <w:pPr>
              <w:ind w:left="720"/>
              <w:spacing w:after="0" w:line="131"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gridSpan w:val="2"/>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80" w:type="dxa"/>
            <w:vAlign w:val="bottom"/>
            <w:gridSpan w:val="5"/>
          </w:tcPr>
          <w:p>
            <w:pPr>
              <w:ind w:left="820"/>
              <w:spacing w:after="0"/>
              <w:rPr>
                <w:sz w:val="20"/>
                <w:szCs w:val="20"/>
                <w:color w:val="auto"/>
              </w:rPr>
            </w:pPr>
            <w:r>
              <w:rPr>
                <w:rFonts w:ascii="Arial" w:cs="Arial" w:eastAsia="Arial" w:hAnsi="Arial"/>
                <w:sz w:val="17"/>
                <w:szCs w:val="17"/>
                <w:color w:val="0000FF"/>
              </w:rPr>
              <w:t>12/03/2015</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3"/>
                <w:szCs w:val="13"/>
                <w:color w:val="0000FF"/>
                <w:w w:val="91"/>
              </w:rPr>
              <w:t>A</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2,500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3.16</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tcPr>
          <w:p>
            <w:pPr>
              <w:jc w:val="center"/>
              <w:ind w:right="219"/>
              <w:spacing w:after="0"/>
              <w:rPr>
                <w:sz w:val="20"/>
                <w:szCs w:val="20"/>
                <w:color w:val="auto"/>
              </w:rPr>
            </w:pPr>
            <w:r>
              <w:rPr>
                <w:rFonts w:ascii="Arial" w:cs="Arial" w:eastAsia="Arial" w:hAnsi="Arial"/>
                <w:sz w:val="17"/>
                <w:szCs w:val="17"/>
                <w:color w:val="0000FF"/>
                <w:w w:val="93"/>
              </w:rPr>
              <w:t>2,500</w:t>
            </w:r>
          </w:p>
        </w:tc>
        <w:tc>
          <w:tcPr>
            <w:tcW w:w="36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80" w:type="dxa"/>
            <w:vAlign w:val="bottom"/>
            <w:gridSpan w:val="5"/>
            <w:vMerge w:val="restart"/>
          </w:tcPr>
          <w:p>
            <w:pPr>
              <w:ind w:left="820"/>
              <w:spacing w:after="0"/>
              <w:rPr>
                <w:sz w:val="20"/>
                <w:szCs w:val="20"/>
                <w:color w:val="auto"/>
              </w:rPr>
            </w:pPr>
            <w:r>
              <w:rPr>
                <w:rFonts w:ascii="Arial" w:cs="Arial" w:eastAsia="Arial" w:hAnsi="Arial"/>
                <w:sz w:val="17"/>
                <w:szCs w:val="17"/>
                <w:color w:val="0000FF"/>
              </w:rPr>
              <w:t>12/23/2016</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3"/>
                <w:szCs w:val="13"/>
                <w:color w:val="0000FF"/>
                <w:w w:val="91"/>
              </w:rPr>
              <w:t>A</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258,712</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center"/>
              <w:spacing w:after="0"/>
              <w:rPr>
                <w:sz w:val="20"/>
                <w:szCs w:val="20"/>
                <w:color w:val="auto"/>
              </w:rPr>
            </w:pPr>
            <w:r>
              <w:rPr>
                <w:rFonts w:ascii="Arial" w:cs="Arial" w:eastAsia="Arial" w:hAnsi="Arial"/>
                <w:sz w:val="34"/>
                <w:szCs w:val="34"/>
                <w:color w:val="000000"/>
                <w:w w:val="84"/>
                <w:vertAlign w:val="subscript"/>
              </w:rPr>
              <w:t>$</w:t>
            </w: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(1)(2)</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vMerge w:val="restart"/>
          </w:tcPr>
          <w:p>
            <w:pPr>
              <w:jc w:val="center"/>
              <w:ind w:right="219"/>
              <w:spacing w:after="0"/>
              <w:rPr>
                <w:sz w:val="20"/>
                <w:szCs w:val="20"/>
                <w:color w:val="auto"/>
              </w:rPr>
            </w:pPr>
            <w:r>
              <w:rPr>
                <w:rFonts w:ascii="Arial" w:cs="Arial" w:eastAsia="Arial" w:hAnsi="Arial"/>
                <w:sz w:val="17"/>
                <w:szCs w:val="17"/>
                <w:color w:val="0000FF"/>
                <w:w w:val="91"/>
              </w:rPr>
              <w:t>293,302</w:t>
            </w:r>
          </w:p>
        </w:tc>
        <w:tc>
          <w:tcPr>
            <w:tcW w:w="36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(6)</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gridSpan w:val="2"/>
            <w:vMerge w:val="continue"/>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80" w:type="dxa"/>
            <w:vAlign w:val="bottom"/>
            <w:gridSpan w:val="5"/>
            <w:vMerge w:val="restart"/>
          </w:tcPr>
          <w:p>
            <w:pPr>
              <w:ind w:left="820"/>
              <w:spacing w:after="0"/>
              <w:rPr>
                <w:sz w:val="20"/>
                <w:szCs w:val="20"/>
                <w:color w:val="auto"/>
              </w:rPr>
            </w:pPr>
            <w:r>
              <w:rPr>
                <w:rFonts w:ascii="Arial" w:cs="Arial" w:eastAsia="Arial" w:hAnsi="Arial"/>
                <w:sz w:val="17"/>
                <w:szCs w:val="17"/>
                <w:color w:val="0000FF"/>
              </w:rPr>
              <w:t>01/20/2017</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3"/>
                <w:szCs w:val="13"/>
                <w:color w:val="0000FF"/>
                <w:w w:val="91"/>
              </w:rPr>
              <w:t>A</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84,243</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center"/>
              <w:spacing w:after="0"/>
              <w:rPr>
                <w:sz w:val="20"/>
                <w:szCs w:val="20"/>
                <w:color w:val="auto"/>
              </w:rPr>
            </w:pPr>
            <w:r>
              <w:rPr>
                <w:rFonts w:ascii="Arial" w:cs="Arial" w:eastAsia="Arial" w:hAnsi="Arial"/>
                <w:sz w:val="34"/>
                <w:szCs w:val="34"/>
                <w:color w:val="000000"/>
                <w:w w:val="76"/>
                <w:vertAlign w:val="subscript"/>
              </w:rPr>
              <w:t>$</w:t>
            </w:r>
            <w:r>
              <w:rPr>
                <w:rFonts w:ascii="Arial" w:cs="Arial" w:eastAsia="Arial" w:hAnsi="Arial"/>
                <w:sz w:val="34"/>
                <w:szCs w:val="34"/>
                <w:color w:val="0000FF"/>
                <w:w w:val="76"/>
                <w:vertAlign w:val="subscript"/>
              </w:rPr>
              <w:t>2.31</w:t>
            </w:r>
            <w:r>
              <w:rPr>
                <w:rFonts w:ascii="Arial" w:cs="Arial" w:eastAsia="Arial" w:hAnsi="Arial"/>
                <w:sz w:val="11"/>
                <w:szCs w:val="11"/>
                <w:color w:val="008000"/>
                <w:w w:val="76"/>
              </w:rPr>
              <w:t>(1)(2)</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vMerge w:val="restart"/>
          </w:tcPr>
          <w:p>
            <w:pPr>
              <w:jc w:val="center"/>
              <w:ind w:right="219"/>
              <w:spacing w:after="0"/>
              <w:rPr>
                <w:sz w:val="20"/>
                <w:szCs w:val="20"/>
                <w:color w:val="auto"/>
              </w:rPr>
            </w:pPr>
            <w:r>
              <w:rPr>
                <w:rFonts w:ascii="Arial" w:cs="Arial" w:eastAsia="Arial" w:hAnsi="Arial"/>
                <w:sz w:val="17"/>
                <w:szCs w:val="17"/>
                <w:color w:val="0000FF"/>
                <w:w w:val="91"/>
              </w:rPr>
              <w:t>377,545</w:t>
            </w:r>
          </w:p>
        </w:tc>
        <w:tc>
          <w:tcPr>
            <w:tcW w:w="36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151"/>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20" w:type="dxa"/>
            <w:vAlign w:val="bottom"/>
            <w:gridSpan w:val="17"/>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0" w:type="dxa"/>
            <w:vAlign w:val="bottom"/>
            <w:gridSpan w:val="15"/>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6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6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8"/>
              </w:rPr>
              <w:t>of (D) (Instr. 3,</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4 and 5)</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w w:val="99"/>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ind w:right="340"/>
              <w:spacing w:after="0" w:line="131"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8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of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3"/>
          </w:tcPr>
          <w:p>
            <w:pPr>
              <w:ind w:left="60"/>
              <w:spacing w:after="0" w:line="127" w:lineRule="exact"/>
              <w:rPr>
                <w:sz w:val="20"/>
                <w:szCs w:val="20"/>
                <w:color w:val="auto"/>
              </w:rPr>
            </w:pPr>
            <w:r>
              <w:rPr>
                <w:rFonts w:ascii="Arial" w:cs="Arial" w:eastAsia="Arial" w:hAnsi="Arial"/>
                <w:sz w:val="13"/>
                <w:szCs w:val="13"/>
                <w:color w:val="0000FF"/>
              </w:rPr>
              <w:t>Convertible</w:t>
            </w:r>
          </w:p>
        </w:tc>
        <w:tc>
          <w:tcPr>
            <w:tcW w:w="580" w:type="dxa"/>
            <w:vAlign w:val="bottom"/>
            <w:vMerge w:val="restart"/>
          </w:tcPr>
          <w:p>
            <w:pPr>
              <w:jc w:val="center"/>
              <w:ind w:left="14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92"/>
              </w:rPr>
              <w:t>12/23/2016</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3"/>
            <w:vMerge w:val="restart"/>
          </w:tcPr>
          <w:p>
            <w:pPr>
              <w:ind w:left="4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4"/>
              </w:rPr>
              <w:t>51,203</w:t>
            </w:r>
            <w:r>
              <w:rPr>
                <w:rFonts w:ascii="Arial" w:cs="Arial" w:eastAsia="Arial" w:hAnsi="Arial"/>
                <w:sz w:val="21"/>
                <w:szCs w:val="21"/>
                <w:color w:val="008000"/>
                <w:w w:val="84"/>
                <w:vertAlign w:val="superscript"/>
              </w:rPr>
              <w:t>(3)</w:t>
            </w:r>
          </w:p>
        </w:tc>
        <w:tc>
          <w:tcPr>
            <w:tcW w:w="240" w:type="dxa"/>
            <w:vAlign w:val="bottom"/>
          </w:tcPr>
          <w:p>
            <w:pPr>
              <w:spacing w:after="0"/>
              <w:rPr>
                <w:sz w:val="11"/>
                <w:szCs w:val="11"/>
                <w:color w:val="auto"/>
              </w:rPr>
            </w:pPr>
          </w:p>
        </w:tc>
        <w:tc>
          <w:tcPr>
            <w:tcW w:w="800" w:type="dxa"/>
            <w:vAlign w:val="bottom"/>
            <w:gridSpan w:val="2"/>
            <w:vMerge w:val="restart"/>
          </w:tcPr>
          <w:p>
            <w:pPr>
              <w:jc w:val="center"/>
              <w:ind w:left="19"/>
              <w:spacing w:after="0"/>
              <w:rPr>
                <w:sz w:val="20"/>
                <w:szCs w:val="20"/>
                <w:color w:val="auto"/>
              </w:rPr>
            </w:pPr>
            <w:r>
              <w:rPr>
                <w:rFonts w:ascii="Arial" w:cs="Arial" w:eastAsia="Arial" w:hAnsi="Arial"/>
                <w:sz w:val="13"/>
                <w:szCs w:val="13"/>
                <w:color w:val="0000FF"/>
                <w:w w:val="92"/>
              </w:rPr>
              <w:t>12/23/2016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00" w:type="dxa"/>
            <w:vAlign w:val="bottom"/>
          </w:tcPr>
          <w:p>
            <w:pPr>
              <w:ind w:left="80"/>
              <w:spacing w:after="0" w:line="127" w:lineRule="exact"/>
              <w:rPr>
                <w:sz w:val="20"/>
                <w:szCs w:val="20"/>
                <w:color w:val="auto"/>
              </w:rPr>
            </w:pPr>
            <w:r>
              <w:rPr>
                <w:rFonts w:ascii="Arial" w:cs="Arial" w:eastAsia="Arial" w:hAnsi="Arial"/>
                <w:sz w:val="13"/>
                <w:szCs w:val="13"/>
                <w:color w:val="0000FF"/>
                <w:w w:val="94"/>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409,624</w:t>
            </w:r>
          </w:p>
        </w:tc>
        <w:tc>
          <w:tcPr>
            <w:tcW w:w="40" w:type="dxa"/>
            <w:vAlign w:val="bottom"/>
          </w:tcPr>
          <w:p>
            <w:pPr>
              <w:spacing w:after="0"/>
              <w:rPr>
                <w:sz w:val="11"/>
                <w:szCs w:val="11"/>
                <w:color w:val="auto"/>
              </w:rPr>
            </w:pPr>
          </w:p>
        </w:tc>
        <w:tc>
          <w:tcPr>
            <w:tcW w:w="720" w:type="dxa"/>
            <w:vAlign w:val="bottom"/>
            <w:gridSpan w:val="2"/>
            <w:vMerge w:val="restart"/>
          </w:tcPr>
          <w:p>
            <w:pPr>
              <w:jc w:val="right"/>
              <w:ind w:right="143"/>
              <w:spacing w:after="0" w:line="288"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(1)(2)</w:t>
            </w: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54,640</w:t>
            </w:r>
          </w:p>
        </w:tc>
        <w:tc>
          <w:tcPr>
            <w:tcW w:w="540" w:type="dxa"/>
            <w:vAlign w:val="bottom"/>
            <w:vMerge w:val="restart"/>
          </w:tcPr>
          <w:p>
            <w:pPr>
              <w:jc w:val="center"/>
              <w:ind w:left="233"/>
              <w:spacing w:after="0"/>
              <w:rPr>
                <w:sz w:val="20"/>
                <w:szCs w:val="20"/>
                <w:color w:val="auto"/>
              </w:rPr>
            </w:pPr>
            <w:r>
              <w:rPr>
                <w:rFonts w:ascii="Arial" w:cs="Arial" w:eastAsia="Arial" w:hAnsi="Arial"/>
                <w:sz w:val="13"/>
                <w:szCs w:val="13"/>
                <w:color w:val="0000FF"/>
              </w:rPr>
              <w:t>I</w:t>
            </w:r>
          </w:p>
        </w:tc>
        <w:tc>
          <w:tcPr>
            <w:tcW w:w="3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3"/>
          </w:tcPr>
          <w:p>
            <w:pPr>
              <w:ind w:left="20"/>
              <w:spacing w:after="0" w:line="162" w:lineRule="exact"/>
              <w:rPr>
                <w:sz w:val="20"/>
                <w:szCs w:val="20"/>
                <w:color w:val="auto"/>
              </w:rPr>
            </w:pPr>
            <w:r>
              <w:rPr>
                <w:rFonts w:ascii="Arial" w:cs="Arial" w:eastAsia="Arial" w:hAnsi="Arial"/>
                <w:sz w:val="12"/>
                <w:szCs w:val="12"/>
                <w:color w:val="0000FF"/>
              </w:rPr>
              <w:t>Footnote</w:t>
            </w:r>
            <w:r>
              <w:rPr>
                <w:rFonts w:ascii="Arial" w:cs="Arial" w:eastAsia="Arial" w:hAnsi="Arial"/>
                <w:sz w:val="18"/>
                <w:szCs w:val="18"/>
                <w:color w:val="008000"/>
                <w:vertAlign w:val="superscript"/>
              </w:rPr>
              <w:t>(6)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Warrant</w:t>
            </w:r>
          </w:p>
        </w:tc>
        <w:tc>
          <w:tcPr>
            <w:tcW w:w="580" w:type="dxa"/>
            <w:vAlign w:val="bottom"/>
            <w:vMerge w:val="restart"/>
          </w:tcPr>
          <w:p>
            <w:pPr>
              <w:jc w:val="center"/>
              <w:ind w:left="14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92"/>
              </w:rPr>
              <w:t>12/23/2016</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3"/>
            <w:vMerge w:val="restart"/>
          </w:tcPr>
          <w:p>
            <w:pPr>
              <w:ind w:left="4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3"/>
              </w:rPr>
              <w:t>258,712</w:t>
            </w:r>
          </w:p>
        </w:tc>
        <w:tc>
          <w:tcPr>
            <w:tcW w:w="240" w:type="dxa"/>
            <w:vAlign w:val="bottom"/>
          </w:tcPr>
          <w:p>
            <w:pPr>
              <w:spacing w:after="0"/>
              <w:rPr>
                <w:sz w:val="15"/>
                <w:szCs w:val="15"/>
                <w:color w:val="auto"/>
              </w:rPr>
            </w:pPr>
          </w:p>
        </w:tc>
        <w:tc>
          <w:tcPr>
            <w:tcW w:w="800" w:type="dxa"/>
            <w:vAlign w:val="bottom"/>
            <w:gridSpan w:val="2"/>
            <w:vMerge w:val="restart"/>
          </w:tcPr>
          <w:p>
            <w:pPr>
              <w:jc w:val="center"/>
              <w:ind w:left="19"/>
              <w:spacing w:after="0"/>
              <w:rPr>
                <w:sz w:val="20"/>
                <w:szCs w:val="20"/>
                <w:color w:val="auto"/>
              </w:rPr>
            </w:pPr>
            <w:r>
              <w:rPr>
                <w:rFonts w:ascii="Arial" w:cs="Arial" w:eastAsia="Arial" w:hAnsi="Arial"/>
                <w:sz w:val="13"/>
                <w:szCs w:val="13"/>
                <w:color w:val="0000FF"/>
                <w:w w:val="92"/>
              </w:rPr>
              <w:t>12/23/2016</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2"/>
              </w:rPr>
              <w:t>12/23/2021</w:t>
            </w:r>
          </w:p>
        </w:tc>
        <w:tc>
          <w:tcPr>
            <w:tcW w:w="600" w:type="dxa"/>
            <w:vAlign w:val="bottom"/>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258,712</w:t>
            </w:r>
          </w:p>
        </w:tc>
        <w:tc>
          <w:tcPr>
            <w:tcW w:w="4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vMerge w:val="restart"/>
          </w:tcPr>
          <w:p>
            <w:pPr>
              <w:jc w:val="right"/>
              <w:ind w:right="143"/>
              <w:spacing w:after="0"/>
              <w:rPr>
                <w:sz w:val="20"/>
                <w:szCs w:val="20"/>
                <w:color w:val="auto"/>
              </w:rPr>
            </w:pPr>
            <w:r>
              <w:rPr>
                <w:rFonts w:ascii="Arial" w:cs="Arial" w:eastAsia="Arial" w:hAnsi="Arial"/>
                <w:sz w:val="11"/>
                <w:szCs w:val="11"/>
                <w:color w:val="008000"/>
                <w:w w:val="89"/>
              </w:rPr>
              <w:t>(1)(2)</w:t>
            </w: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276,074</w:t>
            </w:r>
          </w:p>
        </w:tc>
        <w:tc>
          <w:tcPr>
            <w:tcW w:w="540" w:type="dxa"/>
            <w:vAlign w:val="bottom"/>
            <w:vMerge w:val="restart"/>
          </w:tcPr>
          <w:p>
            <w:pPr>
              <w:jc w:val="center"/>
              <w:ind w:left="233"/>
              <w:spacing w:after="0"/>
              <w:rPr>
                <w:sz w:val="20"/>
                <w:szCs w:val="20"/>
                <w:color w:val="auto"/>
              </w:rPr>
            </w:pPr>
            <w:r>
              <w:rPr>
                <w:rFonts w:ascii="Arial" w:cs="Arial" w:eastAsia="Arial" w:hAnsi="Arial"/>
                <w:sz w:val="13"/>
                <w:szCs w:val="13"/>
                <w:color w:val="0000FF"/>
              </w:rPr>
              <w:t>I</w:t>
            </w:r>
          </w:p>
        </w:tc>
        <w:tc>
          <w:tcPr>
            <w:tcW w:w="30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tcPr>
          <w:p>
            <w:pPr>
              <w:jc w:val="center"/>
              <w:spacing w:after="0" w:line="66" w:lineRule="exact"/>
              <w:rPr>
                <w:sz w:val="20"/>
                <w:szCs w:val="20"/>
                <w:color w:val="auto"/>
              </w:rPr>
            </w:pPr>
            <w:r>
              <w:rPr>
                <w:rFonts w:ascii="Arial" w:cs="Arial" w:eastAsia="Arial" w:hAnsi="Arial"/>
                <w:sz w:val="7"/>
                <w:szCs w:val="7"/>
                <w:color w:val="0000FF"/>
              </w:rPr>
              <w:t>Stock</w:t>
            </w:r>
          </w:p>
        </w:tc>
        <w:tc>
          <w:tcPr>
            <w:tcW w:w="7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3"/>
          </w:tcPr>
          <w:p>
            <w:pPr>
              <w:ind w:left="20"/>
              <w:spacing w:after="0" w:line="66"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Borders>
              <w:bottom w:val="single" w:sz="8" w:color="2C2C2C"/>
            </w:tcBorders>
            <w:gridSpan w:val="2"/>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vMerge w:val="restart"/>
          </w:tcPr>
          <w:p>
            <w:pPr>
              <w:jc w:val="center"/>
              <w:ind w:left="141"/>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2.12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92"/>
              </w:rPr>
              <w:t>01/17/2017</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gridSpan w:val="3"/>
            <w:vMerge w:val="restart"/>
          </w:tcPr>
          <w:p>
            <w:pPr>
              <w:ind w:left="4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0"/>
              </w:rPr>
              <w:t>85,000</w:t>
            </w:r>
          </w:p>
        </w:tc>
        <w:tc>
          <w:tcPr>
            <w:tcW w:w="240" w:type="dxa"/>
            <w:vAlign w:val="bottom"/>
          </w:tcPr>
          <w:p>
            <w:pPr>
              <w:spacing w:after="0"/>
              <w:rPr>
                <w:sz w:val="16"/>
                <w:szCs w:val="16"/>
                <w:color w:val="auto"/>
              </w:rPr>
            </w:pPr>
          </w:p>
        </w:tc>
        <w:tc>
          <w:tcPr>
            <w:tcW w:w="520" w:type="dxa"/>
            <w:vAlign w:val="bottom"/>
            <w:vMerge w:val="restart"/>
          </w:tcPr>
          <w:p>
            <w:pPr>
              <w:jc w:val="center"/>
              <w:ind w:left="299"/>
              <w:spacing w:after="0"/>
              <w:rPr>
                <w:sz w:val="20"/>
                <w:szCs w:val="20"/>
                <w:color w:val="auto"/>
              </w:rPr>
            </w:pPr>
            <w:r>
              <w:rPr>
                <w:rFonts w:ascii="Arial" w:cs="Arial" w:eastAsia="Arial" w:hAnsi="Arial"/>
                <w:sz w:val="11"/>
                <w:szCs w:val="11"/>
                <w:color w:val="008000"/>
                <w:w w:val="88"/>
              </w:rPr>
              <w:t>(4)</w:t>
            </w:r>
          </w:p>
        </w:tc>
        <w:tc>
          <w:tcPr>
            <w:tcW w:w="28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2"/>
              </w:rPr>
              <w:t>01/17/2027</w:t>
            </w:r>
          </w:p>
        </w:tc>
        <w:tc>
          <w:tcPr>
            <w:tcW w:w="600" w:type="dxa"/>
            <w:vAlign w:val="bottom"/>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85,000</w:t>
            </w:r>
          </w:p>
        </w:tc>
        <w:tc>
          <w:tcPr>
            <w:tcW w:w="40" w:type="dxa"/>
            <w:vAlign w:val="bottom"/>
          </w:tcPr>
          <w:p>
            <w:pPr>
              <w:spacing w:after="0"/>
              <w:rPr>
                <w:sz w:val="16"/>
                <w:szCs w:val="16"/>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(5)</w:t>
            </w: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85,000</w:t>
            </w:r>
          </w:p>
        </w:tc>
        <w:tc>
          <w:tcPr>
            <w:tcW w:w="540" w:type="dxa"/>
            <w:vAlign w:val="bottom"/>
            <w:vMerge w:val="restart"/>
          </w:tcPr>
          <w:p>
            <w:pPr>
              <w:jc w:val="center"/>
              <w:ind w:left="213"/>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w:t>
            </w: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40" w:right="200" w:firstLine="4"/>
        <w:spacing w:after="0" w:line="237"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Agreement and Plan of Merger, dated as of August 8, 2016, among FORM Holdings Corp., FHXMS, LLC, XpresSpa Holdings LLC ("XpresSpa"), Mistral XH Representative, LLC, as Unitholders' Representative, and certain XpresSpa unitholders, as amended (the "Merger Agreement"), as of the date of this filing, 283,802 shares of Series D Convertible Preferred Stock have been deposited into various escrow accounts for a period of 18 months, or such other term related to specific escrows, to cover certain indemnification claims that may be made pursuant to the Merger Agreement. For the purposes of this filing, the Reporting Person has assumed that all shares held in escrow are released to the former holders of XpresSpa (and such shares, to the extent allocable to the Reporting Person pursuant to the Merger Agreement, have been included in his beneficial ownership for purposes of this filing).</w:t>
      </w:r>
    </w:p>
    <w:p>
      <w:pPr>
        <w:spacing w:after="0" w:line="34" w:lineRule="exact"/>
        <w:rPr>
          <w:rFonts w:ascii="Arial" w:cs="Arial" w:eastAsia="Arial" w:hAnsi="Arial"/>
          <w:sz w:val="13"/>
          <w:szCs w:val="13"/>
          <w:color w:val="008000"/>
        </w:rPr>
      </w:pPr>
    </w:p>
    <w:p>
      <w:pPr>
        <w:ind w:left="40" w:right="56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258,712 shares of common stock were acquired in connection with the closing of the merger that was completed on December 23, 2016, which shares havebeen issued but not yet delivered. 84,243 shares of common stock were purchased in a private placement at a purchase price of $2.31 per share.</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D Convertible Preferred Stock matures seven years after the date of issuance and the Issuer will pay the holders in cash, shares of common stock, or any combination thereof.</w:t>
      </w:r>
    </w:p>
    <w:p>
      <w:pPr>
        <w:spacing w:after="0" w:line="46" w:lineRule="exact"/>
        <w:rPr>
          <w:rFonts w:ascii="Arial" w:cs="Arial" w:eastAsia="Arial" w:hAnsi="Arial"/>
          <w:sz w:val="13"/>
          <w:szCs w:val="13"/>
          <w:color w:val="008000"/>
        </w:rPr>
      </w:pPr>
    </w:p>
    <w:p>
      <w:pPr>
        <w:ind w:left="40" w:right="40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to purchase shares of common stock of the Issuer vest in equal quarterly installments over a one-year period, with one-fourth vesting on the date of grant and one-fourth vesting at the end of each fiscal quarter thereafter</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were issued as part of the Issuer's annual equity compensation to non-employee directors.</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held by Rockmore Investment Master Fund Ltd., an investment entity controlled by Bruce T. Bernstein.</w:t>
      </w:r>
    </w:p>
    <w:p>
      <w:pPr>
        <w:spacing w:after="0" w:line="5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0000FF"/>
                <w:w w:val="90"/>
              </w:rPr>
              <w:t>/s/ Bruce Bernstein</w:t>
            </w:r>
          </w:p>
        </w:tc>
        <w:tc>
          <w:tcPr>
            <w:tcW w:w="78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01/20/2017</w:t>
            </w:r>
          </w:p>
        </w:tc>
      </w:tr>
      <w:tr>
        <w:trPr>
          <w:trHeight w:val="20"/>
        </w:trPr>
        <w:tc>
          <w:tcPr>
            <w:tcW w:w="1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92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5472"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2019-12-04T01:45:06Z</dcterms:created>
  <dcterms:modified xsi:type="dcterms:W3CDTF">2019-12-04T01:45:06Z</dcterms:modified>
</cp:coreProperties>
</file>