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Engelman John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8"/>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06/30/2014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15TH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06/30/2014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3.4101</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195,951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December 4,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93,750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40"/>
        <w:spacing w:after="0" w:line="239" w:lineRule="auto"/>
        <w:rPr>
          <w:sz w:val="20"/>
          <w:szCs w:val="20"/>
          <w:color w:val="auto"/>
        </w:rPr>
      </w:pPr>
      <w:r>
        <w:rPr>
          <w:rFonts w:ascii="Arial" w:cs="Arial" w:eastAsia="Arial" w:hAnsi="Arial"/>
          <w:sz w:val="14"/>
          <w:szCs w:val="14"/>
          <w:color w:val="008000"/>
        </w:rPr>
        <w:t>As of the reporting date, the reporting person holds 552,500 vested and unvested options and 93,750 vested and unvested restricted stock units. In addition, the reporting person owns 102,201 shares of common stock and 49,690 warrants. The total number of securities listed is 798,141.</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Engelman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881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2019-12-17T07:16:59Z</dcterms:created>
  <dcterms:modified xsi:type="dcterms:W3CDTF">2019-12-17T07:16:59Z</dcterms:modified>
</cp:coreProperties>
</file>