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427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42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Perlman Andrew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VRINGO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44 WEST 28TH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0.96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01/09/2012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01/09/2018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One-fourth of the grant becomes exercisable on June 22, 2012, with the remainder becoming exercisable in equal quarterly installments over the following three years.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Andrew D. Perlman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02/15/2012</w:t>
            </w: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3066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2019-12-17T06:37:44Z</dcterms:created>
  <dcterms:modified xsi:type="dcterms:W3CDTF">2019-12-17T06:37:44Z</dcterms:modified>
</cp:coreProperties>
</file>