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filename1.htm"/>
      <w:bookmarkStart w:id="1" w:name="ksfilename1"/>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 West 31st Street, 11th Floor</w:t>
        <w:br/>
        <w:t>New York, New York 10001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VIA EDGAR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Brian Fetterolf at 202-551-6613</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320"/>
        <w:gridCol w:w="2930"/>
      </w:tblGrid>
      <w:tr>
        <w:trPr/>
        <w:tc>
          <w:tcPr>
            <w:tcW w:w="320" w:type="dxa"/>
            <w:tcBorders/>
            <w:shd w:fill="FFFFFF" w:val="clear"/>
            <w:vAlign w:val="center"/>
          </w:tcPr>
          <w:p>
            <w:pPr>
              <w:pStyle w:val="TableContents"/>
              <w:bidi w:val="0"/>
              <w:spacing w:before="0" w:after="283"/>
              <w:jc w:val="left"/>
              <w:rPr>
                <w:sz w:val="20"/>
              </w:rPr>
            </w:pPr>
            <w:r>
              <w:rPr>
                <w:sz w:val="20"/>
              </w:rPr>
              <w:t>Re:</w:t>
            </w:r>
          </w:p>
        </w:tc>
        <w:tc>
          <w:tcPr>
            <w:tcW w:w="2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tc>
      </w:tr>
      <w:tr>
        <w:trPr/>
        <w:tc>
          <w:tcPr>
            <w:tcW w:w="320" w:type="dxa"/>
            <w:tcBorders/>
            <w:shd w:fill="FFFFFF" w:val="clear"/>
            <w:vAlign w:val="center"/>
          </w:tcPr>
          <w:p>
            <w:pPr>
              <w:pStyle w:val="TableContents"/>
              <w:bidi w:val="0"/>
              <w:spacing w:before="0" w:after="283"/>
              <w:jc w:val="left"/>
              <w:rPr/>
            </w:pPr>
            <w:r>
              <w:rPr/>
              <w:t> </w:t>
            </w:r>
          </w:p>
        </w:tc>
        <w:tc>
          <w:tcPr>
            <w:tcW w:w="2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on Form S-3</w:t>
            </w:r>
          </w:p>
        </w:tc>
      </w:tr>
      <w:tr>
        <w:trPr/>
        <w:tc>
          <w:tcPr>
            <w:tcW w:w="320" w:type="dxa"/>
            <w:tcBorders/>
            <w:shd w:fill="FFFFFF" w:val="clear"/>
            <w:vAlign w:val="center"/>
          </w:tcPr>
          <w:p>
            <w:pPr>
              <w:pStyle w:val="TableContents"/>
              <w:bidi w:val="0"/>
              <w:spacing w:before="0" w:after="283"/>
              <w:jc w:val="left"/>
              <w:rPr/>
            </w:pPr>
            <w:r>
              <w:rPr/>
              <w:t> </w:t>
            </w:r>
          </w:p>
        </w:tc>
        <w:tc>
          <w:tcPr>
            <w:tcW w:w="2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August 4, 2023</w:t>
            </w:r>
          </w:p>
        </w:tc>
      </w:tr>
      <w:tr>
        <w:trPr/>
        <w:tc>
          <w:tcPr>
            <w:tcW w:w="320" w:type="dxa"/>
            <w:tcBorders/>
            <w:shd w:fill="FFFFFF" w:val="clear"/>
            <w:vAlign w:val="center"/>
          </w:tcPr>
          <w:p>
            <w:pPr>
              <w:pStyle w:val="TableContents"/>
              <w:bidi w:val="0"/>
              <w:spacing w:before="0" w:after="283"/>
              <w:jc w:val="left"/>
              <w:rPr/>
            </w:pPr>
            <w:r>
              <w:rPr/>
              <w:t> </w:t>
            </w:r>
          </w:p>
        </w:tc>
        <w:tc>
          <w:tcPr>
            <w:tcW w:w="2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333-273726)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or 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461 under the Securities Act of 1933, as amended, XWELL, Inc. (the “Company”) hereby requests that the Registration Statement referred to above be declared effective on Friday, September 29, 2023 at 4:30 p.m. E.T. or as soon thereafter as shall be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Cara Soffer</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335"/>
        <w:gridCol w:w="2810"/>
      </w:tblGrid>
      <w:tr>
        <w:trPr/>
        <w:tc>
          <w:tcPr>
            <w:tcW w:w="335" w:type="dxa"/>
            <w:tcBorders/>
            <w:shd w:fill="FFFFFF" w:val="clear"/>
            <w:vAlign w:val="center"/>
          </w:tcPr>
          <w:p>
            <w:pPr>
              <w:pStyle w:val="TableContents"/>
              <w:bidi w:val="0"/>
              <w:spacing w:before="0" w:after="283"/>
              <w:jc w:val="left"/>
              <w:rPr>
                <w:sz w:val="20"/>
              </w:rPr>
            </w:pPr>
            <w:r>
              <w:rPr>
                <w:sz w:val="20"/>
              </w:rPr>
              <w:t>By:</w:t>
            </w:r>
          </w:p>
        </w:tc>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Cara Soffer</w:t>
            </w:r>
          </w:p>
        </w:tc>
      </w:tr>
      <w:tr>
        <w:trPr/>
        <w:tc>
          <w:tcPr>
            <w:tcW w:w="335" w:type="dxa"/>
            <w:tcBorders/>
            <w:shd w:fill="FFFFFF" w:val="clear"/>
            <w:vAlign w:val="center"/>
          </w:tcPr>
          <w:p>
            <w:pPr>
              <w:pStyle w:val="TableContents"/>
              <w:bidi w:val="0"/>
              <w:spacing w:before="0" w:after="283"/>
              <w:jc w:val="left"/>
              <w:rPr/>
            </w:pPr>
            <w:r>
              <w:rPr/>
              <w:t> </w:t>
            </w:r>
          </w:p>
        </w:tc>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r>
      <w:tr>
        <w:trPr/>
        <w:tc>
          <w:tcPr>
            <w:tcW w:w="335" w:type="dxa"/>
            <w:tcBorders/>
            <w:shd w:fill="FFFFFF" w:val="clear"/>
            <w:vAlign w:val="center"/>
          </w:tcPr>
          <w:p>
            <w:pPr>
              <w:pStyle w:val="TableContents"/>
              <w:bidi w:val="0"/>
              <w:spacing w:before="0" w:after="283"/>
              <w:jc w:val="left"/>
              <w:rPr/>
            </w:pPr>
            <w:r>
              <w:rPr/>
              <w:t> </w:t>
            </w:r>
          </w:p>
        </w:tc>
        <w:tc>
          <w:tcPr>
            <w:tcW w:w="28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shd w:fill="FFFFFF" w:val="clear"/>
            <w:vAlign w:val="center"/>
          </w:tcPr>
          <w:p>
            <w:pPr>
              <w:pStyle w:val="TableContents"/>
              <w:bidi w:val="0"/>
              <w:spacing w:before="0" w:after="283"/>
              <w:jc w:val="left"/>
              <w:rPr>
                <w:sz w:val="20"/>
              </w:rPr>
            </w:pPr>
            <w:r>
              <w:rPr>
                <w:sz w:val="20"/>
              </w:rPr>
              <w:t>cc:</w:t>
            </w:r>
          </w:p>
        </w:tc>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Endicott</w:t>
            </w:r>
          </w:p>
        </w:tc>
      </w:tr>
      <w:tr>
        <w:trPr/>
        <w:tc>
          <w:tcPr>
            <w:tcW w:w="335" w:type="dxa"/>
            <w:tcBorders/>
            <w:shd w:fill="FFFFFF" w:val="clear"/>
            <w:vAlign w:val="center"/>
          </w:tcPr>
          <w:p>
            <w:pPr>
              <w:pStyle w:val="TableContents"/>
              <w:bidi w:val="0"/>
              <w:spacing w:before="0" w:after="283"/>
              <w:jc w:val="left"/>
              <w:rPr/>
            </w:pPr>
            <w:r>
              <w:rPr/>
              <w:t> </w:t>
            </w:r>
          </w:p>
        </w:tc>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Bryan Cave Leighton Paisner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120</Words>
  <Characters>629</Characters>
  <CharactersWithSpaces>745</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