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April 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described below, Vringo, Inc. (the “Company”) has replaced Somekh Chaikin, a member firm of KPMG International (“Somekh Chaikin”), as the Company’s independent registered public accounting firm with KPMG LLP (“KPMG”).</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Audit Committee (the “Committee”) of the Board of Directors of the Company recently conducted a selection process to determine the Company’s independent registered public accounting firm for the fiscal year ending December 31, 2014. As a result of this process, the Committee approved the appointment of KPMG as the Company’s independent registered public accounting firm for the fiscal year ending December 31, 2014. This action effectively dismissed Somekh Chaikin as the Company’s independent registered public accounting firm as of April 2, 2014.</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reports of Somekh Chaikin on the Company’s consolidated financial statements for the fiscal years ended December 31, 2013 and 2012 did not contain an adverse opinion or disclaimer of opinion and were not qualified or modified as to uncertainty, audit scope or accounting principles. In connection with the audits of the Company's consolidated financial statements for the fiscal years ended December 31, 2013 and 2012, and in the subsequent interim period through April 2, 2014, there were no disagreements with Somekh Chaikin on any matters of accounting principles or practices, financial statement disclosure or auditing scope and procedures which, if not resolved to the satisfaction of Somekh Chaikin, would have caused Somekh Chaikin to make reference to the matter in their report. There were no reportable events (as that term is described in Item 304(a)(1)(v) of Regulation S-K) during the two fiscal years ended December 31, 2013 and 2012, or in the subsequent period through April 2, 2014.</w:t>
      </w:r>
    </w:p>
    <w:p>
      <w:pPr>
        <w:spacing w:after="0" w:line="17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has provided a copy of the foregoing disclosures to Somekh Chaikin and requested that Somekh Chaikin furnish it with a letter addressed to the Securities and Exchange Commission stating whether KPMG Somekh Chaikin agrees with the above statements. A copy of Somekh Chaikin’s letter, dated April 4, 2014, is filed as Exhibit 16.1 to this Form 8-K.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two most recent fiscal years and in the subsequent interim period through April 2, 2014, the Company has not consulted with KPMG with respect to the application of accounting principles to a specified transaction, either completed or proposed, or the type of audit opinion that would have been rendered on the Company’s consolidated financial statements, or any other matters set forth in Item 304(a)(2)(i) or (ii)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p>
    <w:p>
      <w:pPr>
        <w:spacing w:after="0" w:line="235" w:lineRule="exact"/>
        <w:rPr>
          <w:sz w:val="20"/>
          <w:szCs w:val="20"/>
          <w:color w:val="auto"/>
        </w:rPr>
      </w:pPr>
    </w:p>
    <w:p>
      <w:pPr>
        <w:ind w:left="160"/>
        <w:spacing w:after="0"/>
        <w:tabs>
          <w:tab w:leader="none" w:pos="13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740"/>
        <w:spacing w:after="0"/>
        <w:tabs>
          <w:tab w:leader="none" w:pos="14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Letter from Somekh Chaikin, a member firm of KPMG International, to the Securities and Exchange Commission dated April 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904" w:right="5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3"/>
          </w:tcPr>
          <w:p>
            <w:pPr>
              <w:ind w:left="21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7, 2014</w:t>
            </w:r>
          </w:p>
        </w:tc>
        <w:tc>
          <w:tcPr>
            <w:tcW w:w="7860" w:type="dxa"/>
            <w:vAlign w:val="bottom"/>
            <w:gridSpan w:val="3"/>
          </w:tcPr>
          <w:p>
            <w:pPr>
              <w:ind w:left="2160"/>
              <w:spacing w:after="0"/>
              <w:rPr>
                <w:sz w:val="20"/>
                <w:szCs w:val="20"/>
                <w:color w:val="auto"/>
              </w:rPr>
            </w:pPr>
            <w:r>
              <w:rPr>
                <w:rFonts w:ascii="Arial" w:cs="Arial" w:eastAsia="Arial" w:hAnsi="Arial"/>
                <w:sz w:val="18"/>
                <w:szCs w:val="18"/>
                <w:color w:val="auto"/>
              </w:rPr>
              <w:t>By: /s/ Anastasia Nyrkovskaya</w:t>
            </w:r>
          </w:p>
        </w:tc>
      </w:tr>
      <w:tr>
        <w:trPr>
          <w:trHeight w:val="195"/>
        </w:trPr>
        <w:tc>
          <w:tcPr>
            <w:tcW w:w="35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Anastasia Nyrkovskaya</w:t>
            </w:r>
          </w:p>
        </w:tc>
      </w:tr>
      <w:tr>
        <w:trPr>
          <w:trHeight w:val="230"/>
        </w:trPr>
        <w:tc>
          <w:tcPr>
            <w:tcW w:w="35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648"/>
        </w:trPr>
        <w:tc>
          <w:tcPr>
            <w:tcW w:w="35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85788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57885" cy="334645"/>
                    </a:xfrm>
                    <a:prstGeom prst="rect">
                      <a:avLst/>
                    </a:prstGeom>
                    <a:noFill/>
                  </pic:spPr>
                </pic:pic>
              </a:graphicData>
            </a:graphic>
          </wp:anchor>
        </w:drawing>
      </w:r>
    </w:p>
    <w:tbl>
      <w:tblPr>
        <w:tblLayout w:type="fixed"/>
        <w:tblInd w:w="324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b w:val="1"/>
                <w:bCs w:val="1"/>
                <w:color w:val="auto"/>
              </w:rPr>
              <w:t>Somekh Chaikin</w:t>
            </w:r>
          </w:p>
        </w:tc>
        <w:tc>
          <w:tcPr>
            <w:tcW w:w="2280" w:type="dxa"/>
            <w:vAlign w:val="bottom"/>
          </w:tcPr>
          <w:p>
            <w:pPr>
              <w:ind w:left="1300"/>
              <w:spacing w:after="0"/>
              <w:rPr>
                <w:sz w:val="20"/>
                <w:szCs w:val="20"/>
                <w:color w:val="auto"/>
              </w:rPr>
            </w:pPr>
            <w:r>
              <w:rPr>
                <w:rFonts w:ascii="Arial" w:cs="Arial" w:eastAsia="Arial" w:hAnsi="Arial"/>
                <w:sz w:val="18"/>
                <w:szCs w:val="18"/>
                <w:color w:val="auto"/>
              </w:rPr>
              <w:t>Telephone</w:t>
            </w:r>
          </w:p>
        </w:tc>
        <w:tc>
          <w:tcPr>
            <w:tcW w:w="1420" w:type="dxa"/>
            <w:vAlign w:val="bottom"/>
          </w:tcPr>
          <w:p>
            <w:pPr>
              <w:ind w:left="220"/>
              <w:spacing w:after="0"/>
              <w:rPr>
                <w:sz w:val="20"/>
                <w:szCs w:val="20"/>
                <w:color w:val="auto"/>
              </w:rPr>
            </w:pPr>
            <w:r>
              <w:rPr>
                <w:rFonts w:ascii="Arial" w:cs="Arial" w:eastAsia="Arial" w:hAnsi="Arial"/>
                <w:sz w:val="18"/>
                <w:szCs w:val="18"/>
                <w:color w:val="auto"/>
                <w:w w:val="94"/>
              </w:rPr>
              <w:t>972 2 531 2000</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8 Hartum Street, Har Hotzvim</w:t>
            </w:r>
          </w:p>
        </w:tc>
        <w:tc>
          <w:tcPr>
            <w:tcW w:w="2280" w:type="dxa"/>
            <w:vAlign w:val="bottom"/>
          </w:tcPr>
          <w:p>
            <w:pPr>
              <w:ind w:left="1300"/>
              <w:spacing w:after="0"/>
              <w:rPr>
                <w:sz w:val="20"/>
                <w:szCs w:val="20"/>
                <w:color w:val="auto"/>
              </w:rPr>
            </w:pPr>
            <w:r>
              <w:rPr>
                <w:rFonts w:ascii="Arial" w:cs="Arial" w:eastAsia="Arial" w:hAnsi="Arial"/>
                <w:sz w:val="18"/>
                <w:szCs w:val="18"/>
                <w:color w:val="auto"/>
              </w:rPr>
              <w:t>Fax</w:t>
            </w:r>
          </w:p>
        </w:tc>
        <w:tc>
          <w:tcPr>
            <w:tcW w:w="1420" w:type="dxa"/>
            <w:vAlign w:val="bottom"/>
          </w:tcPr>
          <w:p>
            <w:pPr>
              <w:ind w:left="220"/>
              <w:spacing w:after="0"/>
              <w:rPr>
                <w:sz w:val="20"/>
                <w:szCs w:val="20"/>
                <w:color w:val="auto"/>
              </w:rPr>
            </w:pPr>
            <w:r>
              <w:rPr>
                <w:rFonts w:ascii="Arial" w:cs="Arial" w:eastAsia="Arial" w:hAnsi="Arial"/>
                <w:sz w:val="18"/>
                <w:szCs w:val="18"/>
                <w:color w:val="auto"/>
                <w:w w:val="94"/>
              </w:rPr>
              <w:t>972 2 531 2044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POB 212, Jerusalem 91001</w:t>
            </w:r>
          </w:p>
        </w:tc>
        <w:tc>
          <w:tcPr>
            <w:tcW w:w="2280" w:type="dxa"/>
            <w:vAlign w:val="bottom"/>
          </w:tcPr>
          <w:p>
            <w:pPr>
              <w:ind w:left="1300"/>
              <w:spacing w:after="0"/>
              <w:rPr>
                <w:sz w:val="20"/>
                <w:szCs w:val="20"/>
                <w:color w:val="auto"/>
              </w:rPr>
            </w:pPr>
            <w:r>
              <w:rPr>
                <w:rFonts w:ascii="Arial" w:cs="Arial" w:eastAsia="Arial" w:hAnsi="Arial"/>
                <w:sz w:val="18"/>
                <w:szCs w:val="18"/>
                <w:color w:val="auto"/>
              </w:rPr>
              <w:t>Internet</w:t>
            </w:r>
          </w:p>
        </w:tc>
        <w:tc>
          <w:tcPr>
            <w:tcW w:w="1420" w:type="dxa"/>
            <w:vAlign w:val="bottom"/>
          </w:tcPr>
          <w:p>
            <w:pPr>
              <w:ind w:left="220"/>
              <w:spacing w:after="0"/>
              <w:rPr>
                <w:sz w:val="20"/>
                <w:szCs w:val="20"/>
                <w:color w:val="auto"/>
              </w:rPr>
            </w:pPr>
            <w:r>
              <w:rPr>
                <w:rFonts w:ascii="Arial" w:cs="Arial" w:eastAsia="Arial" w:hAnsi="Arial"/>
                <w:sz w:val="18"/>
                <w:szCs w:val="18"/>
                <w:color w:val="auto"/>
                <w:w w:val="94"/>
              </w:rPr>
              <w:t>www.kpmg.co.il</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Israel</w:t>
            </w:r>
          </w:p>
        </w:tc>
        <w:tc>
          <w:tcPr>
            <w:tcW w:w="228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April 4,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were previously principal accountants for Vringo Inc. and, under the date of March 10, 2014, we reported on the consolidated financial statements of Vringo Inc. as of and for the years ended December 31, 2013 and 2012 and the effectiveness of internal control over financial reporting as of December 31, 2013. On April 2, 2014, we were dismissed. We have read Vringo Inc.’s statements included under Item 4.01 of its Form 8-K dated April 4, 2014, and we agree with such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90043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004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Somekh Chaikin, an Israeli partnership and a member firm of the</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KPMG network of independent member firms affiliated with</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KPMG International Cooperative (“KPMG International”), a</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Swiss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00"/>
      </w:cols>
      <w:pgMar w:left="240" w:top="113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2019-12-07T16:35:39Z</dcterms:created>
  <dcterms:modified xsi:type="dcterms:W3CDTF">2019-12-07T16:35:39Z</dcterms:modified>
</cp:coreProperties>
</file>