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  <w:w w:val="99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9"/>
                </w:rPr>
                <w:t>Engelman John</w:t>
              </w:r>
            </w:hyperlink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80" w:type="dxa"/>
            <w:vAlign w:val="bottom"/>
            <w:gridSpan w:val="6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Vringo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VRNG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C/O VRINGO, INC.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11/06/2012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10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780 THIRD AVENUE, 15TH FLOOR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8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3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NY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10017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4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Common Stock, $0.01 par value per share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right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11/06/2012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2,173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4.2151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261,576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7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940" w:type="dxa"/>
            <w:vAlign w:val="bottom"/>
            <w:gridSpan w:val="1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 w:right="20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Includes 225,000 shares of common stock that are represented by restricted stock units which vest over a three-year period, with 1/6 of the restricted stock units vesting on January 26, 2013 and 1/12 of the restricted stock units vesting ratably on a quarterly basis thereafter.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transactions reported in this Form 4 were effected pursuant to a Rule 10b5-1 trading plan adopted by the reporting person on September 4, 2012.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John Engelman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11/08/2012</w:t>
            </w:r>
          </w:p>
        </w:tc>
      </w:tr>
      <w:tr>
        <w:trPr>
          <w:trHeight w:val="20"/>
        </w:trPr>
        <w:tc>
          <w:tcPr>
            <w:tcW w:w="6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  <w:tr>
        <w:trPr>
          <w:trHeight w:val="203"/>
        </w:trPr>
        <w:tc>
          <w:tcPr>
            <w:tcW w:w="8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8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Instruction 4 (b)(v).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</w:tbl>
    <w:p>
      <w:pPr>
        <w:spacing w:after="0" w:line="26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08816" TargetMode="External"/><Relationship Id="rId13" Type="http://schemas.openxmlformats.org/officeDocument/2006/relationships/hyperlink" Target="http://www.sec.gov/cgi-bin/browse-edgar?action=getcompany&amp;CIK=000141042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2019-12-17T06:56:59Z</dcterms:created>
  <dcterms:modified xsi:type="dcterms:W3CDTF">2019-12-17T06:56:59Z</dcterms:modified>
</cp:coreProperties>
</file>