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333-240084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5, 2020)</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24,509,806 Shares of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Warrants to Purchase 24,509,806 shares of Common Stock</w:t>
      </w:r>
    </w:p>
    <w:p>
      <w:pPr>
        <w:spacing w:after="0" w:line="9" w:lineRule="exact"/>
        <w:rPr>
          <w:sz w:val="24"/>
          <w:szCs w:val="24"/>
          <w:color w:val="auto"/>
        </w:rPr>
      </w:pPr>
    </w:p>
    <w:p>
      <w:pPr>
        <w:jc w:val="center"/>
        <w:spacing w:after="0" w:line="250" w:lineRule="auto"/>
        <w:rPr>
          <w:sz w:val="20"/>
          <w:szCs w:val="20"/>
          <w:color w:val="auto"/>
        </w:rPr>
      </w:pPr>
      <w:r>
        <w:rPr>
          <w:rFonts w:ascii="Arial" w:cs="Arial" w:eastAsia="Arial" w:hAnsi="Arial"/>
          <w:sz w:val="18"/>
          <w:szCs w:val="18"/>
          <w:b w:val="1"/>
          <w:bCs w:val="1"/>
          <w:color w:val="auto"/>
        </w:rPr>
        <w:t>Placement Agent Warrants to Purchase 1,960,784 shares of Common Stock Certain other Warrants to Purchase 754,902 shares of Common Stock (and the shares of Common Stock underlying</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such Warrants, Placement Agent Warrants and other Warrants)</w:t>
      </w:r>
    </w:p>
    <w:p>
      <w:pPr>
        <w:spacing w:after="0" w:line="211" w:lineRule="exact"/>
        <w:rPr>
          <w:sz w:val="24"/>
          <w:szCs w:val="24"/>
          <w:color w:val="auto"/>
        </w:rPr>
      </w:pPr>
    </w:p>
    <w:p>
      <w:pPr>
        <w:jc w:val="both"/>
        <w:ind w:firstLine="324"/>
        <w:spacing w:after="0" w:line="301" w:lineRule="auto"/>
        <w:rPr>
          <w:sz w:val="20"/>
          <w:szCs w:val="20"/>
          <w:color w:val="auto"/>
        </w:rPr>
      </w:pPr>
      <w:r>
        <w:rPr>
          <w:rFonts w:ascii="Arial" w:cs="Arial" w:eastAsia="Arial" w:hAnsi="Arial"/>
          <w:sz w:val="16"/>
          <w:szCs w:val="16"/>
          <w:color w:val="auto"/>
        </w:rPr>
        <w:t>We are offering an aggregate of 24,509,806 shares of our common stock, par value $0.01 per share (the “Common Stock”) and warrants to purchase 24,509,806 shares of our Common Stock (the “Warrants”) at a combined purchase price equal to $1.70 per share. Each Warrant is exercisable for one share of our Common Stock at an exercise price of $1.70 per share. The Warrants are immediately exercisable and may be exercised at any time until December 21, 2022. This offering also relates to the shares of Common Stock issuable upon exercise of the Warrants sold in this offering.</w:t>
      </w:r>
    </w:p>
    <w:p>
      <w:pPr>
        <w:spacing w:after="0" w:line="157"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December 17, 2020 was $1.37 per share.</w:t>
      </w:r>
    </w:p>
    <w:p>
      <w:pPr>
        <w:spacing w:after="0" w:line="170"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You should read this prospectus supplement and the accompanying prospectus and the documents incorporated by reference in this prospectus supplement carefully before you invest.</w:t>
      </w:r>
    </w:p>
    <w:p>
      <w:pPr>
        <w:spacing w:after="0" w:line="166" w:lineRule="exact"/>
        <w:rPr>
          <w:sz w:val="24"/>
          <w:szCs w:val="24"/>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See “Risk Factors” on page S-5 of this prospectus supplement to read about factors you should consider before buying shares of our Common Stock.</w:t>
      </w:r>
    </w:p>
    <w:p>
      <w:pPr>
        <w:spacing w:after="0" w:line="162" w:lineRule="exact"/>
        <w:rPr>
          <w:sz w:val="24"/>
          <w:szCs w:val="24"/>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44" w:lineRule="exact"/>
        <w:rPr>
          <w:sz w:val="24"/>
          <w:szCs w:val="24"/>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engaged H.C. Wainwright &amp; Co., LLC, or the placement agent, as our exclusive placement agent in connection with this offering. The placement agent has no obligation to buy any of the securities from us or to arrange for the purchase or sale of any specific number or dollar amount of securities. We have agreed to pay the placement agent the placement agent fees set forth in the table below. Pursuant to this prospectus supplement and the accompanying prospectus, we will also issue warrants to purchase up to 1,960,784 shares of our common stock (the “Placement Agent Warrants”) to the placement agent, or its designees, as part of the compensation payable to the placement agent (the shares of common stock issuable upon exercise of the Placement Agent Warrants are also being registered hereby). The Placement Agent Warrants will have an exercise price of $2.125 per share and will expire 24 months from the date of issuance. See “Plan of Distribution” beginning on page S-13 of this prospectus supplement for more information regarding these arrangements.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3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1.7000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41,666,670.20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Placement agent fees(1)</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0.1275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3,125,000.27</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1.5725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38,541,669.93</w:t>
            </w:r>
          </w:p>
        </w:tc>
      </w:tr>
    </w:tbl>
    <w:p>
      <w:pPr>
        <w:spacing w:after="0" w:line="202"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we have agreed to pay a management fee of 1.0% of the gross proceeds raised in this offering. See “Plan of Distribution” beginning on page S-13 for more information regarding the placement agent’s compensation.</w:t>
      </w:r>
    </w:p>
    <w:p>
      <w:pPr>
        <w:spacing w:after="0" w:line="170"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Delivery of the shares of our Common Stock and Warrants being offered pursuant to this prospectus supplement and the accompanying prospectus is expected to be made on or about December 21, 2020.</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H.C. Wainwright &amp; Co.</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December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20" w:type="dxa"/>
            <w:vAlign w:val="bottom"/>
          </w:tcPr>
          <w:p>
            <w:pPr>
              <w:jc w:val="center"/>
              <w:ind w:left="73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20" w:type="dxa"/>
            <w:vAlign w:val="bottom"/>
          </w:tcPr>
          <w:p>
            <w:pPr>
              <w:jc w:val="center"/>
              <w:ind w:left="730"/>
              <w:spacing w:after="0"/>
              <w:rPr>
                <w:sz w:val="20"/>
                <w:szCs w:val="20"/>
                <w:color w:val="auto"/>
              </w:rPr>
            </w:pPr>
            <w:r>
              <w:rPr>
                <w:rFonts w:ascii="Arial" w:cs="Arial" w:eastAsia="Arial" w:hAnsi="Arial"/>
                <w:sz w:val="18"/>
                <w:szCs w:val="18"/>
                <w:b w:val="1"/>
                <w:bCs w:val="1"/>
                <w:color w:val="auto"/>
                <w:w w:val="87"/>
              </w:rPr>
              <w:t>Prospectus Supplement</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42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10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460" w:type="dxa"/>
            <w:vAlign w:val="bottom"/>
          </w:tcPr>
          <w:p>
            <w:pPr>
              <w:spacing w:after="0"/>
              <w:rPr>
                <w:sz w:val="18"/>
                <w:szCs w:val="18"/>
                <w:color w:val="auto"/>
              </w:rPr>
            </w:pPr>
          </w:p>
        </w:tc>
        <w:tc>
          <w:tcPr>
            <w:tcW w:w="3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S-ii</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SUPPLEMENT SUMMARY</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460" w:type="dxa"/>
            <w:vAlign w:val="bottom"/>
          </w:tcPr>
          <w:p>
            <w:pPr>
              <w:spacing w:after="0"/>
              <w:rPr>
                <w:sz w:val="18"/>
                <w:szCs w:val="18"/>
                <w:color w:val="auto"/>
              </w:rPr>
            </w:pPr>
          </w:p>
        </w:tc>
        <w:tc>
          <w:tcPr>
            <w:tcW w:w="360" w:type="dxa"/>
            <w:vAlign w:val="bottom"/>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S-9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DIVIDEND POLICY</w:t>
              </w:r>
            </w:hyperlink>
          </w:p>
        </w:tc>
        <w:tc>
          <w:tcPr>
            <w:tcW w:w="460" w:type="dxa"/>
            <w:vAlign w:val="bottom"/>
          </w:tcPr>
          <w:p>
            <w:pPr>
              <w:spacing w:after="0"/>
              <w:rPr>
                <w:sz w:val="18"/>
                <w:szCs w:val="18"/>
                <w:color w:val="auto"/>
              </w:rPr>
            </w:pPr>
          </w:p>
        </w:tc>
        <w:tc>
          <w:tcPr>
            <w:tcW w:w="360" w:type="dxa"/>
            <w:vAlign w:val="bottom"/>
          </w:tcPr>
          <w:p>
            <w:pPr>
              <w:jc w:val="right"/>
              <w:spacing w:after="0"/>
              <w:rPr>
                <w:rFonts w:ascii="Arial" w:cs="Arial" w:eastAsia="Arial" w:hAnsi="Arial"/>
                <w:sz w:val="18"/>
                <w:szCs w:val="18"/>
                <w:u w:val="single" w:color="auto"/>
                <w:color w:val="0000EE"/>
                <w:w w:val="89"/>
              </w:rPr>
            </w:pPr>
            <w:hyperlink w:anchor="page15">
              <w:r>
                <w:rPr>
                  <w:rFonts w:ascii="Arial" w:cs="Arial" w:eastAsia="Arial" w:hAnsi="Arial"/>
                  <w:sz w:val="18"/>
                  <w:szCs w:val="18"/>
                  <w:u w:val="single" w:color="auto"/>
                  <w:color w:val="0000EE"/>
                  <w:w w:val="89"/>
                </w:rPr>
                <w:t>S-10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DILUTION</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rFonts w:ascii="Arial" w:cs="Arial" w:eastAsia="Arial" w:hAnsi="Arial"/>
                <w:sz w:val="18"/>
                <w:szCs w:val="18"/>
                <w:u w:val="single" w:color="auto"/>
                <w:color w:val="0000EE"/>
                <w:w w:val="89"/>
              </w:rPr>
            </w:pPr>
            <w:hyperlink w:anchor="page16">
              <w:r>
                <w:rPr>
                  <w:rFonts w:ascii="Arial" w:cs="Arial" w:eastAsia="Arial" w:hAnsi="Arial"/>
                  <w:sz w:val="18"/>
                  <w:szCs w:val="18"/>
                  <w:u w:val="single" w:color="auto"/>
                  <w:color w:val="0000EE"/>
                  <w:w w:val="89"/>
                </w:rPr>
                <w:t>S-11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DESCRIPTION OF THE SECURITIES WE ARE OFFERING</w:t>
              </w:r>
            </w:hyperlink>
          </w:p>
        </w:tc>
        <w:tc>
          <w:tcPr>
            <w:tcW w:w="460" w:type="dxa"/>
            <w:vAlign w:val="bottom"/>
          </w:tcPr>
          <w:p>
            <w:pPr>
              <w:spacing w:after="0"/>
              <w:rPr>
                <w:sz w:val="18"/>
                <w:szCs w:val="18"/>
                <w:color w:val="auto"/>
              </w:rPr>
            </w:pPr>
          </w:p>
        </w:tc>
        <w:tc>
          <w:tcPr>
            <w:tcW w:w="360" w:type="dxa"/>
            <w:vAlign w:val="bottom"/>
          </w:tcPr>
          <w:p>
            <w:pPr>
              <w:jc w:val="right"/>
              <w:spacing w:after="0"/>
              <w:rPr>
                <w:rFonts w:ascii="Arial" w:cs="Arial" w:eastAsia="Arial" w:hAnsi="Arial"/>
                <w:sz w:val="18"/>
                <w:szCs w:val="18"/>
                <w:u w:val="single" w:color="auto"/>
                <w:color w:val="0000EE"/>
                <w:w w:val="89"/>
              </w:rPr>
            </w:pPr>
            <w:hyperlink w:anchor="page17">
              <w:r>
                <w:rPr>
                  <w:rFonts w:ascii="Arial" w:cs="Arial" w:eastAsia="Arial" w:hAnsi="Arial"/>
                  <w:sz w:val="18"/>
                  <w:szCs w:val="18"/>
                  <w:u w:val="single" w:color="auto"/>
                  <w:color w:val="0000EE"/>
                  <w:w w:val="89"/>
                </w:rPr>
                <w:t>S-12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PLAN OF DISTRIBUTION</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S-13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LEGAL MATTERS</w:t>
              </w:r>
            </w:hyperlink>
          </w:p>
        </w:tc>
        <w:tc>
          <w:tcPr>
            <w:tcW w:w="460" w:type="dxa"/>
            <w:vAlign w:val="bottom"/>
          </w:tcPr>
          <w:p>
            <w:pPr>
              <w:spacing w:after="0"/>
              <w:rPr>
                <w:sz w:val="18"/>
                <w:szCs w:val="18"/>
                <w:color w:val="auto"/>
              </w:rPr>
            </w:pPr>
          </w:p>
        </w:tc>
        <w:tc>
          <w:tcPr>
            <w:tcW w:w="360" w:type="dxa"/>
            <w:vAlign w:val="bottom"/>
          </w:tcPr>
          <w:p>
            <w:pPr>
              <w:jc w:val="right"/>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EXPERTS</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WHERE YOU CAN FIND MORE INFORMATION</w:t>
              </w:r>
            </w:hyperlink>
          </w:p>
        </w:tc>
        <w:tc>
          <w:tcPr>
            <w:tcW w:w="460" w:type="dxa"/>
            <w:vAlign w:val="bottom"/>
          </w:tcPr>
          <w:p>
            <w:pPr>
              <w:spacing w:after="0"/>
              <w:rPr>
                <w:sz w:val="18"/>
                <w:szCs w:val="18"/>
                <w:color w:val="auto"/>
              </w:rPr>
            </w:pPr>
          </w:p>
        </w:tc>
        <w:tc>
          <w:tcPr>
            <w:tcW w:w="360" w:type="dxa"/>
            <w:vAlign w:val="bottom"/>
          </w:tcPr>
          <w:p>
            <w:pPr>
              <w:jc w:val="right"/>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INCORPORATION OF CERTAIN INFORMATION BY REFERENCE</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S-15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20" w:type="dxa"/>
            <w:vAlign w:val="bottom"/>
          </w:tcPr>
          <w:p>
            <w:pPr>
              <w:jc w:val="center"/>
              <w:ind w:left="730"/>
              <w:spacing w:after="0"/>
              <w:rPr>
                <w:sz w:val="20"/>
                <w:szCs w:val="20"/>
                <w:color w:val="auto"/>
              </w:rPr>
            </w:pPr>
            <w:r>
              <w:rPr>
                <w:rFonts w:ascii="Arial" w:cs="Arial" w:eastAsia="Arial" w:hAnsi="Arial"/>
                <w:sz w:val="18"/>
                <w:szCs w:val="18"/>
                <w:b w:val="1"/>
                <w:bCs w:val="1"/>
                <w:color w:val="auto"/>
                <w:w w:val="85"/>
              </w:rPr>
              <w:t>Prospectus</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ABOUT THIS PROSPECTUS</w:t>
              </w:r>
            </w:hyperlink>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ii</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PROSPECTUS SUMMARY</w:t>
              </w:r>
            </w:hyperlink>
          </w:p>
        </w:tc>
        <w:tc>
          <w:tcPr>
            <w:tcW w:w="820" w:type="dxa"/>
            <w:vAlign w:val="bottom"/>
            <w:gridSpan w:val="2"/>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8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SPECIAL NOTE REGARDING FORWARD-LOOKING STATEMENTS</w:t>
              </w:r>
            </w:hyperlink>
          </w:p>
        </w:tc>
        <w:tc>
          <w:tcPr>
            <w:tcW w:w="820" w:type="dxa"/>
            <w:vAlign w:val="bottom"/>
            <w:gridSpan w:val="2"/>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USE OF PROCEEDS</w:t>
              </w:r>
            </w:hyperlink>
          </w:p>
        </w:tc>
        <w:tc>
          <w:tcPr>
            <w:tcW w:w="8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PLAN OF DISTRIBUTION</w:t>
              </w:r>
            </w:hyperlink>
          </w:p>
        </w:tc>
        <w:tc>
          <w:tcPr>
            <w:tcW w:w="82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DESCRIPTION OF COMMON STOCK</w:t>
              </w:r>
            </w:hyperlink>
          </w:p>
        </w:tc>
        <w:tc>
          <w:tcPr>
            <w:tcW w:w="8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10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DESCRIPTION OF PREFERRED STOCK</w:t>
              </w:r>
            </w:hyperlink>
          </w:p>
        </w:tc>
        <w:tc>
          <w:tcPr>
            <w:tcW w:w="820" w:type="dxa"/>
            <w:vAlign w:val="bottom"/>
            <w:gridSpan w:val="2"/>
          </w:tcPr>
          <w:p>
            <w:pPr>
              <w:jc w:val="right"/>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11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DESCRIPTION OF DEBT SECURITIES</w:t>
              </w:r>
            </w:hyperlink>
          </w:p>
        </w:tc>
        <w:tc>
          <w:tcPr>
            <w:tcW w:w="8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12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DESCRIPTION OF WARRANTS</w:t>
              </w:r>
            </w:hyperlink>
          </w:p>
        </w:tc>
        <w:tc>
          <w:tcPr>
            <w:tcW w:w="820" w:type="dxa"/>
            <w:vAlign w:val="bottom"/>
            <w:gridSpan w:val="2"/>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17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RIGHTS</w:t>
              </w:r>
            </w:hyperlink>
          </w:p>
        </w:tc>
        <w:tc>
          <w:tcPr>
            <w:tcW w:w="8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18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DESCRIPTION OF UNITS</w:t>
              </w:r>
            </w:hyperlink>
          </w:p>
        </w:tc>
        <w:tc>
          <w:tcPr>
            <w:tcW w:w="820" w:type="dxa"/>
            <w:vAlign w:val="bottom"/>
            <w:gridSpan w:val="2"/>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19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CERTAIN PROVISIONS OF DELAWARE LAW AND OF THE COMPANY’S CERTIFICATE OF INCORPORATION AND BYLAWS</w:t>
              </w:r>
            </w:hyperlink>
          </w:p>
        </w:tc>
        <w:tc>
          <w:tcPr>
            <w:tcW w:w="8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LEGAL MATTERS</w:t>
              </w:r>
            </w:hyperlink>
          </w:p>
        </w:tc>
        <w:tc>
          <w:tcPr>
            <w:tcW w:w="820" w:type="dxa"/>
            <w:vAlign w:val="bottom"/>
            <w:gridSpan w:val="2"/>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EXPERTS</w:t>
              </w:r>
            </w:hyperlink>
          </w:p>
        </w:tc>
        <w:tc>
          <w:tcPr>
            <w:tcW w:w="8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WHERE YOU CAN FIND MORE INFORMATION</w:t>
              </w:r>
            </w:hyperlink>
          </w:p>
        </w:tc>
        <w:tc>
          <w:tcPr>
            <w:tcW w:w="820" w:type="dxa"/>
            <w:vAlign w:val="bottom"/>
            <w:gridSpan w:val="2"/>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20" w:type="dxa"/>
            <w:vAlign w:val="bottom"/>
            <w:shd w:val="clear" w:color="auto" w:fill="CCEEFF"/>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INCORPORATION OF DOCUMENTS BY REFERENCE</w:t>
              </w:r>
            </w:hyperlink>
          </w:p>
        </w:tc>
        <w:tc>
          <w:tcPr>
            <w:tcW w:w="820" w:type="dxa"/>
            <w:vAlign w:val="bottom"/>
            <w:gridSpan w:val="2"/>
            <w:shd w:val="clear" w:color="auto" w:fill="CCEEFF"/>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document consists of two parts. The first part is this prospectus supplement, which describes the specific terms of the offering and other matters relating to us. The second part is the accompanying prospectus, which provides more general information about the securities we may offer from time to time, some of which may not apply to this offering of Common Stock and Warrants (and the shares of Common Stock underlying the Warrants).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the documents incorporated by reference and the additional information described under the heading “Where You Can Find More Information” in this prospectus supplement and the accompanying prospectus before making an investment decision.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not authorized, and the placement agent has not authorized, any person to provide you with any information or to make any representation other than as contained in this prospectus supplement or in the accompanying prospectus and the information incorporated by reference herein and therein. We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Common Stock and Warrants (and the shares of Common Stock underlying the Warrants) in certain jurisdictions may be restricted by law. We are not making an offer of the Common Stock or Warrants (or the shares of Common Stock underlying the Warrants)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8" w:lineRule="auto"/>
        <w:rPr>
          <w:rFonts w:ascii="Arial" w:cs="Arial" w:eastAsia="Arial" w:hAnsi="Arial"/>
          <w:sz w:val="17"/>
          <w:szCs w:val="17"/>
          <w:color w:val="0000EE"/>
        </w:rPr>
      </w:pPr>
      <w:r>
        <w:rPr>
          <w:rFonts w:ascii="Arial" w:cs="Arial" w:eastAsia="Arial" w:hAnsi="Arial"/>
          <w:sz w:val="17"/>
          <w:szCs w:val="17"/>
          <w:color w:val="auto"/>
        </w:rPr>
        <w:t xml:space="preserve">This prospectus supplement and the base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w:t>
      </w:r>
      <w:hyperlink r:id="rId10">
        <w:r>
          <w:rPr>
            <w:rFonts w:ascii="Arial" w:cs="Arial" w:eastAsia="Arial" w:hAnsi="Arial"/>
            <w:sz w:val="17"/>
            <w:szCs w:val="17"/>
            <w:color w:val="auto"/>
          </w:rPr>
          <w:t xml:space="preserve">these forward-looking statements, to differ. The sections in our periodic reports, including our </w:t>
        </w:r>
        <w:r>
          <w:rPr>
            <w:rFonts w:ascii="Arial" w:cs="Arial" w:eastAsia="Arial" w:hAnsi="Arial"/>
            <w:sz w:val="17"/>
            <w:szCs w:val="17"/>
            <w:u w:val="single" w:color="auto"/>
            <w:color w:val="0000EE"/>
          </w:rPr>
          <w:t>Annual Report on Form 10-K for the fiscal year ended</w:t>
        </w:r>
      </w:hyperlink>
      <w:r>
        <w:rPr>
          <w:rFonts w:ascii="Arial" w:cs="Arial" w:eastAsia="Arial" w:hAnsi="Arial"/>
          <w:sz w:val="17"/>
          <w:szCs w:val="17"/>
          <w:color w:val="auto"/>
        </w:rPr>
        <w:t xml:space="preserve"> </w:t>
      </w:r>
      <w:hyperlink r:id="rId10">
        <w:r>
          <w:rPr>
            <w:rFonts w:ascii="Arial" w:cs="Arial" w:eastAsia="Arial" w:hAnsi="Arial"/>
            <w:sz w:val="17"/>
            <w:szCs w:val="17"/>
            <w:u w:val="single" w:color="auto"/>
            <w:color w:val="0000EE"/>
          </w:rPr>
          <w:t>December 31, 2019,</w:t>
        </w:r>
        <w:r>
          <w:rPr>
            <w:rFonts w:ascii="Arial" w:cs="Arial" w:eastAsia="Arial" w:hAnsi="Arial"/>
            <w:sz w:val="17"/>
            <w:szCs w:val="17"/>
            <w:color w:val="0000EE"/>
          </w:rPr>
          <w:t xml:space="preserve"> </w:t>
        </w:r>
        <w:r>
          <w:rPr>
            <w:rFonts w:ascii="Arial" w:cs="Arial" w:eastAsia="Arial" w:hAnsi="Arial"/>
            <w:sz w:val="17"/>
            <w:szCs w:val="17"/>
            <w:color w:val="000000"/>
          </w:rPr>
          <w:t>as amended, and our</w:t>
        </w:r>
        <w:r>
          <w:rPr>
            <w:rFonts w:ascii="Arial" w:cs="Arial" w:eastAsia="Arial" w:hAnsi="Arial"/>
            <w:sz w:val="17"/>
            <w:szCs w:val="17"/>
            <w:color w:val="0000EE"/>
          </w:rPr>
          <w:t xml:space="preserve"> </w:t>
        </w:r>
      </w:hyperlink>
      <w:hyperlink r:id="rId11">
        <w:r>
          <w:rPr>
            <w:rFonts w:ascii="Arial" w:cs="Arial" w:eastAsia="Arial" w:hAnsi="Arial"/>
            <w:sz w:val="17"/>
            <w:szCs w:val="17"/>
            <w:u w:val="single" w:color="auto"/>
            <w:color w:val="0000EE"/>
          </w:rPr>
          <w:t xml:space="preserve">Quarterly Report on Form 10-Q for the quarter ended September 30, 2020, </w:t>
        </w:r>
      </w:hyperlink>
      <w:hyperlink r:id="rId10">
        <w:r>
          <w:rPr>
            <w:rFonts w:ascii="Arial" w:cs="Arial" w:eastAsia="Arial" w:hAnsi="Arial"/>
            <w:sz w:val="17"/>
            <w:szCs w:val="17"/>
            <w:color w:val="000000"/>
          </w:rPr>
          <w:t>entitled “Business,” “Risk Factors,”</w:t>
        </w:r>
      </w:hyperlink>
      <w:r>
        <w:rPr>
          <w:rFonts w:ascii="Arial" w:cs="Arial" w:eastAsia="Arial" w:hAnsi="Arial"/>
          <w:sz w:val="17"/>
          <w:szCs w:val="17"/>
          <w:color w:val="0000EE"/>
        </w:rPr>
        <w:t xml:space="preserve"> </w:t>
      </w:r>
      <w:r>
        <w:rPr>
          <w:rFonts w:ascii="Arial" w:cs="Arial" w:eastAsia="Arial" w:hAnsi="Arial"/>
          <w:sz w:val="17"/>
          <w:szCs w:val="17"/>
          <w:color w:val="000000"/>
        </w:rPr>
        <w:t>and “Management’s Discussion and Analysis of Financial Condition and Results of Operations,” as well as other sections in this prospectus and the documents or reports incorporated by reference in this prospectus, discuss some of the factors that could contribute to these differences. These forward-looking statements include, among other things, statements about:</w:t>
      </w:r>
    </w:p>
    <w:p>
      <w:pPr>
        <w:spacing w:after="0" w:line="398" w:lineRule="exact"/>
        <w:rPr>
          <w:rFonts w:ascii="Arial" w:cs="Arial" w:eastAsia="Arial" w:hAnsi="Arial"/>
          <w:sz w:val="17"/>
          <w:szCs w:val="17"/>
          <w:color w:val="0000EE"/>
        </w:rPr>
      </w:pPr>
    </w:p>
    <w:p>
      <w:pPr>
        <w:jc w:val="center"/>
        <w:ind w:right="-19"/>
        <w:spacing w:after="0"/>
        <w:rPr>
          <w:sz w:val="20"/>
          <w:szCs w:val="20"/>
          <w:color w:val="auto"/>
        </w:rPr>
      </w:pPr>
      <w:r>
        <w:rPr>
          <w:rFonts w:ascii="Arial" w:cs="Arial" w:eastAsia="Arial" w:hAnsi="Arial"/>
          <w:sz w:val="18"/>
          <w:szCs w:val="18"/>
          <w:color w:val="auto"/>
        </w:rPr>
        <w:t>S-ii</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8"/>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328" w:hanging="328"/>
        <w:spacing w:after="0" w:line="277"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limited operating history in the diagnostic testing industry and the risks associated with novel coronavirus COVID-19 testing locations;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number of formal contracts or relationships with COVID-19 testing suppliers;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any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4" w:name="page5"/>
    <w:bookmarkEnd w:id="4"/>
    <w:p>
      <w:pPr>
        <w:jc w:val="both"/>
        <w:ind w:firstLine="324"/>
        <w:spacing w:after="0" w:line="269"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supplement and the base prospectus and in the documents incorporated by reference herein, particularly in the “Risk Factors” section, that we believe could cause actual results or events to differ materially from the forward-looking statements that we make. For a summary of such factors, please refer to the section entitled “Risk Factors” in this prospectus supplement and the base prospectus, as updated and supplemented by the discussion of risks and uncertainties under “Risk Factors” contained in any supplements to this prospectus supplement and the base prospectus and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light of these assumptions, risks and uncertainties, the results and events discussed in the forward-looking statements contained in this prospectus supplement and the base prospectus or in any document incorporated herein by reference might not occur. Investors are cautioned not to place undue reliance on the forward-looking statements, which speak only as of the date of this prospectus supplement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110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Securities and Exchange Commission, or SEC. Investing in our securities involves risks. Therefore, please carefully consider the information provided under the heading “Risk Factors” starting on page S-5.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XpresSpa Group, Inc. (“XpresSpa Group” or the “Company”) is a health and wellness services company. The Company is a leading airport retailer of spa services through the Company’s XpresSpa™ locations, offering travelers premium spa services, including massage, nail and skin care, as well as spa and travel products (“XpresSpa”). In June 2020, the Company’s subsidiary, XpresTest, Inc. (“XpresTest”), launched XpresCheck™ Wellness Centers also in airports, offering its COVID-19 and other medical diagnostic testing services to airport employees and to the traveling public as well. The Company currently has two reportable operating segments: XpresSpa and XpresTest.</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XpresSpa offers travelers premium spa services, including massage, nail and skin care, as well as spa and travel products. XpresSpa is a well-recognized airport spa brand with 51 locations, consisting of 46 domestic and 5 international locations as of December 31, 2019. During 2019 and 2018, XpresSpa generated $48,515,000 and $50,094,000 in revenue, respectively. In 2019 and 2018, approximately 82% of XpresSpa’s total revenue in both years was generated by services, primarily massage and nailcare. In 2019 and 2018, retail products and travel accessories accounted for 15% and 16%, respectively, of revenue and 3% and 2%, respectively, was other revenue.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launched XpresCheck™ brand</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22, 2020, the Company announced the signing of a contract with JFK International Air Terminal LLC (“JFKIAT”) to pilot test our concept of providing diagnostic COVID-19 tests. To facilitate the JFK pilot test, the Company signed an agreement with JFKIAT for a new modular constructed testing facility within the terminal that hosts nine separate testing rooms. The pilot test at JFK launched on June 22, 2020.</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13, 2020, the Company announced that it had signed a contract with the Port Authority of New York and New Jersey to provide diagnostic COVID-19 testing at Newark Liberty International Airport through its XpresCheck™ Wellness Centers. The Company built a modular constructed testing facility that will hosts six separate testing rooms. The facility opened on August 17, 2020.</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26, 2020, the Company announced that it had expanded its testing services beyond COVID-19 to offer additional rapid testing services for other communicable diseases including influenza, mononucleosis and group A streptococcus, as well as this season’s 2020/21 flu vaccine and a quadrivalent high-dose flu vaccine recommended for seniors.</w:t>
      </w:r>
    </w:p>
    <w:p>
      <w:pPr>
        <w:spacing w:after="0" w:line="18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has since announced the opening of an XpresCheck™ Wellness Center at Boston’s Logan International Airport and XpresCheck™ COVID-19 testing facilities at Phoenix Sky Harbor International Airport and Denver International Airport.</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17, 2020, the Company announced that XpresCheck™ entered into the Services Agreement with United under which XpresCheck™ agreed to provide pre-travel onsite COVID-19 testing services for certain selected United flights originating in or connecting through various major U.S. domestic hubs in which the Company currently has (or if and when it does have) operations, including Newark Liberty International Airport (EWR), Denver International Airport (DEN), Daniel K. Inouye International Airport (HNL), George Bush Intercontinental/Houston Airport (IAH), San Francisco International Airport (SFO), Dulles International Airport (IAD), O'Hare International Airport (Chicago) (ORD), Los Angeles International Airport (LAX) and such other locations as may become available and as mutually agreed upon by the parties. Initial services under the Services Agreement will begin on December 21, 2020 in Newark Liberty International Airport (EWR) and Denver International Airport (DEN) for select direct flights to Hawaii. The ensuing rollout schedule for other flights and locations in the scope of the Services Agreement will be mutually agreed upon by the parties. The initial term of the agreement is six months, and will continue thereafter subject to cancellation by either party on 30 days’ prior written notice.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1107" w:right="539" w:bottom="1440" w:gutter="0" w:footer="0" w:header="0"/>
        </w:sectPr>
      </w:pPr>
    </w:p>
    <w:bookmarkStart w:id="6" w:name="page7"/>
    <w:bookmarkEnd w:id="6"/>
    <w:p>
      <w:pPr>
        <w:jc w:val="both"/>
        <w:ind w:firstLine="32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807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6130" cy="8070850"/>
                    </a:xfrm>
                    <a:prstGeom prst="rect">
                      <a:avLst/>
                    </a:prstGeom>
                    <a:noFill/>
                  </pic:spPr>
                </pic:pic>
              </a:graphicData>
            </a:graphic>
          </wp:anchor>
        </w:drawing>
        <w:t>Through its XpresCheck™ Wellness Centers and under the terms of Managed Services Agreements (“MSAs”) with physician’s practices, the Company offers testing services to airline employees, contractors, concessionaire employees, TSA officers and U.S. Customs and Border Protection agents, as well as the traveling public. The Company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As a result of uncertainties around the cash flows of the XpresCheck™ Wellness Centers, management concludes that the collectability criteria to qualify as a contract under ASC 606 is not met, and no revenue associated with the monthly management fee will be recognized at this time from the management services agreements. The Company will only recognize the management fee as revenue when a subsequent reassessment results in the management services agreements meeting the collectability criteria. As of September 30, 2020, management fees owed to the Company, but not recognized as revenue, is $1,197.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11, 2020, the Company effected a 1-for-3 reverse stock split, whereby every three shares of its Common Stock was reduced to one share of its Common Stock and the price per share of its Common Stock was multiplied by 3. All references to shares and per share amounts have been adjusted to reflect the reverse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Coronavirus on Business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March 11, 2020, the World Health Organization declared the outbreak of COVID-19 as a pandemic. The outbreak is having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and many jurisdictions are have begun to re-impose stricter measures in response to increasing infection rates. The outbreak and associated restrictions on travel that have been implemented have had a material adverse impact on the Company’s XpresSpa business and cash flow from operations, similar to many businesses in the travel sector. Effective March 24, 2020, the Company temporarily closed all global XpresSpa spa locations, largely due to the categorization of the spa locations by local jurisdictions as “non-essential services.” Substantially all of our spa locations remain closed. The Company intends to reopen its XpresSpa spa locations and resume normal operations once restrictions are lifted and airport traffic returns to sufficient levels to support operations. The impact of COVID-19 is unknown and may continue as the rates of infection have increased in many states in the U.S., thus additional restrictive measures may be necessary.</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result, management has concluded that there was a long-lived asset and definite-lived intangible asset impairment triggering event on its XpresSpa segment during the six months ended June 30, 2020 which would require management to perform an impairment evaluation of XpresSpa’s property and equipment, intangible assets and operating lease right of use assets of $21,088 (before any impairment adjustments) as of June 30, 2020. Based upon the results of the impairment test, we recorded an impairment expense related to property and equipment and operating lease right of use assets of $1,821 and $2,238, respectively, during the three months ended June 30, 2020. We completed an assessment of XpresSpa’s intangible assets for impairment as of June 30, 2020 based on management’s expectation of resuming normal operations at its XpresSpa spa locations, and no impairment was indicated at the time.</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2020, management has reassessed its projections in light of the continuing effect the pandemic is having on our market and economic conditions in the industry in which we operate.</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completed an assessment of XpresSpa’s property and equipment and operating lease right of use assets for impairment as of September 30, 2020. Based upon the results of the impairment test, we recorded an impairment expense related to property and equipment and operating lease right of use assets of $1,111 and $1,116, respectively, during the three months ended September 30, 2020, which is included in Impairment/disposal of assets in the Company’s condensed consolidated statements of operations and comprehensive loss. The expense was primarily related to the impairment of leasehold improvements made to certain XpresSpa spa locations and operating lease right of use assets where management determined that the locations’ discounted future cash flows were not sufficient to recover the carrying value of these assets over the remaining lease term. The property and equipment and right of use asset net balances decreased approximately 15% and 21%, respectively as a result of recording the impairment charges as of September 30, 2020. During the nine-month period ended September 30, 2020, property and equipment, net decreased $1,969 as a result of impairment of $2,932, loss on disposal of $33 and depreciation expense of $2,133, offset by purchases of $3,129. For the nine months ended September 30, 2020, the Company has recorded impairment of operating lease right of use assets of $3,354. The impairment expense represents the excess of the carrying value of these assets over the estimated future discounted cash flows. Management calculated the future cash flows of each location using a present value income approach. The sum of expected cash flows for the remainder of the lease term for each location was present valued at a discount rate of 9.0%, which represents the current borrowing rate of our B3D Note. We believe that this rate incorporates the time value of money and an appropriate risk premium.</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completed an assessment of XpresSpa’s intangible assets for impairment as of September 30, 2020. The Company reassessed its projections and based on management’s expectation of resuming normal operations, and no impairment was indicated at this time.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1111" w:right="539" w:bottom="1440" w:gutter="0" w:footer="0" w:header="0"/>
        </w:sectPr>
      </w:pPr>
    </w:p>
    <w:bookmarkStart w:id="7" w:name="page8"/>
    <w:bookmarkEnd w:id="7"/>
    <w:p>
      <w:pPr>
        <w:jc w:val="both"/>
        <w:ind w:firstLine="32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411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6130" cy="4118610"/>
                    </a:xfrm>
                    <a:prstGeom prst="rect">
                      <a:avLst/>
                    </a:prstGeom>
                    <a:noFill/>
                  </pic:spPr>
                </pic:pic>
              </a:graphicData>
            </a:graphic>
          </wp:anchor>
        </w:drawing>
        <w:t>The full extent to which COVID-19 will impact the Company’s results will depend on future developments, which are highly uncertain and cannot be predicted, including new information which may emerge concerning the severity of the virus and the actions to contain or treat its impact. Management will continue to evaluate and assess its projections.</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impact of the COVID-19 pandemic could continue to have a material adverse effect on our business, results of operations, financial condition, liquidity and prospects in the near-term and beyond 2020. While management has used all currently available information in its forecasts, the ultimate impact of the COVID-19 pandemic and the Company’s newly launched XpresCheck™ Wellness Centers on its results of operations, financial condition and cash flows is highly uncertain and cannot currently be accurately predicted. The Company’s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the Company’s newly launched XpresCheck™ Wellness Centers could also have a material effect on the Company’s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Rent Concessions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 of relief from these payments range from three to sixteen months and began in March 2020. The Company received minimum guaranteed payment concessions of $611 and $1,379 for the three and nine months ended September 30, 2020. We expect to realize additional rent concessions while our XpresSpa locations remain closed.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Information</w:t>
      </w:r>
    </w:p>
    <w:p>
      <w:pPr>
        <w:spacing w:after="0" w:line="229"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1111" w:right="539" w:bottom="1440" w:gutter="0" w:footer="0" w:header="0"/>
        </w:sectPr>
      </w:pPr>
    </w:p>
    <w:bookmarkStart w:id="8" w:name="page9"/>
    <w:bookmarkEnd w:id="8"/>
    <w:p>
      <w:pPr>
        <w:ind w:left="4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1107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t>SUMMARY OF THE OFFERING</w:t>
      </w:r>
    </w:p>
    <w:p>
      <w:pPr>
        <w:spacing w:after="0" w:line="229"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Common Stock offered</w:t>
      </w:r>
      <w:r>
        <w:rPr>
          <w:sz w:val="20"/>
          <w:szCs w:val="20"/>
          <w:color w:val="auto"/>
        </w:rPr>
        <w:tab/>
      </w:r>
      <w:r>
        <w:rPr>
          <w:rFonts w:ascii="Arial" w:cs="Arial" w:eastAsia="Arial" w:hAnsi="Arial"/>
          <w:sz w:val="15"/>
          <w:szCs w:val="15"/>
          <w:color w:val="auto"/>
        </w:rPr>
        <w:t>24,509,806 shares.</w:t>
      </w:r>
    </w:p>
    <w:p>
      <w:pPr>
        <w:spacing w:after="0" w:line="225"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Warrants offered</w:t>
      </w:r>
      <w:r>
        <w:rPr>
          <w:sz w:val="20"/>
          <w:szCs w:val="20"/>
          <w:color w:val="auto"/>
        </w:rPr>
        <w:tab/>
      </w:r>
      <w:r>
        <w:rPr>
          <w:rFonts w:ascii="Arial" w:cs="Arial" w:eastAsia="Arial" w:hAnsi="Arial"/>
          <w:sz w:val="16"/>
          <w:szCs w:val="16"/>
          <w:color w:val="auto"/>
        </w:rPr>
        <w:t>We are also offering Warrants to purchase 24,509,806 shares of Common Stock. Each Warrant is</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exercisable for one share of our Common Stock at an exercise price of $1.70 per share. The</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Warrants are exercisable immediately and may be exercised at any time until December 21, 2022.</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This offering also relates to the shares of Common Stock issuable upon exercise of the Warrants</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sold in this offering.</w:t>
      </w:r>
    </w:p>
    <w:p>
      <w:pPr>
        <w:spacing w:after="0" w:line="211"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Placement Agent Warrants</w:t>
      </w:r>
      <w:r>
        <w:rPr>
          <w:sz w:val="20"/>
          <w:szCs w:val="20"/>
          <w:color w:val="auto"/>
        </w:rPr>
        <w:tab/>
      </w:r>
      <w:r>
        <w:rPr>
          <w:rFonts w:ascii="Arial" w:cs="Arial" w:eastAsia="Arial" w:hAnsi="Arial"/>
          <w:sz w:val="16"/>
          <w:szCs w:val="16"/>
          <w:color w:val="auto"/>
        </w:rPr>
        <w:t>We will also issue Placement Agent Warrants to purchase up to 1,960,784 shares of common stock</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7"/>
          <w:szCs w:val="17"/>
          <w:color w:val="auto"/>
        </w:rPr>
        <w:t>(and the shares of common stock issuable upon the exercise of the Warrants) to our placement</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agent (or its designees) as part of the compensation payable to our placement agent in connection</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with this offering. The Placement Agent Warrants will have an exercise price of $2.125 per share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(representing 125% of the public offering price) and will be exercisable immediately. The</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Placement Agent Warrants will expire 24 months from the date of issuance. Please refer to “Plan of</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Distribution” for additional information with respect to the Placement Agent Warrants.</w:t>
      </w:r>
    </w:p>
    <w:p>
      <w:pPr>
        <w:sectPr>
          <w:pgSz w:w="11900" w:h="16838" w:orient="portrait"/>
          <w:cols w:equalWidth="0" w:num="1">
            <w:col w:w="10840"/>
          </w:cols>
          <w:pgMar w:left="520" w:top="1107" w:right="539" w:bottom="1440" w:gutter="0" w:footer="0" w:header="0"/>
        </w:sectPr>
      </w:pP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Common stock to be outstanding after the offering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94,026,711 shares (assuming no exercise of the Warrants). Assuming all of the Warrants were immediately exercised, there would be 118,536,517 shares of Common Stock outstanding after this offering.</w:t>
      </w:r>
    </w:p>
    <w:p>
      <w:pPr>
        <w:spacing w:after="0" w:line="184"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expect to receive net proceeds of approximately $36.5 million from this offering, excluding any proceeds that may be received upon the cash exercise of the Warrants or the Placement Agent Warrants, after deducting the estimated offering expenses payable by us, including the placement agent fees. We intend to use the net proceeds from this offering for capital expenditures to support future locations, as well as for working capital and general corporate purposes. See “Use of Proceeds.”</w:t>
      </w:r>
    </w:p>
    <w:p>
      <w:pPr>
        <w:spacing w:after="0" w:line="192" w:lineRule="exact"/>
        <w:rPr>
          <w:sz w:val="20"/>
          <w:szCs w:val="20"/>
          <w:color w:val="auto"/>
        </w:rPr>
      </w:pPr>
    </w:p>
    <w:p>
      <w:pPr>
        <w:sectPr>
          <w:pgSz w:w="11900" w:h="16838" w:orient="portrait"/>
          <w:cols w:equalWidth="0" w:num="2">
            <w:col w:w="3020" w:space="560"/>
            <w:col w:w="7260"/>
          </w:cols>
          <w:pgMar w:left="520" w:top="1107" w:right="539" w:bottom="1440" w:gutter="0" w:footer="0" w:header="0"/>
          <w:type w:val="continuous"/>
        </w:sectPr>
      </w:pPr>
    </w:p>
    <w:p>
      <w:pPr>
        <w:spacing w:after="0"/>
        <w:tabs>
          <w:tab w:leader="none" w:pos="3560" w:val="left"/>
        </w:tabs>
        <w:rPr>
          <w:sz w:val="20"/>
          <w:szCs w:val="20"/>
          <w:color w:val="auto"/>
        </w:rPr>
      </w:pPr>
      <w:r>
        <w:rPr>
          <w:rFonts w:ascii="Arial" w:cs="Arial" w:eastAsia="Arial" w:hAnsi="Arial"/>
          <w:sz w:val="18"/>
          <w:szCs w:val="18"/>
          <w:color w:val="auto"/>
        </w:rPr>
        <w:t>Nasdaq Capital Market symbol</w:t>
      </w:r>
      <w:r>
        <w:rPr>
          <w:sz w:val="20"/>
          <w:szCs w:val="20"/>
          <w:color w:val="auto"/>
        </w:rPr>
        <w:tab/>
      </w:r>
      <w:r>
        <w:rPr>
          <w:rFonts w:ascii="Arial" w:cs="Arial" w:eastAsia="Arial" w:hAnsi="Arial"/>
          <w:sz w:val="17"/>
          <w:szCs w:val="17"/>
          <w:color w:val="auto"/>
        </w:rPr>
        <w:t>Our Common Stock is listed on Nasdaq under the symbol “XSPA”.  We do not intend to list the</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Warrants on any securities exchange or nationally recognized trading system.</w:t>
      </w:r>
    </w:p>
    <w:p>
      <w:pPr>
        <w:spacing w:after="0" w:line="211"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Investing in our securities involves a high degree of risk. See “Risk Factors” on page S-5 of this</w:t>
      </w:r>
    </w:p>
    <w:p>
      <w:pPr>
        <w:spacing w:after="0" w:line="23" w:lineRule="exact"/>
        <w:rPr>
          <w:sz w:val="20"/>
          <w:szCs w:val="20"/>
          <w:color w:val="auto"/>
        </w:rPr>
      </w:pPr>
    </w:p>
    <w:p>
      <w:pPr>
        <w:ind w:left="3580" w:right="100"/>
        <w:spacing w:after="0" w:line="260" w:lineRule="auto"/>
        <w:rPr>
          <w:sz w:val="20"/>
          <w:szCs w:val="20"/>
          <w:color w:val="auto"/>
        </w:rPr>
      </w:pPr>
      <w:r>
        <w:rPr>
          <w:rFonts w:ascii="Arial" w:cs="Arial" w:eastAsia="Arial" w:hAnsi="Arial"/>
          <w:sz w:val="18"/>
          <w:szCs w:val="18"/>
          <w:color w:val="auto"/>
        </w:rPr>
        <w:t>prospectus supplement to read about factors you should consider carefully before buying shares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that will be outstanding after this offering is based on 69,516,905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2020, and also excludes:</w:t>
      </w:r>
    </w:p>
    <w:p>
      <w:pPr>
        <w:spacing w:after="0" w:line="211" w:lineRule="exact"/>
        <w:rPr>
          <w:sz w:val="20"/>
          <w:szCs w:val="20"/>
          <w:color w:val="auto"/>
        </w:rPr>
      </w:pPr>
    </w:p>
    <w:p>
      <w:pPr>
        <w:ind w:left="660" w:right="20" w:hanging="33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20,818,889 shares of Common Stock issuable as of the date hereof upon the exercise of common stock warrants outstanding as of December 17, 2020 at a weighted average exercise price of $3.99 per share;</w:t>
      </w:r>
    </w:p>
    <w:p>
      <w:pPr>
        <w:spacing w:after="0" w:line="170" w:lineRule="exact"/>
        <w:rPr>
          <w:rFonts w:ascii="Arial" w:cs="Arial" w:eastAsia="Arial" w:hAnsi="Arial"/>
          <w:sz w:val="18"/>
          <w:szCs w:val="18"/>
          <w:color w:val="auto"/>
        </w:rPr>
      </w:pPr>
    </w:p>
    <w:p>
      <w:pPr>
        <w:ind w:left="660" w:right="20" w:hanging="33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1,263,867 shares of Common Stock issuable as of the date hereof upon the exercise of stock options at a weighted average exercise price of $4.00 per share outstanding as of December 17, 2020;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4,439,372 shares of Common Stock available for future issuance under the 2020 Equity Incentive Plan.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Unless otherwise indicated, </w:t>
      </w:r>
      <w:r>
        <w:rPr>
          <w:rFonts w:ascii="Arial" w:cs="Arial" w:eastAsia="Arial" w:hAnsi="Arial"/>
          <w:sz w:val="17"/>
          <w:szCs w:val="17"/>
          <w:color w:val="auto"/>
          <w:highlight w:val="white"/>
        </w:rPr>
        <w:t>all information in this prospectus supplement, including share and per share amounts, gives effect to the 1-for-3</w:t>
      </w:r>
      <w:r>
        <w:rPr>
          <w:rFonts w:ascii="Arial" w:cs="Arial" w:eastAsia="Arial" w:hAnsi="Arial"/>
          <w:sz w:val="17"/>
          <w:szCs w:val="17"/>
          <w:color w:val="auto"/>
        </w:rPr>
        <w:t xml:space="preserve"> reverse stock split </w:t>
      </w:r>
      <w:r>
        <w:rPr>
          <w:rFonts w:ascii="Arial" w:cs="Arial" w:eastAsia="Arial" w:hAnsi="Arial"/>
          <w:sz w:val="17"/>
          <w:szCs w:val="17"/>
          <w:color w:val="auto"/>
          <w:highlight w:val="white"/>
        </w:rPr>
        <w:t>effected on June 11, 2020, and</w:t>
      </w:r>
      <w:r>
        <w:rPr>
          <w:rFonts w:ascii="Arial" w:cs="Arial" w:eastAsia="Arial" w:hAnsi="Arial"/>
          <w:sz w:val="17"/>
          <w:szCs w:val="17"/>
          <w:color w:val="auto"/>
        </w:rPr>
        <w:t xml:space="preserve"> assumes no exercise of the Placement Agent Warrants to be issued to the placement agent in connection with this offering and no exercise of the Warrants to purchase shares of our Common Stock issued in this offering.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1107" w:right="5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4" w:lineRule="auto"/>
        <w:rPr>
          <w:rFonts w:ascii="Arial" w:cs="Arial" w:eastAsia="Arial" w:hAnsi="Arial"/>
          <w:sz w:val="18"/>
          <w:szCs w:val="18"/>
          <w:i w:val="1"/>
          <w:iCs w:val="1"/>
          <w:color w:val="0000EE"/>
        </w:rPr>
      </w:pPr>
      <w:r>
        <w:rPr>
          <w:rFonts w:ascii="Arial" w:cs="Arial" w:eastAsia="Arial" w:hAnsi="Arial"/>
          <w:sz w:val="18"/>
          <w:szCs w:val="18"/>
          <w:i w:val="1"/>
          <w:iCs w:val="1"/>
          <w:color w:val="auto"/>
        </w:rPr>
        <w:t xml:space="preserve">Investing in our securities involves a high degree of risk. You should carefully consider the risks and uncertainties described below and discussed under the section entitled “Risk Factors” contained in our </w:t>
      </w:r>
      <w:hyperlink r:id="rId10">
        <w:r>
          <w:rPr>
            <w:rFonts w:ascii="Arial" w:cs="Arial" w:eastAsia="Arial" w:hAnsi="Arial"/>
            <w:sz w:val="18"/>
            <w:szCs w:val="18"/>
            <w:i w:val="1"/>
            <w:iCs w:val="1"/>
            <w:u w:val="single" w:color="auto"/>
            <w:color w:val="0000EE"/>
          </w:rPr>
          <w:t>Annual Report on Form 10-K for the year ended December 31, 2019,</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 xml:space="preserve">as amended, and our </w:t>
      </w:r>
      <w:hyperlink r:id="rId11">
        <w:r>
          <w:rPr>
            <w:rFonts w:ascii="Arial" w:cs="Arial" w:eastAsia="Arial" w:hAnsi="Arial"/>
            <w:sz w:val="18"/>
            <w:szCs w:val="18"/>
            <w:i w:val="1"/>
            <w:iCs w:val="1"/>
            <w:u w:val="single" w:color="auto"/>
            <w:color w:val="0000EE"/>
          </w:rPr>
          <w:t>Quarterly Report on Form 10-Q for the quarter ended September 30, 2020,</w:t>
        </w:r>
        <w:r>
          <w:rPr>
            <w:rFonts w:ascii="Arial" w:cs="Arial" w:eastAsia="Arial" w:hAnsi="Arial"/>
            <w:sz w:val="18"/>
            <w:szCs w:val="18"/>
            <w:i w:val="1"/>
            <w:iCs w:val="1"/>
            <w:color w:val="0000EE"/>
          </w:rPr>
          <w:t xml:space="preserve"> </w:t>
        </w:r>
      </w:hyperlink>
      <w:r>
        <w:rPr>
          <w:rFonts w:ascii="Arial" w:cs="Arial" w:eastAsia="Arial" w:hAnsi="Arial"/>
          <w:sz w:val="18"/>
          <w:szCs w:val="18"/>
          <w:i w:val="1"/>
          <w:iCs w:val="1"/>
          <w:color w:val="000000"/>
        </w:rPr>
        <w:t>which</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are incorporated by reference in this prospectus supplement, together</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with all of the other information contained in, or incorporated by reference, in this prospectus supplement and the accompanying prospectus, before purchasing any of our securities. These risks and uncertainties are not the only ones facing us. Additional risks and uncertainties that we are unaware of, or that we currently deem immaterial, also may become important factors that affect us. If any of these risks actually occur, our business, financial condition, results of operations and future prospects could be materially and adversely affected. In that case, the trading price of our Common Stock could decline, and you may lose some or all of your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COVID-19 testing and other medical testing and vaccination capabilities may never achieve significant acceptance in the market or by countries or states that are imposing travel or quarantine restrictions, especially now that the rollout of COVID-19 vaccines has begun, and we may not be able to obtain access to COVID-19 vaccines to include in our vaccination offerings.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expend substantial funds and management effort on the development and marketing of our professional practice partner’s COVID-19 testing capabilities with no assurance that we will be successful in implementing our planned diagnostic testing business. Our ability to successfully offer COVID-19 tests will depend significantly on the perception that the tests used by our professional practice partner can reduce transmission risk and are reliable. Further, the United States and other countries around the world have recently begun to approve and commence distributing COVID-19 vaccines in their jurisdictions, which may reduce demand for COVID-19 testing. The success of our business may depend on being part of a national rollout of a COVID-19 vaccine. However, the timing and allocation of vaccine distributions will depend on individual determinations by federal and state governments, some or all of which may decide to allocate vaccine shipments elsewhere, either initially or for the foreseeable future. If we cannot obtain access to COVID-19 vaccines in sufficient amounts, or at all, our financial results may be materially adversely affected.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we are working with major airlines to support creation of potential air bridges between U.S. cities and international destinations, including, but not limited to, New York to London, and are engaged in discussions with multiple emerging Health Passport Apps. These apps would directly link into COVID-19 test results from there partnered labs, so that passengers would be able to show their test results through these apps to airlines and destinations in order to facilitate a hassle-free entry and avoid quarantines, where applicable. However, there can be no assurance as to the degree to which our public testing model assists passengers meet testing requirements for entry into, or avoidance of quarantine in various states and countries, and we may not be able to execute our COVID-19 testing strategy and our business results may be harmed.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we recently announced the expansion of our testing capabilities to include rapid testing services for other communicable diseases, including influenza, mononucleosis and group A streptococcus, as well as seasonal flu vaccines. These plans will require us to expend additional funds and efforts to obtain medical testing supplies for these additional communicable diseases and to market our capabilities in these additional areas. Demand for these additional testing and vaccination services may never meet anticipated levels, which would have a material adverse effect on our business, financial condition and results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demand for our COVID-19 testing services will exist in the future at the levels we expect or at all, because of the success of containment efforts, the ongoing rollout of vaccines, widespread availability of testing at other locations or due to other events. If there is no demand for our COVID-19 testing services, if demand is significantly lower than we expect, or if we are unable to participate in COVID-19 vaccination programs, our business will be materially harmed.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have an adequate number of authorized shares of Common Stock that are unissued and available for issuance to enable us to complete future equity financing transactions or increase our equity incentive plans, which may adversely affect our ability to grow and develop the Company and to attract key personnel.</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authorized to issue 150,000,000 shares of Common Stock, of which 69,516,905 shares were outstanding on December 17, 2020. At December 17, 2020, we had reserved 20,818,889 shares of Common Stock for issuance upon exercise of our outstanding warrants and 1,263,867 shares of Common Stock issuable upon exercise of outstanding stock options. In addition, at such date, we had 4,439,372 shares of our common stock reserved for future issuance under our 2020 Equity Incentive Plan. We have agreed to issue 24,509,806 shares of Common Stock and Warrants and Placement Agent Warrants to purchase an aggregate of 27,225,492 shares of our Common Stock in this offering. If all of the foregoing securities were exercised for cash, the total number of outstanding shares of Common Stock would be 147,774,331, which would leave only 2,225,669 authorized but unissued shares of Common Stock remaining.</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7"/>
          <w:szCs w:val="17"/>
          <w:color w:val="auto"/>
        </w:rPr>
        <w:t>As a result of our limited number of our authorized and unissued shares of Common Stock that are not subject to reservation for issuance of warrants, options or other convertible securities, we may have insufficient shares of Common Stock available to issue in connection with any future equity financing transactions we may seek to undertake. In addition, we may have insufficient shares of Common Stock to ask shareholders increase shares available under equity incentive plans for employees or other service providers, even if such increase is otherwise advisable and in the best interests of the Company. Accordingly, we will likely be required to seek approval in the future from our stockholders for either an increase in the number of our authorized shares of Common Stock or for a reverse stock split of our outstanding Common Stock, either of which would have the effect of increasing our authorized but unissued shares available for issuance. Our stockholders may not be willing to approve such an increase or reverse split. Until we effectively increase the number of authorized shares available for issuance, we may not be able to raise additional capital following this offering or increase shares in our equity incentive plans, which may materially and adversely affect our ability to grow and develop the Company or to attract and retain personnel critical for the execution of our business plans.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the Offering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experience immediate and substantial dilution in the net tangible book value per share of the Common Stock you purchase.</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As of September 30, 2020, our net tangible book value was approximately $53.0 million, or $0.77 per share. As discussed in greater detail in the “Dilution” section of this prospectus supplement, based on the combined offering price of $1.70 per share of Common Stock and Warrants and our pro forma net tangible book value as of September 30, 2020, if you purchase securities in this offering, you will suffer immediate and substantial dilution of $0.75 per share with respect to the pro forma net tangible book value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public market for the Warrants being offered in this offering.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established public trading market for the Warrants being offered in this offering, and we do not expect a market to develop. In addition, we do not intend to apply to list the Warrants on any securities exchange or nationally recognized trading system, including Nasdaq. Without an active market, the liquidity of the Warrants will be limited.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Holders of Warrants purchased in this offering will have no rights as common stockholders until such holders exercise such Warrants and acquire our Common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Until holders of Warrants acquire shares of our Common Stock upon exercise of such Warrants, holders of Warrants will have no rights with respect to the shares of our Common Stock underlying such Warrants. Upon exercise of the Warrants, the holders will be entitled to exercise the rights of a common stockholder only as to matters for which the record date occurs after the exercise date.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a significant number of outstanding warrants, some of which contain full-ratchet anti-dilution protection, which may cause significant dilution to our stockholders, have a material adverse impact on the market price of our Common Stock and make it more difficult for us to raise funds through future equity offerings.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17, 2020, we had 69,516,905 shares of Common Stock outstanding. In addition, as of that date we had outstanding warrants to acquire up to 20,818,889 shares of Common Stock. The issuance of shares of Common Stock upon the exercise of warrants would dilute the percentage ownership interest of all stockholders, might dilute the book value per share of our Common Stock and would increase the number of our publicly traded shares, which could depress the market price of our Common Stock.</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Historically, certain of our outstanding warrants contain full-ratchet anti-dilution provisions which, subject to limited exceptions, would reduce the exercise price of the warrants (and increase the number of shares issuable) in the event that we in the future issue Common Stock, or securities convertible into or exercisable to purchase Common Stock at a price per share lower than the exercise price then in effect, to such lower price. The offering of our securities in connection with a prospectus supplement dated March 19, 2020, triggered such full-ratchet anti-dilution provisions in the instruments listed below and reduced the exercise price or conversion price, as the case may be, of each such warrant, convertible note or convertible preferred stock, as the case may be, to $0.525 per share. Because this offering relates to the sale of Common Stock at a purchase price per share that is above the current exercise price of each of the warrants described below, this offering does not trigger the full-ratchet anti-dilution provisions contained in such instruments; however, such full-ratchet anti-dilution provisions could be triggered in connection with future offerings.</w:t>
      </w:r>
    </w:p>
    <w:p>
      <w:pPr>
        <w:spacing w:after="0" w:line="178"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8, 2019, we entered into an amendment to certain outstanding warrants issued in December 2016 (the “December 2016 Warrants”), in order to, among other things, reduce the exercise price of such warrants, which exercise price was subsequently reduced to $0.525 per share. The December 2016 Warrants contain anti-dilution price protection.</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the dilutive effects described above, the perceived risk of dilution as a result of the significant number of outstanding warrants may cause our common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stockholders and warrant holders can sell substantial amounts of our Common Stock in the public market, whether or not sales have occurred or are occurring, as well as the existence of full-ratchet anti-dilution provisions in our warrants, could make it more difficult for us to raise additional funds through the sale of equity or equity-related securities in the future at a time and price that we deem reasonable or appropriate, or at all.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902"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financings or similar arrangements in the future, including the issuance of debt securities, preferred stock or Common Stock. If we issue Common Stock or securities convertible or exercisable into Common Stock, our common stockholders would experience additional dilution and, as a result, our stock price may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how we use the net proceeds of this offering. We may not use these proceeds effectively, which could affect our results of operations and cause our stock price to decline.</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will have considerable discretion in the application of the net proceeds of this offering, including for any of the purposes described in the section entitled “Use of Proceeds.” We intend to use the net proceeds from this offering for future locations, as well as for working capital and general corporate purposes.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our Common Stock is listed on the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and may impair our ability to acquire additional intellectual property assets by using our shares as consideration.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substantial volatility, and stockholders may lose all or a substantial part of their investment.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Common Stock currently trades on Nasdaq. There is limited public float, and trading volume historically has been low and sporadic. As a result, the market price for our Common Stock may not necessarily be a reliable indicator of our fair market value. The price at which our Common Stock trades may fluctuate as a result of a number of factors, including the number of shares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Capital Market could result in a delisting of our Common Stock.</w:t>
      </w:r>
    </w:p>
    <w:p>
      <w:pPr>
        <w:spacing w:after="0" w:line="2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January 2, 2020, we received a deficiency letter from The Nasdaq Stock Market which provided us a grace period of 180 calendar days, or until June 30, 2020, to regain compliance with the minimum bid price requirement. On April 17, 2020, we received notice from Nasdaq, which stated that, due to recent market conditions, effective as of April 16, 2020, Nasdaq has determined to toll the compliance period for the minimum bid price requirement through June 30, 2020. In order to regain compliance, on June 10, 2020, we filed a certificate of amendment to our amended and restated certificate of incorporation with the Secretary of State of the State of Delaware to effect a one-for-three reverse stock split of our outstanding shares of Common Stock. On June 17, 2020, we received a notification letter from The Nasdaq Stock Market informing us that we had regained compliance with Listing Rule 5550(a)(2).</w:t>
      </w:r>
    </w:p>
    <w:p>
      <w:pPr>
        <w:spacing w:after="0" w:line="17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324"/>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Common Stock becomes subject to the penny stock rules, it may be more difficult to sell our Common Stock.</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The OTC Bulletin Board does not meet such requirements and if the price of our Common Stock is less than $5.00 and our Common Stock is no longer listed on a national securities exchange such as Nasdaq, our stock may be deemed a penny stock. The penny stock rules require a broker-dealer, at least two business days prior to a transaction in a penny stock not otherwise exempt from those rules, to deliver to the customer a standardized risk disclosure document containing specified information and to obtain from the customer a signed and date acknowledgment of receipt of that document. In addition, the penny stock rules require that prior to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never paid or declared any cash dividends on our Common Stock. We currently intend to retain earnings, if any, to finance the growth and development of our business and we do not anticipate paying any cash dividends in the foreseeable future. As a result, only appreciation of the price of our Common Stock will provide a return to our stockholders.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to receive net proceeds of approximately $36.5 million from this offering, after deducting estimated offering expenses payable by us, including the placement agent fees, and excluding the proceeds, if any, from the exercise of the Warrants or the Placement Agent Warrants issued in this offering. We intend to use the net proceeds from this offering for capital expenditures to support future locations, as well as for working capital and general corporate purposes.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expect to pay any cash dividends for the foreseeable future. We intend to use future earnings, if any, in the operation and expansion of our business. Any future determination relating to our dividend policy will be made at the discretion of our Board of Directors, based on our financial condition, results of operations, contractual restrictions, capital requirements, business properties, restrictions imposed by applicable law and other factors our Board of Directors may deem relevant.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2020, our net tangible book value was approximately $53.0 million, or $0.77 per share of our Common Stock. Net tangible book value per share represents the amount of our total tangible assets less our total liabilities, divided by the total number of shares of our Common Stock outstanding as of September 30, 2020.</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pro forma net tangible book value as of September 30, 2020 was $53.2 million, or $0.77 per share of our Common Stock. Pro forma net tangible book value per share represents total tangible assets less total liabilities, divided by the number of shares of our Common Stock outstanding as September 30, 2020, after giving effect to the issuance of an aggregate of 438,017 shares of Common Stock upon conversion of existing indebtedness.</w:t>
      </w:r>
    </w:p>
    <w:p>
      <w:pPr>
        <w:spacing w:after="0" w:line="14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After giving effect to the issuance in the foregoing paragraph, as well as the sale of 24,509,806 shares of our Common Stock and Warrants to purchase up to 24,509,806 shares of Common Stock in this offering at a combined offering price of $1.70 per share, and after deducting estimated offering expenses payable by us, and excluding the proceeds, if any, from the exercise of the Warrants or the Placement Agent Warrants issued in this offering, our pro forma as adjusted net tangible book value as of September 30, 2020 would have been approximately $89.7 million, or $0.95 per share of Common Stock. This represents an immediate increase in pro forma as adjusted net tangible book value of $0.18 per share to our existing stockholders and immediate dilution in pro forma as adjusted net tangible book value of $0.75 per share to investors participating in this offering. The following table illustrates this dilution per share of Common Stock to investors participating in this offering: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public offering price per share and warrant</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r>
      <w:tr>
        <w:trPr>
          <w:trHeight w:val="216"/>
        </w:trPr>
        <w:tc>
          <w:tcPr>
            <w:tcW w:w="8440" w:type="dxa"/>
            <w:vAlign w:val="bottom"/>
          </w:tcPr>
          <w:p>
            <w:pPr>
              <w:ind w:left="20"/>
              <w:spacing w:after="0"/>
              <w:rPr>
                <w:sz w:val="20"/>
                <w:szCs w:val="20"/>
                <w:color w:val="auto"/>
              </w:rPr>
            </w:pPr>
            <w:r>
              <w:rPr>
                <w:rFonts w:ascii="Arial" w:cs="Arial" w:eastAsia="Arial" w:hAnsi="Arial"/>
                <w:sz w:val="18"/>
                <w:szCs w:val="18"/>
                <w:color w:val="auto"/>
              </w:rPr>
              <w:t>Net tangible book value per share as of September 30, 2020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0.77</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tangible book value per share attributable to pro forma adjustments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09"/>
        </w:trPr>
        <w:tc>
          <w:tcPr>
            <w:tcW w:w="8440" w:type="dxa"/>
            <w:vAlign w:val="bottom"/>
          </w:tcPr>
          <w:p>
            <w:pPr>
              <w:ind w:left="20"/>
              <w:spacing w:after="0"/>
              <w:rPr>
                <w:sz w:val="20"/>
                <w:szCs w:val="20"/>
                <w:color w:val="auto"/>
              </w:rPr>
            </w:pPr>
            <w:r>
              <w:rPr>
                <w:rFonts w:ascii="Arial" w:cs="Arial" w:eastAsia="Arial" w:hAnsi="Arial"/>
                <w:sz w:val="18"/>
                <w:szCs w:val="18"/>
                <w:color w:val="auto"/>
              </w:rPr>
              <w:t>Pro forma net tangible book value per share as of September 30, 2020</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0.77</w:t>
            </w: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the offering</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0.95</w:t>
            </w: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Dilution per share to new investors in this offering</w:t>
            </w:r>
          </w:p>
        </w:tc>
        <w:tc>
          <w:tcPr>
            <w:tcW w:w="5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foregoing illustration does not reflect the potential dilution from (i) the exercise of Warrants to purchase up to 24,509,806 shares of Common Stock at an exercise price of $1.70 per share, (ii) the exercise of Placement Agent Warrants to purchase up to 1,960,784 shares of Common Stock, or (iii) the exercise of outstanding options or warrants to purchase shares of our Common Stock.</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Assuming all of the Warrants and Placement Agent Warrants to purchase up to 26,470,590 shares of Common Stock were immediately exercised for cash, our as adjusted net tangible book value as of September 30, 2020 would be approximately $135.6 million, or $1.13 per share of Common Stock. This amount represents an immediate increase in as adjusted net tangible book value of $0.36 per share to our existing stockholders and an immediate dilution of $0.57 per share to investors participating in this offering.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number of shares of Common Stock that will be outstanding after this offering is based on 69,516,905 shares of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17, 2020, and also excludes:</w:t>
      </w:r>
    </w:p>
    <w:p>
      <w:pPr>
        <w:spacing w:after="0" w:line="211" w:lineRule="exact"/>
        <w:rPr>
          <w:sz w:val="20"/>
          <w:szCs w:val="20"/>
          <w:color w:val="auto"/>
        </w:rPr>
      </w:pPr>
    </w:p>
    <w:p>
      <w:pPr>
        <w:ind w:left="660" w:right="2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20,818,889 shares of Common Stock issuable as of the date hereof upon the exercise of common stock warrants outstanding as of December 17, 2020 at a weighted average exercise price of $3.99 per share;</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1,263,867 shares of Common Stock issuable as of the date hereof upon the exercise of stock options at a weighted average exercise price of $4.00 per share outstanding as of December 17, 2020;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4,439,372 shares of Common Stock available for future issuance under the 2020 Equity Incentive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THE SECURITIES WE ARE OFFERING</w:t>
      </w:r>
    </w:p>
    <w:p>
      <w:pPr>
        <w:spacing w:after="0" w:line="22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offering shares of our Common Stock and Warrants. The following description of our Common Stock and Warrants summarizes the material terms and provisions thereof, including the material terms of the Common Stock and Warrants we are offering under this prospectus supplement and the accompanying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“Description of Common Stock” on page 9 of the accompanying prospectus for a description of the material terms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the Warrants that are being offered hereby is not complete and is subject to, and qualified in its entirety by, the provisions of the Warrant, the form of which is will be filed as an exhibit to our Current Report on Form 8-K to be filed with the SEC on December 21, 2020. Prospective investors should carefully review the terms and provisions of the form of Warrant for a complete description of the terms and conditions of the Warrants.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Duration and Exercise Price</w:t>
      </w:r>
      <w:r>
        <w:rPr>
          <w:rFonts w:ascii="Arial" w:cs="Arial" w:eastAsia="Arial" w:hAnsi="Arial"/>
          <w:sz w:val="18"/>
          <w:szCs w:val="18"/>
          <w:color w:val="auto"/>
        </w:rPr>
        <w:t>. Each Warrant offered hereby has an initial exercise price per share equal to $1.70. The Warrants are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and may be exercised at any time until December 21, 2022.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Warrants are exercisable, at the option of each holder, in whole or in part, by delivering to us a duly executed exercise notice</w:t>
      </w:r>
      <w:r>
        <w:rPr>
          <w:rFonts w:ascii="Arial" w:cs="Arial" w:eastAsia="Arial" w:hAnsi="Arial"/>
          <w:sz w:val="17"/>
          <w:szCs w:val="17"/>
          <w:i w:val="1"/>
          <w:iCs w:val="1"/>
          <w:color w:val="auto"/>
        </w:rPr>
        <w:t xml:space="preserve"> </w:t>
      </w:r>
      <w:r>
        <w:rPr>
          <w:rFonts w:ascii="Arial" w:cs="Arial" w:eastAsia="Arial" w:hAnsi="Arial"/>
          <w:sz w:val="17"/>
          <w:szCs w:val="17"/>
          <w:color w:val="auto"/>
        </w:rPr>
        <w:t>accompanied by payment in full for the number of shares of our Common Stock purchased upon such exercise (except in the case of a cashless exercise as discussed below). Purchasers of the Warrants in this offering may elect to deliver their exercise notice following the pricing of the offering and prior to the issuance of the Warrants at closing to have their Warrants exercised immediately upon issuance and receive shares of Common Stock underlying the Warrants upon closing of this offering. A holder (together with its affiliates) may not exercise any portion of the Warrant to the extent that the holder would own more than 4.99% of the outstanding Common Stock immediately after exercise, except that upon at least 61 days’ prior notice from the holder to us, the holder may increase the amount of ownership of outstanding Common Stock after exercising the holder’s Warrants up to 9.99% of the number of shares of our Common Stock outstanding immediately after giving effect to the exercise, as such percentage ownership is determined in accordance with the terms of the Warrants. Purchasers of Warrants in this offering may also elect prior to the issuance of the Warrants to have the initial exercise limitation set at 9.99% of our outstanding Common Stock. No fractional shares of Common Stock will be issued in connection with the exercise of a Warrant. In lieu of fractional shares, we will round down to the next whole share.</w:t>
      </w:r>
    </w:p>
    <w:p>
      <w:pPr>
        <w:spacing w:after="0" w:line="18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Cashless Exercise</w:t>
      </w:r>
      <w:r>
        <w:rPr>
          <w:rFonts w:ascii="Arial" w:cs="Arial" w:eastAsia="Arial" w:hAnsi="Arial"/>
          <w:sz w:val="18"/>
          <w:szCs w:val="18"/>
          <w:color w:val="auto"/>
        </w:rPr>
        <w:t>. In lieu of making the cash payment otherwise contemplated to be made to us upon exercise of a Warrant in 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exercise price, the holder may elect instead to receive upon such exercise (either in whole or in part) the net number of shares of Common Stock determined according to a formula set forth in the Warrants.</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Subject to applicable laws, a Warrant may be transferred at the option of the holder upon surrender of the Warrant to us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appropriate instruments of transfer.</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There is no trading market available for the Warrants on any securities exchange or nationally recognized trading system. We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list the Warrants on any securities exchange or nationally recognized trading system.</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Right as a Stockholder</w:t>
      </w:r>
      <w:r>
        <w:rPr>
          <w:rFonts w:ascii="Arial" w:cs="Arial" w:eastAsia="Arial" w:hAnsi="Arial"/>
          <w:sz w:val="16"/>
          <w:szCs w:val="16"/>
          <w:color w:val="auto"/>
        </w:rPr>
        <w:t>. Except as otherwise provided in the Warrants or by virtue of such holder’s ownership of shares of our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the Warrants do not have the rights or privileges of holders of our Common Stock, including any voting rights, until they exercise their Warrants.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Fundamental Transaction</w:t>
      </w:r>
      <w:r>
        <w:rPr>
          <w:rFonts w:ascii="Arial" w:cs="Arial" w:eastAsia="Arial" w:hAnsi="Arial"/>
          <w:sz w:val="18"/>
          <w:szCs w:val="18"/>
          <w:color w:val="auto"/>
        </w:rPr>
        <w:t>. In the event of a fundamental transaction, as described in the Warrants and generally including any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 Additionally, as more fully described in the Warrant, in the event of certain fundamental transactions, the holders of Warrants will be entitled to receive consideration in an amount equal to the Black Scholes value of the warrants on the date of consummation of such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Agent Warrants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also agreed to issue to the placement agent the Placement Agent Warrants to purchase up to 1,960,784 shares of common stock. The Placement Agent Warrants will have the same terms as the Warrants described above, except that the Placement Agent Warrants will have an exercise price of $2.125 per share (representing 125% of the public offering price and will expire 24 months from the date of issuance).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engaged H.C. Wainwright &amp; Co., LLC (the “placement agent”) to act as our exclusive placement agent in connection with this offering. The placement agent has no commitment to buy any of the securities. We will enter into a securities purchase agreement directly with investors in connection with this offering and we may not sell the entire amount of shares of our Common Stock and Warrants offered pursuant to this prospectus supplement. We will make offers only to a limited number of qualified institutional buyers and accredited investors. The placement agent may retain sub-agents and selected dealers in connection with this offering.</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agreed to indemnify the placement agent against specified liabilities relating to or arising out of the agent’s activities as placement agent.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agreed to pay the placement agent (i) a total cash fee equal to 7.5% of the aggregate gross proceeds of this offering, (ii) a management fee equal to 1.0% of the aggregate gross proceeds of this offering, (iii) a non-accountable expense allowance of $25,000, (iv) up to $40,000 for the legal fees and expenses of the placement agent, and (v) $12,900 for the clearing expenses of the placement agent in connection with this offering.</w:t>
      </w:r>
    </w:p>
    <w:p>
      <w:pPr>
        <w:spacing w:after="0" w:line="16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estimate the total expenses of this offering paid or payable by us will be approximately $5.1 million. After deducting the fees due to the placement agent and our estimated expenses in connection with this offering, we expect the net proceeds from this offering will be approximately $36.5 million.</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March 19, 2020, we entered into a letter agreement (the “Palladium Engagement Letter”) with Palladium Capital Advisors, LLC (“Palladium”) which sets forth the understanding and agreement between us and Palladium with respect to our engagement of Palladium as a non-exclusive finder for us to use its best efforts to identify potential purchasers for our proposed offering of securities to a limited number of institutional, accredited individual or strategic investors (each a “Finder Investor”). Fees are payable to Palladium for any sale of our securities that occurs during the term or within 18 months thereafter to Finder Investors. Pursuant to the terms of the Palladium Engagement Letter, Palladium may be entitled to a cash fee of up to $1.47 million pursuant to this offering and warrants to purchase up to an aggregate of 754,902 shares of our Common Stock. The warrants issued to Palladium and the shares of common stock issuable upon exercise of such warrants are also being registered hereby.</w:t>
      </w:r>
    </w:p>
    <w:p>
      <w:pPr>
        <w:spacing w:after="0" w:line="17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the per share and total cash fees we will pay to the placement agent in connection with the sale of the shares of our Common Stock pursuant to this prospectus supplement and the accompanying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1.7000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41,666,670.20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Placement Agent fees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0.1275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3,125,000.27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1.5725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38,541,669.93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Agent Warrants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have agreed to issue to the placement agent, at the closing of this offering, warrants to purchase 8.0% of the number of shares of our Common Stock sold in this offering (or warrants to purchase up to 1,960,784 shares of our Common Stock), at an exercise price of $2.125 per share (representing 125% of the public offering price). The placement agent’s warrants and the shares of our Common Stock issuable upon exercise thereof are being registered hereby.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placement agent warrants will be exercisable immediately and for 24 months from the date of issuance.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Tail Financing Payments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also agreed to pay the placement agent, subject to certain exceptions, a tail fee equal to the cash and warrant compensation in this offering, if any investor, who was contacted or introduced to the Company by placement agent during the term of its engagement or introduced to us by placement agent during the term of its engagement, provides us with capital in any public or private offering or other financing or capital raising transaction during the 12-month period following the termination or expiration of our engagement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we have granted a right of first refusal to the placement agent pursuant to which it has the right to act as the exclusive advisor, manager or underwriter or agent, as applicable, if we or our subsidiaries sell or acquire a business, finance any indebtedness using an agent, or raise capital through a public or private offering of equity or debt securities at any time prior to the 12-month anniversary of the consummation date of this offering.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Warrant Fee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any exercise of the Warrants issued in the offering for cash, we have agreed to pay the placement agent (i) a total cash fee equal to 7.5% of the aggregate gross proceeds from the exercise of the Warrants, (ii) a management fee equal to 1.0% of the aggregate gross proceeds from the exercise of the Warrants, and (iii) to issue to the placement agent warrants to purchase 8.0% of the number of shares of our Common Stock issued upon the cash exercise of the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placement agent acted as placement agent in our registered direct offerings in June and August 2020. As compensation for its services in connection with the June offering, the placement agent received cash placement agent fees of $3.0 million and placement agent warrants to purchase up to 609,176 shares of Common Stock, which have an exercise price of $6.56625 per share and expire 21 months from the date of issuance. As compensation for its services in connection with the August offering, the placement agent received cash placement agent fees of $2.7 million and placement agent warrants to purchase up to 875,355 shares of Common Stock, which have an exercise price of $3.9375 per share and expire 24 months from the date of issuance.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the placement agent may provide in the future various advisory, investment and commercial banking and other services to us in the ordinary course of business, for which they may receive customary fees and commissions. However, except as disclosed in this prospectus, we have no present arrangements with the placement agent for any further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listed on The Nasdaq Capital Market, or Nasdaq, under the symbol “XSPA.” The last reported sale price of our Common Stock on December 17, 2020 was $1.37 per share.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legal matters relating to the issuance of the securities offered by this prospectus supplement will be passed upon for us by Bryan Cave Leighton Paisner LLP, St. Louis, Missouri. Ellenoff Grossman &amp; Schole LLP, New York, New York is acting as counsel to the placement agent in connection with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Our consolidated financial statements appearing in our </w:t>
      </w:r>
      <w:hyperlink r:id="rId10">
        <w:r>
          <w:rPr>
            <w:rFonts w:ascii="Arial" w:cs="Arial" w:eastAsia="Arial" w:hAnsi="Arial"/>
            <w:sz w:val="16"/>
            <w:szCs w:val="16"/>
            <w:u w:val="single" w:color="auto"/>
            <w:color w:val="0000EE"/>
          </w:rPr>
          <w:t>Annual Report on Form 10-K for the year ended December 31,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have been audited by CohnReznick LLP, an independent registered public accounting firm, as stated in their report, which is incorporated herein by reference. Such consolidated financial statements have been so incorporated in reliance upon the report of such firm (which report expresses an unqualified opinion and includes an explanatory paragraph regarding the Company’s going concern uncertainty) given upon their authority as experts in auditing and accounting.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file annual, quarterly and other periodic reports, proxy statements and other information with the SEC. You can read our SEC filings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Our Internet address is </w:t>
      </w:r>
      <w:r>
        <w:rPr>
          <w:rFonts w:ascii="Arial" w:cs="Arial" w:eastAsia="Arial" w:hAnsi="Arial"/>
          <w:sz w:val="18"/>
          <w:szCs w:val="18"/>
          <w:i w:val="1"/>
          <w:iCs w:val="1"/>
          <w:color w:val="auto"/>
        </w:rPr>
        <w:t>www.xpresspa.com</w:t>
      </w:r>
      <w:r>
        <w:rPr>
          <w:rFonts w:ascii="Arial" w:cs="Arial" w:eastAsia="Arial" w:hAnsi="Arial"/>
          <w:sz w:val="18"/>
          <w:szCs w:val="18"/>
          <w:color w:val="auto"/>
        </w:rPr>
        <w:t>. There we make available free of charge, on or through the investor relations section of our website, annual reports on Form 10-K, quarterly reports on Form 10-Q, current reports on Form 8-K and amendments to those reports filed pursuant to Section 13(a) or 15(d) of the Securities Exchange Act of 1934, as amended, as soon as reasonably practicable after we electronically file such material with the SEC. The information found on our website is not part of this prospectus supplement or the accompanying prospectus.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“incorporating by reference” specific documents that we file with the SEC, which means that we can disclose important information to you by referring you to those documents that are considered part of this prospectus supplement and the accompanying prospectus. Information that we file subsequently with the SEC will automatically update and supersede this information. We incorporate by reference the documents listed below, and any documents that we file with the SEC under Section 13(a), 13(c), 14 or 15(d) of the Exchange Act, after the date of this prospectus supplement until the termination of the offering of all of the securities registered pursuant to the registration statement of which the accompanying prospectus is a part (excluding any portions of such documents that have been “furnished” but not “filed” for purposes of the Exchange Act):</w:t>
      </w:r>
    </w:p>
    <w:p>
      <w:pPr>
        <w:spacing w:after="0" w:line="178" w:lineRule="exact"/>
        <w:rPr>
          <w:sz w:val="20"/>
          <w:szCs w:val="20"/>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u w:val="single" w:color="auto"/>
          <w:color w:val="0000EE"/>
        </w:rPr>
      </w:pPr>
      <w:hyperlink r:id="rId33">
        <w:r>
          <w:rPr>
            <w:rFonts w:ascii="Arial" w:cs="Arial" w:eastAsia="Arial" w:hAnsi="Arial"/>
            <w:sz w:val="17"/>
            <w:szCs w:val="17"/>
            <w:u w:val="single" w:color="auto"/>
            <w:color w:val="auto"/>
          </w:rPr>
          <w:t xml:space="preserve">our </w:t>
        </w:r>
        <w:r>
          <w:rPr>
            <w:rFonts w:ascii="Arial" w:cs="Arial" w:eastAsia="Arial" w:hAnsi="Arial"/>
            <w:sz w:val="17"/>
            <w:szCs w:val="17"/>
            <w:u w:val="single" w:color="auto"/>
            <w:color w:val="0000EE"/>
          </w:rPr>
          <w:t>Annual Report on Form 10-K for the year ended December 31, 2019, filed with the SEC on April 20, 2020,</w:t>
        </w:r>
        <w:r>
          <w:rPr>
            <w:rFonts w:ascii="Arial" w:cs="Arial" w:eastAsia="Arial" w:hAnsi="Arial"/>
            <w:sz w:val="17"/>
            <w:szCs w:val="17"/>
            <w:u w:val="single" w:color="auto"/>
            <w:color w:val="auto"/>
          </w:rPr>
          <w:t xml:space="preserve"> as amended by </w:t>
        </w:r>
        <w:r>
          <w:rPr>
            <w:rFonts w:ascii="Arial" w:cs="Arial" w:eastAsia="Arial" w:hAnsi="Arial"/>
            <w:sz w:val="17"/>
            <w:szCs w:val="17"/>
            <w:u w:val="single" w:color="auto"/>
            <w:color w:val="0000EE"/>
          </w:rPr>
          <w:t>Amendment No. 1</w:t>
        </w:r>
      </w:hyperlink>
      <w:r>
        <w:rPr>
          <w:rFonts w:ascii="Arial" w:cs="Arial" w:eastAsia="Arial" w:hAnsi="Arial"/>
          <w:sz w:val="17"/>
          <w:szCs w:val="17"/>
          <w:u w:val="single" w:color="auto"/>
          <w:color w:val="auto"/>
        </w:rPr>
        <w:t xml:space="preserve"> </w:t>
      </w:r>
      <w:hyperlink r:id="rId33">
        <w:r>
          <w:rPr>
            <w:rFonts w:ascii="Arial" w:cs="Arial" w:eastAsia="Arial" w:hAnsi="Arial"/>
            <w:sz w:val="17"/>
            <w:szCs w:val="17"/>
            <w:u w:val="single" w:color="auto"/>
            <w:color w:val="0000EE"/>
          </w:rPr>
          <w:t xml:space="preserve">to Form 10-K, filed with the SEC on May 19, 2020 </w:t>
        </w:r>
        <w:r>
          <w:rPr>
            <w:rFonts w:ascii="Arial" w:cs="Arial" w:eastAsia="Arial" w:hAnsi="Arial"/>
            <w:sz w:val="17"/>
            <w:szCs w:val="17"/>
            <w:u w:val="single" w:color="auto"/>
            <w:color w:val="000000"/>
          </w:rPr>
          <w:t>and</w:t>
        </w:r>
        <w:r>
          <w:rPr>
            <w:rFonts w:ascii="Arial" w:cs="Arial" w:eastAsia="Arial" w:hAnsi="Arial"/>
            <w:sz w:val="17"/>
            <w:szCs w:val="17"/>
            <w:u w:val="single" w:color="auto"/>
            <w:color w:val="0000EE"/>
          </w:rPr>
          <w:t xml:space="preserve"> </w:t>
        </w:r>
      </w:hyperlink>
      <w:hyperlink r:id="rId34">
        <w:r>
          <w:rPr>
            <w:rFonts w:ascii="Arial" w:cs="Arial" w:eastAsia="Arial" w:hAnsi="Arial"/>
            <w:sz w:val="17"/>
            <w:szCs w:val="17"/>
            <w:u w:val="single" w:color="auto"/>
            <w:color w:val="0000EE"/>
          </w:rPr>
          <w:t>Amendment No. 2 to Form 10-K, filed with the SEC on June 15, 2020</w:t>
        </w:r>
      </w:hyperlink>
      <w:hyperlink r:id="rId33">
        <w:r>
          <w:rPr>
            <w:rFonts w:ascii="Arial" w:cs="Arial" w:eastAsia="Arial" w:hAnsi="Arial"/>
            <w:sz w:val="17"/>
            <w:szCs w:val="17"/>
            <w:u w:val="single" w:color="auto"/>
            <w:color w:val="000000"/>
          </w:rPr>
          <w:t>;</w:t>
        </w:r>
      </w:hyperlink>
    </w:p>
    <w:p>
      <w:pPr>
        <w:spacing w:after="0" w:line="146" w:lineRule="exact"/>
        <w:rPr>
          <w:rFonts w:ascii="Arial" w:cs="Arial" w:eastAsia="Arial" w:hAnsi="Arial"/>
          <w:sz w:val="17"/>
          <w:szCs w:val="17"/>
          <w:u w:val="single" w:color="auto"/>
          <w:color w:val="0000EE"/>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for the quarter ended March 31, 2020, filed with the SEC on </w:t>
      </w:r>
      <w:hyperlink r:id="rId35">
        <w:r>
          <w:rPr>
            <w:rFonts w:ascii="Arial" w:cs="Arial" w:eastAsia="Arial" w:hAnsi="Arial"/>
            <w:sz w:val="17"/>
            <w:szCs w:val="17"/>
            <w:u w:val="single" w:color="auto"/>
            <w:color w:val="0000EE"/>
          </w:rPr>
          <w:t>July 5, 2020</w:t>
        </w:r>
      </w:hyperlink>
      <w:r>
        <w:rPr>
          <w:rFonts w:ascii="Arial" w:cs="Arial" w:eastAsia="Arial" w:hAnsi="Arial"/>
          <w:sz w:val="17"/>
          <w:szCs w:val="17"/>
          <w:color w:val="auto"/>
        </w:rPr>
        <w:t xml:space="preserve">, the quarter ended June 30, 2020, filed with the SEC on </w:t>
      </w:r>
      <w:hyperlink r:id="rId36">
        <w:r>
          <w:rPr>
            <w:rFonts w:ascii="Arial" w:cs="Arial" w:eastAsia="Arial" w:hAnsi="Arial"/>
            <w:sz w:val="17"/>
            <w:szCs w:val="17"/>
            <w:u w:val="single" w:color="auto"/>
            <w:color w:val="0000EE"/>
          </w:rPr>
          <w:t>August 19, 2020,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the quarter ended September 30, 2020, filed with the SEC on </w:t>
      </w:r>
      <w:hyperlink r:id="rId11">
        <w:r>
          <w:rPr>
            <w:rFonts w:ascii="Arial" w:cs="Arial" w:eastAsia="Arial" w:hAnsi="Arial"/>
            <w:sz w:val="17"/>
            <w:szCs w:val="17"/>
            <w:u w:val="single" w:color="auto"/>
            <w:color w:val="0000EE"/>
          </w:rPr>
          <w:t>November 16, 2020;</w:t>
        </w:r>
      </w:hyperlink>
    </w:p>
    <w:p>
      <w:pPr>
        <w:spacing w:after="0" w:line="14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7">
        <w:r>
          <w:rPr>
            <w:rFonts w:ascii="Arial" w:cs="Arial" w:eastAsia="Arial" w:hAnsi="Arial"/>
            <w:sz w:val="18"/>
            <w:szCs w:val="18"/>
            <w:u w:val="single" w:color="auto"/>
            <w:color w:val="0000EE"/>
          </w:rPr>
          <w:t>January 3, 2020</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January 14, 2020</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February 3, 2020</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March 6, 2020</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March 19, 2020</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EE"/>
          </w:rPr>
          <w:t>March 26,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March 30, 2020 (two reports)</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 6,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 7,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 17,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 24,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April 28,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6,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7,</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11,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22,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May 29,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June 4,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June 10,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June 17,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August 11,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August 13, 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August 26,</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2020</w:t>
        </w:r>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44">
        <w:r>
          <w:rPr>
            <w:rFonts w:ascii="Arial" w:cs="Arial" w:eastAsia="Arial" w:hAnsi="Arial"/>
            <w:sz w:val="18"/>
            <w:szCs w:val="18"/>
            <w:u w:val="single" w:color="auto"/>
            <w:color w:val="0000EE"/>
          </w:rPr>
          <w:t>August 28, 2020</w:t>
        </w:r>
      </w:hyperlink>
      <w:hyperlink r:id="rId43">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45">
        <w:r>
          <w:rPr>
            <w:rFonts w:ascii="Arial" w:cs="Arial" w:eastAsia="Arial" w:hAnsi="Arial"/>
            <w:sz w:val="18"/>
            <w:szCs w:val="18"/>
            <w:u w:val="single" w:color="auto"/>
            <w:color w:val="0000EE"/>
          </w:rPr>
          <w:t>September 28, 2020</w:t>
        </w:r>
      </w:hyperlink>
      <w:hyperlink r:id="rId43">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46">
        <w:r>
          <w:rPr>
            <w:rFonts w:ascii="Arial" w:cs="Arial" w:eastAsia="Arial" w:hAnsi="Arial"/>
            <w:sz w:val="18"/>
            <w:szCs w:val="18"/>
            <w:u w:val="single" w:color="auto"/>
            <w:color w:val="0000EE"/>
          </w:rPr>
          <w:t>October 6, 2020</w:t>
        </w:r>
      </w:hyperlink>
      <w:hyperlink r:id="rId43">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47">
        <w:r>
          <w:rPr>
            <w:rFonts w:ascii="Arial" w:cs="Arial" w:eastAsia="Arial" w:hAnsi="Arial"/>
            <w:sz w:val="18"/>
            <w:szCs w:val="18"/>
            <w:u w:val="single" w:color="auto"/>
            <w:color w:val="0000EE"/>
          </w:rPr>
          <w:t>October 9, 2020</w:t>
        </w:r>
      </w:hyperlink>
      <w:hyperlink r:id="rId43">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48">
        <w:r>
          <w:rPr>
            <w:rFonts w:ascii="Arial" w:cs="Arial" w:eastAsia="Arial" w:hAnsi="Arial"/>
            <w:sz w:val="18"/>
            <w:szCs w:val="18"/>
            <w:u w:val="single" w:color="auto"/>
            <w:color w:val="0000EE"/>
          </w:rPr>
          <w:t>October 26, 2020</w:t>
        </w:r>
      </w:hyperlink>
      <w:hyperlink r:id="rId43">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49">
        <w:r>
          <w:rPr>
            <w:rFonts w:ascii="Arial" w:cs="Arial" w:eastAsia="Arial" w:hAnsi="Arial"/>
            <w:sz w:val="18"/>
            <w:szCs w:val="18"/>
            <w:u w:val="single" w:color="auto"/>
            <w:color w:val="0000EE"/>
          </w:rPr>
          <w:t>October 28, 2020</w:t>
        </w:r>
      </w:hyperlink>
      <w:hyperlink r:id="rId43">
        <w:r>
          <w:rPr>
            <w:rFonts w:ascii="Arial" w:cs="Arial" w:eastAsia="Arial" w:hAnsi="Arial"/>
            <w:sz w:val="18"/>
            <w:szCs w:val="18"/>
            <w:u w:val="single" w:color="auto"/>
            <w:color w:val="000000"/>
          </w:rPr>
          <w:t>,</w:t>
        </w:r>
        <w:r>
          <w:rPr>
            <w:rFonts w:ascii="Arial" w:cs="Arial" w:eastAsia="Arial" w:hAnsi="Arial"/>
            <w:sz w:val="18"/>
            <w:szCs w:val="18"/>
            <w:u w:val="single" w:color="auto"/>
            <w:color w:val="0000EE"/>
          </w:rPr>
          <w:t xml:space="preserve"> </w:t>
        </w:r>
      </w:hyperlink>
      <w:hyperlink r:id="rId50">
        <w:r>
          <w:rPr>
            <w:rFonts w:ascii="Arial" w:cs="Arial" w:eastAsia="Arial" w:hAnsi="Arial"/>
            <w:sz w:val="18"/>
            <w:szCs w:val="18"/>
            <w:u w:val="single" w:color="auto"/>
            <w:color w:val="0000EE"/>
          </w:rPr>
          <w:t>October 30, 2020</w:t>
        </w:r>
      </w:hyperlink>
      <w:hyperlink r:id="rId43">
        <w:r>
          <w:rPr>
            <w:rFonts w:ascii="Arial" w:cs="Arial" w:eastAsia="Arial" w:hAnsi="Arial"/>
            <w:sz w:val="18"/>
            <w:szCs w:val="18"/>
            <w:u w:val="single" w:color="auto"/>
            <w:color w:val="000000"/>
          </w:rPr>
          <w:t>,</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December 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52">
        <w:r>
          <w:rPr>
            <w:rFonts w:ascii="Arial" w:cs="Arial" w:eastAsia="Arial" w:hAnsi="Arial"/>
            <w:sz w:val="18"/>
            <w:szCs w:val="18"/>
            <w:u w:val="single" w:color="auto"/>
            <w:color w:val="0000EE"/>
          </w:rPr>
          <w:t xml:space="preserve">December 17, 2020 </w:t>
        </w:r>
      </w:hyperlink>
      <w:hyperlink r:id="rId53">
        <w:r>
          <w:rPr>
            <w:rFonts w:ascii="Arial" w:cs="Arial" w:eastAsia="Arial" w:hAnsi="Arial"/>
            <w:sz w:val="18"/>
            <w:szCs w:val="18"/>
            <w:u w:val="single" w:color="auto"/>
            <w:color w:val="0000EE"/>
          </w:rPr>
          <w:t xml:space="preserve">(two filings) </w:t>
        </w:r>
      </w:hyperlink>
      <w:r>
        <w:rPr>
          <w:rFonts w:ascii="Arial" w:cs="Arial" w:eastAsia="Arial" w:hAnsi="Arial"/>
          <w:sz w:val="18"/>
          <w:szCs w:val="18"/>
          <w:color w:val="000000"/>
        </w:rPr>
        <w:t>(except</w:t>
      </w:r>
      <w:r>
        <w:rPr>
          <w:rFonts w:ascii="Arial" w:cs="Arial" w:eastAsia="Arial" w:hAnsi="Arial"/>
          <w:sz w:val="18"/>
          <w:szCs w:val="18"/>
          <w:color w:val="0000EE"/>
        </w:rPr>
        <w:t xml:space="preserve"> </w:t>
      </w:r>
      <w:r>
        <w:rPr>
          <w:rFonts w:ascii="Arial" w:cs="Arial" w:eastAsia="Arial" w:hAnsi="Arial"/>
          <w:sz w:val="18"/>
          <w:szCs w:val="18"/>
          <w:color w:val="000000"/>
        </w:rPr>
        <w:t>for the information furnished under Items 2.02 or 7.01 and the exhibits furnished</w:t>
      </w:r>
      <w:r>
        <w:rPr>
          <w:rFonts w:ascii="Arial" w:cs="Arial" w:eastAsia="Arial" w:hAnsi="Arial"/>
          <w:sz w:val="18"/>
          <w:szCs w:val="18"/>
          <w:color w:val="0000EE"/>
        </w:rPr>
        <w:t xml:space="preserve"> </w:t>
      </w:r>
      <w:r>
        <w:rPr>
          <w:rFonts w:ascii="Arial" w:cs="Arial" w:eastAsia="Arial" w:hAnsi="Arial"/>
          <w:sz w:val="18"/>
          <w:szCs w:val="18"/>
          <w:color w:val="000000"/>
        </w:rPr>
        <w:t>thereto); and</w:t>
      </w:r>
    </w:p>
    <w:p>
      <w:pPr>
        <w:spacing w:after="0" w:line="192" w:lineRule="exact"/>
        <w:rPr>
          <w:rFonts w:ascii="Arial" w:cs="Arial" w:eastAsia="Arial" w:hAnsi="Arial"/>
          <w:sz w:val="18"/>
          <w:szCs w:val="18"/>
          <w:color w:val="0000EE"/>
        </w:rPr>
      </w:pPr>
    </w:p>
    <w:p>
      <w:pPr>
        <w:ind w:left="660" w:hanging="328"/>
        <w:spacing w:after="0" w:line="277" w:lineRule="auto"/>
        <w:tabs>
          <w:tab w:leader="none" w:pos="660" w:val="left"/>
        </w:tabs>
        <w:numPr>
          <w:ilvl w:val="0"/>
          <w:numId w:val="6"/>
        </w:numPr>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the description of our Common Stock set forth in our registration statement on Form 8-A, filed with the SEC on April 29, 2013, including any</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further amendments thereto or reports filed for the purposes of updating this description.</w:t>
        </w:r>
      </w:hyperlink>
    </w:p>
    <w:p>
      <w:pPr>
        <w:spacing w:after="0" w:line="170" w:lineRule="exact"/>
        <w:rPr>
          <w:rFonts w:ascii="Arial" w:cs="Arial" w:eastAsia="Arial" w:hAnsi="Arial"/>
          <w:sz w:val="18"/>
          <w:szCs w:val="18"/>
          <w:color w:val="auto"/>
        </w:rPr>
      </w:pPr>
    </w:p>
    <w:p>
      <w:pPr>
        <w:jc w:val="both"/>
        <w:ind w:firstLine="324"/>
        <w:spacing w:after="0" w:line="225" w:lineRule="auto"/>
        <w:rPr>
          <w:sz w:val="20"/>
          <w:szCs w:val="20"/>
          <w:color w:val="auto"/>
        </w:rPr>
      </w:pPr>
      <w:r>
        <w:rPr>
          <w:rFonts w:ascii="Arial" w:cs="Arial" w:eastAsia="Arial" w:hAnsi="Arial"/>
          <w:sz w:val="18"/>
          <w:szCs w:val="18"/>
          <w:color w:val="auto"/>
        </w:rPr>
        <w:t>You may request, orally or in writing, a copy of these documents, which will be provided to you at no cost, by contacting XpresSpa Group, Inc.,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10001 Attention: Investor Relations. The Investor Relations Department can be reached via telephone at (212) 309-7549.</w:t>
      </w: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324"/>
        <w:spacing w:after="0" w:line="257"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herein shall be deemed to be modified or superseded for purposes of this prospectus supplement and the accompanying prospectus to the extent that a statement contained herein or therein, in any other subsequently filed document that also is or is deemed to be incorporated by reference herein and in any accompanying prospectus supplement, modifies or supersedes such statement. Any statement so modified or superseded shall not be deemed, except as so modified and superseded, to constitute a part of this prospectus supplement.</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Any statement made in this prospectus supplement and the accompanying prospectus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XPRESSPA GROUP, INC.</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$200,000,000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common stock is quoted on The Nasdaq Capital Market, or Nasdaq, under the symbol “XSPA.” On July 23, 2020, the last reported sale price of our common stock was $3.62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67" w:lineRule="exact"/>
        <w:rPr>
          <w:sz w:val="20"/>
          <w:szCs w:val="20"/>
          <w:color w:val="auto"/>
        </w:rPr>
      </w:pPr>
    </w:p>
    <w:p>
      <w:pPr>
        <w:jc w:val="both"/>
        <w:ind w:right="160"/>
        <w:spacing w:after="0" w:line="343" w:lineRule="auto"/>
        <w:rPr>
          <w:sz w:val="20"/>
          <w:szCs w:val="20"/>
          <w:color w:val="auto"/>
        </w:rPr>
      </w:pPr>
      <w:r>
        <w:rPr>
          <w:rFonts w:ascii="Arial" w:cs="Arial" w:eastAsia="Arial" w:hAnsi="Arial"/>
          <w:sz w:val="15"/>
          <w:szCs w:val="15"/>
          <w:b w:val="1"/>
          <w:bCs w:val="1"/>
          <w:color w:val="auto"/>
        </w:rPr>
        <w:t>Investing in our securities involves risks. Before deciding whether to invest in our securities, you should consider carefully the risks that we have described on page 5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2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04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04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66"/>
        </w:trPr>
        <w:tc>
          <w:tcPr>
            <w:tcW w:w="10420" w:type="dxa"/>
            <w:vAlign w:val="bottom"/>
          </w:tcPr>
          <w:p>
            <w:pPr>
              <w:spacing w:after="0"/>
              <w:rPr>
                <w:sz w:val="20"/>
                <w:szCs w:val="20"/>
                <w:color w:val="auto"/>
              </w:rPr>
            </w:pPr>
            <w:r>
              <w:rPr>
                <w:rFonts w:ascii="Arial" w:cs="Arial" w:eastAsia="Arial" w:hAnsi="Arial"/>
                <w:sz w:val="18"/>
                <w:szCs w:val="18"/>
                <w:color w:val="auto"/>
              </w:rPr>
              <w:t>ABOUT THIS PROSPECTUS</w:t>
            </w:r>
          </w:p>
        </w:tc>
        <w:tc>
          <w:tcPr>
            <w:tcW w:w="48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ii</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PROSPECTUS SUMMARY</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RISK FACTORS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USE OF PROCEEDS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PLAN OF DISTRIBUTION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DESCRIPTION OF COMMON STOCK</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DESCRIPTION OF PREFERRED STOCK</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DESCRIPTION OF RIGHTS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DESCRIPTION OF UNITS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CERTAIN PROVISIONS OF DELAWARE LAW AND OF THE COMPANY’S CERTIFICATE OF INCORPORATION AND BYLAWS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LEGAL MATTERS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EXPERTS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10420" w:type="dxa"/>
            <w:vAlign w:val="bottom"/>
          </w:tcPr>
          <w:p>
            <w:pPr>
              <w:spacing w:after="0"/>
              <w:rPr>
                <w:sz w:val="20"/>
                <w:szCs w:val="20"/>
                <w:color w:val="auto"/>
              </w:rPr>
            </w:pPr>
            <w:r>
              <w:rPr>
                <w:rFonts w:ascii="Arial" w:cs="Arial" w:eastAsia="Arial" w:hAnsi="Arial"/>
                <w:sz w:val="18"/>
                <w:szCs w:val="18"/>
                <w:color w:val="auto"/>
              </w:rPr>
              <w:t>INCORPORATION OF DOCUMENTS BY REFERENCE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to purchase any of such securities, either individually or in units, in one or more offerings, with a total value of up to $200,000,000.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We take no responsibility for, and can provide no assurances as to the reliability of, any other information that others may give you.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requires, references to “we,” “our,” “us,” or the “Company” in this prospectus mean XpresSpa Group, Inc., together with its subsidiaries.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796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0">
                      <a:extLst>
                        <a:ext uri="{28A0092B-C50C-407E-A947-70E740481C1C}"/>
                      </a:extLst>
                    </a:blip>
                    <a:srcRect/>
                    <a:stretch>
                      <a:fillRect/>
                    </a:stretch>
                  </pic:blipFill>
                  <pic:spPr bwMode="auto">
                    <a:xfrm>
                      <a:off x="0" y="0"/>
                      <a:ext cx="7136130" cy="7796530"/>
                    </a:xfrm>
                    <a:prstGeom prst="rect">
                      <a:avLst/>
                    </a:prstGeom>
                    <a:noFill/>
                  </pic:spPr>
                </pic:pic>
              </a:graphicData>
            </a:graphic>
          </wp:anchor>
        </w:drawing>
        <w:t>PROSPECTUS SUMMARY</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XpresSpa Group, Inc. (“XpresSpa” or the “Company”) is a pure-play health and wellness services company and a leading airport retailer of spa services. XpresSpa offers travelers premium spa services, including massage, nail and skin care, as well as spa and travel products. We currently have one operating segment that is also our sole reporting unit.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launched XpresCheck™ brand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22, 2020, we announced the signing of a contract with JFK International Air Terminal LLC (“JFKIAT”) to pilot test our concept of providing diagnostic COVID-19 tests in Terminal 4. To facilitate the JFK pilot test, we signed an agreement with JFKIAT for a new modular constructed testing facility within the terminal that will host nine separate testing rooms with a capacity to administer over 500 tests per day. We intend to initially offer our services to airline employees, contractors and workers, concessionaires and their employees, TSA officers, and U.S. Customs and Border Protection agents. All COVID-19 screening and testing will be conducted by a newly launched brand, XpresCheck™, which will operate under our XpresTest subsidiary. The pilot test at JFK launched on June 22,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June 11, 2020, we effected a </w:t>
      </w:r>
      <w:r>
        <w:rPr>
          <w:rFonts w:ascii="Arial" w:cs="Arial" w:eastAsia="Arial" w:hAnsi="Arial"/>
          <w:sz w:val="18"/>
          <w:szCs w:val="18"/>
          <w:color w:val="auto"/>
          <w:highlight w:val="white"/>
        </w:rPr>
        <w:t>one-for-three</w:t>
      </w:r>
      <w:r>
        <w:rPr>
          <w:rFonts w:ascii="Arial" w:cs="Arial" w:eastAsia="Arial" w:hAnsi="Arial"/>
          <w:sz w:val="18"/>
          <w:szCs w:val="18"/>
          <w:color w:val="auto"/>
        </w:rPr>
        <w:t xml:space="preserve"> reverse stock split, whereby every three shares of our Common Stock was reduced to one share of our Common Stock and the price per share of our Common Stock was multiplied by 3</w:t>
      </w:r>
      <w:r>
        <w:rPr>
          <w:rFonts w:ascii="Arial" w:cs="Arial" w:eastAsia="Arial" w:hAnsi="Arial"/>
          <w:sz w:val="18"/>
          <w:szCs w:val="18"/>
          <w:b w:val="1"/>
          <w:bCs w:val="1"/>
          <w:color w:val="auto"/>
        </w:rPr>
        <w:t>.</w:t>
      </w:r>
      <w:r>
        <w:rPr>
          <w:rFonts w:ascii="Arial" w:cs="Arial" w:eastAsia="Arial" w:hAnsi="Arial"/>
          <w:sz w:val="18"/>
          <w:szCs w:val="18"/>
          <w:color w:val="auto"/>
        </w:rPr>
        <w:t xml:space="preserve"> All references to shares and per share amounts have been adjusted to reflect the reverse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Coronavirus on Business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11, 2020, the World Health Organization declared the outbreak of COVID-19, which continues to spread throughout the U.S. and the world, as a pandemic. The outbreak has had an impact on the global economy, resulting in rapidly changing market and economic conditions. National and local governments around the world instituted certain measures, including travel bans, prohibitions on group events and gatherings, shutdowns of certain non-essential businesses, curfews, shelter-in-place orders and recommendations to practice social distancing. The outbreak and associated restrictions on travel that have been implemented have had a material adverse impact on our business and cash flow from operations, similar to many businesses in the travel sector.</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March 24, 2020, we temporarily closed all global spa locations, largely due to the categorization of the spa locations by local jurisdictions as “non-essential services”. Substantially all of our spa locations remain closed. We intend to strategically reopen our spa locations and resume normal operations once restrictions are lifted and airport traffic returns to sufficient levels to support our operations.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impact of COVID-19 is unknown and may continue as the rates of infection have increased in many states in the U.S., thus additional restrictive measures may be necessary. As a result, management has concluded that there was a long-lived asset impairment triggering event during the first quarter of 2020, which would require management to perform an impairment evaluation of our long-lived and definite-lived asset balances, consisting primarily of leasehold improvements at spa locations, trademarks and right of use lease assets of approximately $21,891 as of March 31, 2020. As a result of the triggering event, we reassessed our projections and based on management’s expectation of resuming normal operations, no impairment was indicated at this time. The full extent to which COVID-19 will impact our results will depend on future developments, which are highly uncertain and cannot be predicted, including new information which may emerge concerning the severity of the virus and the actions to contain or treat its impact.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1107" w:right="539" w:bottom="1440" w:gutter="0" w:footer="0" w:header="0"/>
        </w:sectPr>
      </w:pPr>
    </w:p>
    <w:bookmarkStart w:id="25" w:name="page26"/>
    <w:bookmarkEnd w:id="25"/>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7522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7136130" cy="7522210"/>
                    </a:xfrm>
                    <a:prstGeom prst="rect">
                      <a:avLst/>
                    </a:prstGeom>
                    <a:noFill/>
                  </pic:spPr>
                </pic:pic>
              </a:graphicData>
            </a:graphic>
          </wp:anchor>
        </w:drawing>
        <w:t>The impact of the COVID-19 pandemic could continue to have a material adverse effect on our core XpresSpa business, results of operations, financial condition, liquidity and prospects in the near-term and beyond 2020. While management has used all currently available information in our forecasts, the ultimate impact of the COVID-19 pandemic and our newly launched brand, XpresCheck, on our results of operations, financial condition and cash flows is highly uncertain, and cannot currently be accurately predicted. Our results of operations, financial condition and cash flows are dependent on future developments, including the duration of the pandemic and the related length of its impact on the global economy, such as a lengthy or severe recession or any other negative trend in the U.S. or global economy and any new information that may emerge concerning the COVID-19 outbreak and the actions to contain it or treat its impact, which at the present time are highly uncertain and cannot be predicted with any accuracy. The success or failure of our newly launched brand, XpresCheck, could also have a material effect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Rent Concessions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received rent concessions from landlords on a majority of our leases, allowing for the relief of minimum guaranteed payments in exchange for percentage-of-revenue rent or providing relief from rent in excess of minimum guaranteed amounts where percentage-of-revenue rent exceeds the minimum. Currently, the period of relief from these payments range from three- to ten-months beginning in March 2020. We did not pay a total of approximately $75,000 in rent in March 2020 as a result of receiving these concessions for the month in which we began closing our spa locations. We will realize additional savings in rent expense going forward since we closed all of our spas on March 24, 2020, and therefore there will be no percentage-of-revenue rent. We also received deferrals on unpaid rent for three to six months on certain of our leases.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March 19, 2020, we entered into separate Warrant Exchange Agreements (the “March Exchange Agreements”) with the holders of certain existing warrants (the “March Exchanged Warrants”) to exchange warrants for shares of our Common Stock, subject to receipt of the approval of our stockholders, which was obtained on May 28, 2020. The March Exchanged Warrants were originally issued (i) pursuant to a securities purchase agreement, dated as of May 15, 2018, and in connection with a related consent and (ii) </w:t>
      </w:r>
      <w:r>
        <w:rPr>
          <w:rFonts w:ascii="Arial" w:cs="Arial" w:eastAsia="Arial" w:hAnsi="Arial"/>
          <w:sz w:val="17"/>
          <w:szCs w:val="17"/>
          <w:color w:val="auto"/>
          <w:highlight w:val="white"/>
        </w:rPr>
        <w:t>in connection with that certain Agreement and Plan of Merger</w:t>
      </w:r>
      <w:r>
        <w:rPr>
          <w:rFonts w:ascii="Arial" w:cs="Arial" w:eastAsia="Arial" w:hAnsi="Arial"/>
          <w:sz w:val="17"/>
          <w:szCs w:val="17"/>
          <w:color w:val="auto"/>
        </w:rPr>
        <w:t xml:space="preserve"> </w:t>
      </w:r>
      <w:r>
        <w:rPr>
          <w:rFonts w:ascii="Arial" w:cs="Arial" w:eastAsia="Arial" w:hAnsi="Arial"/>
          <w:sz w:val="17"/>
          <w:szCs w:val="17"/>
          <w:color w:val="auto"/>
          <w:highlight w:val="white"/>
        </w:rPr>
        <w:t xml:space="preserve">by and among us (formerly known as FORM Holdings Corp.), FHXMS, LLC, XpresSpa Holdings, LLC and Mistral XH Representative, LLC, as representative of the unitholders, dated October 25, 2016, as subsequently amended. </w:t>
      </w:r>
      <w:r>
        <w:rPr>
          <w:rFonts w:ascii="Arial" w:cs="Arial" w:eastAsia="Arial" w:hAnsi="Arial"/>
          <w:sz w:val="17"/>
          <w:szCs w:val="17"/>
          <w:color w:val="auto"/>
        </w:rPr>
        <w:t>Pursuant to the March Exchange Agreements, the holders</w:t>
      </w:r>
      <w:r>
        <w:rPr>
          <w:rFonts w:ascii="Arial" w:cs="Arial" w:eastAsia="Arial" w:hAnsi="Arial"/>
          <w:sz w:val="17"/>
          <w:szCs w:val="17"/>
          <w:color w:val="auto"/>
          <w:highlight w:val="white"/>
        </w:rPr>
        <w:t xml:space="preserve"> </w:t>
      </w:r>
      <w:r>
        <w:rPr>
          <w:rFonts w:ascii="Arial" w:cs="Arial" w:eastAsia="Arial" w:hAnsi="Arial"/>
          <w:sz w:val="17"/>
          <w:szCs w:val="17"/>
          <w:color w:val="auto"/>
        </w:rPr>
        <w:t>exchanged 1,942,131 of the March Exchanged Warrants for an aggregate of 2,913,197 shares of our Common Stock.</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4, 2020, we entered into a Warrant Exchange Agreement (the “June Exchange Agreement”) with the holder of certain existing warrants (the “June Exchanged Warrants”) to exchange the June Exchanged Warrants for shares of our Common Stock. The June Exchanged Warrants were acquired pursuant to a separately negotiated private transaction between the holder and Calm. In June 2020, pursuant to the June Exchange Agreement, on the closing date the holder exchanged 1,374,750 of the June Exchanged Warrants for an aggregate of 2,062,125 shares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Cash Funding Advance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9, 2020, certain of our wholly-owned subsidiaries (the “CC Borrowers”) entered into an accounts receivable advance agreement (the “CC Agreement”) with CC Funding, a division of Credit Cash NJ, LLC (the “CC Lender”). Pursuant to the terms of the CC Agreement, the CC Lender agreed to make an advance of funds in the amount of $1,000,000 for aggregate fees of $160,000 for a total repayment amount of $1,160,000. As of March 31, 2020, the outstanding repayment amount of approximately $910,000 was secured by substantially all of the assets of the CC Borrowers, including CC Borrowers’ existing and future accounts receivables and other rights to payment. On June 1, 2020, the CC Borrowers entered into a payoff letter (the “Payoff Letter”) with the CC Lender pursuant to which the CC Agreement was terminated. Under the Payoff Letter, we repaid $733,903.34 owed under the CC Agreement as of June 1, 2020 and the CC Lender released all security interests held on the assets of the CC Borrowers, including the CC Borrowers’ existing and future accounts receivables and other rights to payment.</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compensation for the consent of existing creditor B3D to the CC Agreement described above, on January 9, 2020, XpresSpa Holdings, LLC (“XpresSpa Holdings”), a wholly-owned subsidiary, entered into a fifth amendment (the “Fifth Credit Agreement Amendment”) to our existing credit agreement with B3D in order to, among other provisions, (i) amend and restate our existing B3D Note in order to increase the principal amount owed to B3D from $7,000,000 to $7,150,000, which additional $150,000 in principal and any interest accrued thereon will become convertible, at B3D’s option, into shares of our Common Stock subject to upon receipt of the approval of our stockholders, which was obtained on May 28, 2020 and</w:t>
      </w:r>
    </w:p>
    <w:p>
      <w:pPr>
        <w:spacing w:after="0" w:line="2" w:lineRule="exact"/>
        <w:rPr>
          <w:sz w:val="20"/>
          <w:szCs w:val="20"/>
          <w:color w:val="auto"/>
        </w:rPr>
      </w:pPr>
    </w:p>
    <w:p>
      <w:pPr>
        <w:ind w:firstLine="6"/>
        <w:spacing w:after="0" w:line="260" w:lineRule="auto"/>
        <w:tabs>
          <w:tab w:leader="none" w:pos="28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for the advance payment of 97,223 shares of Common Stock in satisfaction of the interest payable pursuant to the B3D Note for the months of October, November and December 2020. The Common Stock was issued to B3D on January 14, 2020.</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1111" w:right="5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8345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136130" cy="8345170"/>
                    </a:xfrm>
                    <a:prstGeom prst="rect">
                      <a:avLst/>
                    </a:prstGeom>
                    <a:noFill/>
                  </pic:spPr>
                </pic:pic>
              </a:graphicData>
            </a:graphic>
          </wp:anchor>
        </w:drawing>
        <w:t>B3D Senior Secured Loan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6, 2020, XpresSpa Holdings, LLC, our wholly-owned subsidiary, entered into a sixth amendment (the “Sixth Credit Agreement Amendment”) to our existing credit agreement with B3D. In connection with the Sixth Credit Agreement Amendment and B3D Note, B3D agreed to provide us with $500,000 in additional funding and to submit one or more conversion notices to convert an aggregate of $375,000 in principal under the B3D Note to Common Stock on or prior to March 27, 2020. XpresSpa Holdings entered into the Credit Agreement Amendment in order to, among other provisions, (i) amend and restate our existing convertible promissory note with B3D in order to increase the principal amount owed from $7,150,000 to $7,900,000, which additional $750,000 in principal and any interest accrued thereon will be convertible, at B3D’s option, into shares of Common Stock subject to receipt of the approval of our stockholders, which was approved on May 28, 2020, and (ii) decrease the conversion rate under the B3D Note from $6.00 per share to $1.68 per share. On March 19, 2020, the conversion rate was reduced to $0.525 per share after giving effect to certain anti-dilution adjustments. In connection with the Sixth Credit Agreement Amendment, B3D converted a total of $750,000 in principal and was issued a total of 446,429 shares of our Common Stock in March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Common Stock Offerings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19, 2020, we entered into a securities purchase agreement with certain purchasers, pursuant to which we issued and sold, in a registered direct offering, (i) 1,396,281 shares of our Common Stock at an offering price of $0.525 per share and (ii) an aggregate of 698,958 pre-funded warrants exercisable for shares of Common Stock at an offering price of $0.495 per pre-funded warrant.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25, 2020, we entered into a securities purchase agreement with certain purchasers, pursuant to which we issued and sold, in a registered direct offering, (i) 2,483,333 shares of Common Stock at an offering price of $0.60 per share and (ii) an aggregate of 500,000 pre-funded warrants exercisable for shares of Common Stock at an offering price of $0.57 per pre-funded warrant.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we entered into a securities purchase agreement with certain purchasers, pursuant to which we issued and sold, in a registered direct offering (i) 2,631,666 shares of Common Stock at an offering price of $0.60 per share and (ii) an aggregate of 701,666 pre-funded warrants exercisable for shares of Common Stock at an offering price of $0.57 per pre-funded warrant.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sold a total of 6,511,280 shares of Common Stock and 1,900,625 of pre-funded warrants and received total proceeds of approximately $4,200,000, net of financial advisory and consulting fees, in the above offerings. During the three months ended March 31, 2020, 1,698,959 pre-funded warrants were exercised for total proceeds of approximately $490,000. As of March 31, 2020, 201,666 pre-funded warrants to purchase Common Stock were unexercised and remained outstanding.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6, 2020, we entered into a securities purchase agreement with certain purchasers, pursuant to which we issued and sold, in a registered direct offering (i) 4,049,573 shares of Common Stock at an offering price of $0.66 per share and (ii) an aggregate of 485,151 pre-funded warrants exercisable for shares of Common Stock at an offering price of $0.63 per pre-funded warrant.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17, 2020, we entered into a securities purchase agreement with certain purchasers, pursuant to which we agreed to issue and sell 7,614,700 shares of Common Stock at an offering price of $5.253 per share (the “Registered Offering”). In a concurrent private placement (the “Private Placement” and together with the Registered Offering, the “Offerings”), we agreed to issue to the purchasers who participated in the Registered Offering warrants (the “Private Warrants”) exercisable for an aggregate of 7,614,700 shares of Common Stock at an exercise price of $5.25 per share. Each Private Warrant is immediately exercisable and expires 21 months from the issuance date. The Private Warrants and the shares of Common Stock issuable upon the exercise of the Private Warrants are not registered under the Securities Act, were not offered pursuant to a registration statement and were offered pursuant to the exemption provided in Section 4(a)(2) under the Securities Act, and Rule 506(b) promulgated thereunder. The Offerings closed on June 19, 2020 and we received gross proceeds of approximately $40,000,000 before deducting placement agent fees and related offering expenses.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May 1, 2020, we entered into a U.S. Small Business Administration (“SBA”) Paycheck Protection Program (“PPP”) promissory note in the principal amount of $5,653,000 payable to Bank of America, NA (the “Bank of America”) evidencing a PPP loan (the “PPP Loan”). The PPP Loan bears interest at a rate of 1% per annum. No payments will be due on the PPP Loan during a six-month deferral period commencing on May 2, 2020. Commencing one month after the expiration of the deferral period, and continuing on the same day of each month thereafter until the maturity date of the PPP Loan, we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our request to the extent that PPP Loan proceeds are used to pay expenses permitted by the PPP. Bank of America may forgive interest accrued on any principal forgiven if the SBA pays the interest. There can be no assurance that any part of the PPP Loan will be forgiven. The PPP Loan contains customary borrower default provisions and lender remedies, including the right of Bank of America to require immediate repayment in full the outstanding principal balance of the PPP Loan with accrued interest.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40"/>
          </w:cols>
          <w:pgMar w:left="520" w:top="1111" w:right="5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1238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36130" cy="1238250"/>
                    </a:xfrm>
                    <a:prstGeom prst="rect">
                      <a:avLst/>
                    </a:prstGeom>
                    <a:noFill/>
                  </pic:spPr>
                </pic:pic>
              </a:graphicData>
            </a:graphic>
          </wp:anchor>
        </w:drawing>
        <w:t>Company Information</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254 West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10001.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23495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20" w:top="1107" w:right="539" w:bottom="1440" w:gutter="0" w:footer="0" w:header="0"/>
        </w:sectPr>
      </w:pPr>
    </w:p>
    <w:bookmarkStart w:id="28" w:name="page29"/>
    <w:bookmarkEnd w:id="28"/>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Investing in our securities involves significant risk. The prospectus supplement applicable to each offering of our securities will contain a discussion of the risks applicable to an investment in us.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the heading “Risk Factors” included in our </w:t>
      </w:r>
      <w:hyperlink r:id="rId10">
        <w:r>
          <w:rPr>
            <w:rFonts w:ascii="Arial" w:cs="Arial" w:eastAsia="Arial" w:hAnsi="Arial"/>
            <w:sz w:val="16"/>
            <w:szCs w:val="16"/>
            <w:u w:val="single" w:color="auto"/>
            <w:color w:val="0000EE"/>
          </w:rPr>
          <w:t>annual report on Form 10-K for the year ended December 31, 2019</w:t>
        </w:r>
      </w:hyperlink>
      <w:r>
        <w:rPr>
          <w:rFonts w:ascii="Arial" w:cs="Arial" w:eastAsia="Arial" w:hAnsi="Arial"/>
          <w:sz w:val="16"/>
          <w:szCs w:val="16"/>
          <w:color w:val="auto"/>
        </w:rPr>
        <w:t xml:space="preserve">, as amended, and our </w:t>
      </w:r>
      <w:hyperlink r:id="rId35">
        <w:r>
          <w:rPr>
            <w:rFonts w:ascii="Arial" w:cs="Arial" w:eastAsia="Arial" w:hAnsi="Arial"/>
            <w:sz w:val="16"/>
            <w:szCs w:val="16"/>
            <w:u w:val="single" w:color="auto"/>
            <w:color w:val="0000EE"/>
          </w:rPr>
          <w:t>quarterly report on Form 10-Q for the quarter ended March 31, 2020</w:t>
        </w:r>
      </w:hyperlink>
      <w:r>
        <w:rPr>
          <w:rFonts w:ascii="Arial" w:cs="Arial" w:eastAsia="Arial" w:hAnsi="Arial"/>
          <w:sz w:val="16"/>
          <w:szCs w:val="16"/>
          <w:color w:val="auto"/>
        </w:rPr>
        <w:t>, as revised or supplemented by our subsequent quarterly reports on Form 10-Q or our current reports on Form 8-K that we have filed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spacing w:after="0" w:line="286" w:lineRule="auto"/>
        <w:rPr>
          <w:rFonts w:ascii="Arial" w:cs="Arial" w:eastAsia="Arial" w:hAnsi="Arial"/>
          <w:sz w:val="16"/>
          <w:szCs w:val="16"/>
          <w:color w:val="0000EE"/>
        </w:rPr>
      </w:pPr>
      <w:r>
        <w:rPr>
          <w:rFonts w:ascii="Arial" w:cs="Arial" w:eastAsia="Arial" w:hAnsi="Arial"/>
          <w:sz w:val="16"/>
          <w:szCs w:val="16"/>
          <w:color w:val="auto"/>
        </w:rPr>
        <w:t xml:space="preserve">This prospectus and the documents incorporated by reference in this prospectus include forward-looking statements within the meaning of Section 27A of the Securities Act and Section 21E of the Securities Exchange Act of 1934, as amended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“may,” “plan,” “potential,” “predict,” “project,” “targets,” “likely,” “will,” “would,” “could,” “should,” “continue,” and similar expressions or phrases, or the negative of those expressions or phrases, are intended to identify forward-looking statements, although not all forward-looking statements contain these identifying words. Although we believe that we have a reasonable basis for each forward-looking statement contained in this prospectus and incorporated by reference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our periodic reports, including our </w:t>
      </w:r>
      <w:hyperlink r:id="rId10">
        <w:r>
          <w:rPr>
            <w:rFonts w:ascii="Arial" w:cs="Arial" w:eastAsia="Arial" w:hAnsi="Arial"/>
            <w:sz w:val="16"/>
            <w:szCs w:val="16"/>
            <w:u w:val="single" w:color="auto"/>
            <w:color w:val="0000EE"/>
          </w:rPr>
          <w:t>Annual Report on Form 10-K for the fiscal year ended December 31, 2019</w:t>
        </w:r>
      </w:hyperlink>
      <w:r>
        <w:rPr>
          <w:rFonts w:ascii="Arial" w:cs="Arial" w:eastAsia="Arial" w:hAnsi="Arial"/>
          <w:sz w:val="16"/>
          <w:szCs w:val="16"/>
          <w:color w:val="auto"/>
        </w:rPr>
        <w:t xml:space="preserve">, as amended, and our </w:t>
      </w:r>
      <w:hyperlink r:id="rId35">
        <w:r>
          <w:rPr>
            <w:rFonts w:ascii="Arial" w:cs="Arial" w:eastAsia="Arial" w:hAnsi="Arial"/>
            <w:sz w:val="16"/>
            <w:szCs w:val="16"/>
            <w:u w:val="single" w:color="auto"/>
            <w:color w:val="0000EE"/>
          </w:rPr>
          <w:t>quarterly report on Form 10-Q for the quarter ended March 31, 2020</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entitled “Business,” “Risk Factors,” and “Management’s Discussion and Analysis of</w:t>
      </w:r>
      <w:r>
        <w:rPr>
          <w:rFonts w:ascii="Arial" w:cs="Arial" w:eastAsia="Arial" w:hAnsi="Arial"/>
          <w:sz w:val="16"/>
          <w:szCs w:val="16"/>
          <w:color w:val="0000EE"/>
        </w:rPr>
        <w:t xml:space="preserve"> </w:t>
      </w:r>
      <w:r>
        <w:rPr>
          <w:rFonts w:ascii="Arial" w:cs="Arial" w:eastAsia="Arial" w:hAnsi="Arial"/>
          <w:sz w:val="16"/>
          <w:szCs w:val="16"/>
          <w:color w:val="000000"/>
        </w:rPr>
        <w:t>Financial Condition and Results of Operations,” as well as other sections in this prospectus and the documents or reports incorporated by reference in this prospectus, discuss some of the factors that could contribute to these differences.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decision by our Board of Directors to pursue a restructuring in the event that our process to identify and evaluate potential business alternatives is not successful;</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adverse effects of public health epidemics, including the recent coronavirus outbreak, on our business, results of operations and financial condition;</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lack of operating history in the diagnostic testing industry and the risks associated with novel coronavirus COVID-19 XpresCheck testing locations;</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new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performance by our Airport Concession Disadvantaged Business Enterprise partners on obligations set forth in our joint venture agreements;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loss of, or an adverse change with regard to, one or more of our significant suppliers, distributors, vendors or other business relationships;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compliance with laws and regulations in the jurisdictions in which we do business and any changes in such laws and regulations;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cautionary statements in this prospectus and in the documents incorporated by reference in this prospectus, particularly in the “Risk Factors” section, that we believe could cause actual results or events to differ materially from the forward-looking statements that we make. For a summary of such factors, please refer to the section entitled “Risk Factors” in this prospectus, as updated and supplemented by the discussion of risks and uncertainties under “Risk Factors” contained in any supplements to this prospectus and in our most recent annual report on Form 10-K, as amended,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6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we intend to use any net proceeds from the sale of securities under this prospectus for our operations and for other general corporate purposes, including, but not limited to, general working capital.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right="4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line="257" w:lineRule="auto"/>
        <w:rPr>
          <w:sz w:val="20"/>
          <w:szCs w:val="20"/>
          <w:color w:val="auto"/>
        </w:rPr>
      </w:pPr>
      <w:r>
        <w:rPr>
          <w:rFonts w:ascii="Arial" w:cs="Arial" w:eastAsia="Arial" w:hAnsi="Arial"/>
          <w:sz w:val="18"/>
          <w:szCs w:val="18"/>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dealers and agents may engage in other transactions with us, or perform other services for us, in the ordinary course of their business.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authorized to issue 150,000,000 shares of common stock, par value $0.01 per share. As of July 20, 2020, we had 56,725,580 shares of common stock outstanding and approximately 101 stockholders of record. The number of shares of common stock outstanding gives effect to our recently completed sale of 7,614,700 shares of common stock in a registered direct offering (the “Direct Offering” pursuant to a Securities Purchase Agreement (the “Purchase Agreement”) with certain purchasers named therein, but excludes, in each case as of July 20, 2020 except as otherwise indicated below:</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•1,484,286 shares of common stock issuable upon the conversion of indebtedness outstanding as of such date;</w:t>
      </w:r>
    </w:p>
    <w:p>
      <w:pPr>
        <w:spacing w:after="0" w:line="225" w:lineRule="exact"/>
        <w:rPr>
          <w:sz w:val="20"/>
          <w:szCs w:val="20"/>
          <w:color w:val="auto"/>
        </w:rPr>
      </w:pPr>
    </w:p>
    <w:p>
      <w:pPr>
        <w:ind w:left="340" w:hanging="62"/>
        <w:spacing w:after="0" w:line="342" w:lineRule="auto"/>
        <w:rPr>
          <w:sz w:val="20"/>
          <w:szCs w:val="20"/>
          <w:color w:val="auto"/>
        </w:rPr>
      </w:pPr>
      <w:r>
        <w:rPr>
          <w:rFonts w:ascii="Arial" w:cs="Arial" w:eastAsia="Arial" w:hAnsi="Arial"/>
          <w:sz w:val="16"/>
          <w:szCs w:val="16"/>
          <w:color w:val="auto"/>
        </w:rPr>
        <w:t>•124,422 shares of common stock issuable upon the exercise of common stock warrants outstanding as of such date at a weighted average exercise price of $0.525 per share (not including the warrants issued concurrently with, or to the placement agent in connection with, the Direct Offering);</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•670,964 shares of common stock issuable upon the exercise of stock options at a weighted average exercise price of $20.32 per share;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•117,051 shares of common stock available for future issuance under the 2012 Employee, Director and Consultant Equity Incentive Plan, as amended;</w:t>
      </w:r>
    </w:p>
    <w:p>
      <w:pPr>
        <w:spacing w:after="0" w:line="248" w:lineRule="exact"/>
        <w:rPr>
          <w:sz w:val="20"/>
          <w:szCs w:val="20"/>
          <w:color w:val="auto"/>
        </w:rPr>
      </w:pPr>
    </w:p>
    <w:p>
      <w:pPr>
        <w:ind w:left="340" w:hanging="62"/>
        <w:spacing w:after="0" w:line="277" w:lineRule="auto"/>
        <w:rPr>
          <w:sz w:val="20"/>
          <w:szCs w:val="20"/>
          <w:color w:val="auto"/>
        </w:rPr>
      </w:pPr>
      <w:r>
        <w:rPr>
          <w:rFonts w:ascii="Arial" w:cs="Arial" w:eastAsia="Arial" w:hAnsi="Arial"/>
          <w:sz w:val="18"/>
          <w:szCs w:val="18"/>
          <w:color w:val="auto"/>
        </w:rPr>
        <w:t>•7,614,700 shares of common stock issuable upon exercise of the warrants issued in the private placement completed concurrently with the Direct Offering, with an exercise price of $5.25 per share;</w:t>
      </w:r>
    </w:p>
    <w:p>
      <w:pPr>
        <w:spacing w:after="0" w:line="170" w:lineRule="exact"/>
        <w:rPr>
          <w:sz w:val="20"/>
          <w:szCs w:val="20"/>
          <w:color w:val="auto"/>
        </w:rPr>
      </w:pPr>
    </w:p>
    <w:p>
      <w:pPr>
        <w:ind w:left="340" w:right="20" w:hanging="62"/>
        <w:spacing w:after="0" w:line="277" w:lineRule="auto"/>
        <w:rPr>
          <w:sz w:val="20"/>
          <w:szCs w:val="20"/>
          <w:color w:val="auto"/>
        </w:rPr>
      </w:pPr>
      <w:r>
        <w:rPr>
          <w:rFonts w:ascii="Arial" w:cs="Arial" w:eastAsia="Arial" w:hAnsi="Arial"/>
          <w:sz w:val="18"/>
          <w:szCs w:val="18"/>
          <w:color w:val="auto"/>
        </w:rPr>
        <w:t>•609,176 shares of common stock issuable upon exercise of the placement agent warrants with an exercise price of $6.56625 per share issued to the placement agent as compensation in connection with the Direct Offering; and</w:t>
      </w:r>
    </w:p>
    <w:p>
      <w:pPr>
        <w:spacing w:after="0" w:line="170" w:lineRule="exact"/>
        <w:rPr>
          <w:sz w:val="20"/>
          <w:szCs w:val="20"/>
          <w:color w:val="auto"/>
        </w:rPr>
      </w:pPr>
    </w:p>
    <w:p>
      <w:pPr>
        <w:ind w:left="340" w:hanging="62"/>
        <w:spacing w:after="0" w:line="277" w:lineRule="auto"/>
        <w:rPr>
          <w:sz w:val="20"/>
          <w:szCs w:val="20"/>
          <w:color w:val="auto"/>
        </w:rPr>
      </w:pPr>
      <w:r>
        <w:rPr>
          <w:rFonts w:ascii="Arial" w:cs="Arial" w:eastAsia="Arial" w:hAnsi="Arial"/>
          <w:sz w:val="18"/>
          <w:szCs w:val="18"/>
          <w:color w:val="auto"/>
        </w:rPr>
        <w:t>•133,258 shares of our common stock issuable upon the exercise of warrants with an exercise price of $5.25 per share issued to the placement agent as compensation in connection with the Direct Offering.</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of the numbers above and in this prospectus give effect to a 1-for-3 reverse stock split we effected on June 11, 2020, whereby every three shares of our common stock became one share of our common stock.</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summary of certain provisions of our common stock does not purport to be complete. You should refer to the section of this prospectus entitled “Certain Provisions of Delaware Law and of the Company’s Certificate of Incorporation and Bylaws” and our amended and restated certificate of incorporation, as amended, and our amended and restated bylaws, both of which are included as exhibits to the registration statement of which this prospectus is a part. The summary below is also qualified by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then outstanding series of preferred stock. All shares of common stock outstanding as of the date of this prospectus and, upon issuance and sale, all shares of common stock that we may offer pursuant to this prospectus, will be fully paid and nonassessable.</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any preferential rights of any then outstanding series of preferred stock. Holders of our common stock have no preemptive, subscription, redemption or conversion rights. There are no redemption or sinking fund provisions applicable to our common stock. The voting, dividend and liquidation rights of holders of our common stock are subject to, and may be adversely affected by, the rights of the holders of shares of our existing series of preferred stock or any series of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with offices at 6201 15th Avenue, Brooklyn, New York 11219.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quotation on The Nasdaq Capital Market under the symbol “XSPA.”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description of preferred stock and the description of the terms of any particular series of preferred stock that we choose to issue hereunder are not complete. These descriptions are qualified in their entirety by reference to our amended and restated certificate of incorporation and the certificate of designation relating to any series of preferred stock issued by us. The powers, preferences, rights and restrictions of the preferred stock of each series will be fixed by the certificate of designation relating to that series.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as amended, authorizes us to issue 10,000,000 shares of preferred stock. As of July 20, 2020, we had:</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designated and issued 6,968 shares of our preferred stock as “Series A Convertible Preferred Stock” with no shares outstanding;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designated and issued 300,000 shares of our preferred stock as “Series C Junior Preferred Stock” with no shares outstanding;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designated 500,000 shares of our preferred stock as “Series D Convertible Preferred Stock” with no shares outstanding;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designated 2,397,060 shares of our preferred stock as “Series E Convertible Preferred Stock” with no shares outstanding;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designated and issued 9,000 shares of our preferred stock as “Series F Convertible Preferred Stock” with no shares outstanding.</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board of directors has the authority, without further action by the stockholders, to issue up to an additional 5,786,972 shares of preferred stock in one or more series and to fix the rights, preferences, privileges and restrictions granted to or imposed upon the preferred stock. Any or all of these rights may be greater than the rights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without stockholder approval, can issue preferred stock with voting, conversion or other rights that could negatively affect the voting power and other rights of the holders of our common stock. Preferred stock could thus be issued quickly with terms calculated to delay or prevent a change in control of the Company or make it more difficult to remove our management. Additionally, the issuance of preferred stock may have the effect of decreasing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may specify the following characteristics of any preferred stock:</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maximum number of shares;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designation of the shares;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annual dividend rate, if any, whether the dividend rate is fixed or variable, the date or dates on which dividends will accrue, the dividend payment dates, and whether dividends will be cumulative;</w:t>
      </w:r>
    </w:p>
    <w:p>
      <w:pPr>
        <w:ind w:left="660" w:right="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and the terms and conditions for redemption, if any, including redemption at our option or at the option of the holders, including the time period for redemption, and any accumulated dividends or premiums;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liquidation preference, if any, and any accumulated dividends upon the liquidation, dissolution or winding up of our affairs;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sinking fund or similar provision, and, if so, the terms and provisions relating to the purpose and operation of the fund;</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conditions, if any, for conversion or exchange of shares of any other class or classes of our capital stock or any series of any other class or classes, or of any other series of the same class, or any other securities or assets, including the price or the rate of conversion or exchange and the method, if any, of adjustment;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voting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or all other preferences and relative, participating, optional or other special rights, privileges or qualifications, limitations or restrictions;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preferred stock issued will be fully paid and nonassessable upon issuance.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preferred stock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9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ind w:left="660" w:right="1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or special U.S. federal income tax considerations applicable to a series of debt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right="240"/>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11"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ind w:left="660" w:right="280" w:hanging="328"/>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will periodically file statements with the applicable debenture trustee regarding our compliance with specified covenants in the applicable indenture.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3" w:lineRule="exact"/>
        <w:rPr>
          <w:rFonts w:ascii="Arial" w:cs="Arial" w:eastAsia="Arial" w:hAnsi="Arial"/>
          <w:sz w:val="18"/>
          <w:szCs w:val="18"/>
          <w:color w:val="auto"/>
        </w:rPr>
      </w:pPr>
    </w:p>
    <w:p>
      <w:pPr>
        <w:ind w:left="580" w:right="520" w:hanging="248"/>
        <w:spacing w:after="0" w:line="260"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8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5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1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holders of a majority in principal amount of the outstanding debt securities of any series may rescind an acceleration and its consequences, including any related payment default that resulted from the acceleration.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transfer or exchange of debt securities of the series;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660" w:right="40" w:hanging="328"/>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2" w:lineRule="exact"/>
        <w:rPr>
          <w:rFonts w:ascii="Arial" w:cs="Arial" w:eastAsia="Arial" w:hAnsi="Arial"/>
          <w:sz w:val="18"/>
          <w:szCs w:val="18"/>
          <w:color w:val="auto"/>
        </w:rPr>
      </w:pPr>
    </w:p>
    <w:p>
      <w:pPr>
        <w:ind w:left="660" w:right="1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ind w:left="660" w:right="44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ind w:left="660" w:right="12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jc w:val="both"/>
        <w:ind w:left="660" w:right="340" w:hanging="328"/>
        <w:spacing w:after="0" w:line="28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if any, and of any other depositaries, execution or paying agents, transfer agents, registrars or other agents;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spacing w:after="0" w:line="1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9" w:lineRule="exact"/>
        <w:rPr>
          <w:rFonts w:ascii="Arial" w:cs="Arial" w:eastAsia="Arial" w:hAnsi="Arial"/>
          <w:sz w:val="18"/>
          <w:szCs w:val="18"/>
          <w:color w:val="auto"/>
        </w:rPr>
      </w:pPr>
    </w:p>
    <w:p>
      <w:pPr>
        <w:ind w:left="660" w:right="52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12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and address of the unit agent, if any,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CERTAIN PROVISIONS OF DELAWARE LAW AND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COMPANY’S CERTIFICATE OF 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amended and restated certificate of incorporation provides that amendments by our stockholders of our amended and restated bylaws require the approval of at least 66⅔% of the voting power of all outstanding stock. These provisions could discourage a potential acquirer from making a tender offer or otherwise attempting to obtain control of the Company and could delay changes in management.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amended and restated certificate of incorporation provides that directors may be removed by our stockholders only for cause and, in addition to any other vote required by law, upon the affirmative vote of at least 66⅔% of the voting power of all outstanding securities then entitled to vote generally in the election of directors, voting together as a single class. These provisions mean that a proposal to replace one or more directors on our board of directors could be delayed until the next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84"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are required to indemnify our directors and officers, in each case to the fullest extent permitted by Delaware law. The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brought against them by reason of the fact that they are or were our agents. We believe that these provisions in our amended and restated certificate of incorporation and amended and restated bylaws and indemnification agreements are necessary to attract and retain qualified directors and officers. We also maintain directors’ and officers’ liability insurance. This description of the limitation of liability and indemnification provisions of our amended and restated certificate of incorporation, amended and restated bylaws and indemnification agreements is qualified in its entirety by reference to these documents.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validity of the securities offered hereby will be passed upon for us by Bryan Cave Leighton Paisner LLP, St. Louis, Missouri. Additional legal matters may be passed upon for us or any underwriters, dealers or agents, by counsel that we will name in the applicable prospectus supplement.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79" w:lineRule="auto"/>
        <w:rPr>
          <w:rFonts w:ascii="Arial" w:cs="Arial" w:eastAsia="Arial" w:hAnsi="Arial"/>
          <w:sz w:val="17"/>
          <w:szCs w:val="17"/>
          <w:color w:val="0000EE"/>
        </w:rPr>
      </w:pPr>
      <w:hyperlink r:id="rId10">
        <w:r>
          <w:rPr>
            <w:rFonts w:ascii="Arial" w:cs="Arial" w:eastAsia="Arial" w:hAnsi="Arial"/>
            <w:sz w:val="17"/>
            <w:szCs w:val="17"/>
            <w:color w:val="auto"/>
          </w:rPr>
          <w:t xml:space="preserve">CohnReznick LLP, independent registered public accounting firm, has audited our financial statements included in our Annual Report on </w:t>
        </w:r>
        <w:r>
          <w:rPr>
            <w:rFonts w:ascii="Arial" w:cs="Arial" w:eastAsia="Arial" w:hAnsi="Arial"/>
            <w:sz w:val="17"/>
            <w:szCs w:val="17"/>
            <w:u w:val="single" w:color="auto"/>
            <w:color w:val="0000EE"/>
          </w:rPr>
          <w:t>Form 10-K for</w:t>
        </w:r>
      </w:hyperlink>
      <w:r>
        <w:rPr>
          <w:rFonts w:ascii="Arial" w:cs="Arial" w:eastAsia="Arial" w:hAnsi="Arial"/>
          <w:sz w:val="17"/>
          <w:szCs w:val="17"/>
          <w:color w:val="auto"/>
        </w:rPr>
        <w:t xml:space="preserve"> </w:t>
      </w:r>
      <w:hyperlink r:id="rId10">
        <w:r>
          <w:rPr>
            <w:rFonts w:ascii="Arial" w:cs="Arial" w:eastAsia="Arial" w:hAnsi="Arial"/>
            <w:sz w:val="17"/>
            <w:szCs w:val="17"/>
            <w:u w:val="single" w:color="auto"/>
            <w:color w:val="0000EE"/>
          </w:rPr>
          <w:t>the year ended December 31, 2019</w:t>
        </w:r>
        <w:r>
          <w:rPr>
            <w:rFonts w:ascii="Arial" w:cs="Arial" w:eastAsia="Arial" w:hAnsi="Arial"/>
            <w:sz w:val="17"/>
            <w:szCs w:val="17"/>
            <w:color w:val="000000"/>
          </w:rPr>
          <w:t xml:space="preserve">, as set forth in their report (which includes an explanatory paragraph referring to the Company’s ability to continue as </w:t>
        </w:r>
      </w:hyperlink>
      <w:r>
        <w:rPr>
          <w:rFonts w:ascii="Arial" w:cs="Arial" w:eastAsia="Arial" w:hAnsi="Arial"/>
          <w:sz w:val="17"/>
          <w:szCs w:val="17"/>
          <w:color w:val="0000EE"/>
        </w:rPr>
        <w:t xml:space="preserve">a </w:t>
      </w:r>
      <w:r>
        <w:rPr>
          <w:rFonts w:ascii="Arial" w:cs="Arial" w:eastAsia="Arial" w:hAnsi="Arial"/>
          <w:sz w:val="17"/>
          <w:szCs w:val="17"/>
          <w:color w:val="000000"/>
        </w:rPr>
        <w:t>going 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are a public company and file annual, quarterly and current reports, proxy statements and other information with the SEC. Our SEC filings are available to the public at the SEC’s web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and on our web site at </w:t>
      </w:r>
      <w:r>
        <w:rPr>
          <w:rFonts w:ascii="Arial" w:cs="Arial" w:eastAsia="Arial" w:hAnsi="Arial"/>
          <w:sz w:val="18"/>
          <w:szCs w:val="18"/>
          <w:i w:val="1"/>
          <w:iCs w:val="1"/>
          <w:color w:val="auto"/>
        </w:rPr>
        <w:t>http://www.xpresspa.com</w:t>
      </w:r>
      <w:r>
        <w:rPr>
          <w:rFonts w:ascii="Arial" w:cs="Arial" w:eastAsia="Arial" w:hAnsi="Arial"/>
          <w:sz w:val="18"/>
          <w:szCs w:val="18"/>
          <w:color w:val="auto"/>
        </w:rPr>
        <w:t>. The information contained on our web site is not included or incorporated by reference into this prospectus. In addition, our common stock is listed for trading on The Nasdaq Capital Market under the symbol “XSPA.”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obtain a copy from the SEC’s web site or our web site.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6"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Our </w:t>
      </w:r>
      <w:hyperlink r:id="rId10">
        <w:r>
          <w:rPr>
            <w:rFonts w:ascii="Arial" w:cs="Arial" w:eastAsia="Arial" w:hAnsi="Arial"/>
            <w:sz w:val="18"/>
            <w:szCs w:val="18"/>
            <w:u w:val="single" w:color="auto"/>
            <w:color w:val="0000EE"/>
          </w:rPr>
          <w:t>Annual Report on Form 10-K for the year ended December 31, 2019, filed on April 20, 2020</w:t>
        </w:r>
      </w:hyperlink>
      <w:r>
        <w:rPr>
          <w:rFonts w:ascii="Arial" w:cs="Arial" w:eastAsia="Arial" w:hAnsi="Arial"/>
          <w:sz w:val="18"/>
          <w:szCs w:val="18"/>
          <w:color w:val="auto"/>
        </w:rPr>
        <w:t xml:space="preserve">, as amended on </w:t>
      </w:r>
      <w:hyperlink r:id="rId33">
        <w:r>
          <w:rPr>
            <w:rFonts w:ascii="Arial" w:cs="Arial" w:eastAsia="Arial" w:hAnsi="Arial"/>
            <w:sz w:val="18"/>
            <w:szCs w:val="18"/>
            <w:u w:val="single" w:color="auto"/>
            <w:color w:val="0000EE"/>
          </w:rPr>
          <w:t>May 19,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
        <w:r>
          <w:rPr>
            <w:rFonts w:ascii="Arial" w:cs="Arial" w:eastAsia="Arial" w:hAnsi="Arial"/>
            <w:sz w:val="18"/>
            <w:szCs w:val="18"/>
            <w:u w:val="single" w:color="auto"/>
            <w:color w:val="0000EE"/>
          </w:rPr>
          <w:t>June 15, 2020</w:t>
        </w:r>
      </w:hyperlink>
      <w:r>
        <w:rPr>
          <w:rFonts w:ascii="Arial" w:cs="Arial" w:eastAsia="Arial" w:hAnsi="Arial"/>
          <w:sz w:val="18"/>
          <w:szCs w:val="18"/>
          <w:color w:val="auto"/>
        </w:rPr>
        <w:t xml:space="preserve"> (File No. 001-34785);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Our Quarterly Report on Form 10-Q for the quarter ended March 31, 2020, filed on July 6, 2020 (File No. 001-34785);</w:t>
        </w:r>
      </w:hyperlink>
    </w:p>
    <w:p>
      <w:pPr>
        <w:spacing w:after="0" w:line="225" w:lineRule="exact"/>
        <w:rPr>
          <w:rFonts w:ascii="Arial" w:cs="Arial" w:eastAsia="Arial" w:hAnsi="Arial"/>
          <w:sz w:val="18"/>
          <w:szCs w:val="18"/>
          <w:u w:val="single" w:color="auto"/>
          <w:color w:val="0000EE"/>
        </w:rPr>
      </w:pPr>
    </w:p>
    <w:p>
      <w:pPr>
        <w:ind w:left="660" w:right="120" w:hanging="328"/>
        <w:spacing w:after="0" w:line="259" w:lineRule="auto"/>
        <w:tabs>
          <w:tab w:leader="none" w:pos="660" w:val="left"/>
        </w:tabs>
        <w:numPr>
          <w:ilvl w:val="0"/>
          <w:numId w:val="26"/>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37">
        <w:r>
          <w:rPr>
            <w:rFonts w:ascii="Arial" w:cs="Arial" w:eastAsia="Arial" w:hAnsi="Arial"/>
            <w:sz w:val="18"/>
            <w:szCs w:val="18"/>
            <w:u w:val="single" w:color="auto"/>
            <w:color w:val="0000EE"/>
          </w:rPr>
          <w:t>January 3, 2020</w:t>
        </w:r>
      </w:hyperlink>
      <w:r>
        <w:rPr>
          <w:rFonts w:ascii="Arial" w:cs="Arial" w:eastAsia="Arial" w:hAnsi="Arial"/>
          <w:sz w:val="18"/>
          <w:szCs w:val="18"/>
          <w:color w:val="auto"/>
        </w:rPr>
        <w:t xml:space="preserve">, </w:t>
      </w:r>
      <w:hyperlink r:id="rId38">
        <w:r>
          <w:rPr>
            <w:rFonts w:ascii="Arial" w:cs="Arial" w:eastAsia="Arial" w:hAnsi="Arial"/>
            <w:sz w:val="18"/>
            <w:szCs w:val="18"/>
            <w:u w:val="single" w:color="auto"/>
            <w:color w:val="0000EE"/>
          </w:rPr>
          <w:t>January 14, 2020</w:t>
        </w:r>
      </w:hyperlink>
      <w:r>
        <w:rPr>
          <w:rFonts w:ascii="Arial" w:cs="Arial" w:eastAsia="Arial" w:hAnsi="Arial"/>
          <w:sz w:val="18"/>
          <w:szCs w:val="18"/>
          <w:color w:val="auto"/>
        </w:rPr>
        <w:t xml:space="preserve">, </w:t>
      </w:r>
      <w:hyperlink r:id="rId39">
        <w:r>
          <w:rPr>
            <w:rFonts w:ascii="Arial" w:cs="Arial" w:eastAsia="Arial" w:hAnsi="Arial"/>
            <w:sz w:val="18"/>
            <w:szCs w:val="18"/>
            <w:u w:val="single" w:color="auto"/>
            <w:color w:val="0000EE"/>
          </w:rPr>
          <w:t>February 3, 2020</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March 6, 2020</w:t>
        </w:r>
      </w:hyperlink>
      <w:r>
        <w:rPr>
          <w:rFonts w:ascii="Arial" w:cs="Arial" w:eastAsia="Arial" w:hAnsi="Arial"/>
          <w:sz w:val="18"/>
          <w:szCs w:val="18"/>
          <w:color w:val="auto"/>
        </w:rPr>
        <w:t xml:space="preserve">, </w:t>
      </w:r>
      <w:hyperlink r:id="rId41">
        <w:r>
          <w:rPr>
            <w:rFonts w:ascii="Arial" w:cs="Arial" w:eastAsia="Arial" w:hAnsi="Arial"/>
            <w:sz w:val="18"/>
            <w:szCs w:val="18"/>
            <w:u w:val="single" w:color="auto"/>
            <w:color w:val="0000EE"/>
          </w:rPr>
          <w:t>March 19, 2020</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EE"/>
          </w:rPr>
          <w:t>March 26,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30, 2020</w:t>
        </w:r>
        <w:r>
          <w:rPr>
            <w:rFonts w:ascii="Arial" w:cs="Arial" w:eastAsia="Arial" w:hAnsi="Arial"/>
            <w:sz w:val="18"/>
            <w:szCs w:val="18"/>
            <w:color w:val="0000EE"/>
          </w:rPr>
          <w:t xml:space="preserve"> </w:t>
        </w:r>
        <w:r>
          <w:rPr>
            <w:rFonts w:ascii="Arial" w:cs="Arial" w:eastAsia="Arial" w:hAnsi="Arial"/>
            <w:sz w:val="18"/>
            <w:szCs w:val="18"/>
            <w:color w:val="000000"/>
          </w:rPr>
          <w:t>(</w:t>
        </w:r>
        <w:r>
          <w:rPr>
            <w:rFonts w:ascii="Arial" w:cs="Arial" w:eastAsia="Arial" w:hAnsi="Arial"/>
            <w:sz w:val="18"/>
            <w:szCs w:val="18"/>
            <w:u w:val="single" w:color="auto"/>
            <w:color w:val="0000EE"/>
          </w:rPr>
          <w:t>two filings</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17,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24,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28,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6,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7,</w:t>
        </w:r>
      </w:hyperlink>
      <w:r>
        <w:rPr>
          <w:rFonts w:ascii="Arial" w:cs="Arial" w:eastAsia="Arial" w:hAnsi="Arial"/>
          <w:sz w:val="18"/>
          <w:szCs w:val="18"/>
          <w:color w:val="0000EE"/>
        </w:rPr>
        <w:t xml:space="preserve"> </w:t>
      </w:r>
      <w:hyperlink r:id="rId42">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4">
        <w:r>
          <w:rPr>
            <w:rFonts w:ascii="Arial" w:cs="Arial" w:eastAsia="Arial" w:hAnsi="Arial"/>
            <w:sz w:val="18"/>
            <w:szCs w:val="18"/>
            <w:u w:val="single" w:color="auto"/>
            <w:color w:val="0000EE"/>
          </w:rPr>
          <w:t>May 11, 2020</w:t>
        </w:r>
      </w:hyperlink>
      <w:hyperlink r:id="rId4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5">
        <w:r>
          <w:rPr>
            <w:rFonts w:ascii="Arial" w:cs="Arial" w:eastAsia="Arial" w:hAnsi="Arial"/>
            <w:sz w:val="18"/>
            <w:szCs w:val="18"/>
            <w:u w:val="single" w:color="auto"/>
            <w:color w:val="0000EE"/>
          </w:rPr>
          <w:t>May 22, 2020</w:t>
        </w:r>
      </w:hyperlink>
      <w:hyperlink r:id="rId4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6">
        <w:r>
          <w:rPr>
            <w:rFonts w:ascii="Arial" w:cs="Arial" w:eastAsia="Arial" w:hAnsi="Arial"/>
            <w:sz w:val="18"/>
            <w:szCs w:val="18"/>
            <w:u w:val="single" w:color="auto"/>
            <w:color w:val="0000EE"/>
          </w:rPr>
          <w:t>May 29, 2020</w:t>
        </w:r>
      </w:hyperlink>
      <w:hyperlink r:id="rId4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7">
        <w:r>
          <w:rPr>
            <w:rFonts w:ascii="Arial" w:cs="Arial" w:eastAsia="Arial" w:hAnsi="Arial"/>
            <w:sz w:val="18"/>
            <w:szCs w:val="18"/>
            <w:u w:val="single" w:color="auto"/>
            <w:color w:val="0000EE"/>
          </w:rPr>
          <w:t>June 4, 2020</w:t>
        </w:r>
      </w:hyperlink>
      <w:hyperlink r:id="rId42">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88">
        <w:r>
          <w:rPr>
            <w:rFonts w:ascii="Arial" w:cs="Arial" w:eastAsia="Arial" w:hAnsi="Arial"/>
            <w:sz w:val="18"/>
            <w:szCs w:val="18"/>
            <w:u w:val="single" w:color="auto"/>
            <w:color w:val="0000EE"/>
          </w:rPr>
          <w:t xml:space="preserve">June 10, 2020 </w:t>
        </w:r>
      </w:hyperlink>
      <w:hyperlink r:id="rId42">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89">
        <w:r>
          <w:rPr>
            <w:rFonts w:ascii="Arial" w:cs="Arial" w:eastAsia="Arial" w:hAnsi="Arial"/>
            <w:sz w:val="18"/>
            <w:szCs w:val="18"/>
            <w:u w:val="single" w:color="auto"/>
            <w:color w:val="0000EE"/>
          </w:rPr>
          <w:t xml:space="preserve">June 17, 2020 </w:t>
        </w:r>
      </w:hyperlink>
      <w:hyperlink r:id="rId42">
        <w:r>
          <w:rPr>
            <w:rFonts w:ascii="Arial" w:cs="Arial" w:eastAsia="Arial" w:hAnsi="Arial"/>
            <w:sz w:val="18"/>
            <w:szCs w:val="18"/>
            <w:color w:val="000000"/>
          </w:rPr>
          <w:t>(except for the information furnished under</w:t>
        </w:r>
      </w:hyperlink>
      <w:r>
        <w:rPr>
          <w:rFonts w:ascii="Arial" w:cs="Arial" w:eastAsia="Arial" w:hAnsi="Arial"/>
          <w:sz w:val="18"/>
          <w:szCs w:val="18"/>
          <w:color w:val="0000EE"/>
        </w:rPr>
        <w:t xml:space="preserve"> </w:t>
      </w:r>
      <w:r>
        <w:rPr>
          <w:rFonts w:ascii="Arial" w:cs="Arial" w:eastAsia="Arial" w:hAnsi="Arial"/>
          <w:sz w:val="18"/>
          <w:szCs w:val="18"/>
          <w:color w:val="000000"/>
        </w:rPr>
        <w:t>Items 2.02 or 7.01 and the exhibits furnished thereto);</w:t>
      </w:r>
    </w:p>
    <w:p>
      <w:pPr>
        <w:spacing w:after="0" w:line="186" w:lineRule="exact"/>
        <w:rPr>
          <w:rFonts w:ascii="Arial" w:cs="Arial" w:eastAsia="Arial" w:hAnsi="Arial"/>
          <w:sz w:val="18"/>
          <w:szCs w:val="18"/>
          <w:color w:val="0000EE"/>
        </w:rPr>
      </w:pPr>
    </w:p>
    <w:p>
      <w:pPr>
        <w:ind w:left="660" w:right="80" w:hanging="328"/>
        <w:spacing w:after="0" w:line="263" w:lineRule="auto"/>
        <w:tabs>
          <w:tab w:leader="none" w:pos="660" w:val="left"/>
        </w:tabs>
        <w:numPr>
          <w:ilvl w:val="0"/>
          <w:numId w:val="26"/>
        </w:numPr>
        <w:rPr>
          <w:rFonts w:ascii="Arial" w:cs="Arial" w:eastAsia="Arial" w:hAnsi="Arial"/>
          <w:sz w:val="18"/>
          <w:szCs w:val="18"/>
          <w:color w:val="0000EE"/>
        </w:rPr>
      </w:pPr>
      <w:hyperlink r:id="rId54">
        <w:r>
          <w:rPr>
            <w:rFonts w:ascii="Arial" w:cs="Arial" w:eastAsia="Arial" w:hAnsi="Arial"/>
            <w:sz w:val="18"/>
            <w:szCs w:val="18"/>
            <w:color w:val="auto"/>
          </w:rPr>
          <w:t xml:space="preserve">The description of our securities contained in our Registration Statement on Form 8-A filed on </w:t>
        </w:r>
        <w:r>
          <w:rPr>
            <w:rFonts w:ascii="Arial" w:cs="Arial" w:eastAsia="Arial" w:hAnsi="Arial"/>
            <w:sz w:val="18"/>
            <w:szCs w:val="18"/>
            <w:u w:val="single" w:color="auto"/>
            <w:color w:val="0000EE"/>
          </w:rPr>
          <w:t>March 21, 2016 (File No. 001-34785)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29,</w:t>
        </w:r>
      </w:hyperlink>
      <w:r>
        <w:rPr>
          <w:rFonts w:ascii="Arial" w:cs="Arial" w:eastAsia="Arial" w:hAnsi="Arial"/>
          <w:sz w:val="18"/>
          <w:szCs w:val="18"/>
          <w:color w:val="auto"/>
        </w:rPr>
        <w:t xml:space="preserve"> </w:t>
      </w:r>
      <w:hyperlink r:id="rId54">
        <w:r>
          <w:rPr>
            <w:rFonts w:ascii="Arial" w:cs="Arial" w:eastAsia="Arial" w:hAnsi="Arial"/>
            <w:sz w:val="18"/>
            <w:szCs w:val="18"/>
            <w:u w:val="single" w:color="auto"/>
            <w:color w:val="0000EE"/>
          </w:rPr>
          <w:t>2013 (File No. 001-34785)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90">
        <w:r>
          <w:rPr>
            <w:rFonts w:ascii="Arial" w:cs="Arial" w:eastAsia="Arial" w:hAnsi="Arial"/>
            <w:sz w:val="18"/>
            <w:szCs w:val="18"/>
            <w:u w:val="single" w:color="auto"/>
            <w:color w:val="0000EE"/>
          </w:rPr>
          <w:t>June 16, 2010 (File No. 001-34785)</w:t>
        </w:r>
      </w:hyperlink>
      <w:hyperlink r:id="rId54">
        <w:r>
          <w:rPr>
            <w:rFonts w:ascii="Arial" w:cs="Arial" w:eastAsia="Arial" w:hAnsi="Arial"/>
            <w:sz w:val="18"/>
            <w:szCs w:val="18"/>
            <w:color w:val="000000"/>
          </w:rPr>
          <w:t xml:space="preserve">, pursuant to Section 12(b) of the Exchange Act, and any amendment or </w:t>
        </w:r>
      </w:hyperlink>
      <w:r>
        <w:rPr>
          <w:rFonts w:ascii="Arial" w:cs="Arial" w:eastAsia="Arial" w:hAnsi="Arial"/>
          <w:sz w:val="18"/>
          <w:szCs w:val="18"/>
          <w:color w:val="0000EE"/>
        </w:rPr>
        <w:t xml:space="preserve">report </w:t>
      </w:r>
      <w:r>
        <w:rPr>
          <w:rFonts w:ascii="Arial" w:cs="Arial" w:eastAsia="Arial" w:hAnsi="Arial"/>
          <w:sz w:val="18"/>
          <w:szCs w:val="18"/>
          <w:color w:val="000000"/>
        </w:rPr>
        <w:t>filed with the SEC for purposes of updating such description; and</w:t>
      </w:r>
    </w:p>
    <w:p>
      <w:pPr>
        <w:spacing w:after="0" w:line="183" w:lineRule="exact"/>
        <w:rPr>
          <w:rFonts w:ascii="Arial" w:cs="Arial" w:eastAsia="Arial" w:hAnsi="Arial"/>
          <w:sz w:val="18"/>
          <w:szCs w:val="18"/>
          <w:color w:val="0000EE"/>
        </w:rPr>
      </w:pPr>
    </w:p>
    <w:p>
      <w:pPr>
        <w:ind w:left="660" w:right="340" w:hanging="328"/>
        <w:spacing w:after="0" w:line="279"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prior to the termination or completion of the offering of securities under this prospectus (including documents filed after the initial date of the registration statement of which this prospectus is a part and prior to the effectiveness of such registration statement) shall be deemed to be incorporated by reference in this prospectus and to be a part hereof from the date of filing such reports and other documents.</w:t>
      </w:r>
    </w:p>
    <w:p>
      <w:pPr>
        <w:spacing w:after="0" w:line="171" w:lineRule="exact"/>
        <w:rPr>
          <w:rFonts w:ascii="Arial" w:cs="Arial" w:eastAsia="Arial" w:hAnsi="Arial"/>
          <w:sz w:val="18"/>
          <w:szCs w:val="18"/>
          <w:color w:val="0000EE"/>
        </w:rPr>
      </w:pPr>
    </w:p>
    <w:p>
      <w:pPr>
        <w:ind w:right="60"/>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254 West</w:t>
      </w:r>
    </w:p>
    <w:p>
      <w:pPr>
        <w:spacing w:after="0" w:line="6"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6"/>
          <w:szCs w:val="16"/>
          <w:color w:val="auto"/>
        </w:rPr>
        <w:t>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10001 Attention: Investor Relations. The Investor Relations Department can be reached via telephone at (212) 838-</w:t>
      </w:r>
    </w:p>
    <w:p>
      <w:pPr>
        <w:spacing w:after="0"/>
        <w:rPr>
          <w:sz w:val="20"/>
          <w:szCs w:val="20"/>
          <w:color w:val="auto"/>
        </w:rPr>
      </w:pPr>
      <w:r>
        <w:rPr>
          <w:rFonts w:ascii="Arial" w:cs="Arial" w:eastAsia="Arial" w:hAnsi="Arial"/>
          <w:sz w:val="18"/>
          <w:szCs w:val="18"/>
          <w:color w:val="auto"/>
        </w:rPr>
        <w:t>3777.</w:t>
      </w:r>
    </w:p>
    <w:p>
      <w:pPr>
        <w:spacing w:after="0" w:line="200" w:lineRule="exact"/>
        <w:rPr>
          <w:rFonts w:ascii="Arial" w:cs="Arial" w:eastAsia="Arial" w:hAnsi="Arial"/>
          <w:sz w:val="18"/>
          <w:szCs w:val="18"/>
          <w:color w:val="0000EE"/>
        </w:rPr>
      </w:pPr>
    </w:p>
    <w:p>
      <w:pPr>
        <w:spacing w:after="0" w:line="225"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43"/>
          <w:szCs w:val="43"/>
          <w:b w:val="1"/>
          <w:bCs w:val="1"/>
          <w:color w:val="auto"/>
        </w:rPr>
        <w:t>XPRESSPA GROUP,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24,509,806 Shares of Common Stock</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Warrants to Purchase 24,509,806 shares of Common Stock</w:t>
      </w:r>
    </w:p>
    <w:p>
      <w:pPr>
        <w:spacing w:after="0" w:line="10" w:lineRule="exact"/>
        <w:rPr>
          <w:sz w:val="20"/>
          <w:szCs w:val="20"/>
          <w:color w:val="auto"/>
        </w:rPr>
      </w:pPr>
    </w:p>
    <w:p>
      <w:pPr>
        <w:jc w:val="center"/>
        <w:ind w:left="480" w:right="479"/>
        <w:spacing w:after="0" w:line="247" w:lineRule="auto"/>
        <w:rPr>
          <w:sz w:val="20"/>
          <w:szCs w:val="20"/>
          <w:color w:val="auto"/>
        </w:rPr>
      </w:pPr>
      <w:r>
        <w:rPr>
          <w:rFonts w:ascii="Arial" w:cs="Arial" w:eastAsia="Arial" w:hAnsi="Arial"/>
          <w:sz w:val="25"/>
          <w:szCs w:val="25"/>
          <w:b w:val="1"/>
          <w:bCs w:val="1"/>
          <w:color w:val="auto"/>
        </w:rPr>
        <w:t>Placement Agent Warrants to Purchase 1,960,784 shares of Common Stock Certain other Warrants to Purchase 754,902 shares of Common Stock (and the shares of Common Stock underlying</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such Warrants, Placement Agent Warrants and other Warrants)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PROSPECTUS SUPPLEMENT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H.C. Wainwright &amp; Co.</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December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8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2"/>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57" Type="http://schemas.openxmlformats.org/officeDocument/2006/relationships/image" Target="media/image26.png"/><Relationship Id="rId58" Type="http://schemas.openxmlformats.org/officeDocument/2006/relationships/image" Target="media/image27.png"/><Relationship Id="rId59" Type="http://schemas.openxmlformats.org/officeDocument/2006/relationships/image" Target="media/image28.png"/><Relationship Id="rId60"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73" Type="http://schemas.openxmlformats.org/officeDocument/2006/relationships/image" Target="media/image42.png"/><Relationship Id="rId74" Type="http://schemas.openxmlformats.org/officeDocument/2006/relationships/image" Target="media/image43.png"/><Relationship Id="rId75" Type="http://schemas.openxmlformats.org/officeDocument/2006/relationships/image" Target="media/image44.png"/><Relationship Id="rId76" Type="http://schemas.openxmlformats.org/officeDocument/2006/relationships/image" Target="media/image45.png"/><Relationship Id="rId77" Type="http://schemas.openxmlformats.org/officeDocument/2006/relationships/image" Target="media/image46.png"/><Relationship Id="rId78" Type="http://schemas.openxmlformats.org/officeDocument/2006/relationships/image" Target="media/image47.png"/><Relationship Id="rId79" Type="http://schemas.openxmlformats.org/officeDocument/2006/relationships/image" Target="media/image48.png"/><Relationship Id="rId80" Type="http://schemas.openxmlformats.org/officeDocument/2006/relationships/image" Target="media/image49.png"/><Relationship Id="rId81" Type="http://schemas.openxmlformats.org/officeDocument/2006/relationships/image" Target="media/image50.png"/><Relationship Id="rId82" Type="http://schemas.openxmlformats.org/officeDocument/2006/relationships/image" Target="media/image51.png"/><Relationship Id="rId83" Type="http://schemas.openxmlformats.org/officeDocument/2006/relationships/image" Target="media/image52.png"/><Relationship Id="rId91" Type="http://schemas.openxmlformats.org/officeDocument/2006/relationships/image" Target="media/image53.png"/><Relationship Id="rId92" Type="http://schemas.openxmlformats.org/officeDocument/2006/relationships/image" Target="media/image54.png"/><Relationship Id="rId10" Type="http://schemas.openxmlformats.org/officeDocument/2006/relationships/hyperlink" Target="https://www.sec.gov/Archives/edgar/data/1410428/000110465920048780/tm205324-1_10k.htm" TargetMode="External"/><Relationship Id="rId11" Type="http://schemas.openxmlformats.org/officeDocument/2006/relationships/hyperlink" Target="https://www.sec.gov/Archives/edgar/data/1410428/000155837020013896/xspa-20200930x10q.htm" TargetMode="External"/><Relationship Id="rId33" Type="http://schemas.openxmlformats.org/officeDocument/2006/relationships/hyperlink" Target="https://www.sec.gov/Archives/edgar/data/1410428/000110465920063789/tm2020063d1_10ka.htm" TargetMode="External"/><Relationship Id="rId34" Type="http://schemas.openxmlformats.org/officeDocument/2006/relationships/hyperlink" Target="https://www.sec.gov/Archives/edgar/data/1410428/000110465920073018/tm2022516d1_10ka.htm" TargetMode="External"/><Relationship Id="rId35" Type="http://schemas.openxmlformats.org/officeDocument/2006/relationships/hyperlink" Target="https://www.sec.gov/Archives/edgar/data/1410428/000155837020008024/xspa-20200331x10q.htm" TargetMode="External"/><Relationship Id="rId36" Type="http://schemas.openxmlformats.org/officeDocument/2006/relationships/hyperlink" Target="https://www.sec.gov/Archives/edgar/data/1410428/000155837020010752/xspa-20200630x10q.htm" TargetMode="External"/><Relationship Id="rId37" Type="http://schemas.openxmlformats.org/officeDocument/2006/relationships/hyperlink" Target="https://www.sec.gov/Archives/edgar/data/1410428/000110465920000939/tm201126d1_8k.htm" TargetMode="External"/><Relationship Id="rId38" Type="http://schemas.openxmlformats.org/officeDocument/2006/relationships/hyperlink" Target="https://www.sec.gov/Archives/edgar/data/1410428/000110465920003636/tm203197-1_8k.htm" TargetMode="External"/><Relationship Id="rId39" Type="http://schemas.openxmlformats.org/officeDocument/2006/relationships/hyperlink" Target="https://www.sec.gov/Archives/edgar/data/1410428/000110465920009856/tm206420d1_8k.htm" TargetMode="External"/><Relationship Id="rId40" Type="http://schemas.openxmlformats.org/officeDocument/2006/relationships/hyperlink" Target="https://www.sec.gov/Archives/edgar/data/1410428/000110465920029962/tm2011914d1_8k.htm" TargetMode="External"/><Relationship Id="rId41" Type="http://schemas.openxmlformats.org/officeDocument/2006/relationships/hyperlink" Target="https://www.sec.gov/Archives/edgar/data/1410428/000110465920035631/tm2013177d1_8k.htm" TargetMode="External"/><Relationship Id="rId42" Type="http://schemas.openxmlformats.org/officeDocument/2006/relationships/hyperlink" Target="https://www.sec.gov/Archives/edgar/data/1410428/000110465920057642/tm2018713d2_8k.htm" TargetMode="External"/><Relationship Id="rId43" Type="http://schemas.openxmlformats.org/officeDocument/2006/relationships/hyperlink" Target="https://www.sec.gov/Archives/edgar/data/1410428/000155837020010840/tmb-20200825x8k.htm" TargetMode="External"/><Relationship Id="rId44" Type="http://schemas.openxmlformats.org/officeDocument/2006/relationships/hyperlink" Target="https://www.sec.gov/Archives/edgar/data/1410428/000110465920100178/tm2029683d2_8k.htm" TargetMode="External"/><Relationship Id="rId45" Type="http://schemas.openxmlformats.org/officeDocument/2006/relationships/hyperlink" Target="https://www.sec.gov/Archives/edgar/data/1410428/000110465920109366/tm2031943d1_8k.htm" TargetMode="External"/><Relationship Id="rId46" Type="http://schemas.openxmlformats.org/officeDocument/2006/relationships/hyperlink" Target="https://www.sec.gov/Archives/edgar/data/1410428/000110465920112746/tm2032623d1_8k.htm" TargetMode="External"/><Relationship Id="rId47" Type="http://schemas.openxmlformats.org/officeDocument/2006/relationships/hyperlink" Target="https://www.sec.gov/Archives/edgar/data/1410428/000110465920113686/tm2032856d1_8k.htm" TargetMode="External"/><Relationship Id="rId48" Type="http://schemas.openxmlformats.org/officeDocument/2006/relationships/hyperlink" Target="https://www.sec.gov/Archives/edgar/data/1410428/000110465920118011/tm2034259d1_8k.htm" TargetMode="External"/><Relationship Id="rId49" Type="http://schemas.openxmlformats.org/officeDocument/2006/relationships/hyperlink" Target="https://www.sec.gov/Archives/edgar/data/1410428/000110465920118760/tm2034445d1_8k.htm" TargetMode="External"/><Relationship Id="rId50" Type="http://schemas.openxmlformats.org/officeDocument/2006/relationships/hyperlink" Target="https://www.sec.gov/Archives/edgar/data/1410428/000110465920120037/tm2034656d1_8k.htm" TargetMode="External"/><Relationship Id="rId51" Type="http://schemas.openxmlformats.org/officeDocument/2006/relationships/hyperlink" Target="https://www.sec.gov/Archives/edgar/data/1410428/000110465920132240/tm2037701d1_8k.htm" TargetMode="External"/><Relationship Id="rId52" Type="http://schemas.openxmlformats.org/officeDocument/2006/relationships/hyperlink" Target="https://www.sec.gov/Archives/edgar/data/1410428/000110465920136599/tm2038770d1_8k.htm" TargetMode="External"/><Relationship Id="rId53" Type="http://schemas.openxmlformats.org/officeDocument/2006/relationships/hyperlink" Target="https://www.sec.gov/Archives/edgar/data/1410428/000110465920136835/tm2038821d1_8k.htm" TargetMode="External"/><Relationship Id="rId54" Type="http://schemas.openxmlformats.org/officeDocument/2006/relationships/hyperlink" Target="https://www.sec.gov/Archives/edgar/data/1410428/000114420413024675/v342843_8a12b.htm" TargetMode="External"/><Relationship Id="rId84" Type="http://schemas.openxmlformats.org/officeDocument/2006/relationships/hyperlink" Target="https://www.sec.gov/Archives/edgar/data/1410428/000110465920059539/tm2019325-1_8k.htm" TargetMode="External"/><Relationship Id="rId85" Type="http://schemas.openxmlformats.org/officeDocument/2006/relationships/hyperlink" Target="https://www.sec.gov/Archives/edgar/data/1410428/000110465920065144/tm2020772d1_8k.htm" TargetMode="External"/><Relationship Id="rId86" Type="http://schemas.openxmlformats.org/officeDocument/2006/relationships/hyperlink" Target="https://www.sec.gov/Archives/edgar/data/1410428/000110465920067377/tm2021289d1_8k.htm" TargetMode="External"/><Relationship Id="rId87" Type="http://schemas.openxmlformats.org/officeDocument/2006/relationships/hyperlink" Target="https://www.sec.gov/Archives/edgar/data/1410428/000110465920069761/tm2021831d1_8k.htm" TargetMode="External"/><Relationship Id="rId88" Type="http://schemas.openxmlformats.org/officeDocument/2006/relationships/hyperlink" Target="https://www.sec.gov/Archives/edgar/data/1410428/000110465920071715/tm2021956d1_8k.htm" TargetMode="External"/><Relationship Id="rId89" Type="http://schemas.openxmlformats.org/officeDocument/2006/relationships/hyperlink" Target="https://www.sec.gov/Archives/edgar/data/1410428/000110465920074007/tm2022774d1_8k.htm" TargetMode="External"/><Relationship Id="rId90" Type="http://schemas.openxmlformats.org/officeDocument/2006/relationships/hyperlink" Target="https://www.sec.gov/Archives/edgar/data/1410428/00011931251014051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2020-12-21T09:06:22Z</dcterms:created>
  <dcterms:modified xsi:type="dcterms:W3CDTF">2020-12-21T09:06:22Z</dcterms:modified>
</cp:coreProperties>
</file>